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b/>
          <w:bCs/>
          <w:color w:val="auto"/>
          <w:kern w:val="0"/>
          <w:sz w:val="52"/>
          <w:szCs w:val="52"/>
          <w:lang w:eastAsia="zh-CN"/>
        </w:rPr>
      </w:pPr>
      <w:bookmarkStart w:id="0" w:name="_Toc19753"/>
      <w:bookmarkStart w:id="1" w:name="_Toc362445545"/>
      <w:bookmarkStart w:id="2" w:name="_Toc356423300"/>
      <w:r>
        <w:rPr>
          <w:rFonts w:hint="eastAsia" w:ascii="宋体" w:hAnsi="宋体" w:cs="宋体"/>
          <w:b/>
          <w:bCs/>
          <w:color w:val="auto"/>
          <w:kern w:val="0"/>
          <w:sz w:val="52"/>
          <w:szCs w:val="52"/>
          <w:lang w:eastAsia="zh-CN"/>
        </w:rPr>
        <w:t>中国共产党中牟县委员会政法委员会社会治安财产保险项目</w:t>
      </w:r>
    </w:p>
    <w:p>
      <w:pPr>
        <w:keepNext w:val="0"/>
        <w:keepLines w:val="0"/>
        <w:pageBreakBefore w:val="0"/>
        <w:widowControl/>
        <w:kinsoku/>
        <w:wordWrap/>
        <w:overflowPunct/>
        <w:topLinePunct w:val="0"/>
        <w:autoSpaceDE/>
        <w:autoSpaceDN/>
        <w:bidi w:val="0"/>
        <w:adjustRightInd/>
        <w:snapToGrid/>
        <w:spacing w:before="157" w:beforeLines="50" w:after="157" w:afterLines="50" w:line="1369" w:lineRule="exact"/>
        <w:ind w:right="-6" w:rightChars="0"/>
        <w:jc w:val="center"/>
        <w:textAlignment w:val="auto"/>
        <w:outlineLvl w:val="9"/>
        <w:rPr>
          <w:rFonts w:ascii="宋体" w:hAnsi="宋体" w:eastAsia="宋体" w:cs="宋体"/>
          <w:b/>
          <w:bCs/>
          <w:color w:val="auto"/>
          <w:kern w:val="0"/>
          <w:sz w:val="72"/>
          <w:szCs w:val="72"/>
        </w:rPr>
      </w:pPr>
      <w:r>
        <w:rPr>
          <w:rFonts w:hint="eastAsia" w:ascii="宋体" w:hAnsi="宋体" w:cs="宋体"/>
          <w:b/>
          <w:bCs/>
          <w:color w:val="auto"/>
          <w:kern w:val="0"/>
          <w:sz w:val="72"/>
          <w:szCs w:val="72"/>
          <w:lang w:eastAsia="zh-CN"/>
        </w:rPr>
        <w:t>竞争性磋商</w:t>
      </w:r>
      <w:r>
        <w:rPr>
          <w:rFonts w:hint="eastAsia" w:ascii="宋体" w:hAnsi="宋体" w:eastAsia="宋体" w:cs="宋体"/>
          <w:b/>
          <w:bCs/>
          <w:color w:val="auto"/>
          <w:kern w:val="0"/>
          <w:sz w:val="72"/>
          <w:szCs w:val="72"/>
        </w:rPr>
        <w:t>文件</w:t>
      </w:r>
      <w:bookmarkEnd w:id="0"/>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color w:val="auto"/>
          <w:sz w:val="28"/>
        </w:rPr>
      </w:pPr>
      <w:r>
        <w:rPr>
          <w:rFonts w:hint="eastAsia" w:asciiTheme="minorEastAsia" w:hAnsiTheme="minorEastAsia" w:eastAsiaTheme="minorEastAsia" w:cstheme="minorEastAsia"/>
          <w:b/>
          <w:color w:val="auto"/>
          <w:sz w:val="28"/>
          <w:lang w:eastAsia="zh-CN"/>
        </w:rPr>
        <w:t>采购</w:t>
      </w:r>
      <w:r>
        <w:rPr>
          <w:rFonts w:hint="eastAsia" w:asciiTheme="minorEastAsia" w:hAnsiTheme="minorEastAsia" w:eastAsiaTheme="minorEastAsia" w:cstheme="minorEastAsia"/>
          <w:b/>
          <w:color w:val="auto"/>
          <w:sz w:val="28"/>
        </w:rPr>
        <w:t>编号：中牟磋商采购-2024-30</w:t>
      </w:r>
    </w:p>
    <w:p>
      <w:pPr>
        <w:rPr>
          <w:b/>
          <w:bCs/>
          <w:color w:val="auto"/>
        </w:rPr>
      </w:pPr>
    </w:p>
    <w:p>
      <w:pPr>
        <w:jc w:val="center"/>
        <w:rPr>
          <w:rFonts w:hint="eastAsia" w:ascii="宋体" w:hAnsi="宋体" w:cs="宋体"/>
          <w:color w:val="auto"/>
          <w:sz w:val="44"/>
          <w:szCs w:val="44"/>
        </w:rPr>
      </w:pPr>
      <w:r>
        <w:rPr>
          <w:color w:val="auto"/>
        </w:rPr>
        <w:drawing>
          <wp:inline distT="0" distB="0" distL="114300" distR="114300">
            <wp:extent cx="1722755" cy="2053590"/>
            <wp:effectExtent l="0" t="0" r="10795" b="3810"/>
            <wp:docPr id="14" name="图片 1" descr="F:\荣达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F:\荣达logo.png"/>
                    <pic:cNvPicPr>
                      <a:picLocks noChangeAspect="1"/>
                    </pic:cNvPicPr>
                  </pic:nvPicPr>
                  <pic:blipFill>
                    <a:blip r:embed="rId9"/>
                    <a:stretch>
                      <a:fillRect/>
                    </a:stretch>
                  </pic:blipFill>
                  <pic:spPr>
                    <a:xfrm>
                      <a:off x="0" y="0"/>
                      <a:ext cx="1722755" cy="2053590"/>
                    </a:xfrm>
                    <a:prstGeom prst="rect">
                      <a:avLst/>
                    </a:prstGeom>
                    <a:noFill/>
                    <a:ln>
                      <a:noFill/>
                    </a:ln>
                  </pic:spPr>
                </pic:pic>
              </a:graphicData>
            </a:graphic>
          </wp:inline>
        </w:drawing>
      </w:r>
    </w:p>
    <w:p>
      <w:pPr>
        <w:spacing w:line="360" w:lineRule="auto"/>
        <w:rPr>
          <w:rFonts w:ascii="宋体" w:hAnsi="宋体" w:eastAsia="宋体" w:cs="宋体"/>
          <w:color w:val="auto"/>
          <w:sz w:val="44"/>
          <w:szCs w:val="44"/>
        </w:rPr>
      </w:pPr>
    </w:p>
    <w:p>
      <w:pPr>
        <w:pStyle w:val="2"/>
        <w:ind w:firstLine="0" w:firstLineChars="0"/>
        <w:jc w:val="both"/>
        <w:rPr>
          <w:color w:val="auto"/>
        </w:rPr>
      </w:pPr>
    </w:p>
    <w:p>
      <w:pPr>
        <w:pStyle w:val="2"/>
        <w:ind w:firstLine="0" w:firstLineChars="0"/>
        <w:jc w:val="both"/>
        <w:rPr>
          <w:color w:val="auto"/>
        </w:rPr>
      </w:pPr>
    </w:p>
    <w:p>
      <w:pPr>
        <w:pStyle w:val="5"/>
        <w:rPr>
          <w:color w:val="auto"/>
        </w:rPr>
      </w:pPr>
    </w:p>
    <w:p>
      <w:pPr>
        <w:rPr>
          <w:color w:val="auto"/>
        </w:rPr>
      </w:pPr>
    </w:p>
    <w:p>
      <w:pPr>
        <w:pStyle w:val="5"/>
        <w:rPr>
          <w:color w:val="auto"/>
        </w:rPr>
      </w:pPr>
    </w:p>
    <w:p>
      <w:pPr>
        <w:rPr>
          <w:color w:val="auto"/>
        </w:rPr>
      </w:pPr>
    </w:p>
    <w:p>
      <w:pPr>
        <w:keepNext w:val="0"/>
        <w:keepLines w:val="0"/>
        <w:pageBreakBefore w:val="0"/>
        <w:kinsoku/>
        <w:wordWrap/>
        <w:overflowPunct/>
        <w:topLinePunct w:val="0"/>
        <w:autoSpaceDE/>
        <w:autoSpaceDN/>
        <w:bidi w:val="0"/>
        <w:adjustRightInd/>
        <w:snapToGrid/>
        <w:textAlignment w:val="auto"/>
        <w:outlineLvl w:val="9"/>
        <w:rPr>
          <w:color w:val="auto"/>
        </w:rPr>
      </w:pPr>
    </w:p>
    <w:p>
      <w:pPr>
        <w:keepNext w:val="0"/>
        <w:keepLines w:val="0"/>
        <w:pageBreakBefore w:val="0"/>
        <w:widowControl/>
        <w:kinsoku/>
        <w:wordWrap/>
        <w:overflowPunct/>
        <w:topLinePunct w:val="0"/>
        <w:autoSpaceDE/>
        <w:autoSpaceDN/>
        <w:bidi w:val="0"/>
        <w:adjustRightInd/>
        <w:snapToGrid/>
        <w:spacing w:line="740" w:lineRule="exact"/>
        <w:ind w:left="0" w:leftChars="0" w:firstLine="1687" w:firstLineChars="525"/>
        <w:jc w:val="left"/>
        <w:textAlignment w:val="auto"/>
        <w:outlineLvl w:val="9"/>
        <w:rPr>
          <w:rFonts w:hint="eastAsia" w:ascii="宋体" w:hAnsi="宋体" w:eastAsia="宋体" w:cs="宋体"/>
          <w:b/>
          <w:color w:val="auto"/>
          <w:kern w:val="0"/>
          <w:sz w:val="32"/>
          <w:szCs w:val="32"/>
        </w:rPr>
      </w:pPr>
      <w:bookmarkStart w:id="3" w:name="_Toc13827"/>
      <w:r>
        <w:rPr>
          <w:rFonts w:hint="eastAsia" w:ascii="宋体" w:hAnsi="宋体" w:eastAsia="宋体" w:cs="宋体"/>
          <w:b/>
          <w:color w:val="auto"/>
          <w:sz w:val="32"/>
          <w:szCs w:val="32"/>
        </w:rPr>
        <w:t>采</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购</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人：</w:t>
      </w:r>
      <w:bookmarkEnd w:id="3"/>
      <w:r>
        <w:rPr>
          <w:rFonts w:hint="eastAsia" w:ascii="宋体" w:hAnsi="宋体" w:eastAsia="宋体" w:cs="宋体"/>
          <w:b/>
          <w:color w:val="auto"/>
          <w:sz w:val="32"/>
          <w:szCs w:val="32"/>
        </w:rPr>
        <w:t>中国共产党中牟县委员会政法委员会</w:t>
      </w:r>
    </w:p>
    <w:p>
      <w:pPr>
        <w:keepNext w:val="0"/>
        <w:keepLines w:val="0"/>
        <w:pageBreakBefore w:val="0"/>
        <w:widowControl/>
        <w:kinsoku/>
        <w:wordWrap/>
        <w:overflowPunct/>
        <w:topLinePunct w:val="0"/>
        <w:autoSpaceDE/>
        <w:autoSpaceDN/>
        <w:bidi w:val="0"/>
        <w:adjustRightInd/>
        <w:snapToGrid/>
        <w:spacing w:line="740" w:lineRule="exact"/>
        <w:ind w:left="0" w:leftChars="0" w:firstLine="1687" w:firstLineChars="525"/>
        <w:jc w:val="left"/>
        <w:textAlignment w:val="auto"/>
        <w:outlineLvl w:val="9"/>
        <w:rPr>
          <w:rFonts w:hint="eastAsia" w:ascii="宋体" w:hAnsi="宋体" w:eastAsia="宋体" w:cs="宋体"/>
          <w:color w:val="auto"/>
          <w:sz w:val="32"/>
          <w:szCs w:val="32"/>
          <w:lang w:eastAsia="zh-CN"/>
        </w:rPr>
      </w:pPr>
      <w:bookmarkStart w:id="4" w:name="_Toc11207"/>
      <w:r>
        <w:rPr>
          <w:rFonts w:hint="eastAsia" w:ascii="宋体" w:hAnsi="宋体" w:eastAsia="宋体" w:cs="宋体"/>
          <w:b/>
          <w:color w:val="auto"/>
          <w:sz w:val="32"/>
          <w:szCs w:val="32"/>
          <w:lang w:eastAsia="zh-CN"/>
        </w:rPr>
        <w:t>代理机构</w:t>
      </w:r>
      <w:r>
        <w:rPr>
          <w:rFonts w:hint="eastAsia" w:ascii="宋体" w:hAnsi="宋体" w:eastAsia="宋体" w:cs="宋体"/>
          <w:b/>
          <w:color w:val="auto"/>
          <w:sz w:val="32"/>
          <w:szCs w:val="32"/>
        </w:rPr>
        <w:t>：</w:t>
      </w:r>
      <w:bookmarkEnd w:id="4"/>
      <w:r>
        <w:rPr>
          <w:rFonts w:hint="eastAsia" w:ascii="宋体" w:hAnsi="宋体" w:eastAsia="宋体" w:cs="宋体"/>
          <w:b/>
          <w:color w:val="auto"/>
          <w:sz w:val="32"/>
          <w:szCs w:val="32"/>
          <w:lang w:eastAsia="zh-CN"/>
        </w:rPr>
        <w:t>河南荣达工程咨询有限公司</w:t>
      </w:r>
    </w:p>
    <w:p>
      <w:pPr>
        <w:keepNext w:val="0"/>
        <w:keepLines w:val="0"/>
        <w:pageBreakBefore w:val="0"/>
        <w:widowControl/>
        <w:kinsoku/>
        <w:wordWrap/>
        <w:overflowPunct/>
        <w:topLinePunct w:val="0"/>
        <w:autoSpaceDE/>
        <w:autoSpaceDN/>
        <w:bidi w:val="0"/>
        <w:adjustRightInd/>
        <w:snapToGrid/>
        <w:spacing w:line="740" w:lineRule="exact"/>
        <w:ind w:left="0" w:leftChars="0" w:firstLine="1687" w:firstLineChars="525"/>
        <w:jc w:val="left"/>
        <w:textAlignment w:val="auto"/>
        <w:outlineLvl w:val="9"/>
        <w:rPr>
          <w:rFonts w:hint="eastAsia" w:ascii="宋体" w:hAnsi="宋体" w:eastAsia="宋体" w:cs="宋体"/>
          <w:b/>
          <w:color w:val="auto"/>
          <w:sz w:val="32"/>
          <w:szCs w:val="32"/>
        </w:rPr>
      </w:pPr>
      <w:bookmarkStart w:id="5" w:name="_Toc1719"/>
      <w:r>
        <w:rPr>
          <w:rFonts w:hint="eastAsia" w:ascii="宋体" w:hAnsi="宋体" w:eastAsia="宋体" w:cs="宋体"/>
          <w:b/>
          <w:color w:val="auto"/>
          <w:sz w:val="32"/>
          <w:szCs w:val="32"/>
          <w:lang w:eastAsia="zh-CN"/>
        </w:rPr>
        <w:t>日</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lang w:eastAsia="zh-CN"/>
        </w:rPr>
        <w:t>期：</w:t>
      </w:r>
      <w:r>
        <w:rPr>
          <w:rFonts w:hint="eastAsia" w:ascii="宋体" w:hAnsi="宋体" w:eastAsia="宋体" w:cs="宋体"/>
          <w:b/>
          <w:color w:val="auto"/>
          <w:sz w:val="32"/>
          <w:szCs w:val="32"/>
        </w:rPr>
        <w:t>二</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rPr>
        <w:t>二</w:t>
      </w:r>
      <w:r>
        <w:rPr>
          <w:rFonts w:hint="eastAsia" w:ascii="宋体" w:hAnsi="宋体" w:cs="宋体"/>
          <w:b/>
          <w:color w:val="auto"/>
          <w:sz w:val="32"/>
          <w:szCs w:val="32"/>
          <w:lang w:eastAsia="zh-CN"/>
        </w:rPr>
        <w:t>四</w:t>
      </w:r>
      <w:r>
        <w:rPr>
          <w:rFonts w:hint="eastAsia" w:ascii="宋体" w:hAnsi="宋体" w:eastAsia="宋体" w:cs="宋体"/>
          <w:b/>
          <w:color w:val="auto"/>
          <w:sz w:val="32"/>
          <w:szCs w:val="32"/>
        </w:rPr>
        <w:t>年</w:t>
      </w:r>
      <w:r>
        <w:rPr>
          <w:rFonts w:hint="eastAsia" w:ascii="宋体" w:hAnsi="宋体" w:cs="宋体"/>
          <w:b/>
          <w:color w:val="auto"/>
          <w:sz w:val="32"/>
          <w:szCs w:val="32"/>
          <w:lang w:eastAsia="zh-CN"/>
        </w:rPr>
        <w:t>六</w:t>
      </w:r>
      <w:r>
        <w:rPr>
          <w:rFonts w:hint="eastAsia" w:ascii="宋体" w:hAnsi="宋体" w:eastAsia="宋体" w:cs="宋体"/>
          <w:b/>
          <w:color w:val="auto"/>
          <w:sz w:val="32"/>
          <w:szCs w:val="32"/>
        </w:rPr>
        <w:t>月</w:t>
      </w:r>
      <w:bookmarkEnd w:id="5"/>
    </w:p>
    <w:bookmarkEnd w:id="1"/>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ascii="宋体" w:hAnsi="宋体" w:eastAsia="宋体" w:cs="Times New Roman"/>
          <w:b/>
          <w:bCs/>
          <w:color w:val="auto"/>
          <w:kern w:val="2"/>
          <w:sz w:val="28"/>
          <w:szCs w:val="32"/>
          <w:lang w:val="en-US" w:eastAsia="zh-CN" w:bidi="ar-SA"/>
        </w:rPr>
        <w:sectPr>
          <w:headerReference r:id="rId3" w:type="default"/>
          <w:pgSz w:w="11906" w:h="16838"/>
          <w:pgMar w:top="1440" w:right="1440" w:bottom="1440" w:left="1440" w:header="851" w:footer="992" w:gutter="0"/>
          <w:pgNumType w:fmt="decimal" w:start="1"/>
          <w:cols w:space="720" w:num="1"/>
          <w:titlePg/>
          <w:docGrid w:type="lines" w:linePitch="312" w:charSpace="0"/>
        </w:sectPr>
      </w:pPr>
    </w:p>
    <w:sdt>
      <w:sdtPr>
        <w:rPr>
          <w:rFonts w:ascii="宋体" w:hAnsi="宋体" w:eastAsia="宋体" w:cs="Times New Roman"/>
          <w:b/>
          <w:bCs/>
          <w:color w:val="auto"/>
          <w:kern w:val="2"/>
          <w:sz w:val="28"/>
          <w:szCs w:val="32"/>
          <w:lang w:val="en-US" w:eastAsia="zh-CN" w:bidi="ar-SA"/>
        </w:rPr>
        <w:id w:val="147471972"/>
        <w15:color w:val="DBDBDB"/>
        <w:docPartObj>
          <w:docPartGallery w:val="Table of Contents"/>
          <w:docPartUnique/>
        </w:docPartObj>
      </w:sdtPr>
      <w:sdtEndPr>
        <w:rPr>
          <w:rFonts w:ascii="宋体" w:hAnsi="宋体" w:eastAsia="宋体" w:cs="Times New Roman"/>
          <w:b/>
          <w:bCs/>
          <w:color w:val="auto"/>
          <w:kern w:val="2"/>
          <w:sz w:val="28"/>
          <w:szCs w:val="3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b/>
              <w:bCs/>
              <w:color w:val="auto"/>
              <w:sz w:val="28"/>
              <w:szCs w:val="32"/>
            </w:rPr>
          </w:pPr>
          <w:bookmarkStart w:id="6" w:name="_Toc5386"/>
          <w:r>
            <w:rPr>
              <w:rFonts w:ascii="宋体" w:hAnsi="宋体" w:eastAsia="宋体"/>
              <w:b/>
              <w:bCs/>
              <w:color w:val="auto"/>
              <w:sz w:val="28"/>
              <w:szCs w:val="32"/>
            </w:rPr>
            <w:t>目</w:t>
          </w:r>
          <w:r>
            <w:rPr>
              <w:rFonts w:hint="eastAsia" w:ascii="宋体" w:hAnsi="宋体" w:eastAsia="宋体"/>
              <w:b/>
              <w:bCs/>
              <w:color w:val="auto"/>
              <w:sz w:val="28"/>
              <w:szCs w:val="32"/>
              <w:lang w:val="en-US" w:eastAsia="zh-CN"/>
            </w:rPr>
            <w:t xml:space="preserve">  </w:t>
          </w:r>
          <w:r>
            <w:rPr>
              <w:rFonts w:ascii="宋体" w:hAnsi="宋体" w:eastAsia="宋体"/>
              <w:b/>
              <w:bCs/>
              <w:color w:val="auto"/>
              <w:sz w:val="28"/>
              <w:szCs w:val="32"/>
            </w:rPr>
            <w:t>录</w:t>
          </w:r>
        </w:p>
        <w:p>
          <w:pPr>
            <w:pStyle w:val="18"/>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_Toc762 </w:instrText>
          </w:r>
          <w:r>
            <w:rPr>
              <w:color w:val="auto"/>
            </w:rPr>
            <w:fldChar w:fldCharType="separate"/>
          </w:r>
          <w:r>
            <w:rPr>
              <w:rFonts w:hint="eastAsia"/>
              <w:bCs w:val="0"/>
              <w:color w:val="auto"/>
            </w:rPr>
            <w:t>第一章</w:t>
          </w:r>
          <w:r>
            <w:rPr>
              <w:rFonts w:hint="eastAsia"/>
              <w:bCs w:val="0"/>
              <w:color w:val="auto"/>
              <w:lang w:eastAsia="zh-CN"/>
            </w:rPr>
            <w:t xml:space="preserve">  </w:t>
          </w:r>
          <w:r>
            <w:rPr>
              <w:rFonts w:hint="eastAsia"/>
              <w:bCs w:val="0"/>
              <w:color w:val="auto"/>
            </w:rPr>
            <w:t>竞争性磋商公告</w:t>
          </w:r>
          <w:r>
            <w:rPr>
              <w:color w:val="auto"/>
            </w:rPr>
            <w:tab/>
          </w:r>
          <w:r>
            <w:rPr>
              <w:color w:val="auto"/>
            </w:rPr>
            <w:fldChar w:fldCharType="begin"/>
          </w:r>
          <w:r>
            <w:rPr>
              <w:color w:val="auto"/>
            </w:rPr>
            <w:instrText xml:space="preserve"> PAGEREF _Toc762 \h </w:instrText>
          </w:r>
          <w:r>
            <w:rPr>
              <w:color w:val="auto"/>
            </w:rPr>
            <w:fldChar w:fldCharType="separate"/>
          </w:r>
          <w:r>
            <w:rPr>
              <w:color w:val="auto"/>
            </w:rPr>
            <w:t>1</w:t>
          </w:r>
          <w:r>
            <w:rPr>
              <w:color w:val="auto"/>
            </w:rPr>
            <w:fldChar w:fldCharType="end"/>
          </w:r>
          <w:r>
            <w:rPr>
              <w:color w:val="auto"/>
            </w:rPr>
            <w:fldChar w:fldCharType="end"/>
          </w:r>
        </w:p>
        <w:p>
          <w:pPr>
            <w:pStyle w:val="18"/>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_Toc31435 </w:instrText>
          </w:r>
          <w:r>
            <w:rPr>
              <w:color w:val="auto"/>
            </w:rPr>
            <w:fldChar w:fldCharType="separate"/>
          </w:r>
          <w:r>
            <w:rPr>
              <w:rFonts w:hint="eastAsia"/>
              <w:bCs w:val="0"/>
              <w:color w:val="auto"/>
            </w:rPr>
            <w:t>第二章</w:t>
          </w:r>
          <w:r>
            <w:rPr>
              <w:rFonts w:hint="eastAsia"/>
              <w:bCs w:val="0"/>
              <w:color w:val="auto"/>
              <w:lang w:eastAsia="zh-CN"/>
            </w:rPr>
            <w:t xml:space="preserve">  </w:t>
          </w:r>
          <w:r>
            <w:rPr>
              <w:rFonts w:hint="eastAsia"/>
              <w:bCs w:val="0"/>
              <w:color w:val="auto"/>
            </w:rPr>
            <w:t>供应商须知</w:t>
          </w:r>
          <w:r>
            <w:rPr>
              <w:color w:val="auto"/>
            </w:rPr>
            <w:tab/>
          </w:r>
          <w:r>
            <w:rPr>
              <w:color w:val="auto"/>
            </w:rPr>
            <w:fldChar w:fldCharType="begin"/>
          </w:r>
          <w:r>
            <w:rPr>
              <w:color w:val="auto"/>
            </w:rPr>
            <w:instrText xml:space="preserve"> PAGEREF _Toc31435 \h </w:instrText>
          </w:r>
          <w:r>
            <w:rPr>
              <w:color w:val="auto"/>
            </w:rPr>
            <w:fldChar w:fldCharType="separate"/>
          </w:r>
          <w:r>
            <w:rPr>
              <w:color w:val="auto"/>
            </w:rPr>
            <w:t>5</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_Toc9515 </w:instrText>
          </w:r>
          <w:r>
            <w:rPr>
              <w:color w:val="auto"/>
            </w:rPr>
            <w:fldChar w:fldCharType="separate"/>
          </w:r>
          <w:r>
            <w:rPr>
              <w:rFonts w:hint="eastAsia" w:asciiTheme="minorEastAsia" w:hAnsiTheme="minorEastAsia" w:eastAsiaTheme="minorEastAsia" w:cstheme="minorEastAsia"/>
              <w:color w:val="auto"/>
              <w:szCs w:val="24"/>
            </w:rPr>
            <w:t>1.</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总则</w:t>
          </w:r>
          <w:r>
            <w:rPr>
              <w:color w:val="auto"/>
            </w:rPr>
            <w:tab/>
          </w:r>
          <w:r>
            <w:rPr>
              <w:color w:val="auto"/>
            </w:rPr>
            <w:fldChar w:fldCharType="begin"/>
          </w:r>
          <w:r>
            <w:rPr>
              <w:color w:val="auto"/>
            </w:rPr>
            <w:instrText xml:space="preserve"> PAGEREF _Toc9515 \h </w:instrText>
          </w:r>
          <w:r>
            <w:rPr>
              <w:color w:val="auto"/>
            </w:rPr>
            <w:fldChar w:fldCharType="separate"/>
          </w:r>
          <w:r>
            <w:rPr>
              <w:color w:val="auto"/>
            </w:rPr>
            <w:t>12</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_Toc5125 </w:instrText>
          </w:r>
          <w:r>
            <w:rPr>
              <w:color w:val="auto"/>
            </w:rPr>
            <w:fldChar w:fldCharType="separate"/>
          </w:r>
          <w:r>
            <w:rPr>
              <w:rFonts w:hint="eastAsia" w:asciiTheme="minorEastAsia" w:hAnsiTheme="minorEastAsia" w:eastAsiaTheme="minorEastAsia" w:cstheme="minorEastAsia"/>
              <w:color w:val="auto"/>
              <w:szCs w:val="24"/>
            </w:rPr>
            <w:t>2.</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磋商文件</w:t>
          </w:r>
          <w:r>
            <w:rPr>
              <w:color w:val="auto"/>
            </w:rPr>
            <w:tab/>
          </w:r>
          <w:r>
            <w:rPr>
              <w:color w:val="auto"/>
            </w:rPr>
            <w:fldChar w:fldCharType="begin"/>
          </w:r>
          <w:r>
            <w:rPr>
              <w:color w:val="auto"/>
            </w:rPr>
            <w:instrText xml:space="preserve"> PAGEREF _Toc5125 \h </w:instrText>
          </w:r>
          <w:r>
            <w:rPr>
              <w:color w:val="auto"/>
            </w:rPr>
            <w:fldChar w:fldCharType="separate"/>
          </w:r>
          <w:r>
            <w:rPr>
              <w:color w:val="auto"/>
            </w:rPr>
            <w:t>14</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_Toc21306 </w:instrText>
          </w:r>
          <w:r>
            <w:rPr>
              <w:color w:val="auto"/>
            </w:rPr>
            <w:fldChar w:fldCharType="separate"/>
          </w:r>
          <w:r>
            <w:rPr>
              <w:rFonts w:hint="eastAsia" w:asciiTheme="minorEastAsia" w:hAnsiTheme="minorEastAsia" w:eastAsiaTheme="minorEastAsia" w:cstheme="minorEastAsia"/>
              <w:color w:val="auto"/>
              <w:szCs w:val="24"/>
            </w:rPr>
            <w:t>3.</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响应文件</w:t>
          </w:r>
          <w:r>
            <w:rPr>
              <w:color w:val="auto"/>
            </w:rPr>
            <w:tab/>
          </w:r>
          <w:r>
            <w:rPr>
              <w:color w:val="auto"/>
            </w:rPr>
            <w:fldChar w:fldCharType="begin"/>
          </w:r>
          <w:r>
            <w:rPr>
              <w:color w:val="auto"/>
            </w:rPr>
            <w:instrText xml:space="preserve"> PAGEREF _Toc21306 \h </w:instrText>
          </w:r>
          <w:r>
            <w:rPr>
              <w:color w:val="auto"/>
            </w:rPr>
            <w:fldChar w:fldCharType="separate"/>
          </w:r>
          <w:r>
            <w:rPr>
              <w:color w:val="auto"/>
            </w:rPr>
            <w:t>15</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_Toc12608 </w:instrText>
          </w:r>
          <w:r>
            <w:rPr>
              <w:color w:val="auto"/>
            </w:rPr>
            <w:fldChar w:fldCharType="separate"/>
          </w: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lang w:eastAsia="zh-CN"/>
            </w:rPr>
            <w:t xml:space="preserve"> </w:t>
          </w:r>
          <w:r>
            <w:rPr>
              <w:rFonts w:hint="eastAsia" w:asciiTheme="minorEastAsia" w:hAnsiTheme="minorEastAsia" w:eastAsiaTheme="minorEastAsia" w:cstheme="minorEastAsia"/>
              <w:color w:val="auto"/>
              <w:kern w:val="0"/>
            </w:rPr>
            <w:t>响应</w:t>
          </w:r>
          <w:r>
            <w:rPr>
              <w:color w:val="auto"/>
            </w:rPr>
            <w:tab/>
          </w:r>
          <w:r>
            <w:rPr>
              <w:color w:val="auto"/>
            </w:rPr>
            <w:fldChar w:fldCharType="begin"/>
          </w:r>
          <w:r>
            <w:rPr>
              <w:color w:val="auto"/>
            </w:rPr>
            <w:instrText xml:space="preserve"> PAGEREF _Toc12608 \h </w:instrText>
          </w:r>
          <w:r>
            <w:rPr>
              <w:color w:val="auto"/>
            </w:rPr>
            <w:fldChar w:fldCharType="separate"/>
          </w:r>
          <w:r>
            <w:rPr>
              <w:color w:val="auto"/>
            </w:rPr>
            <w:t>17</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_Toc18282 </w:instrText>
          </w:r>
          <w:r>
            <w:rPr>
              <w:color w:val="auto"/>
            </w:rPr>
            <w:fldChar w:fldCharType="separate"/>
          </w:r>
          <w:r>
            <w:rPr>
              <w:rFonts w:hint="eastAsia" w:asciiTheme="minorEastAsia" w:hAnsiTheme="minorEastAsia" w:eastAsiaTheme="minorEastAsia" w:cstheme="minorEastAsia"/>
              <w:color w:val="auto"/>
              <w:szCs w:val="24"/>
            </w:rPr>
            <w:t>5.</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磋商开始</w:t>
          </w:r>
          <w:r>
            <w:rPr>
              <w:color w:val="auto"/>
            </w:rPr>
            <w:tab/>
          </w:r>
          <w:r>
            <w:rPr>
              <w:color w:val="auto"/>
            </w:rPr>
            <w:fldChar w:fldCharType="begin"/>
          </w:r>
          <w:r>
            <w:rPr>
              <w:color w:val="auto"/>
            </w:rPr>
            <w:instrText xml:space="preserve"> PAGEREF _Toc18282 \h </w:instrText>
          </w:r>
          <w:r>
            <w:rPr>
              <w:color w:val="auto"/>
            </w:rPr>
            <w:fldChar w:fldCharType="separate"/>
          </w:r>
          <w:r>
            <w:rPr>
              <w:color w:val="auto"/>
            </w:rPr>
            <w:t>17</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_Toc10924 </w:instrText>
          </w:r>
          <w:r>
            <w:rPr>
              <w:color w:val="auto"/>
            </w:rPr>
            <w:fldChar w:fldCharType="separate"/>
          </w:r>
          <w:r>
            <w:rPr>
              <w:rFonts w:hint="eastAsia" w:asciiTheme="minorEastAsia" w:hAnsiTheme="minorEastAsia" w:eastAsiaTheme="minorEastAsia" w:cstheme="minorEastAsia"/>
              <w:color w:val="auto"/>
              <w:szCs w:val="24"/>
            </w:rPr>
            <w:t>6.</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磋商</w:t>
          </w:r>
          <w:r>
            <w:rPr>
              <w:color w:val="auto"/>
            </w:rPr>
            <w:tab/>
          </w:r>
          <w:r>
            <w:rPr>
              <w:color w:val="auto"/>
            </w:rPr>
            <w:fldChar w:fldCharType="begin"/>
          </w:r>
          <w:r>
            <w:rPr>
              <w:color w:val="auto"/>
            </w:rPr>
            <w:instrText xml:space="preserve"> PAGEREF _Toc10924 \h </w:instrText>
          </w:r>
          <w:r>
            <w:rPr>
              <w:color w:val="auto"/>
            </w:rPr>
            <w:fldChar w:fldCharType="separate"/>
          </w:r>
          <w:r>
            <w:rPr>
              <w:color w:val="auto"/>
            </w:rPr>
            <w:t>19</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_Toc11351 </w:instrText>
          </w:r>
          <w:r>
            <w:rPr>
              <w:color w:val="auto"/>
            </w:rPr>
            <w:fldChar w:fldCharType="separate"/>
          </w:r>
          <w:r>
            <w:rPr>
              <w:rFonts w:hint="eastAsia" w:asciiTheme="minorEastAsia" w:hAnsiTheme="minorEastAsia" w:eastAsiaTheme="minorEastAsia" w:cstheme="minorEastAsia"/>
              <w:color w:val="auto"/>
              <w:szCs w:val="24"/>
            </w:rPr>
            <w:t>7.</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合同授予</w:t>
          </w:r>
          <w:r>
            <w:rPr>
              <w:color w:val="auto"/>
            </w:rPr>
            <w:tab/>
          </w:r>
          <w:r>
            <w:rPr>
              <w:color w:val="auto"/>
            </w:rPr>
            <w:fldChar w:fldCharType="begin"/>
          </w:r>
          <w:r>
            <w:rPr>
              <w:color w:val="auto"/>
            </w:rPr>
            <w:instrText xml:space="preserve"> PAGEREF _Toc11351 \h </w:instrText>
          </w:r>
          <w:r>
            <w:rPr>
              <w:color w:val="auto"/>
            </w:rPr>
            <w:fldChar w:fldCharType="separate"/>
          </w:r>
          <w:r>
            <w:rPr>
              <w:color w:val="auto"/>
            </w:rPr>
            <w:t>19</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_Toc3826 </w:instrText>
          </w:r>
          <w:r>
            <w:rPr>
              <w:color w:val="auto"/>
            </w:rPr>
            <w:fldChar w:fldCharType="separate"/>
          </w:r>
          <w:r>
            <w:rPr>
              <w:rFonts w:hint="eastAsia" w:asciiTheme="minorEastAsia" w:hAnsiTheme="minorEastAsia" w:eastAsiaTheme="minorEastAsia" w:cstheme="minorEastAsia"/>
              <w:color w:val="auto"/>
              <w:szCs w:val="24"/>
            </w:rPr>
            <w:t>8.</w:t>
          </w:r>
          <w:r>
            <w:rPr>
              <w:rFonts w:hint="eastAsia" w:asciiTheme="minorEastAsia" w:hAnsiTheme="minorEastAsia" w:eastAsiaTheme="minorEastAsia" w:cstheme="minorEastAsia"/>
              <w:color w:val="auto"/>
              <w:szCs w:val="24"/>
              <w:lang w:val="en-US" w:eastAsia="zh-CN"/>
            </w:rPr>
            <w:t xml:space="preserve"> </w:t>
          </w:r>
          <w:r>
            <w:rPr>
              <w:rFonts w:hint="eastAsia" w:asciiTheme="minorEastAsia" w:hAnsiTheme="minorEastAsia" w:eastAsiaTheme="minorEastAsia" w:cstheme="minorEastAsia"/>
              <w:color w:val="auto"/>
              <w:szCs w:val="24"/>
            </w:rPr>
            <w:t>重新招标</w:t>
          </w:r>
          <w:r>
            <w:rPr>
              <w:color w:val="auto"/>
            </w:rPr>
            <w:tab/>
          </w:r>
          <w:r>
            <w:rPr>
              <w:color w:val="auto"/>
            </w:rPr>
            <w:fldChar w:fldCharType="begin"/>
          </w:r>
          <w:r>
            <w:rPr>
              <w:color w:val="auto"/>
            </w:rPr>
            <w:instrText xml:space="preserve"> PAGEREF _Toc3826 \h </w:instrText>
          </w:r>
          <w:r>
            <w:rPr>
              <w:color w:val="auto"/>
            </w:rPr>
            <w:fldChar w:fldCharType="separate"/>
          </w:r>
          <w:r>
            <w:rPr>
              <w:color w:val="auto"/>
            </w:rPr>
            <w:t>20</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_Toc12929 </w:instrText>
          </w:r>
          <w:r>
            <w:rPr>
              <w:color w:val="auto"/>
            </w:rPr>
            <w:fldChar w:fldCharType="separate"/>
          </w:r>
          <w:r>
            <w:rPr>
              <w:rFonts w:hint="eastAsia" w:asciiTheme="minorEastAsia" w:hAnsiTheme="minorEastAsia" w:eastAsiaTheme="minorEastAsia" w:cstheme="minorEastAsia"/>
              <w:color w:val="auto"/>
              <w:szCs w:val="24"/>
            </w:rPr>
            <w:t>9.</w:t>
          </w:r>
          <w:r>
            <w:rPr>
              <w:rFonts w:hint="eastAsia" w:asciiTheme="minorEastAsia" w:hAnsiTheme="minorEastAsia" w:eastAsiaTheme="minorEastAsia" w:cstheme="minorEastAsia"/>
              <w:color w:val="auto"/>
              <w:szCs w:val="24"/>
              <w:lang w:val="en-US" w:eastAsia="zh-CN"/>
            </w:rPr>
            <w:t xml:space="preserve"> </w:t>
          </w:r>
          <w:r>
            <w:rPr>
              <w:rFonts w:hint="eastAsia" w:asciiTheme="minorEastAsia" w:hAnsiTheme="minorEastAsia" w:eastAsiaTheme="minorEastAsia" w:cstheme="minorEastAsia"/>
              <w:color w:val="auto"/>
              <w:szCs w:val="24"/>
            </w:rPr>
            <w:t>纪律和监督</w:t>
          </w:r>
          <w:r>
            <w:rPr>
              <w:color w:val="auto"/>
            </w:rPr>
            <w:tab/>
          </w:r>
          <w:r>
            <w:rPr>
              <w:color w:val="auto"/>
            </w:rPr>
            <w:fldChar w:fldCharType="begin"/>
          </w:r>
          <w:r>
            <w:rPr>
              <w:color w:val="auto"/>
            </w:rPr>
            <w:instrText xml:space="preserve"> PAGEREF _Toc12929 \h </w:instrText>
          </w:r>
          <w:r>
            <w:rPr>
              <w:color w:val="auto"/>
            </w:rPr>
            <w:fldChar w:fldCharType="separate"/>
          </w:r>
          <w:r>
            <w:rPr>
              <w:color w:val="auto"/>
            </w:rPr>
            <w:t>20</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_Toc7972 </w:instrText>
          </w:r>
          <w:r>
            <w:rPr>
              <w:color w:val="auto"/>
            </w:rPr>
            <w:fldChar w:fldCharType="separate"/>
          </w:r>
          <w:r>
            <w:rPr>
              <w:rFonts w:asciiTheme="minorEastAsia" w:hAnsiTheme="minorEastAsia" w:eastAsiaTheme="minorEastAsia" w:cstheme="minorEastAsia"/>
              <w:color w:val="auto"/>
            </w:rPr>
            <w:t xml:space="preserve">10. </w:t>
          </w:r>
          <w:r>
            <w:rPr>
              <w:rFonts w:hint="eastAsia" w:asciiTheme="minorEastAsia" w:hAnsiTheme="minorEastAsia" w:eastAsiaTheme="minorEastAsia" w:cstheme="minorEastAsia"/>
              <w:color w:val="auto"/>
              <w:szCs w:val="24"/>
            </w:rPr>
            <w:t>需要补充的其他内容</w:t>
          </w:r>
          <w:r>
            <w:rPr>
              <w:color w:val="auto"/>
            </w:rPr>
            <w:tab/>
          </w:r>
          <w:r>
            <w:rPr>
              <w:color w:val="auto"/>
            </w:rPr>
            <w:fldChar w:fldCharType="begin"/>
          </w:r>
          <w:r>
            <w:rPr>
              <w:color w:val="auto"/>
            </w:rPr>
            <w:instrText xml:space="preserve"> PAGEREF _Toc7972 \h </w:instrText>
          </w:r>
          <w:r>
            <w:rPr>
              <w:color w:val="auto"/>
            </w:rPr>
            <w:fldChar w:fldCharType="separate"/>
          </w:r>
          <w:r>
            <w:rPr>
              <w:color w:val="auto"/>
            </w:rPr>
            <w:t>21</w:t>
          </w:r>
          <w:r>
            <w:rPr>
              <w:color w:val="auto"/>
            </w:rPr>
            <w:fldChar w:fldCharType="end"/>
          </w:r>
          <w:r>
            <w:rPr>
              <w:color w:val="auto"/>
            </w:rPr>
            <w:fldChar w:fldCharType="end"/>
          </w:r>
        </w:p>
        <w:p>
          <w:pPr>
            <w:pStyle w:val="18"/>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_Toc26360 </w:instrText>
          </w:r>
          <w:r>
            <w:rPr>
              <w:color w:val="auto"/>
            </w:rPr>
            <w:fldChar w:fldCharType="separate"/>
          </w:r>
          <w:r>
            <w:rPr>
              <w:rFonts w:hint="eastAsia"/>
              <w:bCs w:val="0"/>
              <w:color w:val="auto"/>
            </w:rPr>
            <w:t>第三章</w:t>
          </w:r>
          <w:r>
            <w:rPr>
              <w:rFonts w:hint="eastAsia"/>
              <w:bCs w:val="0"/>
              <w:color w:val="auto"/>
              <w:lang w:eastAsia="zh-CN"/>
            </w:rPr>
            <w:t xml:space="preserve">  </w:t>
          </w:r>
          <w:r>
            <w:rPr>
              <w:rFonts w:hint="eastAsia"/>
              <w:bCs w:val="0"/>
              <w:color w:val="auto"/>
            </w:rPr>
            <w:t>评标办法（综合评估法）</w:t>
          </w:r>
          <w:r>
            <w:rPr>
              <w:color w:val="auto"/>
            </w:rPr>
            <w:tab/>
          </w:r>
          <w:r>
            <w:rPr>
              <w:color w:val="auto"/>
            </w:rPr>
            <w:fldChar w:fldCharType="begin"/>
          </w:r>
          <w:r>
            <w:rPr>
              <w:color w:val="auto"/>
            </w:rPr>
            <w:instrText xml:space="preserve"> PAGEREF _Toc26360 \h </w:instrText>
          </w:r>
          <w:r>
            <w:rPr>
              <w:color w:val="auto"/>
            </w:rPr>
            <w:fldChar w:fldCharType="separate"/>
          </w:r>
          <w:r>
            <w:rPr>
              <w:color w:val="auto"/>
            </w:rPr>
            <w:t>22</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_Toc27447 </w:instrText>
          </w:r>
          <w:r>
            <w:rPr>
              <w:color w:val="auto"/>
            </w:rPr>
            <w:fldChar w:fldCharType="separate"/>
          </w:r>
          <w:r>
            <w:rPr>
              <w:rFonts w:hint="eastAsia" w:asciiTheme="minorEastAsia" w:hAnsiTheme="minorEastAsia" w:eastAsiaTheme="minorEastAsia" w:cstheme="minorEastAsia"/>
              <w:color w:val="auto"/>
              <w:szCs w:val="24"/>
            </w:rPr>
            <w:t>1.</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评标方法</w:t>
          </w:r>
          <w:r>
            <w:rPr>
              <w:color w:val="auto"/>
            </w:rPr>
            <w:tab/>
          </w:r>
          <w:r>
            <w:rPr>
              <w:color w:val="auto"/>
            </w:rPr>
            <w:fldChar w:fldCharType="begin"/>
          </w:r>
          <w:r>
            <w:rPr>
              <w:color w:val="auto"/>
            </w:rPr>
            <w:instrText xml:space="preserve"> PAGEREF _Toc27447 \h </w:instrText>
          </w:r>
          <w:r>
            <w:rPr>
              <w:color w:val="auto"/>
            </w:rPr>
            <w:fldChar w:fldCharType="separate"/>
          </w:r>
          <w:r>
            <w:rPr>
              <w:color w:val="auto"/>
            </w:rPr>
            <w:t>25</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_Toc31865 </w:instrText>
          </w:r>
          <w:r>
            <w:rPr>
              <w:color w:val="auto"/>
            </w:rPr>
            <w:fldChar w:fldCharType="separate"/>
          </w:r>
          <w:r>
            <w:rPr>
              <w:rFonts w:hint="eastAsia" w:asciiTheme="minorEastAsia" w:hAnsiTheme="minorEastAsia" w:eastAsiaTheme="minorEastAsia" w:cstheme="minorEastAsia"/>
              <w:color w:val="auto"/>
              <w:szCs w:val="24"/>
            </w:rPr>
            <w:t>2.</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评审标准</w:t>
          </w:r>
          <w:r>
            <w:rPr>
              <w:color w:val="auto"/>
            </w:rPr>
            <w:tab/>
          </w:r>
          <w:r>
            <w:rPr>
              <w:color w:val="auto"/>
            </w:rPr>
            <w:fldChar w:fldCharType="begin"/>
          </w:r>
          <w:r>
            <w:rPr>
              <w:color w:val="auto"/>
            </w:rPr>
            <w:instrText xml:space="preserve"> PAGEREF _Toc31865 \h </w:instrText>
          </w:r>
          <w:r>
            <w:rPr>
              <w:color w:val="auto"/>
            </w:rPr>
            <w:fldChar w:fldCharType="separate"/>
          </w:r>
          <w:r>
            <w:rPr>
              <w:color w:val="auto"/>
            </w:rPr>
            <w:t>25</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_Toc6946 </w:instrText>
          </w:r>
          <w:r>
            <w:rPr>
              <w:color w:val="auto"/>
            </w:rPr>
            <w:fldChar w:fldCharType="separate"/>
          </w:r>
          <w:r>
            <w:rPr>
              <w:rFonts w:hint="eastAsia" w:asciiTheme="minorEastAsia" w:hAnsiTheme="minorEastAsia" w:eastAsiaTheme="minorEastAsia" w:cstheme="minorEastAsia"/>
              <w:color w:val="auto"/>
              <w:szCs w:val="24"/>
            </w:rPr>
            <w:t>3.</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评审程序</w:t>
          </w:r>
          <w:r>
            <w:rPr>
              <w:color w:val="auto"/>
            </w:rPr>
            <w:tab/>
          </w:r>
          <w:r>
            <w:rPr>
              <w:color w:val="auto"/>
            </w:rPr>
            <w:fldChar w:fldCharType="begin"/>
          </w:r>
          <w:r>
            <w:rPr>
              <w:color w:val="auto"/>
            </w:rPr>
            <w:instrText xml:space="preserve"> PAGEREF _Toc6946 \h </w:instrText>
          </w:r>
          <w:r>
            <w:rPr>
              <w:color w:val="auto"/>
            </w:rPr>
            <w:fldChar w:fldCharType="separate"/>
          </w:r>
          <w:r>
            <w:rPr>
              <w:color w:val="auto"/>
            </w:rPr>
            <w:t>26</w:t>
          </w:r>
          <w:r>
            <w:rPr>
              <w:color w:val="auto"/>
            </w:rPr>
            <w:fldChar w:fldCharType="end"/>
          </w:r>
          <w:r>
            <w:rPr>
              <w:color w:val="auto"/>
            </w:rPr>
            <w:fldChar w:fldCharType="end"/>
          </w:r>
        </w:p>
        <w:p>
          <w:pPr>
            <w:pStyle w:val="18"/>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_Toc651 </w:instrText>
          </w:r>
          <w:r>
            <w:rPr>
              <w:color w:val="auto"/>
            </w:rPr>
            <w:fldChar w:fldCharType="separate"/>
          </w:r>
          <w:r>
            <w:rPr>
              <w:rFonts w:hint="eastAsia"/>
              <w:bCs w:val="0"/>
              <w:color w:val="auto"/>
            </w:rPr>
            <w:t>第四章</w:t>
          </w:r>
          <w:r>
            <w:rPr>
              <w:rFonts w:hint="eastAsia"/>
              <w:bCs w:val="0"/>
              <w:color w:val="auto"/>
              <w:lang w:eastAsia="zh-CN"/>
            </w:rPr>
            <w:t xml:space="preserve">  </w:t>
          </w:r>
          <w:r>
            <w:rPr>
              <w:rFonts w:hint="eastAsia"/>
              <w:bCs w:val="0"/>
              <w:color w:val="auto"/>
            </w:rPr>
            <w:t>合同条款及格式</w:t>
          </w:r>
          <w:r>
            <w:rPr>
              <w:color w:val="auto"/>
            </w:rPr>
            <w:tab/>
          </w:r>
          <w:r>
            <w:rPr>
              <w:color w:val="auto"/>
            </w:rPr>
            <w:fldChar w:fldCharType="begin"/>
          </w:r>
          <w:r>
            <w:rPr>
              <w:color w:val="auto"/>
            </w:rPr>
            <w:instrText xml:space="preserve"> PAGEREF _Toc651 \h </w:instrText>
          </w:r>
          <w:r>
            <w:rPr>
              <w:color w:val="auto"/>
            </w:rPr>
            <w:fldChar w:fldCharType="separate"/>
          </w:r>
          <w:r>
            <w:rPr>
              <w:color w:val="auto"/>
            </w:rPr>
            <w:t>27</w:t>
          </w:r>
          <w:r>
            <w:rPr>
              <w:color w:val="auto"/>
            </w:rPr>
            <w:fldChar w:fldCharType="end"/>
          </w:r>
          <w:r>
            <w:rPr>
              <w:color w:val="auto"/>
            </w:rPr>
            <w:fldChar w:fldCharType="end"/>
          </w:r>
        </w:p>
        <w:p>
          <w:pPr>
            <w:pStyle w:val="18"/>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_Toc4630 </w:instrText>
          </w:r>
          <w:r>
            <w:rPr>
              <w:color w:val="auto"/>
            </w:rPr>
            <w:fldChar w:fldCharType="separate"/>
          </w:r>
          <w:r>
            <w:rPr>
              <w:rFonts w:hint="eastAsia"/>
              <w:bCs w:val="0"/>
              <w:color w:val="auto"/>
            </w:rPr>
            <w:t>第五章</w:t>
          </w:r>
          <w:r>
            <w:rPr>
              <w:rFonts w:hint="eastAsia"/>
              <w:bCs w:val="0"/>
              <w:color w:val="auto"/>
              <w:lang w:eastAsia="zh-CN"/>
            </w:rPr>
            <w:t xml:space="preserve">  采购项目需求及具体要求</w:t>
          </w:r>
          <w:r>
            <w:rPr>
              <w:color w:val="auto"/>
            </w:rPr>
            <w:tab/>
          </w:r>
          <w:r>
            <w:rPr>
              <w:color w:val="auto"/>
            </w:rPr>
            <w:fldChar w:fldCharType="begin"/>
          </w:r>
          <w:r>
            <w:rPr>
              <w:color w:val="auto"/>
            </w:rPr>
            <w:instrText xml:space="preserve"> PAGEREF _Toc4630 \h </w:instrText>
          </w:r>
          <w:r>
            <w:rPr>
              <w:color w:val="auto"/>
            </w:rPr>
            <w:fldChar w:fldCharType="separate"/>
          </w:r>
          <w:r>
            <w:rPr>
              <w:color w:val="auto"/>
            </w:rPr>
            <w:t>29</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_Toc8787 </w:instrText>
          </w:r>
          <w:r>
            <w:rPr>
              <w:color w:val="auto"/>
            </w:rPr>
            <w:fldChar w:fldCharType="separate"/>
          </w:r>
          <w:r>
            <w:rPr>
              <w:rFonts w:hint="eastAsia" w:ascii="宋体" w:hAnsi="宋体" w:eastAsia="宋体" w:cs="宋体"/>
              <w:bCs/>
              <w:color w:val="auto"/>
              <w:kern w:val="0"/>
              <w:szCs w:val="24"/>
              <w:lang w:val="en-US" w:eastAsia="zh-CN" w:bidi="ar"/>
            </w:rPr>
            <w:t>一、项目概况</w:t>
          </w:r>
          <w:r>
            <w:rPr>
              <w:color w:val="auto"/>
            </w:rPr>
            <w:tab/>
          </w:r>
          <w:r>
            <w:rPr>
              <w:color w:val="auto"/>
            </w:rPr>
            <w:fldChar w:fldCharType="begin"/>
          </w:r>
          <w:r>
            <w:rPr>
              <w:color w:val="auto"/>
            </w:rPr>
            <w:instrText xml:space="preserve"> PAGEREF _Toc8787 \h </w:instrText>
          </w:r>
          <w:r>
            <w:rPr>
              <w:color w:val="auto"/>
            </w:rPr>
            <w:fldChar w:fldCharType="separate"/>
          </w:r>
          <w:r>
            <w:rPr>
              <w:color w:val="auto"/>
            </w:rPr>
            <w:t>29</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_Toc17523 </w:instrText>
          </w:r>
          <w:r>
            <w:rPr>
              <w:color w:val="auto"/>
            </w:rPr>
            <w:fldChar w:fldCharType="separate"/>
          </w:r>
          <w:r>
            <w:rPr>
              <w:rFonts w:hint="eastAsia" w:ascii="宋体" w:hAnsi="宋体" w:eastAsia="宋体" w:cs="宋体"/>
              <w:bCs/>
              <w:color w:val="auto"/>
              <w:kern w:val="0"/>
              <w:szCs w:val="24"/>
              <w:lang w:val="en-US" w:eastAsia="zh-CN" w:bidi="ar"/>
            </w:rPr>
            <w:t>二、保险内容</w:t>
          </w:r>
          <w:r>
            <w:rPr>
              <w:color w:val="auto"/>
            </w:rPr>
            <w:tab/>
          </w:r>
          <w:r>
            <w:rPr>
              <w:color w:val="auto"/>
            </w:rPr>
            <w:fldChar w:fldCharType="begin"/>
          </w:r>
          <w:r>
            <w:rPr>
              <w:color w:val="auto"/>
            </w:rPr>
            <w:instrText xml:space="preserve"> PAGEREF _Toc17523 \h </w:instrText>
          </w:r>
          <w:r>
            <w:rPr>
              <w:color w:val="auto"/>
            </w:rPr>
            <w:fldChar w:fldCharType="separate"/>
          </w:r>
          <w:r>
            <w:rPr>
              <w:color w:val="auto"/>
            </w:rPr>
            <w:t>29</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_Toc30522 </w:instrText>
          </w:r>
          <w:r>
            <w:rPr>
              <w:color w:val="auto"/>
            </w:rPr>
            <w:fldChar w:fldCharType="separate"/>
          </w:r>
          <w:r>
            <w:rPr>
              <w:rFonts w:hint="eastAsia" w:ascii="宋体" w:hAnsi="宋体" w:eastAsia="宋体" w:cs="宋体"/>
              <w:bCs/>
              <w:color w:val="auto"/>
              <w:kern w:val="0"/>
              <w:szCs w:val="24"/>
              <w:lang w:val="en-US" w:eastAsia="zh-CN" w:bidi="ar"/>
            </w:rPr>
            <w:t>三、服务内容及要</w:t>
          </w:r>
          <w:r>
            <w:rPr>
              <w:color w:val="auto"/>
            </w:rPr>
            <w:tab/>
          </w:r>
          <w:r>
            <w:rPr>
              <w:color w:val="auto"/>
            </w:rPr>
            <w:fldChar w:fldCharType="begin"/>
          </w:r>
          <w:r>
            <w:rPr>
              <w:color w:val="auto"/>
            </w:rPr>
            <w:instrText xml:space="preserve"> PAGEREF _Toc30522 \h </w:instrText>
          </w:r>
          <w:r>
            <w:rPr>
              <w:color w:val="auto"/>
            </w:rPr>
            <w:fldChar w:fldCharType="separate"/>
          </w:r>
          <w:r>
            <w:rPr>
              <w:color w:val="auto"/>
            </w:rPr>
            <w:t>29</w:t>
          </w:r>
          <w:r>
            <w:rPr>
              <w:color w:val="auto"/>
            </w:rPr>
            <w:fldChar w:fldCharType="end"/>
          </w:r>
          <w:r>
            <w:rPr>
              <w:color w:val="auto"/>
            </w:rPr>
            <w:fldChar w:fldCharType="end"/>
          </w:r>
        </w:p>
        <w:p>
          <w:pPr>
            <w:pStyle w:val="18"/>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_Toc7779 </w:instrText>
          </w:r>
          <w:r>
            <w:rPr>
              <w:color w:val="auto"/>
            </w:rPr>
            <w:fldChar w:fldCharType="separate"/>
          </w:r>
          <w:r>
            <w:rPr>
              <w:rFonts w:hint="eastAsia"/>
              <w:bCs w:val="0"/>
              <w:color w:val="auto"/>
            </w:rPr>
            <w:t>第六章</w:t>
          </w:r>
          <w:r>
            <w:rPr>
              <w:rFonts w:hint="eastAsia"/>
              <w:bCs w:val="0"/>
              <w:color w:val="auto"/>
              <w:lang w:eastAsia="zh-CN"/>
            </w:rPr>
            <w:t xml:space="preserve">  </w:t>
          </w:r>
          <w:r>
            <w:rPr>
              <w:rFonts w:hint="eastAsia"/>
              <w:bCs w:val="0"/>
              <w:color w:val="auto"/>
            </w:rPr>
            <w:t>竞争性磋商响应文件格式</w:t>
          </w:r>
          <w:r>
            <w:rPr>
              <w:color w:val="auto"/>
            </w:rPr>
            <w:tab/>
          </w:r>
          <w:r>
            <w:rPr>
              <w:color w:val="auto"/>
            </w:rPr>
            <w:fldChar w:fldCharType="begin"/>
          </w:r>
          <w:r>
            <w:rPr>
              <w:color w:val="auto"/>
            </w:rPr>
            <w:instrText xml:space="preserve"> PAGEREF _Toc7779 \h </w:instrText>
          </w:r>
          <w:r>
            <w:rPr>
              <w:color w:val="auto"/>
            </w:rPr>
            <w:fldChar w:fldCharType="separate"/>
          </w:r>
          <w:r>
            <w:rPr>
              <w:color w:val="auto"/>
            </w:rPr>
            <w:t>30</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_Toc2460 </w:instrText>
          </w:r>
          <w:r>
            <w:rPr>
              <w:color w:val="auto"/>
            </w:rPr>
            <w:fldChar w:fldCharType="separate"/>
          </w:r>
          <w:r>
            <w:rPr>
              <w:rFonts w:hint="eastAsia" w:ascii="宋体" w:hAnsi="宋体"/>
              <w:color w:val="auto"/>
            </w:rPr>
            <w:t>一、磋商函及磋商函附录</w:t>
          </w:r>
          <w:r>
            <w:rPr>
              <w:color w:val="auto"/>
            </w:rPr>
            <w:tab/>
          </w:r>
          <w:r>
            <w:rPr>
              <w:color w:val="auto"/>
            </w:rPr>
            <w:fldChar w:fldCharType="begin"/>
          </w:r>
          <w:r>
            <w:rPr>
              <w:color w:val="auto"/>
            </w:rPr>
            <w:instrText xml:space="preserve"> PAGEREF _Toc2460 \h </w:instrText>
          </w:r>
          <w:r>
            <w:rPr>
              <w:color w:val="auto"/>
            </w:rPr>
            <w:fldChar w:fldCharType="separate"/>
          </w:r>
          <w:r>
            <w:rPr>
              <w:color w:val="auto"/>
            </w:rPr>
            <w:t>32</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_Toc2112 </w:instrText>
          </w:r>
          <w:r>
            <w:rPr>
              <w:color w:val="auto"/>
            </w:rPr>
            <w:fldChar w:fldCharType="separate"/>
          </w:r>
          <w:r>
            <w:rPr>
              <w:rFonts w:hint="eastAsia" w:ascii="宋体" w:hAnsi="宋体"/>
              <w:color w:val="auto"/>
            </w:rPr>
            <w:t>二、法定代表人身份证明</w:t>
          </w:r>
          <w:r>
            <w:rPr>
              <w:color w:val="auto"/>
            </w:rPr>
            <w:tab/>
          </w:r>
          <w:r>
            <w:rPr>
              <w:color w:val="auto"/>
            </w:rPr>
            <w:fldChar w:fldCharType="begin"/>
          </w:r>
          <w:r>
            <w:rPr>
              <w:color w:val="auto"/>
            </w:rPr>
            <w:instrText xml:space="preserve"> PAGEREF _Toc2112 \h </w:instrText>
          </w:r>
          <w:r>
            <w:rPr>
              <w:color w:val="auto"/>
            </w:rPr>
            <w:fldChar w:fldCharType="separate"/>
          </w:r>
          <w:r>
            <w:rPr>
              <w:color w:val="auto"/>
            </w:rPr>
            <w:t>34</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_Toc25626 </w:instrText>
          </w:r>
          <w:r>
            <w:rPr>
              <w:color w:val="auto"/>
            </w:rPr>
            <w:fldChar w:fldCharType="separate"/>
          </w:r>
          <w:r>
            <w:rPr>
              <w:rFonts w:hint="eastAsia" w:ascii="宋体" w:hAnsi="宋体"/>
              <w:color w:val="auto"/>
            </w:rPr>
            <w:t>三、法定代表人授权委托书</w:t>
          </w:r>
          <w:r>
            <w:rPr>
              <w:color w:val="auto"/>
            </w:rPr>
            <w:tab/>
          </w:r>
          <w:r>
            <w:rPr>
              <w:color w:val="auto"/>
            </w:rPr>
            <w:fldChar w:fldCharType="begin"/>
          </w:r>
          <w:r>
            <w:rPr>
              <w:color w:val="auto"/>
            </w:rPr>
            <w:instrText xml:space="preserve"> PAGEREF _Toc25626 \h </w:instrText>
          </w:r>
          <w:r>
            <w:rPr>
              <w:color w:val="auto"/>
            </w:rPr>
            <w:fldChar w:fldCharType="separate"/>
          </w:r>
          <w:r>
            <w:rPr>
              <w:color w:val="auto"/>
            </w:rPr>
            <w:t>35</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_Toc16172 </w:instrText>
          </w:r>
          <w:r>
            <w:rPr>
              <w:color w:val="auto"/>
            </w:rPr>
            <w:fldChar w:fldCharType="separate"/>
          </w:r>
          <w:r>
            <w:rPr>
              <w:rFonts w:hint="eastAsia" w:ascii="宋体" w:hAnsi="宋体"/>
              <w:color w:val="auto"/>
            </w:rPr>
            <w:t>四、资格审查资料</w:t>
          </w:r>
          <w:r>
            <w:rPr>
              <w:color w:val="auto"/>
            </w:rPr>
            <w:tab/>
          </w:r>
          <w:r>
            <w:rPr>
              <w:color w:val="auto"/>
            </w:rPr>
            <w:fldChar w:fldCharType="begin"/>
          </w:r>
          <w:r>
            <w:rPr>
              <w:color w:val="auto"/>
            </w:rPr>
            <w:instrText xml:space="preserve"> PAGEREF _Toc16172 \h </w:instrText>
          </w:r>
          <w:r>
            <w:rPr>
              <w:color w:val="auto"/>
            </w:rPr>
            <w:fldChar w:fldCharType="separate"/>
          </w:r>
          <w:r>
            <w:rPr>
              <w:color w:val="auto"/>
            </w:rPr>
            <w:t>36</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_Toc16450 </w:instrText>
          </w:r>
          <w:r>
            <w:rPr>
              <w:color w:val="auto"/>
            </w:rPr>
            <w:fldChar w:fldCharType="separate"/>
          </w:r>
          <w:r>
            <w:rPr>
              <w:rFonts w:hint="eastAsia" w:ascii="宋体" w:hAnsi="宋体"/>
              <w:color w:val="auto"/>
              <w:szCs w:val="24"/>
            </w:rPr>
            <w:t>五、供应商2021年1月以来承担过的类似项目</w:t>
          </w:r>
          <w:r>
            <w:rPr>
              <w:color w:val="auto"/>
            </w:rPr>
            <w:tab/>
          </w:r>
          <w:r>
            <w:rPr>
              <w:color w:val="auto"/>
            </w:rPr>
            <w:fldChar w:fldCharType="begin"/>
          </w:r>
          <w:r>
            <w:rPr>
              <w:color w:val="auto"/>
            </w:rPr>
            <w:instrText xml:space="preserve"> PAGEREF _Toc16450 \h </w:instrText>
          </w:r>
          <w:r>
            <w:rPr>
              <w:color w:val="auto"/>
            </w:rPr>
            <w:fldChar w:fldCharType="separate"/>
          </w:r>
          <w:r>
            <w:rPr>
              <w:color w:val="auto"/>
            </w:rPr>
            <w:t>38</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_Toc11152 </w:instrText>
          </w:r>
          <w:r>
            <w:rPr>
              <w:color w:val="auto"/>
            </w:rPr>
            <w:fldChar w:fldCharType="separate"/>
          </w:r>
          <w:r>
            <w:rPr>
              <w:rFonts w:hint="eastAsia" w:ascii="宋体" w:hAnsi="宋体"/>
              <w:bCs/>
              <w:color w:val="auto"/>
              <w:kern w:val="0"/>
              <w:szCs w:val="24"/>
            </w:rPr>
            <w:t>六、拟投入本项目主要管理人员组成情况表</w:t>
          </w:r>
          <w:r>
            <w:rPr>
              <w:color w:val="auto"/>
            </w:rPr>
            <w:tab/>
          </w:r>
          <w:r>
            <w:rPr>
              <w:color w:val="auto"/>
            </w:rPr>
            <w:fldChar w:fldCharType="begin"/>
          </w:r>
          <w:r>
            <w:rPr>
              <w:color w:val="auto"/>
            </w:rPr>
            <w:instrText xml:space="preserve"> PAGEREF _Toc11152 \h </w:instrText>
          </w:r>
          <w:r>
            <w:rPr>
              <w:color w:val="auto"/>
            </w:rPr>
            <w:fldChar w:fldCharType="separate"/>
          </w:r>
          <w:r>
            <w:rPr>
              <w:color w:val="auto"/>
            </w:rPr>
            <w:t>39</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_Toc28070 </w:instrText>
          </w:r>
          <w:r>
            <w:rPr>
              <w:color w:val="auto"/>
            </w:rPr>
            <w:fldChar w:fldCharType="separate"/>
          </w:r>
          <w:r>
            <w:rPr>
              <w:rFonts w:hint="eastAsia" w:ascii="宋体" w:hAnsi="宋体"/>
              <w:bCs/>
              <w:color w:val="auto"/>
              <w:kern w:val="0"/>
              <w:szCs w:val="24"/>
            </w:rPr>
            <w:t>七、</w:t>
          </w:r>
          <w:r>
            <w:rPr>
              <w:rFonts w:hint="eastAsia" w:ascii="宋体" w:hAnsi="宋体"/>
              <w:bCs/>
              <w:color w:val="auto"/>
              <w:kern w:val="0"/>
              <w:szCs w:val="24"/>
              <w:lang w:eastAsia="zh-CN"/>
            </w:rPr>
            <w:t>技术部分</w:t>
          </w:r>
          <w:r>
            <w:rPr>
              <w:color w:val="auto"/>
            </w:rPr>
            <w:tab/>
          </w:r>
          <w:r>
            <w:rPr>
              <w:color w:val="auto"/>
            </w:rPr>
            <w:fldChar w:fldCharType="begin"/>
          </w:r>
          <w:r>
            <w:rPr>
              <w:color w:val="auto"/>
            </w:rPr>
            <w:instrText xml:space="preserve"> PAGEREF _Toc28070 \h </w:instrText>
          </w:r>
          <w:r>
            <w:rPr>
              <w:color w:val="auto"/>
            </w:rPr>
            <w:fldChar w:fldCharType="separate"/>
          </w:r>
          <w:r>
            <w:rPr>
              <w:color w:val="auto"/>
            </w:rPr>
            <w:t>41</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_Toc27732 </w:instrText>
          </w:r>
          <w:r>
            <w:rPr>
              <w:color w:val="auto"/>
            </w:rPr>
            <w:fldChar w:fldCharType="separate"/>
          </w:r>
          <w:r>
            <w:rPr>
              <w:rFonts w:hint="eastAsia" w:ascii="宋体" w:hAnsi="宋体"/>
              <w:bCs/>
              <w:color w:val="auto"/>
              <w:kern w:val="0"/>
              <w:szCs w:val="24"/>
            </w:rPr>
            <w:t>八、反商业贿赂承诺书</w:t>
          </w:r>
          <w:r>
            <w:rPr>
              <w:color w:val="auto"/>
            </w:rPr>
            <w:tab/>
          </w:r>
          <w:r>
            <w:rPr>
              <w:color w:val="auto"/>
            </w:rPr>
            <w:fldChar w:fldCharType="begin"/>
          </w:r>
          <w:r>
            <w:rPr>
              <w:color w:val="auto"/>
            </w:rPr>
            <w:instrText xml:space="preserve"> PAGEREF _Toc27732 \h </w:instrText>
          </w:r>
          <w:r>
            <w:rPr>
              <w:color w:val="auto"/>
            </w:rPr>
            <w:fldChar w:fldCharType="separate"/>
          </w:r>
          <w:r>
            <w:rPr>
              <w:color w:val="auto"/>
            </w:rPr>
            <w:t>42</w:t>
          </w:r>
          <w:r>
            <w:rPr>
              <w:color w:val="auto"/>
            </w:rPr>
            <w:fldChar w:fldCharType="end"/>
          </w:r>
          <w:r>
            <w:rPr>
              <w:color w:val="auto"/>
            </w:rPr>
            <w:fldChar w:fldCharType="end"/>
          </w:r>
        </w:p>
        <w:p>
          <w:pPr>
            <w:pStyle w:val="19"/>
            <w:keepNext w:val="0"/>
            <w:keepLines w:val="0"/>
            <w:pageBreakBefore w:val="0"/>
            <w:tabs>
              <w:tab w:val="right" w:leader="dot" w:pos="9026"/>
            </w:tabs>
            <w:kinsoku/>
            <w:wordWrap/>
            <w:overflowPunct/>
            <w:topLinePunct w:val="0"/>
            <w:autoSpaceDE/>
            <w:autoSpaceDN/>
            <w:bidi w:val="0"/>
            <w:adjustRightInd/>
            <w:snapToGrid/>
            <w:spacing w:line="420" w:lineRule="exact"/>
            <w:textAlignment w:val="auto"/>
            <w:rPr>
              <w:color w:val="auto"/>
            </w:rPr>
          </w:pPr>
          <w:r>
            <w:rPr>
              <w:color w:val="auto"/>
            </w:rPr>
            <w:fldChar w:fldCharType="begin"/>
          </w:r>
          <w:r>
            <w:rPr>
              <w:color w:val="auto"/>
            </w:rPr>
            <w:instrText xml:space="preserve"> HYPERLINK \l _Toc28326 </w:instrText>
          </w:r>
          <w:r>
            <w:rPr>
              <w:color w:val="auto"/>
            </w:rPr>
            <w:fldChar w:fldCharType="separate"/>
          </w:r>
          <w:r>
            <w:rPr>
              <w:rFonts w:hint="eastAsia" w:ascii="宋体" w:hAnsi="宋体"/>
              <w:bCs/>
              <w:color w:val="auto"/>
              <w:kern w:val="0"/>
              <w:szCs w:val="24"/>
            </w:rPr>
            <w:t>九、其他材料</w:t>
          </w:r>
          <w:r>
            <w:rPr>
              <w:color w:val="auto"/>
            </w:rPr>
            <w:tab/>
          </w:r>
          <w:r>
            <w:rPr>
              <w:color w:val="auto"/>
            </w:rPr>
            <w:fldChar w:fldCharType="begin"/>
          </w:r>
          <w:r>
            <w:rPr>
              <w:color w:val="auto"/>
            </w:rPr>
            <w:instrText xml:space="preserve"> PAGEREF _Toc28326 \h </w:instrText>
          </w:r>
          <w:r>
            <w:rPr>
              <w:color w:val="auto"/>
            </w:rPr>
            <w:fldChar w:fldCharType="separate"/>
          </w:r>
          <w:r>
            <w:rPr>
              <w:color w:val="auto"/>
            </w:rPr>
            <w:t>43</w:t>
          </w:r>
          <w:r>
            <w:rPr>
              <w:color w:val="auto"/>
            </w:rPr>
            <w:fldChar w:fldCharType="end"/>
          </w:r>
          <w:r>
            <w:rPr>
              <w:color w:val="auto"/>
            </w:rPr>
            <w:fldChar w:fldCharType="end"/>
          </w:r>
        </w:p>
        <w:p>
          <w:pPr>
            <w:keepNext w:val="0"/>
            <w:keepLines w:val="0"/>
            <w:pageBreakBefore w:val="0"/>
            <w:kinsoku/>
            <w:wordWrap/>
            <w:overflowPunct/>
            <w:topLinePunct w:val="0"/>
            <w:autoSpaceDE/>
            <w:autoSpaceDN/>
            <w:bidi w:val="0"/>
            <w:adjustRightInd/>
            <w:snapToGrid/>
            <w:spacing w:line="420" w:lineRule="exact"/>
            <w:textAlignment w:val="auto"/>
            <w:rPr>
              <w:color w:val="auto"/>
            </w:rPr>
          </w:pPr>
          <w:r>
            <w:rPr>
              <w:color w:val="auto"/>
            </w:rPr>
            <w:fldChar w:fldCharType="end"/>
          </w:r>
        </w:p>
      </w:sdtContent>
    </w:sdt>
    <w:p>
      <w:pPr>
        <w:pStyle w:val="7"/>
        <w:spacing w:before="0" w:after="0" w:line="360" w:lineRule="auto"/>
        <w:rPr>
          <w:rFonts w:hint="eastAsia"/>
          <w:b/>
          <w:bCs w:val="0"/>
          <w:color w:val="auto"/>
        </w:rPr>
        <w:sectPr>
          <w:footerReference r:id="rId5" w:type="first"/>
          <w:footerReference r:id="rId4" w:type="default"/>
          <w:pgSz w:w="11906" w:h="16838"/>
          <w:pgMar w:top="1440" w:right="1440" w:bottom="1440" w:left="1440" w:header="851" w:footer="992" w:gutter="0"/>
          <w:pgNumType w:fmt="decimal" w:start="1"/>
          <w:cols w:space="720" w:num="1"/>
          <w:titlePg/>
          <w:docGrid w:type="lines" w:linePitch="312" w:charSpace="0"/>
        </w:sectPr>
      </w:pPr>
      <w:bookmarkStart w:id="7" w:name="_Toc762"/>
    </w:p>
    <w:p>
      <w:pPr>
        <w:pStyle w:val="7"/>
        <w:spacing w:before="0" w:after="0" w:line="360" w:lineRule="auto"/>
        <w:rPr>
          <w:rFonts w:ascii="宋体" w:hAnsi="宋体"/>
          <w:b/>
          <w:bCs w:val="0"/>
          <w:color w:val="auto"/>
        </w:rPr>
      </w:pPr>
      <w:r>
        <w:rPr>
          <w:rFonts w:hint="eastAsia"/>
          <w:b/>
          <w:bCs w:val="0"/>
          <w:color w:val="auto"/>
        </w:rPr>
        <w:t>第一章</w:t>
      </w:r>
      <w:r>
        <w:rPr>
          <w:rFonts w:hint="eastAsia"/>
          <w:b/>
          <w:bCs w:val="0"/>
          <w:color w:val="auto"/>
          <w:lang w:eastAsia="zh-CN"/>
        </w:rPr>
        <w:t xml:space="preserve">  </w:t>
      </w:r>
      <w:r>
        <w:rPr>
          <w:rFonts w:hint="eastAsia"/>
          <w:b/>
          <w:bCs w:val="0"/>
          <w:color w:val="auto"/>
        </w:rPr>
        <w:t>竞争性磋商公告</w:t>
      </w:r>
      <w:bookmarkEnd w:id="6"/>
      <w:bookmarkEnd w:id="7"/>
    </w:p>
    <w:p>
      <w:pPr>
        <w:jc w:val="center"/>
        <w:rPr>
          <w:rFonts w:hint="eastAsia" w:ascii="宋体" w:hAnsi="宋体" w:eastAsia="宋体"/>
          <w:b/>
          <w:bCs/>
          <w:color w:val="auto"/>
          <w:sz w:val="28"/>
          <w:szCs w:val="28"/>
          <w:lang w:eastAsia="zh-CN"/>
        </w:rPr>
      </w:pPr>
      <w:r>
        <w:rPr>
          <w:rFonts w:hint="eastAsia" w:ascii="宋体" w:hAnsi="宋体"/>
          <w:b/>
          <w:bCs/>
          <w:color w:val="auto"/>
          <w:sz w:val="28"/>
          <w:szCs w:val="28"/>
          <w:lang w:eastAsia="zh-CN"/>
        </w:rPr>
        <w:t xml:space="preserve">中国共产党中牟县委员会政法委员会社会治安财产保险项目  </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hAnsi="宋体"/>
          <w:b/>
          <w:bCs/>
          <w:color w:val="auto"/>
          <w:sz w:val="28"/>
          <w:szCs w:val="28"/>
        </w:rPr>
      </w:pPr>
      <w:r>
        <w:rPr>
          <w:rFonts w:hint="eastAsia" w:ascii="宋体" w:hAnsi="宋体"/>
          <w:b/>
          <w:bCs/>
          <w:color w:val="auto"/>
          <w:sz w:val="28"/>
          <w:szCs w:val="28"/>
        </w:rPr>
        <w:t>竞争性磋商公告</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项目概况</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中国共产党中牟县委员会政法委员会社会治安财产保险项目</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val="en-US" w:eastAsia="zh-CN"/>
        </w:rPr>
        <w:t>潜在供应商应在中牟县公共资源交易中心网站（http://www.zmxggzy.com）获取竞争性磋商文件</w:t>
      </w:r>
      <w:r>
        <w:rPr>
          <w:rFonts w:hint="eastAsia" w:ascii="宋体" w:hAnsi="宋体" w:eastAsia="宋体" w:cs="宋体"/>
          <w:bCs/>
          <w:color w:val="auto"/>
          <w:sz w:val="24"/>
          <w:szCs w:val="24"/>
        </w:rPr>
        <w:t>，并于</w:t>
      </w:r>
      <w:r>
        <w:rPr>
          <w:rFonts w:hint="eastAsia" w:ascii="宋体" w:hAnsi="宋体" w:eastAsia="宋体" w:cs="宋体"/>
          <w:bCs/>
          <w:color w:val="auto"/>
          <w:sz w:val="24"/>
          <w:szCs w:val="24"/>
          <w:lang w:eastAsia="zh-CN"/>
        </w:rPr>
        <w:t>202</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lang w:eastAsia="zh-CN"/>
        </w:rPr>
        <w:t>年</w:t>
      </w:r>
      <w:r>
        <w:rPr>
          <w:rFonts w:hint="eastAsia" w:ascii="宋体" w:hAnsi="宋体" w:eastAsia="宋体" w:cs="宋体"/>
          <w:bCs/>
          <w:color w:val="auto"/>
          <w:sz w:val="24"/>
          <w:szCs w:val="24"/>
          <w:u w:val="none"/>
          <w:lang w:val="en-US" w:eastAsia="zh-CN"/>
        </w:rPr>
        <w:t>6</w:t>
      </w:r>
      <w:r>
        <w:rPr>
          <w:rFonts w:hint="eastAsia" w:ascii="宋体" w:hAnsi="宋体" w:eastAsia="宋体" w:cs="宋体"/>
          <w:bCs/>
          <w:color w:val="auto"/>
          <w:sz w:val="24"/>
          <w:szCs w:val="24"/>
          <w:u w:val="none"/>
          <w:lang w:eastAsia="zh-CN"/>
        </w:rPr>
        <w:t>月</w:t>
      </w:r>
      <w:r>
        <w:rPr>
          <w:rFonts w:hint="eastAsia" w:ascii="宋体" w:hAnsi="宋体" w:eastAsia="宋体" w:cs="宋体"/>
          <w:bCs/>
          <w:color w:val="auto"/>
          <w:sz w:val="24"/>
          <w:szCs w:val="24"/>
          <w:u w:val="none"/>
          <w:lang w:val="en-US" w:eastAsia="zh-CN"/>
        </w:rPr>
        <w:t>24</w:t>
      </w:r>
      <w:r>
        <w:rPr>
          <w:rFonts w:hint="eastAsia" w:ascii="宋体" w:hAnsi="宋体" w:eastAsia="宋体" w:cs="宋体"/>
          <w:bCs/>
          <w:color w:val="auto"/>
          <w:sz w:val="24"/>
          <w:szCs w:val="24"/>
          <w:lang w:eastAsia="zh-CN"/>
        </w:rPr>
        <w:t>日</w:t>
      </w:r>
      <w:r>
        <w:rPr>
          <w:rFonts w:hint="eastAsia" w:ascii="宋体" w:hAnsi="宋体" w:eastAsia="宋体" w:cs="宋体"/>
          <w:bCs/>
          <w:color w:val="auto"/>
          <w:sz w:val="24"/>
          <w:szCs w:val="24"/>
        </w:rPr>
        <w:t>09时00分（北京时间）前递交响应文件。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一、项目基本情况</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1、采购编号：中牟磋商采购-2024-30</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lang w:eastAsia="zh-CN"/>
        </w:rPr>
      </w:pPr>
      <w:r>
        <w:rPr>
          <w:rFonts w:hint="eastAsia" w:ascii="宋体" w:hAnsi="宋体" w:eastAsia="宋体" w:cs="宋体"/>
          <w:color w:val="auto"/>
          <w:kern w:val="0"/>
          <w:sz w:val="24"/>
          <w:szCs w:val="24"/>
        </w:rPr>
        <w:t>2、项目名称：</w:t>
      </w:r>
      <w:r>
        <w:rPr>
          <w:rFonts w:hint="eastAsia" w:ascii="宋体" w:hAnsi="宋体" w:eastAsia="宋体" w:cs="宋体"/>
          <w:color w:val="auto"/>
          <w:kern w:val="0"/>
          <w:sz w:val="24"/>
          <w:szCs w:val="24"/>
          <w:lang w:eastAsia="zh-CN"/>
        </w:rPr>
        <w:t xml:space="preserve">中国共产党中牟县委员会政法委员会社会治安财产保险项目  </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3、采购方式：竞争性磋商</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4、预算金额：</w:t>
      </w:r>
      <w:r>
        <w:rPr>
          <w:rFonts w:hint="eastAsia" w:ascii="宋体" w:hAnsi="宋体" w:eastAsia="宋体" w:cs="宋体"/>
          <w:bCs/>
          <w:color w:val="auto"/>
          <w:sz w:val="24"/>
          <w:szCs w:val="24"/>
          <w:lang w:val="en-US" w:eastAsia="zh-CN"/>
        </w:rPr>
        <w:t>470000</w:t>
      </w:r>
      <w:r>
        <w:rPr>
          <w:rFonts w:hint="eastAsia" w:ascii="宋体" w:hAnsi="宋体" w:eastAsia="宋体" w:cs="宋体"/>
          <w:bCs/>
          <w:color w:val="auto"/>
          <w:sz w:val="24"/>
          <w:szCs w:val="24"/>
        </w:rPr>
        <w:t>.00元（最高投标限价：</w:t>
      </w:r>
      <w:r>
        <w:rPr>
          <w:rFonts w:hint="eastAsia" w:ascii="宋体" w:hAnsi="宋体" w:eastAsia="宋体" w:cs="宋体"/>
          <w:bCs/>
          <w:color w:val="auto"/>
          <w:sz w:val="24"/>
          <w:szCs w:val="24"/>
          <w:lang w:val="en-US" w:eastAsia="zh-CN"/>
        </w:rPr>
        <w:t>470000.00</w:t>
      </w:r>
      <w:r>
        <w:rPr>
          <w:rFonts w:hint="eastAsia" w:ascii="宋体" w:hAnsi="宋体" w:eastAsia="宋体" w:cs="宋体"/>
          <w:bCs/>
          <w:color w:val="auto"/>
          <w:sz w:val="24"/>
          <w:szCs w:val="24"/>
        </w:rPr>
        <w:t>元）</w:t>
      </w:r>
    </w:p>
    <w:tbl>
      <w:tblPr>
        <w:tblStyle w:val="23"/>
        <w:tblW w:w="7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51"/>
        <w:gridCol w:w="2645"/>
        <w:gridCol w:w="1574"/>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94"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3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包号</w:t>
            </w:r>
          </w:p>
        </w:tc>
        <w:tc>
          <w:tcPr>
            <w:tcW w:w="264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包名称</w:t>
            </w:r>
          </w:p>
        </w:tc>
        <w:tc>
          <w:tcPr>
            <w:tcW w:w="1574"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包预算（元）</w:t>
            </w:r>
          </w:p>
        </w:tc>
        <w:tc>
          <w:tcPr>
            <w:tcW w:w="203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94"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3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kern w:val="0"/>
                <w:sz w:val="24"/>
                <w:szCs w:val="24"/>
              </w:rPr>
              <w:t>中牟磋商采购-2024-30</w:t>
            </w:r>
          </w:p>
        </w:tc>
        <w:tc>
          <w:tcPr>
            <w:tcW w:w="264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中国共产党中牟县委员会政法委员会社会治安财产保险项目</w:t>
            </w:r>
          </w:p>
        </w:tc>
        <w:tc>
          <w:tcPr>
            <w:tcW w:w="1574"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470000.00</w:t>
            </w:r>
          </w:p>
        </w:tc>
        <w:tc>
          <w:tcPr>
            <w:tcW w:w="203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470000.00</w:t>
            </w:r>
          </w:p>
        </w:tc>
      </w:tr>
    </w:tbl>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5、采购需求（包括但不限于标的的名称、数量、简要技术需求或服务要求等）：</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5.1采购</w:t>
      </w:r>
      <w:r>
        <w:rPr>
          <w:rFonts w:hint="eastAsia" w:ascii="宋体" w:hAnsi="宋体" w:eastAsia="宋体" w:cs="宋体"/>
          <w:bCs/>
          <w:color w:val="auto"/>
          <w:sz w:val="24"/>
          <w:szCs w:val="24"/>
          <w:lang w:eastAsia="zh-CN"/>
        </w:rPr>
        <w:t>内容</w:t>
      </w:r>
      <w:r>
        <w:rPr>
          <w:rFonts w:hint="eastAsia" w:ascii="宋体" w:hAnsi="宋体" w:eastAsia="宋体" w:cs="宋体"/>
          <w:bCs/>
          <w:color w:val="auto"/>
          <w:sz w:val="24"/>
          <w:szCs w:val="24"/>
        </w:rPr>
        <w:t>：为全县每人购买治安财产保险</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5.2资金来源：财政资金</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5.3服务期限：</w:t>
      </w:r>
      <w:r>
        <w:rPr>
          <w:rFonts w:hint="eastAsia" w:ascii="宋体" w:hAnsi="宋体" w:eastAsia="宋体" w:cs="宋体"/>
          <w:bCs/>
          <w:color w:val="auto"/>
          <w:sz w:val="24"/>
          <w:szCs w:val="24"/>
          <w:lang w:eastAsia="zh-CN"/>
        </w:rPr>
        <w:t>一</w:t>
      </w:r>
      <w:r>
        <w:rPr>
          <w:rFonts w:hint="eastAsia" w:ascii="宋体" w:hAnsi="宋体" w:eastAsia="宋体" w:cs="宋体"/>
          <w:bCs/>
          <w:color w:val="auto"/>
          <w:sz w:val="24"/>
          <w:szCs w:val="24"/>
        </w:rPr>
        <w:t>年</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服务质量：符合国家现行规范和相关质量标准要求，满足采购人相关要求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标段划分：本项目分为一个</w:t>
      </w:r>
      <w:r>
        <w:rPr>
          <w:rFonts w:hint="eastAsia" w:ascii="宋体" w:hAnsi="宋体" w:eastAsia="宋体" w:cs="宋体"/>
          <w:bCs/>
          <w:color w:val="auto"/>
          <w:sz w:val="24"/>
          <w:szCs w:val="24"/>
          <w:lang w:eastAsia="zh-CN"/>
        </w:rPr>
        <w:t>包</w:t>
      </w:r>
      <w:r>
        <w:rPr>
          <w:rFonts w:hint="eastAsia" w:ascii="宋体" w:hAnsi="宋体" w:eastAsia="宋体" w:cs="宋体"/>
          <w:bCs/>
          <w:color w:val="auto"/>
          <w:sz w:val="24"/>
          <w:szCs w:val="24"/>
        </w:rPr>
        <w:t>段</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6、合同履行期限：</w:t>
      </w:r>
      <w:r>
        <w:rPr>
          <w:rFonts w:hint="eastAsia" w:ascii="宋体" w:hAnsi="宋体" w:eastAsia="宋体" w:cs="宋体"/>
          <w:bCs/>
          <w:color w:val="auto"/>
          <w:sz w:val="24"/>
          <w:szCs w:val="24"/>
          <w:lang w:eastAsia="zh-CN"/>
        </w:rPr>
        <w:t>一年</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7、是否接受联合体：否</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8、是否接受进口产品：否</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9、是否为专门面向中小企业采购：否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二、申请人的资格要求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2、落实政府采购政策需满足的资格要求：</w:t>
      </w:r>
      <w:r>
        <w:rPr>
          <w:rFonts w:hint="eastAsia" w:ascii="宋体" w:hAnsi="宋体" w:eastAsia="宋体" w:cs="宋体"/>
          <w:bCs/>
          <w:color w:val="auto"/>
          <w:sz w:val="24"/>
          <w:szCs w:val="24"/>
          <w:lang w:val="en-US" w:eastAsia="zh-CN"/>
        </w:rPr>
        <w:t>本项目落实政府采购促进中小企业发展（监狱企业、残疾人福利性企业视同小微企业），对小型和微型企业产品的价格给予20%的扣除，用扣除后的价格参与评审；政府采购鼓励采购节能环保产品等相关政府采购政策。</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3、本项目的特定资格要求：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3.1供应商须具有</w:t>
      </w:r>
      <w:r>
        <w:rPr>
          <w:rFonts w:hint="eastAsia" w:ascii="宋体" w:hAnsi="宋体" w:eastAsia="宋体" w:cs="宋体"/>
          <w:bCs/>
          <w:color w:val="auto"/>
          <w:sz w:val="24"/>
          <w:szCs w:val="24"/>
          <w:lang w:val="en-US" w:eastAsia="zh-CN"/>
        </w:rPr>
        <w:t>中华人民共和国保险许可证</w:t>
      </w:r>
      <w:r>
        <w:rPr>
          <w:rFonts w:hint="eastAsia" w:ascii="宋体" w:hAnsi="宋体" w:eastAsia="宋体" w:cs="宋体"/>
          <w:bCs/>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3.2信誉要求：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rPr>
      </w:pPr>
      <w:bookmarkStart w:id="8" w:name="OLE_LINK1"/>
      <w:r>
        <w:rPr>
          <w:rFonts w:hint="eastAsia" w:ascii="宋体" w:hAnsi="宋体" w:eastAsia="宋体" w:cs="宋体"/>
          <w:bCs/>
          <w:color w:val="auto"/>
          <w:sz w:val="24"/>
          <w:szCs w:val="24"/>
        </w:rPr>
        <w:t>根据财政部《关于在政府采购活动中查询及使用信用记录有关问题的通知》（财库〔2016〕125号）规定，列入“中国执行信息公开网”网站的“失信被执行人”、“信用中国”网站的“重大税收违法失信主体”、“中国政府采购网”网站的“政府采购严重违法失信行为记录名单”的投标人，将拒绝参与本次政府采购活动。【采购人或采购代理机构在开标当天将对所有参与本项目投标的投标人信用情况进行查询（失信被执行人、重大税收违法失信主体、政府采购严重违法失信行为记录名单）、查询记录打印留存。】</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3.3其他要求：单位负责人为同一人或者存在控股、管理关系的不同单位，不得参加同一招标项目投标</w:t>
      </w:r>
      <w:r>
        <w:rPr>
          <w:rFonts w:hint="eastAsia" w:ascii="宋体" w:hAnsi="宋体" w:eastAsia="宋体" w:cs="宋体"/>
          <w:color w:val="auto"/>
          <w:sz w:val="24"/>
          <w:szCs w:val="24"/>
        </w:rPr>
        <w:t>（提供“国家企业信用信息公示系统”中公示的公司信息、股东或投资人信息截图）</w:t>
      </w:r>
      <w:r>
        <w:rPr>
          <w:rFonts w:hint="eastAsia" w:ascii="宋体" w:hAnsi="宋体" w:eastAsia="宋体" w:cs="宋体"/>
          <w:bCs/>
          <w:color w:val="auto"/>
          <w:sz w:val="24"/>
          <w:szCs w:val="24"/>
        </w:rPr>
        <w:t>。</w:t>
      </w:r>
      <w:bookmarkEnd w:id="8"/>
      <w:bookmarkStart w:id="9" w:name="_Toc485908181"/>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三、获取采购文件</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kern w:val="0"/>
          <w:sz w:val="24"/>
          <w:szCs w:val="24"/>
          <w:shd w:val="clear" w:color="auto" w:fill="FFFFFF"/>
        </w:rPr>
        <w:t>时间：202</w:t>
      </w:r>
      <w:r>
        <w:rPr>
          <w:rFonts w:hint="eastAsia" w:ascii="宋体" w:hAnsi="宋体" w:eastAsia="宋体" w:cs="宋体"/>
          <w:color w:val="auto"/>
          <w:kern w:val="0"/>
          <w:sz w:val="24"/>
          <w:szCs w:val="24"/>
          <w:shd w:val="clear" w:color="auto" w:fill="FFFFFF"/>
          <w:lang w:val="en-US" w:eastAsia="zh-CN"/>
        </w:rPr>
        <w:t>4</w:t>
      </w:r>
      <w:r>
        <w:rPr>
          <w:rFonts w:hint="eastAsia" w:ascii="宋体" w:hAnsi="宋体" w:eastAsia="宋体" w:cs="宋体"/>
          <w:color w:val="auto"/>
          <w:kern w:val="0"/>
          <w:sz w:val="24"/>
          <w:szCs w:val="24"/>
          <w:shd w:val="clear" w:color="auto" w:fill="FFFFFF"/>
        </w:rPr>
        <w:t>年</w:t>
      </w:r>
      <w:r>
        <w:rPr>
          <w:rFonts w:hint="eastAsia" w:ascii="宋体" w:hAnsi="宋体" w:eastAsia="宋体" w:cs="宋体"/>
          <w:color w:val="auto"/>
          <w:kern w:val="0"/>
          <w:sz w:val="24"/>
          <w:szCs w:val="24"/>
          <w:u w:val="none"/>
          <w:shd w:val="clear" w:color="auto" w:fill="FFFFFF"/>
          <w:lang w:val="en-US" w:eastAsia="zh-CN"/>
        </w:rPr>
        <w:t>6</w:t>
      </w:r>
      <w:r>
        <w:rPr>
          <w:rFonts w:hint="eastAsia" w:ascii="宋体" w:hAnsi="宋体" w:eastAsia="宋体" w:cs="宋体"/>
          <w:color w:val="auto"/>
          <w:kern w:val="0"/>
          <w:sz w:val="24"/>
          <w:szCs w:val="24"/>
          <w:u w:val="none"/>
          <w:shd w:val="clear" w:color="auto" w:fill="FFFFFF"/>
        </w:rPr>
        <w:t>月</w:t>
      </w:r>
      <w:r>
        <w:rPr>
          <w:rFonts w:hint="eastAsia" w:ascii="宋体" w:hAnsi="宋体" w:eastAsia="宋体" w:cs="宋体"/>
          <w:color w:val="auto"/>
          <w:kern w:val="0"/>
          <w:sz w:val="24"/>
          <w:szCs w:val="24"/>
          <w:u w:val="none"/>
          <w:shd w:val="clear" w:color="auto" w:fill="FFFFFF"/>
          <w:lang w:val="en-US" w:eastAsia="zh-CN"/>
        </w:rPr>
        <w:t>12</w:t>
      </w:r>
      <w:r>
        <w:rPr>
          <w:rFonts w:hint="eastAsia" w:ascii="宋体" w:hAnsi="宋体" w:eastAsia="宋体" w:cs="宋体"/>
          <w:color w:val="auto"/>
          <w:kern w:val="0"/>
          <w:sz w:val="24"/>
          <w:szCs w:val="24"/>
          <w:u w:val="none"/>
          <w:shd w:val="clear" w:color="auto" w:fill="FFFFFF"/>
        </w:rPr>
        <w:t>日至202</w:t>
      </w:r>
      <w:r>
        <w:rPr>
          <w:rFonts w:hint="eastAsia" w:ascii="宋体" w:hAnsi="宋体" w:eastAsia="宋体" w:cs="宋体"/>
          <w:color w:val="auto"/>
          <w:kern w:val="0"/>
          <w:sz w:val="24"/>
          <w:szCs w:val="24"/>
          <w:u w:val="none"/>
          <w:shd w:val="clear" w:color="auto" w:fill="FFFFFF"/>
          <w:lang w:val="en-US" w:eastAsia="zh-CN"/>
        </w:rPr>
        <w:t>4</w:t>
      </w:r>
      <w:r>
        <w:rPr>
          <w:rFonts w:hint="eastAsia" w:ascii="宋体" w:hAnsi="宋体" w:eastAsia="宋体" w:cs="宋体"/>
          <w:color w:val="auto"/>
          <w:kern w:val="0"/>
          <w:sz w:val="24"/>
          <w:szCs w:val="24"/>
          <w:u w:val="none"/>
          <w:shd w:val="clear" w:color="auto" w:fill="FFFFFF"/>
        </w:rPr>
        <w:t>年</w:t>
      </w:r>
      <w:r>
        <w:rPr>
          <w:rFonts w:hint="eastAsia" w:ascii="宋体" w:hAnsi="宋体" w:eastAsia="宋体" w:cs="宋体"/>
          <w:color w:val="auto"/>
          <w:kern w:val="0"/>
          <w:sz w:val="24"/>
          <w:szCs w:val="24"/>
          <w:u w:val="none"/>
          <w:shd w:val="clear" w:color="auto" w:fill="FFFFFF"/>
          <w:lang w:val="en-US" w:eastAsia="zh-CN"/>
        </w:rPr>
        <w:t>6</w:t>
      </w:r>
      <w:r>
        <w:rPr>
          <w:rFonts w:hint="eastAsia" w:ascii="宋体" w:hAnsi="宋体" w:eastAsia="宋体" w:cs="宋体"/>
          <w:color w:val="auto"/>
          <w:kern w:val="0"/>
          <w:sz w:val="24"/>
          <w:szCs w:val="24"/>
          <w:u w:val="none"/>
          <w:shd w:val="clear" w:color="auto" w:fill="FFFFFF"/>
        </w:rPr>
        <w:t>月</w:t>
      </w:r>
      <w:r>
        <w:rPr>
          <w:rFonts w:hint="eastAsia" w:ascii="宋体" w:hAnsi="宋体" w:eastAsia="宋体" w:cs="宋体"/>
          <w:color w:val="auto"/>
          <w:kern w:val="0"/>
          <w:sz w:val="24"/>
          <w:szCs w:val="24"/>
          <w:u w:val="none"/>
          <w:shd w:val="clear" w:color="auto" w:fill="FFFFFF"/>
          <w:lang w:val="en-US" w:eastAsia="zh-CN"/>
        </w:rPr>
        <w:t>18</w:t>
      </w:r>
      <w:r>
        <w:rPr>
          <w:rFonts w:hint="eastAsia" w:ascii="宋体" w:hAnsi="宋体" w:eastAsia="宋体" w:cs="宋体"/>
          <w:color w:val="auto"/>
          <w:kern w:val="0"/>
          <w:sz w:val="24"/>
          <w:szCs w:val="24"/>
          <w:shd w:val="clear" w:color="auto" w:fill="FFFFFF"/>
        </w:rPr>
        <w:t>日</w:t>
      </w:r>
      <w:r>
        <w:rPr>
          <w:rFonts w:hint="eastAsia" w:ascii="宋体" w:hAnsi="宋体" w:eastAsia="宋体" w:cs="宋体"/>
          <w:color w:val="auto"/>
          <w:kern w:val="0"/>
          <w:sz w:val="24"/>
          <w:szCs w:val="24"/>
          <w:shd w:val="clear" w:color="auto" w:fill="FFFFFF"/>
          <w:lang w:eastAsia="zh-CN"/>
        </w:rPr>
        <w:t>，</w:t>
      </w:r>
      <w:r>
        <w:rPr>
          <w:rFonts w:hint="eastAsia" w:ascii="宋体" w:hAnsi="宋体" w:eastAsia="宋体" w:cs="宋体"/>
          <w:color w:val="auto"/>
          <w:kern w:val="0"/>
          <w:sz w:val="24"/>
          <w:szCs w:val="24"/>
          <w:shd w:val="clear" w:color="auto" w:fill="FFFFFF"/>
          <w:lang w:val="en-US" w:eastAsia="zh-CN"/>
        </w:rPr>
        <w:t>每天上午8:30至12:00,下午12:00至17:30。（北京时间法定节假日除外）</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2、地点：</w:t>
      </w:r>
      <w:r>
        <w:rPr>
          <w:rFonts w:hint="eastAsia" w:ascii="宋体" w:hAnsi="宋体" w:eastAsia="宋体" w:cs="宋体"/>
          <w:color w:val="auto"/>
          <w:kern w:val="0"/>
          <w:sz w:val="24"/>
          <w:szCs w:val="24"/>
          <w:shd w:val="clear" w:color="auto" w:fill="FFFFFF"/>
          <w:lang w:val="en-US" w:eastAsia="zh-CN"/>
        </w:rPr>
        <w:t>中牟县公共资源交易中心网站（</w:t>
      </w:r>
      <w:r>
        <w:rPr>
          <w:rFonts w:hint="eastAsia" w:ascii="宋体" w:hAnsi="宋体" w:eastAsia="宋体" w:cs="宋体"/>
          <w:color w:val="auto"/>
          <w:kern w:val="0"/>
          <w:sz w:val="24"/>
          <w:szCs w:val="24"/>
          <w:shd w:val="clear" w:color="auto" w:fill="FFFFFF"/>
          <w:lang w:val="en-US" w:eastAsia="zh-CN"/>
        </w:rPr>
        <w:fldChar w:fldCharType="begin"/>
      </w:r>
      <w:r>
        <w:rPr>
          <w:rFonts w:hint="eastAsia" w:ascii="宋体" w:hAnsi="宋体" w:eastAsia="宋体" w:cs="宋体"/>
          <w:color w:val="auto"/>
          <w:kern w:val="0"/>
          <w:sz w:val="24"/>
          <w:szCs w:val="24"/>
          <w:shd w:val="clear" w:color="auto" w:fill="FFFFFF"/>
          <w:lang w:val="en-US" w:eastAsia="zh-CN"/>
        </w:rPr>
        <w:instrText xml:space="preserve"> HYPERLINK "http://www.zmxggzy.com/" </w:instrText>
      </w:r>
      <w:r>
        <w:rPr>
          <w:rFonts w:hint="eastAsia" w:ascii="宋体" w:hAnsi="宋体" w:eastAsia="宋体" w:cs="宋体"/>
          <w:color w:val="auto"/>
          <w:kern w:val="0"/>
          <w:sz w:val="24"/>
          <w:szCs w:val="24"/>
          <w:shd w:val="clear" w:color="auto" w:fill="FFFFFF"/>
          <w:lang w:val="en-US" w:eastAsia="zh-CN"/>
        </w:rPr>
        <w:fldChar w:fldCharType="separate"/>
      </w:r>
      <w:r>
        <w:rPr>
          <w:rFonts w:hint="eastAsia" w:ascii="宋体" w:hAnsi="宋体" w:eastAsia="宋体" w:cs="宋体"/>
          <w:color w:val="auto"/>
          <w:kern w:val="0"/>
          <w:sz w:val="24"/>
          <w:szCs w:val="24"/>
          <w:shd w:val="clear" w:color="auto" w:fill="FFFFFF"/>
        </w:rPr>
        <w:t>http://www.zmxggzy.com</w:t>
      </w:r>
      <w:r>
        <w:rPr>
          <w:rFonts w:hint="eastAsia" w:ascii="宋体" w:hAnsi="宋体" w:eastAsia="宋体" w:cs="宋体"/>
          <w:color w:val="auto"/>
          <w:kern w:val="0"/>
          <w:sz w:val="24"/>
          <w:szCs w:val="24"/>
          <w:shd w:val="clear" w:color="auto" w:fill="FFFFFF"/>
          <w:lang w:val="en-US" w:eastAsia="zh-CN"/>
        </w:rPr>
        <w:fldChar w:fldCharType="end"/>
      </w:r>
      <w:r>
        <w:rPr>
          <w:rFonts w:hint="eastAsia" w:ascii="宋体" w:hAnsi="宋体" w:eastAsia="宋体" w:cs="宋体"/>
          <w:color w:val="auto"/>
          <w:kern w:val="0"/>
          <w:sz w:val="24"/>
          <w:szCs w:val="24"/>
          <w:shd w:val="clear" w:color="auto" w:fill="FFFFFF"/>
          <w:lang w:val="en-US" w:eastAsia="zh-CN"/>
        </w:rPr>
        <w:t>）</w:t>
      </w:r>
      <w:r>
        <w:rPr>
          <w:rFonts w:hint="eastAsia" w:ascii="宋体" w:hAnsi="宋体" w:eastAsia="宋体" w:cs="宋体"/>
          <w:bCs/>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3、方式：</w:t>
      </w:r>
      <w:r>
        <w:rPr>
          <w:rFonts w:hint="eastAsia" w:ascii="宋体" w:hAnsi="宋体" w:eastAsia="宋体" w:cs="宋体"/>
          <w:color w:val="auto"/>
          <w:kern w:val="0"/>
          <w:sz w:val="24"/>
          <w:szCs w:val="24"/>
          <w:shd w:val="clear" w:color="auto" w:fill="FFFFFF"/>
          <w:lang w:val="en-US" w:eastAsia="zh-CN"/>
        </w:rPr>
        <w:t>网上下载。凡有意参加投标者，需进入中牟县公共资源交易中心网站（http://www.zmxggzy.com），进行投标人/供应商会员注册，（注册步骤详见办事指南-办事流程），在中牟县政务服务中心二楼公共资源交易中心办事大厅办理CA锁审核激活，供应商通过CA锁登陆进行网上招标文件等相关文件的下载，纸质文件不再出售。</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4、售价：0元/份。</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4"/>
          <w:szCs w:val="24"/>
        </w:rPr>
      </w:pPr>
      <w:bookmarkStart w:id="10" w:name="_Toc5830"/>
      <w:bookmarkStart w:id="11" w:name="_Toc15872"/>
      <w:bookmarkStart w:id="12" w:name="_Toc18135"/>
      <w:r>
        <w:rPr>
          <w:rFonts w:hint="eastAsia" w:ascii="宋体" w:hAnsi="宋体" w:eastAsia="宋体" w:cs="宋体"/>
          <w:color w:val="auto"/>
          <w:kern w:val="0"/>
          <w:sz w:val="24"/>
          <w:szCs w:val="24"/>
        </w:rPr>
        <w:t>四、</w:t>
      </w:r>
      <w:bookmarkEnd w:id="10"/>
      <w:bookmarkEnd w:id="11"/>
      <w:bookmarkEnd w:id="12"/>
      <w:r>
        <w:rPr>
          <w:rFonts w:hint="eastAsia" w:ascii="宋体" w:hAnsi="宋体" w:eastAsia="宋体" w:cs="宋体"/>
          <w:color w:val="auto"/>
          <w:kern w:val="0"/>
          <w:sz w:val="24"/>
          <w:szCs w:val="24"/>
        </w:rPr>
        <w:t>响应文件提交</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w:t>
      </w:r>
      <w:r>
        <w:rPr>
          <w:rFonts w:hint="eastAsia" w:ascii="宋体" w:hAnsi="宋体" w:eastAsia="宋体" w:cs="宋体"/>
          <w:color w:val="auto"/>
          <w:sz w:val="24"/>
          <w:szCs w:val="24"/>
          <w:u w:val="none"/>
        </w:rPr>
        <w:t>时间：202</w:t>
      </w: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none"/>
          <w:lang w:val="en-US" w:eastAsia="zh-CN"/>
        </w:rPr>
        <w:t>6</w:t>
      </w:r>
      <w:r>
        <w:rPr>
          <w:rFonts w:hint="eastAsia" w:ascii="宋体" w:hAnsi="宋体" w:eastAsia="宋体" w:cs="宋体"/>
          <w:color w:val="auto"/>
          <w:sz w:val="24"/>
          <w:szCs w:val="24"/>
          <w:u w:val="none"/>
        </w:rPr>
        <w:t>月</w:t>
      </w:r>
      <w:r>
        <w:rPr>
          <w:rFonts w:hint="eastAsia" w:ascii="宋体" w:hAnsi="宋体" w:eastAsia="宋体" w:cs="宋体"/>
          <w:color w:val="auto"/>
          <w:sz w:val="24"/>
          <w:szCs w:val="24"/>
          <w:u w:val="none"/>
          <w:lang w:val="en-US" w:eastAsia="zh-CN"/>
        </w:rPr>
        <w:t>24</w:t>
      </w:r>
      <w:r>
        <w:rPr>
          <w:rFonts w:hint="eastAsia" w:ascii="宋体" w:hAnsi="宋体" w:eastAsia="宋体" w:cs="宋体"/>
          <w:color w:val="auto"/>
          <w:sz w:val="24"/>
          <w:szCs w:val="24"/>
          <w:u w:val="none"/>
        </w:rPr>
        <w:t>日</w:t>
      </w:r>
      <w:r>
        <w:rPr>
          <w:rFonts w:hint="eastAsia" w:ascii="宋体" w:hAnsi="宋体" w:eastAsia="宋体" w:cs="宋体"/>
          <w:color w:val="auto"/>
          <w:sz w:val="24"/>
          <w:szCs w:val="24"/>
          <w:u w:val="none"/>
          <w:lang w:val="en-US" w:eastAsia="zh-CN"/>
        </w:rPr>
        <w:t>09</w:t>
      </w:r>
      <w:r>
        <w:rPr>
          <w:rFonts w:hint="eastAsia" w:ascii="宋体" w:hAnsi="宋体" w:eastAsia="宋体" w:cs="宋体"/>
          <w:color w:val="auto"/>
          <w:sz w:val="24"/>
          <w:szCs w:val="24"/>
          <w:u w:val="none"/>
        </w:rPr>
        <w:t>时00分（北京时间）；</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2、地点：</w:t>
      </w:r>
      <w:r>
        <w:rPr>
          <w:rFonts w:hint="eastAsia" w:ascii="宋体" w:hAnsi="宋体" w:eastAsia="宋体" w:cs="宋体"/>
          <w:color w:val="auto"/>
          <w:sz w:val="24"/>
          <w:szCs w:val="24"/>
          <w:u w:val="none"/>
          <w:lang w:val="en-US" w:eastAsia="zh-CN"/>
        </w:rPr>
        <w:t>中牟县公共资源交易中心（http:// www.zmxggzy.com）电子交易平台。</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4"/>
          <w:szCs w:val="24"/>
          <w:u w:val="none"/>
          <w:lang w:eastAsia="zh-CN"/>
        </w:rPr>
      </w:pPr>
      <w:r>
        <w:rPr>
          <w:rFonts w:hint="eastAsia" w:ascii="宋体" w:hAnsi="宋体" w:eastAsia="宋体" w:cs="宋体"/>
          <w:color w:val="auto"/>
          <w:kern w:val="0"/>
          <w:sz w:val="24"/>
          <w:szCs w:val="24"/>
          <w:u w:val="none"/>
        </w:rPr>
        <w:t>五、响应文件开启</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w:t>
      </w: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none"/>
        </w:rPr>
        <w:t>时间：</w:t>
      </w:r>
      <w:r>
        <w:rPr>
          <w:rFonts w:hint="eastAsia" w:ascii="宋体" w:hAnsi="宋体" w:eastAsia="宋体" w:cs="宋体"/>
          <w:color w:val="auto"/>
          <w:sz w:val="24"/>
          <w:szCs w:val="24"/>
          <w:u w:val="none"/>
        </w:rPr>
        <w:t>202</w:t>
      </w: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none"/>
          <w:lang w:val="en-US" w:eastAsia="zh-CN"/>
        </w:rPr>
        <w:t>6</w:t>
      </w:r>
      <w:r>
        <w:rPr>
          <w:rFonts w:hint="eastAsia" w:ascii="宋体" w:hAnsi="宋体" w:eastAsia="宋体" w:cs="宋体"/>
          <w:color w:val="auto"/>
          <w:sz w:val="24"/>
          <w:szCs w:val="24"/>
          <w:u w:val="none"/>
        </w:rPr>
        <w:t>月</w:t>
      </w:r>
      <w:r>
        <w:rPr>
          <w:rFonts w:hint="eastAsia" w:ascii="宋体" w:hAnsi="宋体" w:eastAsia="宋体" w:cs="宋体"/>
          <w:color w:val="auto"/>
          <w:sz w:val="24"/>
          <w:szCs w:val="24"/>
          <w:u w:val="none"/>
          <w:lang w:val="en-US" w:eastAsia="zh-CN"/>
        </w:rPr>
        <w:t>24</w:t>
      </w:r>
      <w:r>
        <w:rPr>
          <w:rFonts w:hint="eastAsia" w:ascii="宋体" w:hAnsi="宋体" w:eastAsia="宋体" w:cs="宋体"/>
          <w:color w:val="auto"/>
          <w:sz w:val="24"/>
          <w:szCs w:val="24"/>
          <w:u w:val="none"/>
        </w:rPr>
        <w:t>日</w:t>
      </w:r>
      <w:r>
        <w:rPr>
          <w:rFonts w:hint="eastAsia" w:ascii="宋体" w:hAnsi="宋体" w:eastAsia="宋体" w:cs="宋体"/>
          <w:color w:val="auto"/>
          <w:sz w:val="24"/>
          <w:szCs w:val="24"/>
          <w:u w:val="none"/>
          <w:lang w:val="en-US" w:eastAsia="zh-CN"/>
        </w:rPr>
        <w:t>09</w:t>
      </w:r>
      <w:r>
        <w:rPr>
          <w:rFonts w:hint="eastAsia" w:ascii="宋体" w:hAnsi="宋体" w:eastAsia="宋体" w:cs="宋体"/>
          <w:color w:val="auto"/>
          <w:sz w:val="24"/>
          <w:szCs w:val="24"/>
          <w:u w:val="none"/>
        </w:rPr>
        <w:t>时00分（北京时间）；</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地点：</w:t>
      </w:r>
      <w:r>
        <w:rPr>
          <w:rFonts w:hint="eastAsia" w:ascii="宋体" w:hAnsi="宋体" w:eastAsia="宋体" w:cs="宋体"/>
          <w:color w:val="auto"/>
          <w:kern w:val="0"/>
          <w:sz w:val="24"/>
          <w:szCs w:val="24"/>
          <w:shd w:val="clear" w:color="auto" w:fill="FFFFFF"/>
          <w:lang w:val="en-US" w:eastAsia="zh-CN"/>
        </w:rPr>
        <w:t>中牟县公共资源交易中心门户网站不见面开标大厅（http://www.zmxggzy.com/BidOpening）；中牟县公共资源交易中心（中牟县政务服务中心二楼）第</w:t>
      </w:r>
      <w:r>
        <w:rPr>
          <w:rFonts w:hint="eastAsia" w:ascii="宋体" w:hAnsi="宋体" w:eastAsia="宋体" w:cs="宋体"/>
          <w:color w:val="auto"/>
          <w:kern w:val="0"/>
          <w:sz w:val="24"/>
          <w:szCs w:val="24"/>
          <w:u w:val="none"/>
          <w:shd w:val="clear" w:color="auto" w:fill="FFFFFF"/>
          <w:lang w:val="en-US" w:eastAsia="zh-CN"/>
        </w:rPr>
        <w:t>二</w:t>
      </w:r>
      <w:r>
        <w:rPr>
          <w:rFonts w:hint="eastAsia" w:ascii="宋体" w:hAnsi="宋体" w:eastAsia="宋体" w:cs="宋体"/>
          <w:color w:val="auto"/>
          <w:kern w:val="0"/>
          <w:sz w:val="24"/>
          <w:szCs w:val="24"/>
          <w:shd w:val="clear" w:color="auto" w:fill="FFFFFF"/>
          <w:lang w:val="en-US" w:eastAsia="zh-CN"/>
        </w:rPr>
        <w:t>开标室。</w:t>
      </w:r>
      <w:r>
        <w:rPr>
          <w:rFonts w:hint="eastAsia" w:ascii="宋体" w:hAnsi="宋体" w:eastAsia="宋体" w:cs="宋体"/>
          <w:bCs/>
          <w:color w:val="auto"/>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六、发布公告的媒介及公告期限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本次磋商公告在</w:t>
      </w:r>
      <w:r>
        <w:rPr>
          <w:rFonts w:hint="eastAsia" w:ascii="宋体" w:hAnsi="宋体" w:eastAsia="宋体" w:cs="宋体"/>
          <w:color w:val="auto"/>
          <w:kern w:val="0"/>
          <w:sz w:val="24"/>
          <w:szCs w:val="24"/>
          <w:shd w:val="clear" w:color="auto" w:fill="FFFFFF"/>
          <w:lang w:val="en-US" w:eastAsia="zh-CN"/>
        </w:rPr>
        <w:t>《河南省政府采购网》、《中牟县公共资源交易中心网》、《中牟县政府采购网》、《河南省电子招标投标公共服务平台》</w:t>
      </w:r>
      <w:r>
        <w:rPr>
          <w:rFonts w:hint="eastAsia" w:ascii="宋体" w:hAnsi="宋体" w:eastAsia="宋体" w:cs="宋体"/>
          <w:bCs/>
          <w:color w:val="auto"/>
          <w:sz w:val="24"/>
          <w:szCs w:val="24"/>
        </w:rPr>
        <w:t>上发布。公告期限为三个工作日。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七、其他补充事宜：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1、本项目实行电子开评标，获取竞争性磋商文件后，请各供应商在中牟县公共资源交易中心门户网站（http:// www.zmxggzy.com）“下载中心”栏目下载相关驱动和电子投标工具。供应商在制作电子标书过程中，如遇到电子交易系统的软件操作问题时，可通过热线电话（4009980000）进行咨询。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响应文件的上传：供应商须使用电子交易系统提供的响应文件制作工具进行电子响应文件的制作，并按要求上传经CA锁签章和加密的电子响应文件（.ZMTF格式），加密电子响应文件逾期上传或者未上传的，采购人不予受理。加密的电子响应文件（.ZMTF格式）须在响应文件递交截止时间前通过“中牟县公共资源交易中心网站（http://www.zmxggzy.com）”电子交易平台加密上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本项目采用“远程不见面”开标方式，各供应商无需到交易中心现场参加开标会议，无需现场提交原件。供应商编制响应文件时，涉及营业执照、资质、业绩、获奖、人员、财务、社保、纳税、各类证书等内容，必须在响应文件中提供电子版。各供应商应当在磋商文件确定的响应文件提交截止时间前，登录远程开标大厅（http://www.zmxggzy.com/BidOpening），在线准时参加开标活动并进行文件解密、答疑澄清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4、本项目所有供应商应提前30分钟登录“中牟县公共资源交易中心门户网站远程开标大厅（http://www.zmxggzy.com/BidOpening ）”进行远程开标准备工作。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5、供应商登录“中牟县公共资源交易中心门户网站远程开标大厅”后，须先进行签到，其后应一直保持在线状态，保证能准时参加开标大会、响应文件的解密、现场答疑澄清等活动。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6、不见面开标操作说明详见中牟县公共资源交易中心网站下载中心《中牟不见面开标-操作手册（投标人）V1.0》。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kern w:val="0"/>
          <w:sz w:val="24"/>
          <w:szCs w:val="24"/>
          <w:shd w:val="clear" w:color="auto" w:fill="FFFFFF"/>
          <w:lang w:val="en-US" w:eastAsia="zh-CN"/>
        </w:rPr>
        <w:t>7、</w:t>
      </w:r>
      <w:r>
        <w:rPr>
          <w:rFonts w:hint="eastAsia" w:ascii="宋体" w:hAnsi="宋体" w:eastAsia="宋体" w:cs="宋体"/>
          <w:bCs/>
          <w:color w:val="auto"/>
          <w:sz w:val="24"/>
          <w:szCs w:val="24"/>
          <w:lang w:val="en-US" w:eastAsia="zh-CN"/>
        </w:rPr>
        <w:t>本项目监督单位：</w:t>
      </w:r>
      <w:r>
        <w:rPr>
          <w:rFonts w:hint="eastAsia" w:ascii="宋体" w:hAnsi="宋体" w:eastAsia="宋体" w:cs="宋体"/>
          <w:color w:val="auto"/>
          <w:kern w:val="0"/>
          <w:sz w:val="24"/>
          <w:szCs w:val="24"/>
          <w:shd w:val="clear" w:color="auto" w:fill="FFFFFF"/>
          <w:lang w:eastAsia="zh-CN"/>
        </w:rPr>
        <w:t>中国共产党中牟县委员会政法委员会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八、凡对本次采购提出询问，请按以下方式联系</w:t>
      </w:r>
    </w:p>
    <w:bookmarkEnd w:id="9"/>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1、采购人信息</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名称：</w:t>
      </w:r>
      <w:r>
        <w:rPr>
          <w:rFonts w:hint="eastAsia" w:ascii="宋体" w:hAnsi="宋体" w:eastAsia="宋体" w:cs="宋体"/>
          <w:color w:val="auto"/>
          <w:kern w:val="0"/>
          <w:sz w:val="24"/>
          <w:szCs w:val="24"/>
          <w:shd w:val="clear" w:color="auto" w:fill="FFFFFF"/>
          <w:lang w:eastAsia="zh-CN"/>
        </w:rPr>
        <w:t>中国共产党中牟县委员会政法委员会</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地址：郑州市中牟县商都大道</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联系人：</w:t>
      </w:r>
      <w:r>
        <w:rPr>
          <w:rFonts w:hint="eastAsia" w:ascii="宋体" w:hAnsi="宋体" w:eastAsia="宋体" w:cs="宋体"/>
          <w:color w:val="auto"/>
          <w:kern w:val="0"/>
          <w:sz w:val="24"/>
          <w:szCs w:val="24"/>
          <w:shd w:val="clear" w:color="auto" w:fill="FFFFFF"/>
          <w:lang w:eastAsia="zh-CN"/>
        </w:rPr>
        <w:t>郭飞</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联系电话：</w:t>
      </w:r>
      <w:r>
        <w:rPr>
          <w:rFonts w:hint="eastAsia" w:ascii="宋体" w:hAnsi="宋体" w:eastAsia="宋体" w:cs="宋体"/>
          <w:color w:val="auto"/>
          <w:kern w:val="0"/>
          <w:sz w:val="24"/>
          <w:szCs w:val="24"/>
          <w:shd w:val="clear" w:color="auto" w:fill="FFFFFF"/>
          <w:lang w:val="en-US" w:eastAsia="zh-CN"/>
        </w:rPr>
        <w:t>18337145222</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2、采购代理机构信息</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采购代理机构名称：</w:t>
      </w:r>
      <w:r>
        <w:rPr>
          <w:rFonts w:hint="eastAsia" w:ascii="宋体" w:hAnsi="宋体" w:eastAsia="宋体" w:cs="宋体"/>
          <w:color w:val="auto"/>
          <w:kern w:val="0"/>
          <w:sz w:val="24"/>
          <w:szCs w:val="24"/>
          <w:shd w:val="clear" w:color="auto" w:fill="FFFFFF"/>
          <w:lang w:eastAsia="zh-CN"/>
        </w:rPr>
        <w:t>河南荣达工程咨询有限公司</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地  址：郑州市高新区莲花街316号龙鼎创富中心3号楼7层</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联系人：</w:t>
      </w:r>
      <w:r>
        <w:rPr>
          <w:rFonts w:hint="eastAsia" w:ascii="宋体" w:hAnsi="宋体" w:eastAsia="宋体" w:cs="宋体"/>
          <w:color w:val="auto"/>
          <w:kern w:val="0"/>
          <w:sz w:val="24"/>
          <w:szCs w:val="24"/>
          <w:shd w:val="clear" w:color="auto" w:fill="FFFFFF"/>
          <w:lang w:eastAsia="zh-CN"/>
        </w:rPr>
        <w:t>周华敏</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rPr>
        <w:t>联系电话：</w:t>
      </w:r>
      <w:r>
        <w:rPr>
          <w:rFonts w:hint="eastAsia" w:ascii="宋体" w:hAnsi="宋体" w:eastAsia="宋体" w:cs="宋体"/>
          <w:color w:val="auto"/>
          <w:kern w:val="0"/>
          <w:sz w:val="24"/>
          <w:szCs w:val="24"/>
          <w:shd w:val="clear" w:color="auto" w:fill="FFFFFF"/>
          <w:lang w:val="en-US" w:eastAsia="zh-CN"/>
        </w:rPr>
        <w:t>15838297655</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3、项目联系方式</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项目联系人：</w:t>
      </w:r>
      <w:r>
        <w:rPr>
          <w:rFonts w:hint="eastAsia" w:ascii="宋体" w:hAnsi="宋体" w:eastAsia="宋体" w:cs="宋体"/>
          <w:color w:val="auto"/>
          <w:kern w:val="0"/>
          <w:sz w:val="24"/>
          <w:szCs w:val="24"/>
          <w:shd w:val="clear" w:color="auto" w:fill="FFFFFF"/>
          <w:lang w:eastAsia="zh-CN"/>
        </w:rPr>
        <w:t>周华敏</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rPr>
        <w:t>联系电话：</w:t>
      </w:r>
      <w:r>
        <w:rPr>
          <w:rFonts w:hint="eastAsia" w:ascii="宋体" w:hAnsi="宋体" w:eastAsia="宋体" w:cs="宋体"/>
          <w:color w:val="auto"/>
          <w:kern w:val="0"/>
          <w:sz w:val="24"/>
          <w:szCs w:val="24"/>
          <w:shd w:val="clear" w:color="auto" w:fill="FFFFFF"/>
          <w:lang w:val="en-US" w:eastAsia="zh-CN"/>
        </w:rPr>
        <w:t>15838297655</w:t>
      </w:r>
    </w:p>
    <w:p>
      <w:pPr>
        <w:widowControl/>
        <w:adjustRightInd w:val="0"/>
        <w:snapToGrid w:val="0"/>
        <w:spacing w:line="360" w:lineRule="auto"/>
        <w:ind w:firstLine="480"/>
        <w:jc w:val="left"/>
        <w:rPr>
          <w:rFonts w:ascii="宋体" w:hAnsi="宋体" w:cs="宋体"/>
          <w:color w:val="auto"/>
          <w:kern w:val="0"/>
          <w:szCs w:val="21"/>
        </w:rPr>
      </w:pPr>
      <w:r>
        <w:rPr>
          <w:rFonts w:hint="eastAsia" w:ascii="宋体" w:hAnsi="宋体" w:cs="宋体"/>
          <w:color w:val="auto"/>
          <w:kern w:val="0"/>
          <w:szCs w:val="21"/>
        </w:rPr>
        <w:br w:type="page"/>
      </w:r>
    </w:p>
    <w:p>
      <w:pPr>
        <w:pStyle w:val="7"/>
        <w:spacing w:before="0" w:after="0" w:line="360" w:lineRule="auto"/>
        <w:rPr>
          <w:b/>
          <w:bCs w:val="0"/>
          <w:color w:val="auto"/>
        </w:rPr>
      </w:pPr>
      <w:bookmarkStart w:id="13" w:name="_Toc14836"/>
      <w:bookmarkStart w:id="14" w:name="_Toc31435"/>
      <w:r>
        <w:rPr>
          <w:rFonts w:hint="eastAsia"/>
          <w:b/>
          <w:bCs w:val="0"/>
          <w:color w:val="auto"/>
        </w:rPr>
        <w:t>第二章</w:t>
      </w:r>
      <w:r>
        <w:rPr>
          <w:rFonts w:hint="eastAsia"/>
          <w:b/>
          <w:bCs w:val="0"/>
          <w:color w:val="auto"/>
          <w:lang w:eastAsia="zh-CN"/>
        </w:rPr>
        <w:t xml:space="preserve">  </w:t>
      </w:r>
      <w:r>
        <w:rPr>
          <w:rFonts w:hint="eastAsia"/>
          <w:b/>
          <w:bCs w:val="0"/>
          <w:color w:val="auto"/>
        </w:rPr>
        <w:t>供应商须知</w:t>
      </w:r>
      <w:bookmarkEnd w:id="2"/>
      <w:bookmarkEnd w:id="13"/>
      <w:bookmarkEnd w:id="14"/>
    </w:p>
    <w:p>
      <w:pPr>
        <w:keepNext/>
        <w:keepLines/>
        <w:jc w:val="center"/>
        <w:rPr>
          <w:rFonts w:ascii="宋体" w:hAnsi="宋体"/>
          <w:b/>
          <w:bCs/>
          <w:color w:val="auto"/>
          <w:sz w:val="36"/>
        </w:rPr>
      </w:pPr>
      <w:r>
        <w:rPr>
          <w:rFonts w:hint="eastAsia" w:ascii="宋体" w:hAnsi="宋体"/>
          <w:b/>
          <w:bCs/>
          <w:color w:val="auto"/>
        </w:rPr>
        <w:t>供应商须知前附表</w:t>
      </w:r>
    </w:p>
    <w:tbl>
      <w:tblPr>
        <w:tblStyle w:val="2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696"/>
        <w:gridCol w:w="5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28" w:type="dxa"/>
            <w:vAlign w:val="center"/>
          </w:tcPr>
          <w:p>
            <w:pPr>
              <w:pStyle w:val="15"/>
              <w:spacing w:line="480" w:lineRule="exact"/>
              <w:jc w:val="center"/>
              <w:rPr>
                <w:rFonts w:hAnsi="宋体"/>
                <w:b/>
                <w:color w:val="auto"/>
                <w:spacing w:val="0"/>
                <w:kern w:val="2"/>
                <w:szCs w:val="24"/>
              </w:rPr>
            </w:pPr>
            <w:r>
              <w:rPr>
                <w:rFonts w:hint="eastAsia" w:hAnsi="宋体"/>
                <w:b/>
                <w:color w:val="auto"/>
                <w:spacing w:val="0"/>
                <w:kern w:val="2"/>
                <w:szCs w:val="24"/>
              </w:rPr>
              <w:t>条款号</w:t>
            </w:r>
          </w:p>
        </w:tc>
        <w:tc>
          <w:tcPr>
            <w:tcW w:w="1696" w:type="dxa"/>
            <w:vAlign w:val="center"/>
          </w:tcPr>
          <w:p>
            <w:pPr>
              <w:pStyle w:val="15"/>
              <w:spacing w:line="480" w:lineRule="exact"/>
              <w:ind w:left="17" w:hanging="17" w:hangingChars="7"/>
              <w:jc w:val="center"/>
              <w:rPr>
                <w:rFonts w:hAnsi="宋体"/>
                <w:b/>
                <w:color w:val="auto"/>
                <w:spacing w:val="0"/>
                <w:kern w:val="2"/>
                <w:szCs w:val="24"/>
              </w:rPr>
            </w:pPr>
            <w:r>
              <w:rPr>
                <w:rFonts w:hint="eastAsia" w:hAnsi="宋体"/>
                <w:b/>
                <w:color w:val="auto"/>
                <w:spacing w:val="0"/>
                <w:kern w:val="2"/>
                <w:szCs w:val="24"/>
              </w:rPr>
              <w:t>条款名称</w:t>
            </w:r>
          </w:p>
        </w:tc>
        <w:tc>
          <w:tcPr>
            <w:tcW w:w="5896" w:type="dxa"/>
            <w:vAlign w:val="center"/>
          </w:tcPr>
          <w:p>
            <w:pPr>
              <w:pStyle w:val="15"/>
              <w:spacing w:line="480" w:lineRule="exact"/>
              <w:ind w:firstLine="482"/>
              <w:jc w:val="center"/>
              <w:rPr>
                <w:rFonts w:hAnsi="宋体"/>
                <w:b/>
                <w:color w:val="auto"/>
                <w:spacing w:val="0"/>
                <w:kern w:val="2"/>
                <w:szCs w:val="24"/>
              </w:rPr>
            </w:pPr>
            <w:r>
              <w:rPr>
                <w:rFonts w:hint="eastAsia" w:hAnsi="宋体"/>
                <w:b/>
                <w:color w:val="auto"/>
                <w:spacing w:val="0"/>
                <w:kern w:val="2"/>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1.1.2</w:t>
            </w:r>
          </w:p>
        </w:tc>
        <w:tc>
          <w:tcPr>
            <w:tcW w:w="1696" w:type="dxa"/>
            <w:vAlign w:val="center"/>
          </w:tcPr>
          <w:p>
            <w:pPr>
              <w:adjustRightInd w:val="0"/>
              <w:snapToGrid w:val="0"/>
              <w:spacing w:line="480" w:lineRule="exact"/>
              <w:jc w:val="center"/>
              <w:rPr>
                <w:rFonts w:ascii="宋体" w:hAnsi="宋体" w:cs="宋体"/>
                <w:color w:val="auto"/>
                <w:szCs w:val="21"/>
              </w:rPr>
            </w:pPr>
            <w:r>
              <w:rPr>
                <w:rFonts w:hint="eastAsia" w:ascii="宋体" w:hAnsi="宋体" w:cs="宋体"/>
                <w:color w:val="auto"/>
                <w:szCs w:val="21"/>
              </w:rPr>
              <w:t>采购人</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采购人：中国共产党中牟县委员会政法委员会</w:t>
            </w:r>
          </w:p>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地址：郑州市中牟县商都大道</w:t>
            </w:r>
          </w:p>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lang w:eastAsia="zh-CN"/>
              </w:rPr>
              <w:t>郭飞</w:t>
            </w:r>
          </w:p>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联系方式：</w:t>
            </w:r>
            <w:r>
              <w:rPr>
                <w:rFonts w:hint="eastAsia" w:ascii="宋体" w:hAnsi="宋体" w:cs="宋体"/>
                <w:color w:val="auto"/>
                <w:szCs w:val="21"/>
                <w:lang w:val="en-US" w:eastAsia="zh-CN"/>
              </w:rPr>
              <w:t>18337145222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1.1.3</w:t>
            </w:r>
          </w:p>
        </w:tc>
        <w:tc>
          <w:tcPr>
            <w:tcW w:w="1696" w:type="dxa"/>
            <w:vAlign w:val="center"/>
          </w:tcPr>
          <w:p>
            <w:pPr>
              <w:pStyle w:val="15"/>
              <w:spacing w:line="480" w:lineRule="exact"/>
              <w:ind w:left="15" w:hanging="14" w:hangingChars="7"/>
              <w:jc w:val="center"/>
              <w:rPr>
                <w:rFonts w:hAnsi="宋体" w:cs="宋体"/>
                <w:color w:val="auto"/>
                <w:spacing w:val="0"/>
                <w:kern w:val="2"/>
                <w:sz w:val="21"/>
                <w:szCs w:val="21"/>
              </w:rPr>
            </w:pPr>
            <w:r>
              <w:rPr>
                <w:rFonts w:hint="eastAsia" w:hAnsi="宋体" w:cs="宋体"/>
                <w:color w:val="auto"/>
                <w:spacing w:val="0"/>
                <w:kern w:val="2"/>
                <w:sz w:val="21"/>
                <w:szCs w:val="21"/>
              </w:rPr>
              <w:t>采购代理机构</w:t>
            </w:r>
          </w:p>
        </w:tc>
        <w:tc>
          <w:tcPr>
            <w:tcW w:w="5896" w:type="dxa"/>
            <w:vAlign w:val="center"/>
          </w:tcPr>
          <w:p>
            <w:pPr>
              <w:adjustRightInd w:val="0"/>
              <w:snapToGrid w:val="0"/>
              <w:spacing w:line="480" w:lineRule="exact"/>
              <w:jc w:val="left"/>
              <w:rPr>
                <w:rFonts w:hint="eastAsia" w:ascii="宋体" w:hAnsi="宋体" w:eastAsia="宋体" w:cs="宋体"/>
                <w:color w:val="auto"/>
                <w:szCs w:val="21"/>
                <w:lang w:eastAsia="zh-CN"/>
              </w:rPr>
            </w:pPr>
            <w:r>
              <w:rPr>
                <w:rFonts w:hint="eastAsia" w:ascii="宋体" w:hAnsi="宋体" w:cs="宋体"/>
                <w:color w:val="auto"/>
                <w:szCs w:val="21"/>
              </w:rPr>
              <w:t>采购代理机构名称：</w:t>
            </w:r>
            <w:r>
              <w:rPr>
                <w:rFonts w:hint="eastAsia" w:ascii="宋体" w:hAnsi="宋体" w:cs="宋体"/>
                <w:color w:val="auto"/>
                <w:szCs w:val="21"/>
                <w:lang w:eastAsia="zh-CN"/>
              </w:rPr>
              <w:t>河南荣达工程咨询有限公司</w:t>
            </w:r>
          </w:p>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地址：郑州市高新区莲花街316号龙鼎创富中心3号楼7层</w:t>
            </w:r>
          </w:p>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联系人：周华敏</w:t>
            </w:r>
          </w:p>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联系电话：15838297655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1.1.4</w:t>
            </w:r>
          </w:p>
        </w:tc>
        <w:tc>
          <w:tcPr>
            <w:tcW w:w="1696" w:type="dxa"/>
            <w:vAlign w:val="center"/>
          </w:tcPr>
          <w:p>
            <w:pPr>
              <w:pStyle w:val="15"/>
              <w:spacing w:line="480" w:lineRule="exact"/>
              <w:ind w:left="15" w:hanging="14" w:hangingChars="7"/>
              <w:jc w:val="center"/>
              <w:rPr>
                <w:rFonts w:hAnsi="宋体" w:cs="宋体"/>
                <w:color w:val="auto"/>
                <w:spacing w:val="0"/>
                <w:kern w:val="2"/>
                <w:sz w:val="21"/>
                <w:szCs w:val="21"/>
              </w:rPr>
            </w:pPr>
            <w:r>
              <w:rPr>
                <w:rFonts w:hint="eastAsia" w:hAnsi="宋体" w:cs="宋体"/>
                <w:color w:val="auto"/>
                <w:spacing w:val="0"/>
                <w:kern w:val="2"/>
                <w:sz w:val="21"/>
                <w:szCs w:val="21"/>
              </w:rPr>
              <w:t>项目名称</w:t>
            </w:r>
          </w:p>
        </w:tc>
        <w:tc>
          <w:tcPr>
            <w:tcW w:w="5896" w:type="dxa"/>
            <w:vAlign w:val="center"/>
          </w:tcPr>
          <w:p>
            <w:pPr>
              <w:widowControl/>
              <w:spacing w:line="480" w:lineRule="exact"/>
              <w:jc w:val="lef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 xml:space="preserve">中国共产党中牟县委员会政法委员会社会治安财产保险项目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1.1.5</w:t>
            </w:r>
          </w:p>
        </w:tc>
        <w:tc>
          <w:tcPr>
            <w:tcW w:w="1696" w:type="dxa"/>
            <w:vAlign w:val="center"/>
          </w:tcPr>
          <w:p>
            <w:pPr>
              <w:pStyle w:val="15"/>
              <w:spacing w:line="480" w:lineRule="exact"/>
              <w:ind w:left="15" w:hanging="14" w:hangingChars="7"/>
              <w:jc w:val="center"/>
              <w:rPr>
                <w:rFonts w:hint="eastAsia" w:hAnsi="宋体" w:eastAsia="宋体" w:cs="宋体"/>
                <w:color w:val="auto"/>
                <w:spacing w:val="0"/>
                <w:kern w:val="2"/>
                <w:sz w:val="21"/>
                <w:szCs w:val="21"/>
                <w:lang w:eastAsia="zh-CN"/>
              </w:rPr>
            </w:pPr>
            <w:r>
              <w:rPr>
                <w:rFonts w:hint="eastAsia" w:hAnsi="宋体" w:cs="宋体"/>
                <w:color w:val="auto"/>
                <w:spacing w:val="0"/>
                <w:kern w:val="2"/>
                <w:sz w:val="21"/>
                <w:szCs w:val="21"/>
              </w:rPr>
              <w:t>采购</w:t>
            </w:r>
            <w:r>
              <w:rPr>
                <w:rFonts w:hint="eastAsia" w:hAnsi="宋体" w:cs="宋体"/>
                <w:color w:val="auto"/>
                <w:spacing w:val="0"/>
                <w:kern w:val="2"/>
                <w:sz w:val="21"/>
                <w:szCs w:val="21"/>
                <w:lang w:eastAsia="zh-CN"/>
              </w:rPr>
              <w:t>内容</w:t>
            </w:r>
          </w:p>
        </w:tc>
        <w:tc>
          <w:tcPr>
            <w:tcW w:w="5896" w:type="dxa"/>
            <w:vAlign w:val="center"/>
          </w:tcPr>
          <w:p>
            <w:pPr>
              <w:widowControl/>
              <w:spacing w:line="480" w:lineRule="exact"/>
              <w:rPr>
                <w:rFonts w:hint="eastAsia" w:ascii="宋体" w:hAnsi="宋体" w:eastAsia="宋体" w:cs="宋体"/>
                <w:color w:val="auto"/>
                <w:szCs w:val="21"/>
                <w:lang w:eastAsia="zh-CN"/>
              </w:rPr>
            </w:pPr>
            <w:r>
              <w:rPr>
                <w:rFonts w:hint="eastAsia" w:ascii="宋体" w:hAnsi="宋体" w:cs="宋体"/>
                <w:color w:val="auto"/>
                <w:szCs w:val="21"/>
              </w:rPr>
              <w:t>为全县每人购买治安财产保险。保证人民群众财产安全</w:t>
            </w:r>
            <w:r>
              <w:rPr>
                <w:rFonts w:hint="eastAsia" w:ascii="宋体" w:hAnsi="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1.2.1</w:t>
            </w:r>
          </w:p>
        </w:tc>
        <w:tc>
          <w:tcPr>
            <w:tcW w:w="1696" w:type="dxa"/>
            <w:vAlign w:val="center"/>
          </w:tcPr>
          <w:p>
            <w:pPr>
              <w:pStyle w:val="15"/>
              <w:spacing w:line="480" w:lineRule="exact"/>
              <w:ind w:left="15" w:hanging="14" w:hangingChars="7"/>
              <w:jc w:val="center"/>
              <w:rPr>
                <w:rFonts w:hAnsi="宋体" w:cs="宋体"/>
                <w:color w:val="auto"/>
                <w:spacing w:val="0"/>
                <w:kern w:val="2"/>
                <w:sz w:val="21"/>
                <w:szCs w:val="21"/>
              </w:rPr>
            </w:pPr>
            <w:r>
              <w:rPr>
                <w:rFonts w:hint="eastAsia" w:hAnsi="宋体" w:cs="宋体"/>
                <w:color w:val="auto"/>
                <w:spacing w:val="0"/>
                <w:kern w:val="2"/>
                <w:sz w:val="21"/>
                <w:szCs w:val="21"/>
              </w:rPr>
              <w:t>资金来源</w:t>
            </w:r>
          </w:p>
        </w:tc>
        <w:tc>
          <w:tcPr>
            <w:tcW w:w="5896" w:type="dxa"/>
            <w:vAlign w:val="center"/>
          </w:tcPr>
          <w:p>
            <w:pPr>
              <w:spacing w:line="480" w:lineRule="exact"/>
              <w:rPr>
                <w:rFonts w:ascii="宋体" w:hAnsi="宋体" w:cs="宋体"/>
                <w:color w:val="auto"/>
                <w:szCs w:val="21"/>
              </w:rPr>
            </w:pPr>
            <w:r>
              <w:rPr>
                <w:rFonts w:hint="eastAsia" w:ascii="宋体" w:hAnsi="宋体" w:cs="宋体"/>
                <w:color w:val="auto"/>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Align w:val="center"/>
          </w:tcPr>
          <w:p>
            <w:pPr>
              <w:pStyle w:val="15"/>
              <w:spacing w:line="480" w:lineRule="exact"/>
              <w:jc w:val="center"/>
              <w:rPr>
                <w:rFonts w:hint="default" w:hAnsi="宋体" w:eastAsia="宋体" w:cs="宋体"/>
                <w:color w:val="auto"/>
                <w:spacing w:val="0"/>
                <w:kern w:val="2"/>
                <w:sz w:val="21"/>
                <w:szCs w:val="21"/>
                <w:lang w:val="en-US" w:eastAsia="zh-CN"/>
              </w:rPr>
            </w:pPr>
            <w:r>
              <w:rPr>
                <w:rFonts w:hint="eastAsia" w:hAnsi="宋体" w:cs="宋体"/>
                <w:color w:val="auto"/>
                <w:spacing w:val="0"/>
                <w:kern w:val="2"/>
                <w:sz w:val="21"/>
                <w:szCs w:val="21"/>
                <w:lang w:val="en-US" w:eastAsia="zh-CN"/>
              </w:rPr>
              <w:t>1.2.2</w:t>
            </w:r>
          </w:p>
        </w:tc>
        <w:tc>
          <w:tcPr>
            <w:tcW w:w="1696" w:type="dxa"/>
            <w:vAlign w:val="center"/>
          </w:tcPr>
          <w:p>
            <w:pPr>
              <w:pStyle w:val="15"/>
              <w:spacing w:line="480" w:lineRule="exact"/>
              <w:ind w:left="15" w:hanging="14" w:hangingChars="7"/>
              <w:jc w:val="center"/>
              <w:rPr>
                <w:rFonts w:hint="eastAsia" w:hAnsi="宋体" w:eastAsia="宋体" w:cs="宋体"/>
                <w:color w:val="auto"/>
                <w:spacing w:val="0"/>
                <w:kern w:val="2"/>
                <w:sz w:val="21"/>
                <w:szCs w:val="21"/>
                <w:lang w:eastAsia="zh-CN"/>
              </w:rPr>
            </w:pPr>
            <w:r>
              <w:rPr>
                <w:rFonts w:hint="eastAsia" w:hAnsi="宋体" w:cs="宋体"/>
                <w:color w:val="auto"/>
                <w:spacing w:val="0"/>
                <w:kern w:val="2"/>
                <w:sz w:val="21"/>
                <w:szCs w:val="21"/>
                <w:lang w:eastAsia="zh-CN"/>
              </w:rPr>
              <w:t>服务地点</w:t>
            </w:r>
          </w:p>
        </w:tc>
        <w:tc>
          <w:tcPr>
            <w:tcW w:w="5896" w:type="dxa"/>
            <w:vAlign w:val="center"/>
          </w:tcPr>
          <w:p>
            <w:pPr>
              <w:spacing w:line="480" w:lineRule="exact"/>
              <w:rPr>
                <w:rFonts w:hint="eastAsia" w:ascii="宋体" w:hAnsi="宋体" w:eastAsia="宋体" w:cs="宋体"/>
                <w:color w:val="auto"/>
                <w:szCs w:val="21"/>
                <w:lang w:eastAsia="zh-CN"/>
              </w:rPr>
            </w:pPr>
            <w:r>
              <w:rPr>
                <w:rFonts w:hint="eastAsia" w:ascii="宋体" w:hAnsi="宋体" w:cs="宋体"/>
                <w:color w:val="auto"/>
                <w:szCs w:val="21"/>
                <w:lang w:eastAsia="zh-CN"/>
              </w:rPr>
              <w:t>中牟县境内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1.2.3</w:t>
            </w:r>
          </w:p>
        </w:tc>
        <w:tc>
          <w:tcPr>
            <w:tcW w:w="1696" w:type="dxa"/>
            <w:vAlign w:val="center"/>
          </w:tcPr>
          <w:p>
            <w:pPr>
              <w:pStyle w:val="15"/>
              <w:spacing w:line="480" w:lineRule="exact"/>
              <w:ind w:left="15" w:hanging="14" w:hangingChars="7"/>
              <w:jc w:val="center"/>
              <w:rPr>
                <w:rFonts w:hAnsi="宋体" w:cs="宋体"/>
                <w:color w:val="auto"/>
                <w:spacing w:val="0"/>
                <w:kern w:val="2"/>
                <w:sz w:val="21"/>
                <w:szCs w:val="21"/>
              </w:rPr>
            </w:pPr>
            <w:r>
              <w:rPr>
                <w:rFonts w:hint="eastAsia" w:hAnsi="宋体" w:cs="宋体"/>
                <w:color w:val="auto"/>
                <w:spacing w:val="0"/>
                <w:kern w:val="2"/>
                <w:sz w:val="21"/>
                <w:szCs w:val="21"/>
              </w:rPr>
              <w:t>资金落实情况</w:t>
            </w:r>
          </w:p>
        </w:tc>
        <w:tc>
          <w:tcPr>
            <w:tcW w:w="5896" w:type="dxa"/>
            <w:vAlign w:val="center"/>
          </w:tcPr>
          <w:p>
            <w:pPr>
              <w:spacing w:line="480" w:lineRule="exact"/>
              <w:rPr>
                <w:rFonts w:ascii="宋体" w:hAnsi="宋体" w:cs="宋体"/>
                <w:color w:val="auto"/>
                <w:kern w:val="0"/>
                <w:szCs w:val="21"/>
              </w:rPr>
            </w:pPr>
            <w:r>
              <w:rPr>
                <w:rFonts w:hint="eastAsia" w:ascii="宋体" w:hAnsi="宋体" w:cs="宋体"/>
                <w:color w:val="auto"/>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1.3.2</w:t>
            </w:r>
          </w:p>
        </w:tc>
        <w:tc>
          <w:tcPr>
            <w:tcW w:w="1696" w:type="dxa"/>
            <w:vAlign w:val="center"/>
          </w:tcPr>
          <w:p>
            <w:pPr>
              <w:pStyle w:val="15"/>
              <w:spacing w:line="480" w:lineRule="exact"/>
              <w:ind w:left="13" w:hanging="12" w:hangingChars="6"/>
              <w:jc w:val="center"/>
              <w:rPr>
                <w:rFonts w:hAnsi="宋体" w:cs="宋体"/>
                <w:color w:val="auto"/>
                <w:spacing w:val="0"/>
                <w:kern w:val="2"/>
                <w:sz w:val="21"/>
                <w:szCs w:val="21"/>
              </w:rPr>
            </w:pPr>
            <w:r>
              <w:rPr>
                <w:rFonts w:hint="eastAsia" w:hAnsi="宋体" w:cs="宋体"/>
                <w:color w:val="auto"/>
                <w:spacing w:val="0"/>
                <w:kern w:val="2"/>
                <w:sz w:val="21"/>
                <w:szCs w:val="21"/>
              </w:rPr>
              <w:t>服务期限</w:t>
            </w:r>
          </w:p>
        </w:tc>
        <w:tc>
          <w:tcPr>
            <w:tcW w:w="5896" w:type="dxa"/>
            <w:vAlign w:val="center"/>
          </w:tcPr>
          <w:p>
            <w:pPr>
              <w:spacing w:line="480" w:lineRule="exact"/>
              <w:rPr>
                <w:rFonts w:ascii="宋体" w:hAnsi="宋体" w:cs="宋体"/>
                <w:color w:val="auto"/>
                <w:szCs w:val="21"/>
              </w:rPr>
            </w:pPr>
            <w:r>
              <w:rPr>
                <w:rFonts w:hint="eastAsia" w:ascii="宋体" w:hAnsi="宋体" w:cs="宋体"/>
                <w:color w:val="auto"/>
                <w:szCs w:val="21"/>
                <w:lang w:eastAsia="zh-CN"/>
              </w:rPr>
              <w:t>一</w:t>
            </w:r>
            <w:r>
              <w:rPr>
                <w:rFonts w:hint="eastAsia" w:ascii="宋体" w:hAnsi="宋体" w:cs="宋体"/>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1.3.4</w:t>
            </w:r>
          </w:p>
        </w:tc>
        <w:tc>
          <w:tcPr>
            <w:tcW w:w="1696" w:type="dxa"/>
            <w:vAlign w:val="center"/>
          </w:tcPr>
          <w:p>
            <w:pPr>
              <w:pStyle w:val="15"/>
              <w:spacing w:line="480" w:lineRule="exact"/>
              <w:ind w:left="19" w:hanging="18" w:hangingChars="9"/>
              <w:jc w:val="center"/>
              <w:rPr>
                <w:rFonts w:hAnsi="宋体" w:cs="宋体"/>
                <w:color w:val="auto"/>
                <w:spacing w:val="0"/>
                <w:kern w:val="2"/>
                <w:sz w:val="21"/>
                <w:szCs w:val="21"/>
              </w:rPr>
            </w:pPr>
            <w:r>
              <w:rPr>
                <w:rFonts w:hint="eastAsia" w:hAnsi="宋体" w:cs="宋体"/>
                <w:color w:val="auto"/>
                <w:spacing w:val="0"/>
                <w:kern w:val="2"/>
                <w:sz w:val="21"/>
                <w:szCs w:val="21"/>
              </w:rPr>
              <w:t>服务质量</w:t>
            </w:r>
          </w:p>
        </w:tc>
        <w:tc>
          <w:tcPr>
            <w:tcW w:w="5896" w:type="dxa"/>
            <w:vAlign w:val="center"/>
          </w:tcPr>
          <w:p>
            <w:pPr>
              <w:spacing w:line="480" w:lineRule="exact"/>
              <w:rPr>
                <w:rFonts w:ascii="宋体" w:hAnsi="宋体" w:cs="宋体"/>
                <w:color w:val="auto"/>
                <w:szCs w:val="21"/>
              </w:rPr>
            </w:pPr>
            <w:r>
              <w:rPr>
                <w:rFonts w:hint="eastAsia" w:ascii="宋体" w:hAnsi="宋体" w:cs="宋体"/>
                <w:color w:val="auto"/>
                <w:szCs w:val="21"/>
              </w:rPr>
              <w:t>符合国家现行规范和相关质量标准要求，满足采购人相关要求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1.4.1</w:t>
            </w:r>
          </w:p>
        </w:tc>
        <w:tc>
          <w:tcPr>
            <w:tcW w:w="1696" w:type="dxa"/>
            <w:vAlign w:val="center"/>
          </w:tcPr>
          <w:p>
            <w:pPr>
              <w:pStyle w:val="15"/>
              <w:spacing w:line="480" w:lineRule="exact"/>
              <w:ind w:left="15" w:hanging="14" w:hangingChars="7"/>
              <w:jc w:val="center"/>
              <w:rPr>
                <w:rFonts w:hAnsi="宋体" w:cs="宋体"/>
                <w:color w:val="auto"/>
                <w:spacing w:val="0"/>
                <w:sz w:val="21"/>
                <w:szCs w:val="21"/>
              </w:rPr>
            </w:pPr>
            <w:r>
              <w:rPr>
                <w:rFonts w:hint="eastAsia" w:hAnsi="宋体" w:cs="宋体"/>
                <w:color w:val="auto"/>
                <w:spacing w:val="0"/>
                <w:kern w:val="2"/>
                <w:sz w:val="21"/>
                <w:szCs w:val="21"/>
              </w:rPr>
              <w:t>供应商资质条件和能力</w:t>
            </w:r>
          </w:p>
        </w:tc>
        <w:tc>
          <w:tcPr>
            <w:tcW w:w="5896" w:type="dxa"/>
            <w:vAlign w:val="center"/>
          </w:tcPr>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ascii="宋体" w:hAnsi="宋体" w:cs="宋体"/>
                <w:color w:val="auto"/>
                <w:szCs w:val="21"/>
              </w:rPr>
            </w:pPr>
            <w:r>
              <w:rPr>
                <w:rFonts w:hint="eastAsia" w:ascii="宋体" w:hAnsi="宋体" w:cs="宋体"/>
                <w:color w:val="auto"/>
                <w:szCs w:val="21"/>
              </w:rPr>
              <w:t>（1）具有独立承担民事责任的能力；（提供营业执照等相关证明材料）</w:t>
            </w:r>
          </w:p>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ascii="宋体" w:hAnsi="宋体" w:cs="宋体"/>
                <w:color w:val="auto"/>
                <w:szCs w:val="21"/>
              </w:rPr>
            </w:pPr>
            <w:r>
              <w:rPr>
                <w:rFonts w:hint="eastAsia" w:ascii="宋体" w:hAnsi="宋体" w:cs="宋体"/>
                <w:color w:val="auto"/>
                <w:szCs w:val="21"/>
              </w:rPr>
              <w:t>（2）具有良好的商业信誉和健全的财务会计制度；（</w:t>
            </w:r>
            <w:r>
              <w:rPr>
                <w:rFonts w:hint="eastAsia" w:ascii="宋体" w:hAnsi="宋体" w:eastAsia="宋体" w:cs="宋体"/>
                <w:color w:val="auto"/>
                <w:sz w:val="21"/>
                <w:szCs w:val="21"/>
                <w:lang w:val="en-US" w:eastAsia="zh-CN"/>
              </w:rPr>
              <w:t>提供202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年度财务审计报告（成立年限不足的以实际年限为准，可提供基本账户开户银行出具的资信证明）</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ascii="宋体" w:hAnsi="宋体" w:cs="宋体"/>
                <w:color w:val="auto"/>
                <w:szCs w:val="21"/>
              </w:rPr>
            </w:pPr>
            <w:r>
              <w:rPr>
                <w:rFonts w:hint="eastAsia" w:ascii="宋体" w:hAnsi="宋体" w:cs="宋体"/>
                <w:color w:val="auto"/>
                <w:szCs w:val="21"/>
              </w:rPr>
              <w:t>（3）具有履行合同所必需的设备和专业技术能力；（</w:t>
            </w:r>
            <w:r>
              <w:rPr>
                <w:rFonts w:hint="eastAsia" w:ascii="宋体" w:hAnsi="宋体" w:eastAsia="宋体" w:cs="宋体"/>
                <w:color w:val="auto"/>
                <w:sz w:val="21"/>
                <w:szCs w:val="21"/>
                <w:lang w:val="en-US" w:eastAsia="zh-CN"/>
              </w:rPr>
              <w:t>提供承诺书或相关证明材料，格式自拟</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ascii="宋体" w:hAnsi="宋体" w:cs="宋体"/>
                <w:color w:val="auto"/>
                <w:szCs w:val="21"/>
              </w:rPr>
            </w:pPr>
            <w:r>
              <w:rPr>
                <w:rFonts w:hint="eastAsia" w:ascii="宋体" w:hAnsi="宋体" w:cs="宋体"/>
                <w:color w:val="auto"/>
                <w:szCs w:val="21"/>
              </w:rPr>
              <w:t>（4）有依法缴纳税收和社会保障资金的良好记录；（</w:t>
            </w:r>
            <w:r>
              <w:rPr>
                <w:rFonts w:hint="eastAsia" w:ascii="宋体" w:hAnsi="宋体" w:eastAsia="宋体" w:cs="宋体"/>
                <w:color w:val="auto"/>
                <w:sz w:val="21"/>
                <w:szCs w:val="21"/>
                <w:lang w:val="en-US" w:eastAsia="zh-CN"/>
              </w:rPr>
              <w:t>提供202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年1月1日以来任意</w:t>
            </w:r>
            <w:r>
              <w:rPr>
                <w:rFonts w:hint="eastAsia" w:ascii="宋体" w:hAnsi="宋体" w:eastAsia="宋体" w:cs="宋体"/>
                <w:color w:val="auto"/>
                <w:sz w:val="21"/>
                <w:szCs w:val="21"/>
                <w:highlight w:val="none"/>
                <w:lang w:val="en-US" w:eastAsia="zh-CN"/>
              </w:rPr>
              <w:t>一个月</w:t>
            </w:r>
            <w:r>
              <w:rPr>
                <w:rFonts w:hint="eastAsia" w:ascii="宋体" w:hAnsi="宋体" w:eastAsia="宋体" w:cs="宋体"/>
                <w:color w:val="auto"/>
                <w:sz w:val="21"/>
                <w:szCs w:val="21"/>
                <w:lang w:val="en-US" w:eastAsia="zh-CN"/>
              </w:rPr>
              <w:t>的缴纳纳税与社保相关证明材料</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ascii="宋体" w:hAnsi="宋体" w:cs="宋体"/>
                <w:color w:val="auto"/>
                <w:szCs w:val="21"/>
              </w:rPr>
            </w:pPr>
            <w:r>
              <w:rPr>
                <w:rFonts w:hint="eastAsia" w:ascii="宋体" w:hAnsi="宋体" w:cs="宋体"/>
                <w:color w:val="auto"/>
                <w:szCs w:val="21"/>
              </w:rPr>
              <w:t>（5）参加政府采购活动前三年内，在经营活动中没有重大违法记录；（提供无违法记录书面声明函，格式自拟）</w:t>
            </w:r>
          </w:p>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ascii="宋体" w:hAnsi="宋体" w:cs="宋体"/>
                <w:color w:val="auto"/>
                <w:szCs w:val="21"/>
              </w:rPr>
            </w:pPr>
            <w:r>
              <w:rPr>
                <w:rFonts w:hint="eastAsia" w:ascii="宋体" w:hAnsi="宋体" w:cs="宋体"/>
                <w:color w:val="auto"/>
                <w:szCs w:val="21"/>
              </w:rPr>
              <w:t>（6）法律、行政法规规定的其他条件。</w:t>
            </w:r>
          </w:p>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2、落实政府采购政策需满足的资格要求：</w:t>
            </w:r>
            <w:r>
              <w:rPr>
                <w:rFonts w:hint="eastAsia" w:ascii="宋体" w:hAnsi="宋体" w:eastAsia="宋体" w:cs="宋体"/>
                <w:color w:val="auto"/>
                <w:szCs w:val="21"/>
                <w:lang w:val="en-US" w:eastAsia="zh-CN"/>
              </w:rPr>
              <w:t>本项目落实政府采购促进中小企业发展（监狱企业、残疾人福利性企业视同小微企业），对小型和微型企业产品的价格给予20%的扣除，用扣除后的价格参与评审；政府采购鼓励采购节能环保产品等相关政府采购政策。</w:t>
            </w:r>
          </w:p>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3、本项目的特定资格要求：</w:t>
            </w:r>
          </w:p>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3.1供应商须具有</w:t>
            </w:r>
            <w:r>
              <w:rPr>
                <w:rFonts w:hint="eastAsia" w:ascii="宋体" w:hAnsi="宋体" w:eastAsia="宋体" w:cs="宋体"/>
                <w:color w:val="auto"/>
                <w:szCs w:val="21"/>
                <w:lang w:val="en-US" w:eastAsia="zh-CN"/>
              </w:rPr>
              <w:t>中华人民共和国保险许可证</w:t>
            </w:r>
            <w:r>
              <w:rPr>
                <w:rFonts w:hint="eastAsia" w:ascii="宋体" w:hAnsi="宋体" w:eastAsia="宋体" w:cs="宋体"/>
                <w:color w:val="auto"/>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3.2信誉要求：</w:t>
            </w:r>
          </w:p>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根据财政部《关于在政府采购活动中查询及使用信用记录有关问题的通知》（财库〔2016〕125号）规定，列入“中国执行信息公开网”网站的“失信被执行人”、“信用中国”网站的“重大税收违法失信主体”、“中国政府采购网”网站的“政府采购严重违法失信行为记录名单”的投标人，将拒绝参与本次政府采购活动。【采购人或采购代理机构在开标当天将对所有参与本项目投标的投标人信用情况进行查询（失信被执行人、重大税收违法失信主体、政府采购严重违法失信行为记录名单）、查询记录打印留存。】</w:t>
            </w:r>
          </w:p>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3.3其他要求：单位负责人为同一人或者存在控股、管理关系的不同单位，不得参加同一招标项目投标（提供“国家企业信用信息公示系统”中公示的公司信息、股东或投资人信息截图）。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1.4.2</w:t>
            </w:r>
          </w:p>
        </w:tc>
        <w:tc>
          <w:tcPr>
            <w:tcW w:w="1696"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是否接受联合体响应</w:t>
            </w:r>
          </w:p>
        </w:tc>
        <w:tc>
          <w:tcPr>
            <w:tcW w:w="5896" w:type="dxa"/>
            <w:vAlign w:val="center"/>
          </w:tcPr>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ascii="宋体" w:hAnsi="宋体" w:cs="宋体"/>
                <w:color w:val="auto"/>
                <w:szCs w:val="21"/>
              </w:rPr>
            </w:pPr>
            <w:r>
              <w:rPr>
                <w:rFonts w:hint="eastAsia" w:ascii="宋体" w:hAnsi="宋体" w:cs="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1.9.1</w:t>
            </w:r>
          </w:p>
        </w:tc>
        <w:tc>
          <w:tcPr>
            <w:tcW w:w="1696" w:type="dxa"/>
            <w:vAlign w:val="center"/>
          </w:tcPr>
          <w:p>
            <w:pPr>
              <w:pStyle w:val="15"/>
              <w:spacing w:line="480" w:lineRule="exact"/>
              <w:ind w:left="15" w:hanging="14" w:hangingChars="7"/>
              <w:jc w:val="center"/>
              <w:rPr>
                <w:rFonts w:hAnsi="宋体" w:cs="宋体"/>
                <w:color w:val="auto"/>
                <w:spacing w:val="0"/>
                <w:sz w:val="21"/>
                <w:szCs w:val="21"/>
              </w:rPr>
            </w:pPr>
            <w:r>
              <w:rPr>
                <w:rFonts w:hint="eastAsia" w:hAnsi="宋体" w:cs="宋体"/>
                <w:color w:val="auto"/>
                <w:spacing w:val="0"/>
                <w:sz w:val="21"/>
                <w:szCs w:val="21"/>
              </w:rPr>
              <w:t>踏勘现场</w:t>
            </w:r>
          </w:p>
        </w:tc>
        <w:tc>
          <w:tcPr>
            <w:tcW w:w="5896" w:type="dxa"/>
            <w:vAlign w:val="center"/>
          </w:tcPr>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ascii="宋体" w:hAnsi="宋体" w:cs="宋体"/>
                <w:color w:val="auto"/>
                <w:szCs w:val="21"/>
              </w:rPr>
            </w:pPr>
            <w:r>
              <w:rPr>
                <w:rFonts w:hint="eastAsia" w:ascii="宋体" w:hAnsi="宋体" w:cs="宋体"/>
                <w:color w:val="auto"/>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1.10.1</w:t>
            </w:r>
          </w:p>
        </w:tc>
        <w:tc>
          <w:tcPr>
            <w:tcW w:w="1696" w:type="dxa"/>
            <w:vAlign w:val="center"/>
          </w:tcPr>
          <w:p>
            <w:pPr>
              <w:pStyle w:val="15"/>
              <w:spacing w:line="480" w:lineRule="exact"/>
              <w:ind w:left="15" w:hanging="14" w:hangingChars="7"/>
              <w:jc w:val="center"/>
              <w:rPr>
                <w:rFonts w:hAnsi="宋体" w:cs="宋体"/>
                <w:color w:val="auto"/>
                <w:spacing w:val="0"/>
                <w:sz w:val="21"/>
                <w:szCs w:val="21"/>
              </w:rPr>
            </w:pPr>
            <w:r>
              <w:rPr>
                <w:rFonts w:hint="eastAsia" w:hAnsi="宋体" w:cs="宋体"/>
                <w:color w:val="auto"/>
                <w:spacing w:val="0"/>
                <w:sz w:val="21"/>
                <w:szCs w:val="21"/>
              </w:rPr>
              <w:t>响应预备会</w:t>
            </w:r>
          </w:p>
        </w:tc>
        <w:tc>
          <w:tcPr>
            <w:tcW w:w="5896" w:type="dxa"/>
            <w:vAlign w:val="center"/>
          </w:tcPr>
          <w:p>
            <w:pPr>
              <w:keepNext w:val="0"/>
              <w:keepLines w:val="0"/>
              <w:pageBreakBefore w:val="0"/>
              <w:widowControl w:val="0"/>
              <w:kinsoku/>
              <w:wordWrap/>
              <w:overflowPunct/>
              <w:topLinePunct w:val="0"/>
              <w:autoSpaceDE/>
              <w:autoSpaceDN/>
              <w:bidi w:val="0"/>
              <w:adjustRightInd w:val="0"/>
              <w:snapToGrid w:val="0"/>
              <w:spacing w:line="460" w:lineRule="atLeast"/>
              <w:jc w:val="left"/>
              <w:textAlignment w:val="auto"/>
              <w:rPr>
                <w:rFonts w:ascii="宋体" w:hAnsi="宋体" w:cs="宋体"/>
                <w:color w:val="auto"/>
                <w:szCs w:val="21"/>
              </w:rPr>
            </w:pPr>
            <w:r>
              <w:rPr>
                <w:rFonts w:hint="eastAsia" w:ascii="宋体" w:hAnsi="宋体" w:cs="宋体"/>
                <w:color w:val="auto"/>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28" w:type="dxa"/>
            <w:vAlign w:val="center"/>
          </w:tcPr>
          <w:p>
            <w:pPr>
              <w:pStyle w:val="15"/>
              <w:spacing w:line="480" w:lineRule="exact"/>
              <w:jc w:val="center"/>
              <w:rPr>
                <w:rFonts w:hint="default" w:hAnsi="宋体" w:eastAsia="宋体" w:cs="宋体"/>
                <w:color w:val="auto"/>
                <w:spacing w:val="0"/>
                <w:kern w:val="2"/>
                <w:sz w:val="21"/>
                <w:szCs w:val="21"/>
                <w:lang w:val="en-US" w:eastAsia="zh-CN"/>
              </w:rPr>
            </w:pPr>
            <w:r>
              <w:rPr>
                <w:rFonts w:hint="eastAsia" w:hAnsi="宋体" w:cs="宋体"/>
                <w:color w:val="auto"/>
                <w:spacing w:val="0"/>
                <w:kern w:val="2"/>
                <w:sz w:val="21"/>
                <w:szCs w:val="21"/>
                <w:lang w:val="en-US" w:eastAsia="zh-CN"/>
              </w:rPr>
              <w:t>1.10.3</w:t>
            </w:r>
          </w:p>
        </w:tc>
        <w:tc>
          <w:tcPr>
            <w:tcW w:w="1696" w:type="dxa"/>
            <w:vAlign w:val="center"/>
          </w:tcPr>
          <w:p>
            <w:pPr>
              <w:pStyle w:val="15"/>
              <w:spacing w:line="360" w:lineRule="auto"/>
              <w:ind w:left="15" w:hanging="14" w:hangingChars="7"/>
              <w:jc w:val="center"/>
              <w:rPr>
                <w:rFonts w:hint="eastAsia" w:hAnsi="宋体" w:cs="宋体"/>
                <w:color w:val="auto"/>
                <w:spacing w:val="0"/>
                <w:sz w:val="21"/>
                <w:szCs w:val="21"/>
              </w:rPr>
            </w:pPr>
            <w:r>
              <w:rPr>
                <w:rFonts w:hint="eastAsia" w:hAnsi="宋体" w:cs="宋体"/>
                <w:color w:val="auto"/>
                <w:spacing w:val="0"/>
                <w:sz w:val="21"/>
                <w:szCs w:val="21"/>
                <w:lang w:val="en-US" w:eastAsia="zh-CN"/>
              </w:rPr>
              <w:t xml:space="preserve">采购人书面澄清 </w:t>
            </w:r>
          </w:p>
          <w:p>
            <w:pPr>
              <w:pStyle w:val="15"/>
              <w:spacing w:line="360" w:lineRule="auto"/>
              <w:ind w:left="15" w:hanging="14" w:hangingChars="7"/>
              <w:jc w:val="center"/>
              <w:rPr>
                <w:rFonts w:hint="eastAsia" w:hAnsi="宋体" w:cs="宋体"/>
                <w:color w:val="auto"/>
                <w:spacing w:val="0"/>
                <w:sz w:val="21"/>
                <w:szCs w:val="21"/>
              </w:rPr>
            </w:pPr>
            <w:r>
              <w:rPr>
                <w:rFonts w:hint="eastAsia" w:hAnsi="宋体" w:cs="宋体"/>
                <w:color w:val="auto"/>
                <w:spacing w:val="0"/>
                <w:sz w:val="21"/>
                <w:szCs w:val="21"/>
                <w:lang w:val="en-US" w:eastAsia="zh-CN"/>
              </w:rPr>
              <w:t>的时间</w:t>
            </w:r>
          </w:p>
        </w:tc>
        <w:tc>
          <w:tcPr>
            <w:tcW w:w="5896" w:type="dxa"/>
            <w:vAlign w:val="center"/>
          </w:tcPr>
          <w:p>
            <w:pPr>
              <w:keepNext w:val="0"/>
              <w:keepLines w:val="0"/>
              <w:pageBreakBefore w:val="0"/>
              <w:widowControl/>
              <w:suppressLineNumbers w:val="0"/>
              <w:kinsoku/>
              <w:wordWrap/>
              <w:overflowPunct/>
              <w:topLinePunct w:val="0"/>
              <w:autoSpaceDE/>
              <w:autoSpaceDN/>
              <w:bidi w:val="0"/>
              <w:spacing w:line="460" w:lineRule="atLeast"/>
              <w:jc w:val="left"/>
              <w:textAlignment w:val="auto"/>
              <w:rPr>
                <w:rFonts w:hint="eastAsia" w:ascii="宋体" w:hAnsi="宋体" w:cs="宋体"/>
                <w:color w:val="auto"/>
                <w:szCs w:val="21"/>
              </w:rPr>
            </w:pPr>
            <w:r>
              <w:rPr>
                <w:rFonts w:hint="eastAsia" w:ascii="宋体" w:hAnsi="宋体" w:cs="宋体"/>
                <w:color w:val="auto"/>
                <w:szCs w:val="21"/>
                <w:lang w:val="en-US" w:eastAsia="zh-CN"/>
              </w:rPr>
              <w:t>递交响应文件截止之日5天前，采购人如对已发出的磋商文件进行必要澄清或者修改的，中牟县公共资源交易中心网上上传形式，各潜在供应商可自行登陆系统察看并及时下载，该澄清或者修改的内容为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1.11</w:t>
            </w:r>
          </w:p>
        </w:tc>
        <w:tc>
          <w:tcPr>
            <w:tcW w:w="1696" w:type="dxa"/>
            <w:vAlign w:val="center"/>
          </w:tcPr>
          <w:p>
            <w:pPr>
              <w:pStyle w:val="15"/>
              <w:spacing w:line="480" w:lineRule="exact"/>
              <w:ind w:left="15" w:hanging="14" w:hangingChars="7"/>
              <w:jc w:val="center"/>
              <w:rPr>
                <w:rFonts w:hAnsi="宋体" w:cs="宋体"/>
                <w:color w:val="auto"/>
                <w:spacing w:val="0"/>
                <w:kern w:val="2"/>
                <w:sz w:val="21"/>
                <w:szCs w:val="21"/>
              </w:rPr>
            </w:pPr>
            <w:r>
              <w:rPr>
                <w:rFonts w:hint="eastAsia" w:hAnsi="宋体" w:cs="宋体"/>
                <w:color w:val="auto"/>
                <w:spacing w:val="0"/>
                <w:kern w:val="2"/>
                <w:sz w:val="21"/>
                <w:szCs w:val="21"/>
              </w:rPr>
              <w:t>分包</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2.1</w:t>
            </w:r>
          </w:p>
        </w:tc>
        <w:tc>
          <w:tcPr>
            <w:tcW w:w="1696" w:type="dxa"/>
            <w:vAlign w:val="center"/>
          </w:tcPr>
          <w:p>
            <w:pPr>
              <w:adjustRightInd w:val="0"/>
              <w:snapToGrid w:val="0"/>
              <w:spacing w:line="480" w:lineRule="exact"/>
              <w:jc w:val="center"/>
              <w:rPr>
                <w:rFonts w:ascii="宋体" w:hAnsi="宋体" w:cs="宋体"/>
                <w:color w:val="auto"/>
                <w:szCs w:val="21"/>
              </w:rPr>
            </w:pPr>
            <w:r>
              <w:rPr>
                <w:rFonts w:hint="eastAsia" w:ascii="宋体" w:hAnsi="宋体" w:cs="宋体"/>
                <w:color w:val="auto"/>
                <w:szCs w:val="21"/>
              </w:rPr>
              <w:t>构成竞争性磋商文件的其他材料</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除磋商文件外，采购人在磋商期间发出的澄清、修改、补充、补遗和其它有效正式函件等内容均是磋商文件的组成部分。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2.2.1</w:t>
            </w:r>
          </w:p>
        </w:tc>
        <w:tc>
          <w:tcPr>
            <w:tcW w:w="1696" w:type="dxa"/>
            <w:vAlign w:val="center"/>
          </w:tcPr>
          <w:p>
            <w:pPr>
              <w:adjustRightInd w:val="0"/>
              <w:snapToGrid w:val="0"/>
              <w:spacing w:line="480" w:lineRule="exact"/>
              <w:jc w:val="center"/>
              <w:rPr>
                <w:rFonts w:ascii="宋体" w:hAnsi="宋体" w:cs="宋体"/>
                <w:color w:val="auto"/>
                <w:szCs w:val="21"/>
              </w:rPr>
            </w:pPr>
            <w:r>
              <w:rPr>
                <w:rFonts w:hint="eastAsia" w:ascii="宋体" w:hAnsi="宋体" w:cs="宋体"/>
                <w:color w:val="auto"/>
                <w:szCs w:val="21"/>
              </w:rPr>
              <w:t>供应商要求澄清竞争性磋商文件的截止时间</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递交磋商文件截至之日7天前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2.2.2</w:t>
            </w:r>
          </w:p>
        </w:tc>
        <w:tc>
          <w:tcPr>
            <w:tcW w:w="1696" w:type="dxa"/>
            <w:vAlign w:val="center"/>
          </w:tcPr>
          <w:p>
            <w:pPr>
              <w:adjustRightInd w:val="0"/>
              <w:snapToGrid w:val="0"/>
              <w:spacing w:line="480" w:lineRule="exact"/>
              <w:jc w:val="center"/>
              <w:rPr>
                <w:rFonts w:ascii="宋体" w:hAnsi="宋体" w:cs="宋体"/>
                <w:color w:val="auto"/>
                <w:szCs w:val="21"/>
              </w:rPr>
            </w:pPr>
            <w:r>
              <w:rPr>
                <w:rFonts w:hint="eastAsia" w:ascii="宋体" w:hAnsi="宋体" w:cs="宋体"/>
                <w:color w:val="auto"/>
                <w:szCs w:val="21"/>
              </w:rPr>
              <w:t>提交响应文件</w:t>
            </w:r>
          </w:p>
          <w:p>
            <w:pPr>
              <w:adjustRightInd w:val="0"/>
              <w:snapToGrid w:val="0"/>
              <w:spacing w:line="480" w:lineRule="exact"/>
              <w:jc w:val="center"/>
              <w:rPr>
                <w:rFonts w:ascii="宋体" w:hAnsi="宋体" w:cs="宋体"/>
                <w:color w:val="auto"/>
                <w:szCs w:val="21"/>
              </w:rPr>
            </w:pPr>
            <w:r>
              <w:rPr>
                <w:rFonts w:hint="eastAsia" w:ascii="宋体" w:hAnsi="宋体" w:cs="宋体"/>
                <w:color w:val="auto"/>
                <w:szCs w:val="21"/>
              </w:rPr>
              <w:t>截止时间</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ascii="宋体" w:hAnsi="宋体" w:cs="宋体"/>
                <w:color w:val="auto"/>
                <w:szCs w:val="21"/>
                <w:lang w:val="en-US" w:eastAsia="zh-CN"/>
              </w:rPr>
              <w:t>2024</w:t>
            </w:r>
            <w:r>
              <w:rPr>
                <w:rFonts w:hint="eastAsia" w:ascii="宋体" w:hAnsi="宋体" w:cs="宋体"/>
                <w:color w:val="auto"/>
                <w:szCs w:val="21"/>
                <w:lang w:eastAsia="zh-CN"/>
              </w:rPr>
              <w:t>年</w:t>
            </w:r>
            <w:r>
              <w:rPr>
                <w:rFonts w:hint="eastAsia" w:ascii="宋体" w:hAnsi="宋体" w:cs="宋体"/>
                <w:color w:val="auto"/>
                <w:szCs w:val="21"/>
                <w:u w:val="single"/>
                <w:lang w:val="en-US" w:eastAsia="zh-CN"/>
              </w:rPr>
              <w:t xml:space="preserve">   </w:t>
            </w:r>
            <w:r>
              <w:rPr>
                <w:rFonts w:hint="eastAsia" w:ascii="宋体" w:hAnsi="宋体" w:cs="宋体"/>
                <w:color w:val="auto"/>
                <w:szCs w:val="21"/>
                <w:lang w:eastAsia="zh-CN"/>
              </w:rPr>
              <w:t>月</w:t>
            </w:r>
            <w:r>
              <w:rPr>
                <w:rFonts w:hint="eastAsia" w:ascii="宋体" w:hAnsi="宋体" w:cs="宋体"/>
                <w:color w:val="auto"/>
                <w:szCs w:val="21"/>
                <w:u w:val="single"/>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rPr>
              <w:t>09时00分（北京时间）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2.2.3</w:t>
            </w:r>
          </w:p>
        </w:tc>
        <w:tc>
          <w:tcPr>
            <w:tcW w:w="1696" w:type="dxa"/>
            <w:vAlign w:val="center"/>
          </w:tcPr>
          <w:p>
            <w:pPr>
              <w:adjustRightInd w:val="0"/>
              <w:snapToGrid w:val="0"/>
              <w:spacing w:line="480" w:lineRule="exact"/>
              <w:jc w:val="center"/>
              <w:rPr>
                <w:rFonts w:ascii="宋体" w:hAnsi="宋体" w:cs="宋体"/>
                <w:color w:val="auto"/>
                <w:szCs w:val="21"/>
              </w:rPr>
            </w:pPr>
            <w:r>
              <w:rPr>
                <w:rFonts w:hint="eastAsia" w:ascii="宋体" w:hAnsi="宋体" w:cs="宋体"/>
                <w:color w:val="auto"/>
                <w:szCs w:val="21"/>
              </w:rPr>
              <w:t>供应商确认收到招标文件澄清的时间</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磋商文件的补充文件发出之日24小时内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28" w:type="dxa"/>
            <w:vAlign w:val="center"/>
          </w:tcPr>
          <w:p>
            <w:pPr>
              <w:adjustRightInd w:val="0"/>
              <w:snapToGrid w:val="0"/>
              <w:spacing w:line="480" w:lineRule="exact"/>
              <w:jc w:val="center"/>
              <w:rPr>
                <w:rFonts w:ascii="宋体" w:hAnsi="宋体" w:cs="宋体"/>
                <w:color w:val="auto"/>
                <w:szCs w:val="21"/>
              </w:rPr>
            </w:pPr>
            <w:r>
              <w:rPr>
                <w:rFonts w:hint="eastAsia" w:ascii="宋体" w:hAnsi="宋体" w:cs="宋体"/>
                <w:color w:val="auto"/>
                <w:szCs w:val="21"/>
              </w:rPr>
              <w:t>2.3.2</w:t>
            </w:r>
          </w:p>
        </w:tc>
        <w:tc>
          <w:tcPr>
            <w:tcW w:w="1696" w:type="dxa"/>
            <w:vAlign w:val="center"/>
          </w:tcPr>
          <w:p>
            <w:pPr>
              <w:adjustRightInd w:val="0"/>
              <w:snapToGrid w:val="0"/>
              <w:spacing w:line="480" w:lineRule="exact"/>
              <w:rPr>
                <w:rFonts w:ascii="宋体" w:hAnsi="宋体" w:cs="宋体"/>
                <w:color w:val="auto"/>
                <w:szCs w:val="21"/>
              </w:rPr>
            </w:pPr>
            <w:r>
              <w:rPr>
                <w:rFonts w:hint="eastAsia" w:ascii="宋体" w:hAnsi="宋体" w:cs="宋体"/>
                <w:color w:val="auto"/>
                <w:szCs w:val="21"/>
              </w:rPr>
              <w:t>供应商确认收到磋商文件修改的时间</w:t>
            </w:r>
          </w:p>
        </w:tc>
        <w:tc>
          <w:tcPr>
            <w:tcW w:w="5896" w:type="dxa"/>
            <w:vAlign w:val="center"/>
          </w:tcPr>
          <w:p>
            <w:pPr>
              <w:adjustRightInd w:val="0"/>
              <w:snapToGrid w:val="0"/>
              <w:spacing w:line="480" w:lineRule="exact"/>
              <w:rPr>
                <w:rFonts w:ascii="宋体" w:hAnsi="宋体" w:cs="宋体"/>
                <w:color w:val="auto"/>
                <w:szCs w:val="21"/>
              </w:rPr>
            </w:pPr>
            <w:r>
              <w:rPr>
                <w:rFonts w:hint="eastAsia" w:ascii="宋体" w:hAnsi="宋体" w:cs="宋体"/>
                <w:color w:val="auto"/>
                <w:szCs w:val="21"/>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3.1.1</w:t>
            </w:r>
          </w:p>
        </w:tc>
        <w:tc>
          <w:tcPr>
            <w:tcW w:w="1696" w:type="dxa"/>
            <w:vAlign w:val="center"/>
          </w:tcPr>
          <w:p>
            <w:pPr>
              <w:adjustRightInd w:val="0"/>
              <w:snapToGrid w:val="0"/>
              <w:spacing w:line="480" w:lineRule="exact"/>
              <w:jc w:val="center"/>
              <w:rPr>
                <w:rFonts w:ascii="宋体" w:hAnsi="宋体" w:cs="宋体"/>
                <w:color w:val="auto"/>
                <w:szCs w:val="21"/>
              </w:rPr>
            </w:pPr>
            <w:r>
              <w:rPr>
                <w:rFonts w:hint="eastAsia" w:ascii="宋体" w:hAnsi="宋体" w:cs="宋体"/>
                <w:color w:val="auto"/>
                <w:szCs w:val="21"/>
              </w:rPr>
              <w:t>构成响应文件的其他资料</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磋商文件中要求提交的其他资料以及供应商认为有利于其投标的其他资料。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28" w:type="dxa"/>
            <w:vAlign w:val="center"/>
          </w:tcPr>
          <w:p>
            <w:pPr>
              <w:adjustRightInd w:val="0"/>
              <w:snapToGrid w:val="0"/>
              <w:spacing w:line="480" w:lineRule="exact"/>
              <w:jc w:val="center"/>
              <w:textAlignment w:val="baseline"/>
              <w:rPr>
                <w:rFonts w:ascii="宋体" w:hAnsi="宋体" w:cs="宋体"/>
                <w:color w:val="auto"/>
                <w:szCs w:val="21"/>
              </w:rPr>
            </w:pPr>
            <w:r>
              <w:rPr>
                <w:rFonts w:hint="eastAsia" w:ascii="宋体" w:hAnsi="宋体" w:cs="宋体"/>
                <w:color w:val="auto"/>
                <w:szCs w:val="21"/>
              </w:rPr>
              <w:t>3.2.6</w:t>
            </w:r>
          </w:p>
        </w:tc>
        <w:tc>
          <w:tcPr>
            <w:tcW w:w="1696" w:type="dxa"/>
            <w:vAlign w:val="center"/>
          </w:tcPr>
          <w:p>
            <w:pPr>
              <w:adjustRightInd w:val="0"/>
              <w:snapToGrid w:val="0"/>
              <w:spacing w:line="480" w:lineRule="exact"/>
              <w:jc w:val="center"/>
              <w:textAlignment w:val="baseline"/>
              <w:rPr>
                <w:rFonts w:ascii="宋体" w:hAnsi="宋体" w:cs="宋体"/>
                <w:color w:val="auto"/>
                <w:szCs w:val="21"/>
              </w:rPr>
            </w:pPr>
            <w:r>
              <w:rPr>
                <w:rFonts w:hint="eastAsia" w:ascii="宋体" w:hAnsi="宋体" w:cs="宋体"/>
                <w:color w:val="auto"/>
                <w:szCs w:val="21"/>
              </w:rPr>
              <w:t>投标报价的</w:t>
            </w:r>
          </w:p>
          <w:p>
            <w:pPr>
              <w:adjustRightInd w:val="0"/>
              <w:snapToGrid w:val="0"/>
              <w:spacing w:line="480" w:lineRule="exact"/>
              <w:jc w:val="center"/>
              <w:textAlignment w:val="baseline"/>
              <w:rPr>
                <w:rFonts w:ascii="宋体" w:hAnsi="宋体" w:cs="宋体"/>
                <w:color w:val="auto"/>
                <w:szCs w:val="21"/>
              </w:rPr>
            </w:pPr>
            <w:r>
              <w:rPr>
                <w:rFonts w:hint="eastAsia" w:ascii="宋体" w:hAnsi="宋体" w:cs="宋体"/>
                <w:color w:val="auto"/>
                <w:szCs w:val="21"/>
              </w:rPr>
              <w:t>其他要求</w:t>
            </w:r>
          </w:p>
        </w:tc>
        <w:tc>
          <w:tcPr>
            <w:tcW w:w="5896" w:type="dxa"/>
            <w:vAlign w:val="center"/>
          </w:tcPr>
          <w:p>
            <w:pPr>
              <w:adjustRightInd w:val="0"/>
              <w:snapToGrid w:val="0"/>
              <w:spacing w:line="480" w:lineRule="exact"/>
              <w:jc w:val="left"/>
              <w:textAlignment w:val="baseline"/>
              <w:rPr>
                <w:rFonts w:ascii="宋体" w:hAnsi="宋体" w:cs="宋体"/>
                <w:color w:val="auto"/>
                <w:szCs w:val="21"/>
              </w:rPr>
            </w:pPr>
            <w:r>
              <w:rPr>
                <w:rFonts w:hint="eastAsia" w:ascii="宋体" w:hAnsi="宋体" w:cs="宋体"/>
                <w:color w:val="auto"/>
                <w:szCs w:val="21"/>
              </w:rPr>
              <w:t>评标委员会或者竞争性磋商小组认为供应商报价明显低于其他合格供应商的报价，有可能影响产品或服务质量或者不能诚信履约的，应当要求其在评审现场合理时间内提供书面说明，必要时提供相关证明材料；供应商不能证明其报价合理性的，评标委员会或竞争性磋商小组应当将其作为无效投标或者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3.3.1</w:t>
            </w:r>
          </w:p>
        </w:tc>
        <w:tc>
          <w:tcPr>
            <w:tcW w:w="1696" w:type="dxa"/>
            <w:vAlign w:val="center"/>
          </w:tcPr>
          <w:p>
            <w:pPr>
              <w:pStyle w:val="15"/>
              <w:spacing w:line="480" w:lineRule="exact"/>
              <w:ind w:left="15" w:hanging="14" w:hangingChars="7"/>
              <w:jc w:val="center"/>
              <w:rPr>
                <w:rFonts w:hAnsi="宋体" w:cs="宋体"/>
                <w:color w:val="auto"/>
                <w:spacing w:val="0"/>
                <w:kern w:val="2"/>
                <w:sz w:val="21"/>
                <w:szCs w:val="21"/>
              </w:rPr>
            </w:pPr>
            <w:r>
              <w:rPr>
                <w:rFonts w:hint="eastAsia" w:hAnsi="宋体" w:cs="宋体"/>
                <w:color w:val="auto"/>
                <w:spacing w:val="0"/>
                <w:kern w:val="2"/>
                <w:sz w:val="21"/>
                <w:szCs w:val="21"/>
              </w:rPr>
              <w:t>磋商有效期</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60日历天（响应文件截止之日算起）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3.4.1</w:t>
            </w:r>
          </w:p>
        </w:tc>
        <w:tc>
          <w:tcPr>
            <w:tcW w:w="1696" w:type="dxa"/>
            <w:vAlign w:val="center"/>
          </w:tcPr>
          <w:p>
            <w:pPr>
              <w:pStyle w:val="15"/>
              <w:spacing w:line="480" w:lineRule="exact"/>
              <w:ind w:left="15" w:hanging="14" w:hangingChars="7"/>
              <w:jc w:val="center"/>
              <w:rPr>
                <w:rFonts w:hAnsi="宋体" w:cs="宋体"/>
                <w:color w:val="auto"/>
                <w:spacing w:val="0"/>
                <w:kern w:val="2"/>
                <w:sz w:val="21"/>
                <w:szCs w:val="21"/>
              </w:rPr>
            </w:pPr>
            <w:r>
              <w:rPr>
                <w:rFonts w:hint="eastAsia" w:hAnsi="宋体" w:cs="宋体"/>
                <w:color w:val="auto"/>
                <w:spacing w:val="0"/>
                <w:kern w:val="2"/>
                <w:sz w:val="21"/>
                <w:szCs w:val="21"/>
              </w:rPr>
              <w:t>磋商保证金</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3.6</w:t>
            </w:r>
          </w:p>
        </w:tc>
        <w:tc>
          <w:tcPr>
            <w:tcW w:w="1696" w:type="dxa"/>
            <w:vAlign w:val="center"/>
          </w:tcPr>
          <w:p>
            <w:pPr>
              <w:adjustRightInd w:val="0"/>
              <w:snapToGrid w:val="0"/>
              <w:spacing w:line="480" w:lineRule="exact"/>
              <w:jc w:val="center"/>
              <w:rPr>
                <w:rFonts w:ascii="宋体" w:hAnsi="宋体" w:cs="宋体"/>
                <w:color w:val="auto"/>
                <w:szCs w:val="21"/>
              </w:rPr>
            </w:pPr>
            <w:r>
              <w:rPr>
                <w:rFonts w:hint="eastAsia" w:ascii="宋体" w:hAnsi="宋体" w:cs="宋体"/>
                <w:color w:val="auto"/>
                <w:szCs w:val="21"/>
              </w:rPr>
              <w:t>是否允许递交备选磋商方案</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3.7.1</w:t>
            </w:r>
          </w:p>
        </w:tc>
        <w:tc>
          <w:tcPr>
            <w:tcW w:w="1696" w:type="dxa"/>
            <w:vAlign w:val="center"/>
          </w:tcPr>
          <w:p>
            <w:pPr>
              <w:adjustRightInd w:val="0"/>
              <w:snapToGrid w:val="0"/>
              <w:spacing w:line="480" w:lineRule="exact"/>
              <w:jc w:val="center"/>
              <w:rPr>
                <w:rFonts w:ascii="宋体" w:hAnsi="宋体" w:cs="宋体"/>
                <w:color w:val="auto"/>
                <w:szCs w:val="21"/>
              </w:rPr>
            </w:pPr>
            <w:r>
              <w:rPr>
                <w:rFonts w:hint="eastAsia" w:ascii="宋体" w:hAnsi="宋体" w:cs="宋体"/>
                <w:color w:val="auto"/>
                <w:szCs w:val="21"/>
              </w:rPr>
              <w:t>签字或盖章要求</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color w:val="auto"/>
              </w:rPr>
              <w:t>盖章或签字之处应按</w:t>
            </w:r>
            <w:r>
              <w:rPr>
                <w:rFonts w:hint="eastAsia"/>
                <w:color w:val="auto"/>
                <w:lang w:eastAsia="zh-CN"/>
              </w:rPr>
              <w:t>磋商</w:t>
            </w:r>
            <w:r>
              <w:rPr>
                <w:rFonts w:hint="eastAsia"/>
                <w:color w:val="auto"/>
              </w:rPr>
              <w:t>文件要求进行电子签章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3.7.2</w:t>
            </w:r>
          </w:p>
        </w:tc>
        <w:tc>
          <w:tcPr>
            <w:tcW w:w="1696" w:type="dxa"/>
            <w:vAlign w:val="center"/>
          </w:tcPr>
          <w:p>
            <w:pPr>
              <w:keepNext w:val="0"/>
              <w:keepLines w:val="0"/>
              <w:widowControl/>
              <w:suppressLineNumbers w:val="0"/>
              <w:jc w:val="left"/>
              <w:rPr>
                <w:rFonts w:ascii="宋体" w:hAnsi="宋体" w:cs="宋体"/>
                <w:color w:val="auto"/>
                <w:szCs w:val="21"/>
              </w:rPr>
            </w:pPr>
            <w:r>
              <w:rPr>
                <w:rFonts w:hint="eastAsia" w:ascii="宋体" w:hAnsi="宋体" w:eastAsia="宋体" w:cs="宋体"/>
                <w:color w:val="auto"/>
                <w:kern w:val="0"/>
                <w:sz w:val="20"/>
                <w:szCs w:val="20"/>
                <w:lang w:val="en-US" w:eastAsia="zh-CN" w:bidi="ar"/>
              </w:rPr>
              <w:t>响应文件份数</w:t>
            </w:r>
          </w:p>
        </w:tc>
        <w:tc>
          <w:tcPr>
            <w:tcW w:w="5896" w:type="dxa"/>
            <w:vAlign w:val="center"/>
          </w:tcPr>
          <w:p>
            <w:pPr>
              <w:keepNext w:val="0"/>
              <w:keepLines w:val="0"/>
              <w:widowControl/>
              <w:suppressLineNumbers w:val="0"/>
              <w:jc w:val="left"/>
              <w:rPr>
                <w:rFonts w:ascii="宋体" w:hAnsi="宋体" w:cs="宋体"/>
                <w:color w:val="auto"/>
                <w:szCs w:val="21"/>
              </w:rPr>
            </w:pPr>
            <w:r>
              <w:rPr>
                <w:rFonts w:hint="eastAsia" w:ascii="宋体" w:hAnsi="宋体" w:eastAsia="宋体" w:cs="宋体"/>
                <w:color w:val="auto"/>
                <w:kern w:val="0"/>
                <w:sz w:val="20"/>
                <w:szCs w:val="20"/>
                <w:lang w:val="en-US" w:eastAsia="zh-CN" w:bidi="ar"/>
              </w:rPr>
              <w:t>加密的电子响应文件壹份（.ZMTF格式）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28" w:type="dxa"/>
            <w:vAlign w:val="center"/>
          </w:tcPr>
          <w:p>
            <w:pPr>
              <w:keepNext w:val="0"/>
              <w:keepLines w:val="0"/>
              <w:widowControl/>
              <w:suppressLineNumbers w:val="0"/>
              <w:jc w:val="center"/>
              <w:rPr>
                <w:rFonts w:hint="eastAsia" w:ascii="宋体" w:hAnsi="宋体" w:cs="宋体"/>
                <w:color w:val="auto"/>
                <w:szCs w:val="21"/>
              </w:rPr>
            </w:pPr>
            <w:r>
              <w:rPr>
                <w:rFonts w:hint="eastAsia" w:ascii="宋体" w:hAnsi="宋体" w:eastAsia="宋体" w:cs="宋体"/>
                <w:color w:val="auto"/>
                <w:kern w:val="0"/>
                <w:sz w:val="20"/>
                <w:szCs w:val="20"/>
                <w:lang w:val="en-US" w:eastAsia="zh-CN" w:bidi="ar"/>
              </w:rPr>
              <w:t>3.7.6</w:t>
            </w:r>
          </w:p>
        </w:tc>
        <w:tc>
          <w:tcPr>
            <w:tcW w:w="1696" w:type="dxa"/>
            <w:vAlign w:val="center"/>
          </w:tcPr>
          <w:p>
            <w:pPr>
              <w:keepNext w:val="0"/>
              <w:keepLines w:val="0"/>
              <w:widowControl/>
              <w:suppressLineNumbers w:val="0"/>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电子标书解密方</w:t>
            </w:r>
          </w:p>
          <w:p>
            <w:pPr>
              <w:keepNext w:val="0"/>
              <w:keepLines w:val="0"/>
              <w:widowControl/>
              <w:suppressLineNumbers w:val="0"/>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式及二次报价</w:t>
            </w:r>
          </w:p>
        </w:tc>
        <w:tc>
          <w:tcPr>
            <w:tcW w:w="5896" w:type="dxa"/>
            <w:vAlign w:val="center"/>
          </w:tcPr>
          <w:p>
            <w:pPr>
              <w:adjustRightInd w:val="0"/>
              <w:snapToGrid w:val="0"/>
              <w:spacing w:line="48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1、解密方式：网上解密，供应商凭企业机构数字证书登陆《中牟县公共资源交易平台》(http://www.zmxggzy.com)按时解密。</w:t>
            </w:r>
          </w:p>
          <w:p>
            <w:pPr>
              <w:adjustRightInd w:val="0"/>
              <w:snapToGrid w:val="0"/>
              <w:spacing w:line="48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2、如未在规定时间内解密电子投标文件，其投标将被拒绝。 </w:t>
            </w:r>
          </w:p>
          <w:p>
            <w:pPr>
              <w:adjustRightInd w:val="0"/>
              <w:snapToGrid w:val="0"/>
              <w:spacing w:line="48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注：远程解密及提交二次报价时间：远程解密（解密时间自开 </w:t>
            </w:r>
          </w:p>
          <w:p>
            <w:pPr>
              <w:adjustRightInd w:val="0"/>
              <w:snapToGrid w:val="0"/>
              <w:spacing w:line="48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标时间始30分钟结束）、提交二次报价（自下达二次报价命令 </w:t>
            </w:r>
          </w:p>
          <w:p>
            <w:pPr>
              <w:adjustRightInd w:val="0"/>
              <w:snapToGrid w:val="0"/>
              <w:spacing w:line="48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始30分钟结束），由于投标人（供应商）错过解密、报价时间 </w:t>
            </w:r>
          </w:p>
          <w:p>
            <w:pPr>
              <w:adjustRightInd w:val="0"/>
              <w:snapToGrid w:val="0"/>
              <w:spacing w:line="48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或其他自身原因导致远程解密不成功或者二次报价不成功，责 </w:t>
            </w:r>
          </w:p>
          <w:p>
            <w:pPr>
              <w:adjustRightInd w:val="0"/>
              <w:snapToGrid w:val="0"/>
              <w:spacing w:line="48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任均由投标人（供应商）自行承担。给各潜在投标人（供应商） </w:t>
            </w:r>
          </w:p>
          <w:p>
            <w:pPr>
              <w:adjustRightInd w:val="0"/>
              <w:snapToGrid w:val="0"/>
              <w:spacing w:line="480" w:lineRule="exact"/>
              <w:jc w:val="left"/>
              <w:rPr>
                <w:rFonts w:hint="eastAsia" w:ascii="宋体" w:hAnsi="宋体" w:eastAsia="宋体" w:cs="宋体"/>
                <w:color w:val="auto"/>
                <w:kern w:val="0"/>
                <w:sz w:val="20"/>
                <w:szCs w:val="20"/>
                <w:lang w:val="en-US" w:eastAsia="zh-CN" w:bidi="ar"/>
              </w:rPr>
            </w:pPr>
            <w:r>
              <w:rPr>
                <w:rFonts w:hint="eastAsia" w:ascii="宋体" w:hAnsi="宋体" w:cs="宋体"/>
                <w:color w:val="auto"/>
                <w:szCs w:val="21"/>
                <w:lang w:val="en-US" w:eastAsia="zh-CN"/>
              </w:rPr>
              <w:t>带来不便，请谅解。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4.1.1</w:t>
            </w:r>
          </w:p>
        </w:tc>
        <w:tc>
          <w:tcPr>
            <w:tcW w:w="1696" w:type="dxa"/>
            <w:vAlign w:val="center"/>
          </w:tcPr>
          <w:p>
            <w:pPr>
              <w:spacing w:line="480" w:lineRule="exact"/>
              <w:jc w:val="center"/>
              <w:rPr>
                <w:rFonts w:ascii="宋体" w:hAnsi="宋体" w:cs="宋体"/>
                <w:b/>
                <w:color w:val="auto"/>
                <w:szCs w:val="21"/>
              </w:rPr>
            </w:pPr>
            <w:r>
              <w:rPr>
                <w:rFonts w:hint="eastAsia" w:ascii="宋体" w:hAnsi="宋体" w:cs="宋体"/>
                <w:color w:val="auto"/>
                <w:szCs w:val="21"/>
              </w:rPr>
              <w:t>递交响应文件时间及地点</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响应文件递交截止时间：</w:t>
            </w:r>
            <w:r>
              <w:rPr>
                <w:rFonts w:hint="eastAsia" w:ascii="宋体" w:hAnsi="宋体" w:cs="宋体"/>
                <w:color w:val="auto"/>
                <w:szCs w:val="21"/>
                <w:u w:val="single"/>
                <w:lang w:val="en-US" w:eastAsia="zh-CN"/>
              </w:rPr>
              <w:t>2024</w:t>
            </w:r>
            <w:r>
              <w:rPr>
                <w:rFonts w:hint="eastAsia" w:ascii="宋体" w:hAnsi="宋体" w:cs="宋体"/>
                <w:color w:val="auto"/>
                <w:szCs w:val="21"/>
              </w:rPr>
              <w:t>年</w:t>
            </w:r>
            <w:r>
              <w:rPr>
                <w:rFonts w:hint="eastAsia" w:ascii="宋体" w:hAnsi="宋体" w:cs="宋体"/>
                <w:color w:val="auto"/>
                <w:szCs w:val="21"/>
                <w:u w:val="single"/>
                <w:lang w:val="en-US" w:eastAsia="zh-CN"/>
              </w:rPr>
              <w:t>6</w:t>
            </w:r>
            <w:r>
              <w:rPr>
                <w:rFonts w:hint="eastAsia" w:ascii="宋体" w:hAnsi="宋体" w:cs="宋体"/>
                <w:color w:val="auto"/>
                <w:szCs w:val="21"/>
              </w:rPr>
              <w:t>月</w:t>
            </w:r>
            <w:r>
              <w:rPr>
                <w:rFonts w:hint="eastAsia" w:ascii="宋体" w:hAnsi="宋体" w:cs="宋体"/>
                <w:color w:val="auto"/>
                <w:szCs w:val="21"/>
                <w:u w:val="single"/>
                <w:lang w:val="en-US" w:eastAsia="zh-CN"/>
              </w:rPr>
              <w:t>24</w:t>
            </w:r>
            <w:r>
              <w:rPr>
                <w:rFonts w:hint="eastAsia" w:ascii="宋体" w:hAnsi="宋体" w:cs="宋体"/>
                <w:color w:val="auto"/>
                <w:szCs w:val="21"/>
              </w:rPr>
              <w:t>日</w:t>
            </w:r>
            <w:r>
              <w:rPr>
                <w:rFonts w:hint="eastAsia" w:ascii="宋体" w:hAnsi="宋体" w:cs="宋体"/>
                <w:color w:val="auto"/>
                <w:szCs w:val="21"/>
                <w:u w:val="single"/>
                <w:lang w:val="en-US" w:eastAsia="zh-CN"/>
              </w:rPr>
              <w:t>9</w:t>
            </w:r>
            <w:r>
              <w:rPr>
                <w:rFonts w:hint="eastAsia" w:ascii="宋体" w:hAnsi="宋体" w:cs="宋体"/>
                <w:color w:val="auto"/>
                <w:szCs w:val="21"/>
              </w:rPr>
              <w:t>时</w:t>
            </w:r>
            <w:r>
              <w:rPr>
                <w:rFonts w:hint="eastAsia" w:ascii="宋体" w:hAnsi="宋体" w:cs="宋体"/>
                <w:color w:val="auto"/>
                <w:szCs w:val="21"/>
                <w:u w:val="single"/>
                <w:lang w:val="en-US" w:eastAsia="zh-CN"/>
              </w:rPr>
              <w:t>00</w:t>
            </w:r>
            <w:r>
              <w:rPr>
                <w:rFonts w:hint="eastAsia" w:ascii="宋体" w:hAnsi="宋体" w:cs="宋体"/>
                <w:color w:val="auto"/>
                <w:szCs w:val="21"/>
              </w:rPr>
              <w:t>分(北京时间）</w:t>
            </w:r>
          </w:p>
          <w:p>
            <w:pPr>
              <w:adjustRightInd w:val="0"/>
              <w:snapToGrid w:val="0"/>
              <w:spacing w:line="480" w:lineRule="exact"/>
              <w:jc w:val="both"/>
              <w:rPr>
                <w:rFonts w:ascii="宋体" w:hAnsi="宋体" w:cs="宋体"/>
                <w:color w:val="auto"/>
                <w:szCs w:val="21"/>
              </w:rPr>
            </w:pPr>
            <w:r>
              <w:rPr>
                <w:rFonts w:hint="eastAsia" w:ascii="宋体" w:hAnsi="宋体" w:cs="宋体"/>
                <w:color w:val="auto"/>
                <w:szCs w:val="21"/>
              </w:rPr>
              <w:t>投标文件递交地点：中牟县公共资源交易中心（http://www.zmxggzy.com）电子交易平台；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4.1.2</w:t>
            </w:r>
          </w:p>
        </w:tc>
        <w:tc>
          <w:tcPr>
            <w:tcW w:w="1696"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是否退还响应文件</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5.1</w:t>
            </w:r>
          </w:p>
        </w:tc>
        <w:tc>
          <w:tcPr>
            <w:tcW w:w="1696" w:type="dxa"/>
            <w:vAlign w:val="center"/>
          </w:tcPr>
          <w:p>
            <w:pPr>
              <w:pStyle w:val="15"/>
              <w:spacing w:line="480" w:lineRule="exact"/>
              <w:ind w:left="15" w:hanging="14" w:hangingChars="7"/>
              <w:jc w:val="center"/>
              <w:rPr>
                <w:rFonts w:hAnsi="宋体" w:cs="宋体"/>
                <w:color w:val="auto"/>
                <w:spacing w:val="0"/>
                <w:kern w:val="2"/>
                <w:sz w:val="21"/>
                <w:szCs w:val="21"/>
              </w:rPr>
            </w:pPr>
            <w:r>
              <w:rPr>
                <w:rFonts w:hint="eastAsia" w:hAnsi="宋体" w:cs="宋体"/>
                <w:color w:val="auto"/>
                <w:spacing w:val="0"/>
                <w:kern w:val="2"/>
                <w:sz w:val="21"/>
                <w:szCs w:val="21"/>
              </w:rPr>
              <w:t>响应文件开启时间和开启地点</w:t>
            </w:r>
          </w:p>
        </w:tc>
        <w:tc>
          <w:tcPr>
            <w:tcW w:w="5896" w:type="dxa"/>
            <w:vAlign w:val="center"/>
          </w:tcPr>
          <w:p>
            <w:pPr>
              <w:widowControl/>
              <w:spacing w:line="480" w:lineRule="exact"/>
              <w:jc w:val="left"/>
              <w:rPr>
                <w:rFonts w:hint="eastAsia" w:ascii="宋体" w:hAnsi="宋体" w:eastAsia="宋体" w:cs="宋体"/>
                <w:color w:val="auto"/>
                <w:kern w:val="0"/>
                <w:szCs w:val="21"/>
                <w:lang w:eastAsia="zh-CN"/>
              </w:rPr>
            </w:pPr>
            <w:r>
              <w:rPr>
                <w:rFonts w:hint="eastAsia" w:ascii="宋体" w:hAnsi="宋体" w:cs="宋体"/>
                <w:color w:val="auto"/>
                <w:kern w:val="0"/>
                <w:szCs w:val="21"/>
              </w:rPr>
              <w:t>开启时间：</w:t>
            </w:r>
            <w:r>
              <w:rPr>
                <w:rFonts w:hint="eastAsia" w:ascii="宋体" w:hAnsi="宋体" w:cs="宋体"/>
                <w:color w:val="auto"/>
                <w:szCs w:val="21"/>
                <w:u w:val="single"/>
                <w:lang w:val="en-US" w:eastAsia="zh-CN"/>
              </w:rPr>
              <w:t>2024</w:t>
            </w:r>
            <w:r>
              <w:rPr>
                <w:rFonts w:hint="eastAsia" w:ascii="宋体" w:hAnsi="宋体" w:cs="宋体"/>
                <w:color w:val="auto"/>
                <w:szCs w:val="21"/>
              </w:rPr>
              <w:t>年</w:t>
            </w:r>
            <w:r>
              <w:rPr>
                <w:rFonts w:hint="eastAsia" w:ascii="宋体" w:hAnsi="宋体" w:cs="宋体"/>
                <w:color w:val="auto"/>
                <w:szCs w:val="21"/>
                <w:u w:val="single"/>
                <w:lang w:val="en-US" w:eastAsia="zh-CN"/>
              </w:rPr>
              <w:t>6</w:t>
            </w:r>
            <w:r>
              <w:rPr>
                <w:rFonts w:hint="eastAsia" w:ascii="宋体" w:hAnsi="宋体" w:cs="宋体"/>
                <w:color w:val="auto"/>
                <w:szCs w:val="21"/>
              </w:rPr>
              <w:t>月</w:t>
            </w:r>
            <w:r>
              <w:rPr>
                <w:rFonts w:hint="eastAsia" w:ascii="宋体" w:hAnsi="宋体" w:cs="宋体"/>
                <w:color w:val="auto"/>
                <w:szCs w:val="21"/>
                <w:u w:val="single"/>
                <w:lang w:val="en-US" w:eastAsia="zh-CN"/>
              </w:rPr>
              <w:t>24</w:t>
            </w:r>
            <w:r>
              <w:rPr>
                <w:rFonts w:hint="eastAsia" w:ascii="宋体" w:hAnsi="宋体" w:cs="宋体"/>
                <w:color w:val="auto"/>
                <w:szCs w:val="21"/>
              </w:rPr>
              <w:t>日</w:t>
            </w:r>
            <w:r>
              <w:rPr>
                <w:rFonts w:hint="eastAsia" w:ascii="宋体" w:hAnsi="宋体" w:cs="宋体"/>
                <w:color w:val="auto"/>
                <w:szCs w:val="21"/>
                <w:u w:val="single"/>
                <w:lang w:val="en-US" w:eastAsia="zh-CN"/>
              </w:rPr>
              <w:t>9</w:t>
            </w:r>
            <w:r>
              <w:rPr>
                <w:rFonts w:hint="eastAsia" w:ascii="宋体" w:hAnsi="宋体" w:cs="宋体"/>
                <w:color w:val="auto"/>
                <w:szCs w:val="21"/>
              </w:rPr>
              <w:t>时</w:t>
            </w:r>
            <w:r>
              <w:rPr>
                <w:rFonts w:hint="eastAsia" w:ascii="宋体" w:hAnsi="宋体" w:cs="宋体"/>
                <w:color w:val="auto"/>
                <w:szCs w:val="21"/>
                <w:u w:val="single"/>
                <w:lang w:val="en-US" w:eastAsia="zh-CN"/>
              </w:rPr>
              <w:t>00</w:t>
            </w:r>
            <w:r>
              <w:rPr>
                <w:rFonts w:hint="eastAsia" w:ascii="宋体" w:hAnsi="宋体" w:cs="宋体"/>
                <w:color w:val="auto"/>
                <w:szCs w:val="21"/>
              </w:rPr>
              <w:t>分(北京时间）</w:t>
            </w:r>
          </w:p>
          <w:p>
            <w:pPr>
              <w:widowControl/>
              <w:spacing w:line="480" w:lineRule="exact"/>
              <w:jc w:val="left"/>
              <w:rPr>
                <w:rFonts w:ascii="宋体" w:hAnsi="宋体" w:cs="宋体"/>
                <w:color w:val="auto"/>
                <w:kern w:val="0"/>
                <w:szCs w:val="21"/>
                <w:u w:val="single"/>
              </w:rPr>
            </w:pPr>
            <w:r>
              <w:rPr>
                <w:rFonts w:hint="eastAsia" w:ascii="宋体" w:hAnsi="宋体" w:cs="宋体"/>
                <w:color w:val="auto"/>
                <w:kern w:val="0"/>
                <w:szCs w:val="21"/>
              </w:rPr>
              <w:t>开启地点：</w:t>
            </w:r>
            <w:r>
              <w:rPr>
                <w:rFonts w:hint="eastAsia" w:ascii="宋体" w:hAnsi="宋体" w:cs="宋体"/>
                <w:color w:val="auto"/>
                <w:szCs w:val="21"/>
                <w:lang w:val="en-US" w:eastAsia="zh-CN"/>
              </w:rPr>
              <w:t>中牟县公共资源交易中心门户网站不见面开标大厅（http://www.zmxggzy.com/BidOpening）；中牟县公共资源交易中心（中牟县政务服务中心二楼）第二开标室。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28" w:type="dxa"/>
            <w:vAlign w:val="center"/>
          </w:tcPr>
          <w:p>
            <w:pPr>
              <w:pStyle w:val="15"/>
              <w:spacing w:line="480" w:lineRule="exact"/>
              <w:jc w:val="center"/>
              <w:rPr>
                <w:rFonts w:hAnsi="宋体" w:cs="宋体"/>
                <w:color w:val="auto"/>
                <w:spacing w:val="0"/>
                <w:kern w:val="2"/>
                <w:sz w:val="21"/>
                <w:szCs w:val="21"/>
              </w:rPr>
            </w:pPr>
            <w:r>
              <w:rPr>
                <w:rFonts w:hint="eastAsia" w:hAnsi="宋体" w:cs="宋体"/>
                <w:color w:val="auto"/>
                <w:spacing w:val="0"/>
                <w:kern w:val="2"/>
                <w:sz w:val="21"/>
                <w:szCs w:val="21"/>
              </w:rPr>
              <w:t>5.2</w:t>
            </w:r>
          </w:p>
        </w:tc>
        <w:tc>
          <w:tcPr>
            <w:tcW w:w="1696" w:type="dxa"/>
            <w:vAlign w:val="center"/>
          </w:tcPr>
          <w:p>
            <w:pPr>
              <w:pStyle w:val="15"/>
              <w:spacing w:line="480" w:lineRule="exact"/>
              <w:ind w:left="15" w:hanging="14" w:hangingChars="7"/>
              <w:jc w:val="center"/>
              <w:rPr>
                <w:rFonts w:hAnsi="宋体" w:cs="宋体"/>
                <w:color w:val="auto"/>
                <w:spacing w:val="0"/>
                <w:kern w:val="2"/>
                <w:sz w:val="21"/>
                <w:szCs w:val="21"/>
              </w:rPr>
            </w:pPr>
            <w:r>
              <w:rPr>
                <w:rFonts w:hint="eastAsia" w:hAnsi="宋体" w:cs="宋体"/>
                <w:color w:val="auto"/>
                <w:spacing w:val="0"/>
                <w:kern w:val="2"/>
                <w:sz w:val="21"/>
                <w:szCs w:val="21"/>
              </w:rPr>
              <w:t>磋商程序</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本项目采用远程电子开标，供应商须在投标截止时间前登录远程开标大厅，在线准时参加开标活动并进行文件解密等。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6.1.1</w:t>
            </w:r>
          </w:p>
        </w:tc>
        <w:tc>
          <w:tcPr>
            <w:tcW w:w="1696" w:type="dxa"/>
            <w:vAlign w:val="center"/>
          </w:tcPr>
          <w:p>
            <w:pPr>
              <w:spacing w:line="480" w:lineRule="exact"/>
              <w:ind w:left="15" w:hanging="14" w:hangingChars="7"/>
              <w:jc w:val="center"/>
              <w:rPr>
                <w:rFonts w:ascii="宋体" w:hAnsi="宋体" w:cs="宋体"/>
                <w:color w:val="auto"/>
                <w:szCs w:val="21"/>
              </w:rPr>
            </w:pPr>
            <w:r>
              <w:rPr>
                <w:rFonts w:hint="eastAsia" w:ascii="宋体" w:hAnsi="宋体" w:cs="宋体"/>
                <w:color w:val="auto"/>
                <w:szCs w:val="21"/>
              </w:rPr>
              <w:t>磋商小组的组建</w:t>
            </w:r>
          </w:p>
        </w:tc>
        <w:tc>
          <w:tcPr>
            <w:tcW w:w="5896" w:type="dxa"/>
            <w:vAlign w:val="center"/>
          </w:tcPr>
          <w:p>
            <w:pPr>
              <w:adjustRightInd w:val="0"/>
              <w:snapToGrid w:val="0"/>
              <w:spacing w:line="480" w:lineRule="exact"/>
              <w:jc w:val="left"/>
              <w:rPr>
                <w:rFonts w:hint="eastAsia" w:ascii="宋体" w:hAnsi="宋体" w:cs="宋体"/>
                <w:color w:val="auto"/>
                <w:szCs w:val="21"/>
              </w:rPr>
            </w:pPr>
            <w:r>
              <w:rPr>
                <w:rFonts w:hint="eastAsia" w:ascii="宋体" w:hAnsi="宋体" w:cs="宋体"/>
                <w:color w:val="auto"/>
                <w:szCs w:val="21"/>
                <w:lang w:val="en-US" w:eastAsia="zh-CN"/>
              </w:rPr>
              <w:t>磋商小组构成：3人，其中采购人代表1人，经济、技术方面专家2人；</w:t>
            </w:r>
          </w:p>
          <w:p>
            <w:pPr>
              <w:adjustRightInd w:val="0"/>
              <w:snapToGrid w:val="0"/>
              <w:spacing w:line="480" w:lineRule="exact"/>
              <w:jc w:val="left"/>
              <w:rPr>
                <w:rFonts w:ascii="宋体" w:hAnsi="宋体" w:cs="宋体"/>
                <w:color w:val="auto"/>
                <w:szCs w:val="21"/>
              </w:rPr>
            </w:pPr>
            <w:r>
              <w:rPr>
                <w:rFonts w:hint="eastAsia" w:ascii="宋体" w:hAnsi="宋体" w:cs="宋体"/>
                <w:color w:val="auto"/>
                <w:szCs w:val="21"/>
                <w:lang w:val="en-US" w:eastAsia="zh-CN"/>
              </w:rPr>
              <w:t>专家确定方式：磋商前从政府采购专家库中随机抽取。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7.1</w:t>
            </w:r>
          </w:p>
        </w:tc>
        <w:tc>
          <w:tcPr>
            <w:tcW w:w="1696" w:type="dxa"/>
            <w:vAlign w:val="center"/>
          </w:tcPr>
          <w:p>
            <w:pPr>
              <w:adjustRightInd w:val="0"/>
              <w:snapToGrid w:val="0"/>
              <w:spacing w:line="480" w:lineRule="exact"/>
              <w:jc w:val="center"/>
              <w:rPr>
                <w:rFonts w:ascii="宋体" w:hAnsi="宋体" w:cs="宋体"/>
                <w:color w:val="auto"/>
                <w:szCs w:val="21"/>
              </w:rPr>
            </w:pPr>
            <w:r>
              <w:rPr>
                <w:rFonts w:hint="eastAsia" w:ascii="宋体" w:hAnsi="宋体" w:cs="宋体"/>
                <w:color w:val="auto"/>
                <w:szCs w:val="21"/>
              </w:rPr>
              <w:t>是否授权磋商小组确定成交人</w:t>
            </w:r>
          </w:p>
        </w:tc>
        <w:tc>
          <w:tcPr>
            <w:tcW w:w="5896" w:type="dxa"/>
            <w:vAlign w:val="center"/>
          </w:tcPr>
          <w:p>
            <w:pPr>
              <w:adjustRightInd w:val="0"/>
              <w:snapToGrid w:val="0"/>
              <w:spacing w:line="480" w:lineRule="exact"/>
              <w:jc w:val="left"/>
              <w:rPr>
                <w:rFonts w:ascii="宋体" w:hAnsi="宋体" w:cs="宋体"/>
                <w:color w:val="auto"/>
                <w:szCs w:val="21"/>
              </w:rPr>
            </w:pPr>
            <w:r>
              <w:rPr>
                <w:rFonts w:hint="eastAsia" w:ascii="宋体" w:hAnsi="宋体" w:cs="宋体"/>
                <w:color w:val="auto"/>
                <w:szCs w:val="21"/>
              </w:rPr>
              <w:t>否，推荐的候选人数：3人。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7.3.1</w:t>
            </w:r>
          </w:p>
        </w:tc>
        <w:tc>
          <w:tcPr>
            <w:tcW w:w="1696" w:type="dxa"/>
            <w:vAlign w:val="center"/>
          </w:tcPr>
          <w:p>
            <w:pPr>
              <w:spacing w:line="480" w:lineRule="exact"/>
              <w:ind w:left="15" w:hanging="14" w:hangingChars="7"/>
              <w:jc w:val="center"/>
              <w:rPr>
                <w:rFonts w:ascii="宋体" w:hAnsi="宋体" w:cs="宋体"/>
                <w:color w:val="auto"/>
                <w:szCs w:val="21"/>
              </w:rPr>
            </w:pPr>
            <w:bookmarkStart w:id="1195" w:name="_GoBack"/>
            <w:r>
              <w:rPr>
                <w:rFonts w:hint="eastAsia" w:ascii="宋体" w:hAnsi="宋体" w:cs="宋体"/>
                <w:color w:val="auto"/>
                <w:szCs w:val="21"/>
              </w:rPr>
              <w:t>履约</w:t>
            </w:r>
            <w:bookmarkEnd w:id="1195"/>
            <w:r>
              <w:rPr>
                <w:rFonts w:hint="eastAsia" w:ascii="宋体" w:hAnsi="宋体" w:cs="宋体"/>
                <w:color w:val="auto"/>
                <w:szCs w:val="21"/>
              </w:rPr>
              <w:t>担保</w:t>
            </w:r>
          </w:p>
        </w:tc>
        <w:tc>
          <w:tcPr>
            <w:tcW w:w="5896" w:type="dxa"/>
            <w:vAlign w:val="center"/>
          </w:tcPr>
          <w:p>
            <w:pPr>
              <w:spacing w:line="480" w:lineRule="exact"/>
              <w:rPr>
                <w:rFonts w:ascii="宋体" w:hAnsi="宋体" w:cs="宋体"/>
                <w:color w:val="auto"/>
                <w:szCs w:val="21"/>
              </w:rPr>
            </w:pPr>
            <w:r>
              <w:rPr>
                <w:rFonts w:hint="eastAsia" w:ascii="宋体" w:hAnsi="宋体" w:cs="宋体"/>
                <w:color w:val="auto"/>
                <w:szCs w:val="21"/>
              </w:rPr>
              <w:t>履约担保的金额：无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7.4</w:t>
            </w:r>
          </w:p>
        </w:tc>
        <w:tc>
          <w:tcPr>
            <w:tcW w:w="1696" w:type="dxa"/>
            <w:vAlign w:val="center"/>
          </w:tcPr>
          <w:p>
            <w:pPr>
              <w:spacing w:line="480" w:lineRule="exact"/>
              <w:ind w:left="15" w:hanging="14" w:hangingChars="7"/>
              <w:jc w:val="center"/>
              <w:rPr>
                <w:rFonts w:ascii="宋体" w:hAnsi="宋体" w:cs="宋体"/>
                <w:color w:val="auto"/>
                <w:szCs w:val="21"/>
              </w:rPr>
            </w:pPr>
            <w:r>
              <w:rPr>
                <w:rFonts w:hint="eastAsia" w:ascii="宋体" w:hAnsi="宋体" w:cs="宋体"/>
                <w:color w:val="auto"/>
                <w:szCs w:val="21"/>
              </w:rPr>
              <w:t>签订合同</w:t>
            </w:r>
          </w:p>
        </w:tc>
        <w:tc>
          <w:tcPr>
            <w:tcW w:w="5896" w:type="dxa"/>
            <w:vAlign w:val="center"/>
          </w:tcPr>
          <w:p>
            <w:pPr>
              <w:spacing w:line="480" w:lineRule="exact"/>
              <w:rPr>
                <w:rFonts w:ascii="宋体" w:hAnsi="宋体" w:cs="宋体"/>
                <w:color w:val="auto"/>
                <w:szCs w:val="21"/>
              </w:rPr>
            </w:pPr>
            <w:r>
              <w:rPr>
                <w:rFonts w:hint="eastAsia" w:ascii="宋体" w:hAnsi="宋体" w:cs="宋体"/>
                <w:color w:val="auto"/>
                <w:szCs w:val="21"/>
              </w:rPr>
              <w:t>采购人与成交单位应该在成交通知书发出之日起2个工作日内签订政府采购合同。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8.1</w:t>
            </w:r>
          </w:p>
        </w:tc>
        <w:tc>
          <w:tcPr>
            <w:tcW w:w="1696" w:type="dxa"/>
            <w:vAlign w:val="center"/>
          </w:tcPr>
          <w:p>
            <w:pPr>
              <w:pStyle w:val="15"/>
              <w:spacing w:line="480" w:lineRule="exact"/>
              <w:ind w:left="15" w:hanging="14" w:hangingChars="7"/>
              <w:jc w:val="center"/>
              <w:rPr>
                <w:rFonts w:hAnsi="宋体" w:cs="宋体"/>
                <w:color w:val="auto"/>
                <w:spacing w:val="0"/>
                <w:kern w:val="2"/>
                <w:sz w:val="21"/>
                <w:szCs w:val="21"/>
                <w:highlight w:val="none"/>
              </w:rPr>
            </w:pPr>
            <w:r>
              <w:rPr>
                <w:rFonts w:hint="eastAsia" w:hAnsi="宋体" w:cs="宋体"/>
                <w:color w:val="auto"/>
                <w:spacing w:val="0"/>
                <w:kern w:val="2"/>
                <w:sz w:val="21"/>
                <w:szCs w:val="21"/>
                <w:highlight w:val="none"/>
              </w:rPr>
              <w:t>磋商控制价</w:t>
            </w:r>
          </w:p>
          <w:p>
            <w:pPr>
              <w:pStyle w:val="15"/>
              <w:spacing w:line="480" w:lineRule="exact"/>
              <w:ind w:left="15" w:hanging="14" w:hangingChars="7"/>
              <w:jc w:val="center"/>
              <w:rPr>
                <w:rFonts w:hAnsi="宋体" w:cs="宋体"/>
                <w:color w:val="auto"/>
                <w:spacing w:val="0"/>
                <w:kern w:val="2"/>
                <w:sz w:val="21"/>
                <w:szCs w:val="21"/>
              </w:rPr>
            </w:pPr>
            <w:r>
              <w:rPr>
                <w:rFonts w:hint="eastAsia" w:hAnsi="宋体" w:cs="宋体"/>
                <w:color w:val="auto"/>
                <w:spacing w:val="0"/>
                <w:kern w:val="2"/>
                <w:sz w:val="21"/>
                <w:szCs w:val="21"/>
                <w:highlight w:val="none"/>
              </w:rPr>
              <w:t>（最高投标限价）</w:t>
            </w:r>
          </w:p>
        </w:tc>
        <w:tc>
          <w:tcPr>
            <w:tcW w:w="5896" w:type="dxa"/>
            <w:vAlign w:val="center"/>
          </w:tcPr>
          <w:p>
            <w:pPr>
              <w:pStyle w:val="15"/>
              <w:spacing w:line="480" w:lineRule="exact"/>
              <w:ind w:left="15" w:hanging="14" w:hangingChars="7"/>
              <w:jc w:val="left"/>
              <w:rPr>
                <w:rFonts w:hAnsi="宋体" w:cs="宋体"/>
                <w:color w:val="auto"/>
                <w:sz w:val="21"/>
                <w:szCs w:val="21"/>
              </w:rPr>
            </w:pPr>
            <w:r>
              <w:rPr>
                <w:rFonts w:hint="eastAsia" w:hAnsi="宋体" w:cs="宋体"/>
                <w:color w:val="auto"/>
                <w:spacing w:val="0"/>
                <w:kern w:val="2"/>
                <w:sz w:val="21"/>
                <w:szCs w:val="21"/>
              </w:rPr>
              <w:t>本项目采购预算价即为磋商控制价，大写：</w:t>
            </w:r>
            <w:r>
              <w:rPr>
                <w:rFonts w:hint="eastAsia" w:hAnsi="宋体" w:cs="宋体"/>
                <w:color w:val="auto"/>
                <w:spacing w:val="0"/>
                <w:kern w:val="2"/>
                <w:sz w:val="21"/>
                <w:szCs w:val="21"/>
                <w:u w:val="single"/>
                <w:lang w:eastAsia="zh-CN"/>
              </w:rPr>
              <w:t>肆拾柒万元</w:t>
            </w:r>
            <w:r>
              <w:rPr>
                <w:rFonts w:hint="eastAsia" w:hAnsi="宋体" w:cs="宋体"/>
                <w:color w:val="auto"/>
                <w:spacing w:val="0"/>
                <w:kern w:val="2"/>
                <w:sz w:val="21"/>
                <w:szCs w:val="21"/>
                <w:u w:val="single"/>
              </w:rPr>
              <w:t>整</w:t>
            </w:r>
            <w:r>
              <w:rPr>
                <w:rFonts w:hint="eastAsia" w:hAnsi="宋体" w:cs="宋体"/>
                <w:color w:val="auto"/>
                <w:spacing w:val="0"/>
                <w:kern w:val="2"/>
                <w:sz w:val="21"/>
                <w:szCs w:val="21"/>
              </w:rPr>
              <w:t>，小写：</w:t>
            </w:r>
            <w:r>
              <w:rPr>
                <w:rFonts w:hint="eastAsia" w:hAnsi="宋体" w:cs="宋体"/>
                <w:color w:val="auto"/>
                <w:spacing w:val="0"/>
                <w:kern w:val="2"/>
                <w:sz w:val="21"/>
                <w:szCs w:val="21"/>
                <w:u w:val="single"/>
                <w:lang w:val="en-US" w:eastAsia="zh-CN"/>
              </w:rPr>
              <w:t>470000.00</w:t>
            </w:r>
            <w:r>
              <w:rPr>
                <w:rFonts w:hint="eastAsia" w:hAnsi="宋体" w:cs="宋体"/>
                <w:color w:val="auto"/>
                <w:spacing w:val="0"/>
                <w:kern w:val="2"/>
                <w:sz w:val="21"/>
                <w:szCs w:val="21"/>
                <w:u w:val="single"/>
              </w:rPr>
              <w:t>元</w:t>
            </w:r>
            <w:r>
              <w:rPr>
                <w:rFonts w:hint="eastAsia" w:hAnsi="宋体" w:cs="宋体"/>
                <w:color w:val="auto"/>
                <w:spacing w:val="0"/>
                <w:kern w:val="2"/>
                <w:sz w:val="21"/>
                <w:szCs w:val="21"/>
                <w:u w:val="none"/>
                <w:lang w:eastAsia="zh-CN"/>
              </w:rPr>
              <w:t>。</w:t>
            </w:r>
            <w:r>
              <w:rPr>
                <w:rFonts w:hint="eastAsia" w:hAnsi="宋体" w:cs="宋体"/>
                <w:color w:val="auto"/>
                <w:spacing w:val="0"/>
                <w:kern w:val="2"/>
                <w:sz w:val="21"/>
                <w:szCs w:val="21"/>
              </w:rPr>
              <w:t>凡供应商的磋商投标报价超出“磋商控制价”（不含等于“磋商控制价”）的，该供应商的响应文件将不予进行后续评审，按废标处理。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8.2</w:t>
            </w:r>
          </w:p>
        </w:tc>
        <w:tc>
          <w:tcPr>
            <w:tcW w:w="1696" w:type="dxa"/>
            <w:vAlign w:val="center"/>
          </w:tcPr>
          <w:p>
            <w:pPr>
              <w:adjustRightInd w:val="0"/>
              <w:snapToGrid w:val="0"/>
              <w:spacing w:line="480" w:lineRule="exact"/>
              <w:jc w:val="center"/>
              <w:textAlignment w:val="baseline"/>
              <w:rPr>
                <w:rFonts w:ascii="宋体" w:hAnsi="宋体" w:cs="宋体"/>
                <w:color w:val="auto"/>
                <w:szCs w:val="21"/>
              </w:rPr>
            </w:pPr>
            <w:r>
              <w:rPr>
                <w:rFonts w:hint="eastAsia" w:ascii="宋体" w:hAnsi="宋体" w:cs="宋体"/>
                <w:color w:val="auto"/>
                <w:szCs w:val="21"/>
              </w:rPr>
              <w:t>投标报价的</w:t>
            </w:r>
          </w:p>
          <w:p>
            <w:pPr>
              <w:adjustRightInd w:val="0"/>
              <w:snapToGrid w:val="0"/>
              <w:spacing w:line="480" w:lineRule="exact"/>
              <w:jc w:val="center"/>
              <w:textAlignment w:val="baseline"/>
              <w:rPr>
                <w:rFonts w:ascii="宋体" w:hAnsi="宋体" w:cs="宋体"/>
                <w:color w:val="auto"/>
                <w:szCs w:val="21"/>
              </w:rPr>
            </w:pPr>
            <w:r>
              <w:rPr>
                <w:rFonts w:hint="eastAsia" w:ascii="宋体" w:hAnsi="宋体" w:cs="宋体"/>
                <w:color w:val="auto"/>
                <w:szCs w:val="21"/>
              </w:rPr>
              <w:t>其他要求</w:t>
            </w:r>
          </w:p>
        </w:tc>
        <w:tc>
          <w:tcPr>
            <w:tcW w:w="5896" w:type="dxa"/>
            <w:vAlign w:val="center"/>
          </w:tcPr>
          <w:p>
            <w:pPr>
              <w:adjustRightInd w:val="0"/>
              <w:snapToGrid w:val="0"/>
              <w:spacing w:line="480" w:lineRule="exact"/>
              <w:jc w:val="left"/>
              <w:textAlignment w:val="baseline"/>
              <w:rPr>
                <w:rFonts w:ascii="宋体" w:hAnsi="宋体" w:cs="宋体"/>
                <w:color w:val="auto"/>
                <w:szCs w:val="21"/>
              </w:rPr>
            </w:pPr>
            <w:r>
              <w:rPr>
                <w:rFonts w:hint="eastAsia" w:ascii="宋体" w:hAnsi="宋体" w:cs="宋体"/>
                <w:color w:val="auto"/>
                <w:szCs w:val="21"/>
              </w:rPr>
              <w:t>评标委员会或者竞争性磋商小组认为供应商报价明显低于其他合格供应商的报价，有可能影响产品或服务质量或者不能诚信履约的，应当要求其在评审现场合理时间内提供书面说明，必要时提供相关证明材料；供应商不能证明其报价合理性的，评标委员会或竞争性磋商小组应当将其作为无效投标或者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20" w:type="dxa"/>
            <w:gridSpan w:val="3"/>
            <w:vAlign w:val="center"/>
          </w:tcPr>
          <w:p>
            <w:pPr>
              <w:spacing w:line="480" w:lineRule="exact"/>
              <w:jc w:val="center"/>
              <w:rPr>
                <w:rFonts w:ascii="宋体" w:hAnsi="宋体" w:cs="宋体"/>
                <w:color w:val="auto"/>
                <w:szCs w:val="21"/>
              </w:rPr>
            </w:pPr>
            <w:r>
              <w:rPr>
                <w:rFonts w:hint="eastAsia" w:ascii="宋体" w:hAnsi="宋体" w:cs="宋体"/>
                <w:b/>
                <w:bCs/>
                <w:color w:val="auto"/>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10.1</w:t>
            </w:r>
          </w:p>
        </w:tc>
        <w:tc>
          <w:tcPr>
            <w:tcW w:w="1696" w:type="dxa"/>
            <w:vAlign w:val="center"/>
          </w:tcPr>
          <w:p>
            <w:pPr>
              <w:adjustRightInd w:val="0"/>
              <w:snapToGrid w:val="0"/>
              <w:spacing w:line="480" w:lineRule="exact"/>
              <w:rPr>
                <w:rFonts w:ascii="宋体" w:hAnsi="宋体" w:cs="宋体"/>
                <w:color w:val="auto"/>
                <w:szCs w:val="21"/>
              </w:rPr>
            </w:pPr>
            <w:r>
              <w:rPr>
                <w:rFonts w:hint="eastAsia" w:ascii="宋体" w:hAnsi="宋体" w:cs="宋体"/>
                <w:color w:val="auto"/>
                <w:szCs w:val="21"/>
              </w:rPr>
              <w:t>采购代理服务费</w:t>
            </w:r>
          </w:p>
        </w:tc>
        <w:tc>
          <w:tcPr>
            <w:tcW w:w="5896" w:type="dxa"/>
            <w:vAlign w:val="center"/>
          </w:tcPr>
          <w:p>
            <w:pPr>
              <w:adjustRightInd w:val="0"/>
              <w:snapToGrid w:val="0"/>
              <w:spacing w:line="480" w:lineRule="exact"/>
              <w:rPr>
                <w:rFonts w:ascii="宋体" w:hAnsi="宋体" w:cs="宋体"/>
                <w:b/>
                <w:bCs/>
                <w:color w:val="auto"/>
                <w:szCs w:val="21"/>
              </w:rPr>
            </w:pPr>
            <w:r>
              <w:rPr>
                <w:rFonts w:hint="eastAsia" w:ascii="宋体" w:hAnsi="宋体" w:cs="宋体"/>
                <w:color w:val="auto"/>
                <w:szCs w:val="21"/>
                <w:lang w:eastAsia="zh-CN"/>
              </w:rPr>
              <w:t>本项目采购代理服务费</w:t>
            </w:r>
            <w:r>
              <w:rPr>
                <w:rFonts w:hint="eastAsia" w:ascii="宋体" w:hAnsi="宋体" w:cs="宋体"/>
                <w:color w:val="auto"/>
                <w:szCs w:val="21"/>
              </w:rPr>
              <w:t>参照豫招协[2023]002号文件规定的收取,向中标/成交供应商收取中标服务费，在领取中标（成交）通知书时一次性支付完成。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10.2</w:t>
            </w:r>
          </w:p>
        </w:tc>
        <w:tc>
          <w:tcPr>
            <w:tcW w:w="1696" w:type="dxa"/>
            <w:vAlign w:val="center"/>
          </w:tcPr>
          <w:p>
            <w:pPr>
              <w:adjustRightInd w:val="0"/>
              <w:snapToGrid w:val="0"/>
              <w:spacing w:line="480" w:lineRule="exact"/>
              <w:jc w:val="center"/>
              <w:rPr>
                <w:rFonts w:ascii="宋体" w:hAnsi="宋体" w:cs="宋体"/>
                <w:color w:val="auto"/>
                <w:szCs w:val="21"/>
              </w:rPr>
            </w:pPr>
            <w:r>
              <w:rPr>
                <w:rFonts w:hint="eastAsia" w:ascii="宋体" w:hAnsi="宋体" w:cs="宋体"/>
                <w:color w:val="auto"/>
                <w:szCs w:val="21"/>
              </w:rPr>
              <w:t>质疑</w:t>
            </w:r>
          </w:p>
        </w:tc>
        <w:tc>
          <w:tcPr>
            <w:tcW w:w="5896" w:type="dxa"/>
            <w:vAlign w:val="center"/>
          </w:tcPr>
          <w:p>
            <w:pPr>
              <w:adjustRightInd w:val="0"/>
              <w:snapToGrid w:val="0"/>
              <w:spacing w:line="480" w:lineRule="exact"/>
              <w:rPr>
                <w:rFonts w:ascii="宋体" w:hAnsi="宋体" w:cs="宋体"/>
                <w:color w:val="auto"/>
                <w:szCs w:val="21"/>
              </w:rPr>
            </w:pPr>
            <w:r>
              <w:rPr>
                <w:rFonts w:hint="eastAsia" w:ascii="宋体" w:hAnsi="宋体" w:cs="宋体"/>
                <w:color w:val="auto"/>
                <w:szCs w:val="21"/>
              </w:rPr>
              <w:t>供应商认为采购文件、采购过程、中标或成交结果使自己的权益受到损害的,可以在知道或者应知其权益受到损害之日起7个工作日内，按照【政府采购质疑和投诉办法】（中华人民共和国财政部令94号）以书面形式向采购人、采购代理机构提出质疑（邮寄件、传真件不予受理），同时要求供应商在法定质疑期内一次性提出针对同一采购程序环节的质疑，逾期不再接收。</w:t>
            </w:r>
          </w:p>
          <w:p>
            <w:pPr>
              <w:adjustRightInd w:val="0"/>
              <w:snapToGrid w:val="0"/>
              <w:spacing w:line="480" w:lineRule="exact"/>
              <w:rPr>
                <w:rFonts w:ascii="宋体" w:hAnsi="宋体" w:cs="宋体"/>
                <w:color w:val="auto"/>
                <w:szCs w:val="21"/>
              </w:rPr>
            </w:pPr>
            <w:r>
              <w:rPr>
                <w:rFonts w:hint="eastAsia" w:ascii="宋体" w:hAnsi="宋体" w:cs="宋体"/>
                <w:color w:val="auto"/>
                <w:szCs w:val="21"/>
              </w:rPr>
              <w:t>接收质疑方式：以书面形式递交；</w:t>
            </w:r>
          </w:p>
          <w:p>
            <w:pPr>
              <w:adjustRightInd w:val="0"/>
              <w:snapToGrid w:val="0"/>
              <w:spacing w:line="480" w:lineRule="exact"/>
              <w:rPr>
                <w:rFonts w:ascii="宋体" w:hAnsi="宋体" w:cs="宋体"/>
                <w:color w:val="auto"/>
                <w:szCs w:val="21"/>
              </w:rPr>
            </w:pPr>
            <w:r>
              <w:rPr>
                <w:rFonts w:hint="eastAsia" w:ascii="宋体" w:hAnsi="宋体" w:cs="宋体"/>
                <w:color w:val="auto"/>
                <w:szCs w:val="21"/>
              </w:rPr>
              <w:t>接收质疑联系部门：</w:t>
            </w:r>
            <w:r>
              <w:rPr>
                <w:rFonts w:hint="eastAsia" w:ascii="宋体" w:hAnsi="宋体" w:cs="宋体"/>
                <w:color w:val="auto"/>
                <w:szCs w:val="21"/>
                <w:lang w:eastAsia="zh-CN"/>
              </w:rPr>
              <w:t>河南荣达工程咨询有限公司</w:t>
            </w:r>
            <w:r>
              <w:rPr>
                <w:rFonts w:hint="eastAsia" w:ascii="宋体" w:hAnsi="宋体" w:cs="宋体"/>
                <w:color w:val="auto"/>
                <w:szCs w:val="21"/>
              </w:rPr>
              <w:t>，联系电话：0371-63397587/63393587；</w:t>
            </w:r>
          </w:p>
          <w:p>
            <w:pPr>
              <w:adjustRightInd w:val="0"/>
              <w:snapToGrid w:val="0"/>
              <w:spacing w:line="480" w:lineRule="exact"/>
              <w:rPr>
                <w:rFonts w:ascii="宋体" w:hAnsi="宋体" w:cs="宋体"/>
                <w:color w:val="auto"/>
                <w:szCs w:val="21"/>
              </w:rPr>
            </w:pPr>
            <w:r>
              <w:rPr>
                <w:rFonts w:hint="eastAsia" w:ascii="宋体" w:hAnsi="宋体" w:cs="宋体"/>
                <w:color w:val="auto"/>
                <w:szCs w:val="21"/>
              </w:rPr>
              <w:t>接收质疑地址：郑州市高新区莲花街316号龙鼎创富中心3号楼7层26号。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28" w:type="dxa"/>
            <w:vAlign w:val="center"/>
          </w:tcPr>
          <w:p>
            <w:pPr>
              <w:spacing w:line="480" w:lineRule="exact"/>
              <w:jc w:val="center"/>
              <w:rPr>
                <w:rFonts w:ascii="宋体" w:hAnsi="宋体" w:cs="宋体"/>
                <w:color w:val="auto"/>
                <w:szCs w:val="21"/>
              </w:rPr>
            </w:pPr>
            <w:r>
              <w:rPr>
                <w:rFonts w:hint="eastAsia" w:ascii="宋体" w:hAnsi="宋体" w:cs="宋体"/>
                <w:color w:val="auto"/>
                <w:szCs w:val="21"/>
              </w:rPr>
              <w:t>10.3</w:t>
            </w:r>
          </w:p>
        </w:tc>
        <w:tc>
          <w:tcPr>
            <w:tcW w:w="1696" w:type="dxa"/>
            <w:vAlign w:val="center"/>
          </w:tcPr>
          <w:p>
            <w:pPr>
              <w:adjustRightInd w:val="0"/>
              <w:snapToGrid w:val="0"/>
              <w:spacing w:line="480" w:lineRule="exact"/>
              <w:jc w:val="center"/>
              <w:rPr>
                <w:rFonts w:ascii="宋体" w:hAnsi="宋体" w:cs="宋体"/>
                <w:color w:val="auto"/>
                <w:szCs w:val="21"/>
              </w:rPr>
            </w:pPr>
            <w:r>
              <w:rPr>
                <w:rFonts w:hint="eastAsia" w:ascii="宋体" w:hAnsi="宋体" w:cs="宋体"/>
                <w:bCs/>
                <w:color w:val="auto"/>
                <w:szCs w:val="21"/>
                <w:highlight w:val="none"/>
              </w:rPr>
              <w:t>政府采购政策</w:t>
            </w:r>
          </w:p>
        </w:tc>
        <w:tc>
          <w:tcPr>
            <w:tcW w:w="589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baseline"/>
              <w:rPr>
                <w:rFonts w:hint="eastAsia" w:ascii="宋体" w:hAnsi="宋体" w:eastAsia="宋体" w:cs="宋体"/>
                <w:color w:val="auto"/>
                <w:szCs w:val="21"/>
              </w:rPr>
            </w:pPr>
            <w:r>
              <w:rPr>
                <w:rFonts w:hint="eastAsia" w:ascii="宋体" w:hAnsi="宋体" w:eastAsia="宋体" w:cs="宋体"/>
                <w:color w:val="auto"/>
                <w:szCs w:val="21"/>
                <w:lang w:val="en-US" w:eastAsia="zh-CN"/>
              </w:rPr>
              <w:t>A、</w:t>
            </w:r>
            <w:r>
              <w:rPr>
                <w:rFonts w:hint="eastAsia" w:ascii="宋体" w:hAnsi="宋体" w:eastAsia="宋体" w:cs="宋体"/>
                <w:color w:val="auto"/>
                <w:szCs w:val="21"/>
              </w:rPr>
              <w:t>为贯彻落实财库[20</w:t>
            </w:r>
            <w:r>
              <w:rPr>
                <w:rFonts w:hint="eastAsia" w:ascii="宋体" w:hAnsi="宋体" w:eastAsia="宋体" w:cs="宋体"/>
                <w:color w:val="auto"/>
                <w:szCs w:val="21"/>
                <w:lang w:val="en-US" w:eastAsia="zh-CN"/>
              </w:rPr>
              <w:t>20</w:t>
            </w:r>
            <w:r>
              <w:rPr>
                <w:rFonts w:hint="eastAsia" w:ascii="宋体" w:hAnsi="宋体" w:eastAsia="宋体" w:cs="宋体"/>
                <w:color w:val="auto"/>
                <w:szCs w:val="21"/>
              </w:rPr>
              <w:t>]</w:t>
            </w:r>
            <w:r>
              <w:rPr>
                <w:rFonts w:hint="eastAsia" w:ascii="宋体" w:hAnsi="宋体" w:eastAsia="宋体" w:cs="宋体"/>
                <w:color w:val="auto"/>
                <w:szCs w:val="21"/>
                <w:lang w:val="en-US" w:eastAsia="zh-CN"/>
              </w:rPr>
              <w:t>46</w:t>
            </w:r>
            <w:r>
              <w:rPr>
                <w:rFonts w:hint="eastAsia" w:ascii="宋体" w:hAnsi="宋体" w:eastAsia="宋体" w:cs="宋体"/>
                <w:color w:val="auto"/>
                <w:szCs w:val="21"/>
              </w:rPr>
              <w:t>号</w:t>
            </w:r>
            <w:r>
              <w:rPr>
                <w:rFonts w:hint="eastAsia" w:ascii="宋体" w:hAnsi="宋体" w:cs="宋体"/>
                <w:color w:val="auto"/>
                <w:szCs w:val="21"/>
                <w:lang w:eastAsia="zh-CN"/>
              </w:rPr>
              <w:t>、</w:t>
            </w:r>
            <w:r>
              <w:rPr>
                <w:rFonts w:hint="eastAsia" w:ascii="宋体" w:hAnsi="宋体" w:eastAsia="宋体" w:cs="宋体"/>
                <w:color w:val="auto"/>
                <w:szCs w:val="21"/>
              </w:rPr>
              <w:t>财库[20</w:t>
            </w: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2</w:t>
            </w:r>
            <w:r>
              <w:rPr>
                <w:rFonts w:hint="eastAsia" w:ascii="宋体" w:hAnsi="宋体" w:eastAsia="宋体" w:cs="宋体"/>
                <w:color w:val="auto"/>
                <w:szCs w:val="21"/>
              </w:rPr>
              <w:t>]</w:t>
            </w:r>
            <w:r>
              <w:rPr>
                <w:rFonts w:hint="eastAsia" w:ascii="宋体" w:hAnsi="宋体" w:cs="宋体"/>
                <w:color w:val="auto"/>
                <w:szCs w:val="21"/>
                <w:lang w:val="en-US" w:eastAsia="zh-CN"/>
              </w:rPr>
              <w:t>19</w:t>
            </w:r>
            <w:r>
              <w:rPr>
                <w:rFonts w:hint="eastAsia" w:ascii="宋体" w:hAnsi="宋体" w:eastAsia="宋体" w:cs="宋体"/>
                <w:color w:val="auto"/>
                <w:szCs w:val="21"/>
              </w:rPr>
              <w:t>号</w:t>
            </w:r>
            <w:r>
              <w:rPr>
                <w:rFonts w:hint="eastAsia" w:ascii="宋体" w:hAnsi="宋体" w:cs="宋体"/>
                <w:color w:val="auto"/>
                <w:szCs w:val="21"/>
                <w:lang w:val="en-US" w:eastAsia="zh-CN"/>
              </w:rPr>
              <w:t>的通知</w:t>
            </w:r>
            <w:r>
              <w:rPr>
                <w:rFonts w:hint="eastAsia" w:ascii="宋体" w:hAnsi="宋体" w:eastAsia="宋体" w:cs="宋体"/>
                <w:color w:val="auto"/>
                <w:szCs w:val="21"/>
              </w:rPr>
              <w:t>、豫财购[2013]14号《河南省财政厅、河南省工业和信息化厅关于政府采购促进小型微型企业发展的实施意见》、郑财办购[2012]8号《郑州市财政局、郑州市工业和信息化委员会关于政府采购促进中小企业发展有关问题的通知》，本项目鼓励中小企业参与投标，中小企业划型标准以工信部联企业〔2011〕300号《工业和信息化部、国家统计局、国家发展和改革委员会、财政部关于印发中小企业划型标准规定的通知》为依据。</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baseline"/>
              <w:rPr>
                <w:rFonts w:hint="eastAsia" w:ascii="宋体" w:hAnsi="宋体" w:eastAsia="宋体" w:cs="宋体"/>
                <w:color w:val="auto"/>
                <w:szCs w:val="21"/>
              </w:rPr>
            </w:pPr>
            <w:r>
              <w:rPr>
                <w:rFonts w:hint="eastAsia" w:ascii="宋体" w:hAnsi="宋体" w:eastAsia="宋体" w:cs="宋体"/>
                <w:color w:val="auto"/>
                <w:szCs w:val="21"/>
              </w:rPr>
              <w:t xml:space="preserve">    关于投标报价评分中给予中小企业优惠的说明：评审时给予小型或微型企业</w:t>
            </w:r>
            <w:r>
              <w:rPr>
                <w:rFonts w:hint="eastAsia" w:ascii="宋体" w:hAnsi="宋体" w:cs="宋体"/>
                <w:color w:val="auto"/>
                <w:szCs w:val="21"/>
                <w:lang w:val="en-US" w:eastAsia="zh-CN"/>
              </w:rPr>
              <w:t>20</w:t>
            </w:r>
            <w:r>
              <w:rPr>
                <w:rFonts w:hint="eastAsia" w:ascii="宋体" w:hAnsi="宋体" w:eastAsia="宋体" w:cs="宋体"/>
                <w:color w:val="auto"/>
                <w:szCs w:val="21"/>
              </w:rPr>
              <w:t>%的价格扣除，用扣除后的价格参与评审。供应商须提供《中小企业声明函》（小型、微型企业提供中型企业制造的货物的，视同为中型企业），中小企业用评标报价参与评分。供应商应认真学习相关文件，对划分标准应深入理解，遵照诚实信用原则，对提供的《中小企业声明函》的真实性承担法律责任。如提供虚假的《中小企业声明函》对因其造成的损失进行追责。</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baseline"/>
              <w:rPr>
                <w:rFonts w:hint="eastAsia" w:ascii="宋体" w:hAnsi="宋体" w:eastAsia="宋体" w:cs="宋体"/>
                <w:color w:val="auto"/>
                <w:szCs w:val="21"/>
              </w:rPr>
            </w:pPr>
            <w:r>
              <w:rPr>
                <w:rFonts w:hint="eastAsia" w:ascii="宋体" w:hAnsi="宋体" w:eastAsia="宋体" w:cs="宋体"/>
                <w:color w:val="auto"/>
                <w:szCs w:val="21"/>
              </w:rPr>
              <w:t>小型或微型企业评标报价=投标报价*（1</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0</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baseline"/>
              <w:rPr>
                <w:rFonts w:hint="eastAsia" w:ascii="宋体" w:hAnsi="宋体" w:eastAsia="宋体" w:cs="宋体"/>
                <w:color w:val="auto"/>
                <w:szCs w:val="21"/>
              </w:rPr>
            </w:pPr>
            <w:r>
              <w:rPr>
                <w:rFonts w:hint="eastAsia" w:ascii="宋体" w:hAnsi="宋体" w:eastAsia="宋体" w:cs="宋体"/>
                <w:color w:val="auto"/>
                <w:szCs w:val="21"/>
                <w:lang w:val="en-US" w:eastAsia="zh-CN"/>
              </w:rPr>
              <w:t>B、</w:t>
            </w:r>
            <w:r>
              <w:rPr>
                <w:rFonts w:hint="eastAsia" w:ascii="宋体" w:hAnsi="宋体" w:eastAsia="宋体" w:cs="宋体"/>
                <w:color w:val="auto"/>
                <w:szCs w:val="21"/>
              </w:rPr>
              <w:t>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pPr>
              <w:keepNext w:val="0"/>
              <w:keepLines w:val="0"/>
              <w:pageBreakBefore w:val="0"/>
              <w:widowControl w:val="0"/>
              <w:kinsoku/>
              <w:wordWrap/>
              <w:overflowPunct/>
              <w:topLinePunct w:val="0"/>
              <w:autoSpaceDE/>
              <w:autoSpaceDN/>
              <w:bidi w:val="0"/>
              <w:adjustRightInd w:val="0"/>
              <w:snapToGrid w:val="0"/>
              <w:spacing w:line="400" w:lineRule="exact"/>
              <w:rPr>
                <w:rFonts w:ascii="宋体" w:hAnsi="宋体" w:cs="宋体"/>
                <w:color w:val="auto"/>
                <w:szCs w:val="21"/>
              </w:rPr>
            </w:pPr>
            <w:r>
              <w:rPr>
                <w:rFonts w:hint="eastAsia" w:ascii="宋体" w:hAnsi="宋体" w:eastAsia="宋体" w:cs="宋体"/>
                <w:color w:val="auto"/>
                <w:szCs w:val="21"/>
                <w:lang w:val="en-US" w:eastAsia="zh-CN"/>
              </w:rPr>
              <w:t>C、《财政部民政部中国残疾人联合会关于促进残疾人就业政府采购政策的通知》（财库〔2017〕141 号）的规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28" w:type="dxa"/>
            <w:vAlign w:val="center"/>
          </w:tcPr>
          <w:p>
            <w:pPr>
              <w:spacing w:line="480" w:lineRule="exact"/>
              <w:jc w:val="center"/>
              <w:rPr>
                <w:rFonts w:hint="eastAsia" w:ascii="宋体" w:hAnsi="宋体" w:eastAsia="宋体" w:cs="宋体"/>
                <w:color w:val="auto"/>
                <w:szCs w:val="21"/>
                <w:lang w:eastAsia="zh-CN"/>
              </w:rPr>
            </w:pPr>
            <w:r>
              <w:rPr>
                <w:rFonts w:hint="eastAsia" w:ascii="宋体" w:hAnsi="宋体" w:cs="宋体"/>
                <w:color w:val="auto"/>
                <w:szCs w:val="21"/>
              </w:rPr>
              <w:t>10.</w:t>
            </w:r>
            <w:r>
              <w:rPr>
                <w:rFonts w:hint="eastAsia" w:ascii="宋体" w:hAnsi="宋体" w:cs="宋体"/>
                <w:color w:val="auto"/>
                <w:szCs w:val="21"/>
                <w:lang w:val="en-US" w:eastAsia="zh-CN"/>
              </w:rPr>
              <w:t>4</w:t>
            </w:r>
          </w:p>
        </w:tc>
        <w:tc>
          <w:tcPr>
            <w:tcW w:w="1696" w:type="dxa"/>
            <w:vAlign w:val="center"/>
          </w:tcPr>
          <w:p>
            <w:pPr>
              <w:adjustRightInd w:val="0"/>
              <w:snapToGrid w:val="0"/>
              <w:spacing w:line="480" w:lineRule="exact"/>
              <w:jc w:val="center"/>
              <w:rPr>
                <w:rFonts w:ascii="宋体" w:hAnsi="宋体" w:cs="宋体"/>
                <w:color w:val="auto"/>
                <w:szCs w:val="21"/>
              </w:rPr>
            </w:pPr>
            <w:r>
              <w:rPr>
                <w:rFonts w:hint="eastAsia" w:ascii="宋体" w:hAnsi="宋体" w:cs="宋体"/>
                <w:color w:val="auto"/>
                <w:szCs w:val="21"/>
              </w:rPr>
              <w:t>知识产权</w:t>
            </w:r>
          </w:p>
        </w:tc>
        <w:tc>
          <w:tcPr>
            <w:tcW w:w="5896" w:type="dxa"/>
            <w:vAlign w:val="center"/>
          </w:tcPr>
          <w:p>
            <w:pPr>
              <w:adjustRightInd w:val="0"/>
              <w:snapToGrid w:val="0"/>
              <w:spacing w:line="480" w:lineRule="exact"/>
              <w:rPr>
                <w:rFonts w:hint="eastAsia" w:ascii="宋体" w:hAnsi="宋体" w:cs="宋体"/>
                <w:color w:val="auto"/>
                <w:szCs w:val="21"/>
              </w:rPr>
            </w:pPr>
            <w:r>
              <w:rPr>
                <w:rFonts w:hint="eastAsia" w:ascii="宋体" w:hAnsi="宋体"/>
                <w:color w:val="auto"/>
                <w:szCs w:val="21"/>
              </w:rPr>
              <w:t>构成本招标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p>
            <w:pPr>
              <w:adjustRightInd w:val="0"/>
              <w:snapToGrid w:val="0"/>
              <w:spacing w:line="480" w:lineRule="exact"/>
              <w:rPr>
                <w:rFonts w:ascii="宋体" w:hAnsi="宋体" w:cs="宋体"/>
                <w:color w:val="auto"/>
                <w:szCs w:val="21"/>
              </w:rPr>
            </w:pPr>
            <w:r>
              <w:rPr>
                <w:rFonts w:hint="eastAsia" w:ascii="宋体" w:hAnsi="宋体" w:cs="宋体"/>
                <w:color w:val="auto"/>
                <w:szCs w:val="21"/>
              </w:rPr>
              <w:t>构成本</w:t>
            </w:r>
            <w:r>
              <w:rPr>
                <w:rFonts w:hint="eastAsia" w:ascii="宋体" w:hAnsi="宋体" w:cs="宋体"/>
                <w:color w:val="auto"/>
                <w:szCs w:val="21"/>
                <w:lang w:eastAsia="zh-CN"/>
              </w:rPr>
              <w:t>磋商</w:t>
            </w:r>
            <w:r>
              <w:rPr>
                <w:rFonts w:hint="eastAsia" w:ascii="宋体" w:hAnsi="宋体" w:cs="宋体"/>
                <w:color w:val="auto"/>
                <w:szCs w:val="21"/>
              </w:rPr>
              <w:t>文件各个组成部分的文件，未经采购人书面同意，投标人不得擅自复印和用于非本招标项目所需的其他目的。采购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28" w:type="dxa"/>
            <w:vAlign w:val="center"/>
          </w:tcPr>
          <w:p>
            <w:pPr>
              <w:spacing w:line="480" w:lineRule="exact"/>
              <w:jc w:val="center"/>
              <w:rPr>
                <w:rFonts w:hint="eastAsia" w:ascii="宋体" w:hAnsi="宋体" w:eastAsia="宋体" w:cs="宋体"/>
                <w:color w:val="auto"/>
                <w:szCs w:val="21"/>
                <w:lang w:eastAsia="zh-CN"/>
              </w:rPr>
            </w:pPr>
            <w:r>
              <w:rPr>
                <w:rFonts w:hint="eastAsia" w:ascii="宋体" w:hAnsi="宋体" w:cs="宋体"/>
                <w:color w:val="auto"/>
                <w:szCs w:val="21"/>
              </w:rPr>
              <w:t>10.</w:t>
            </w:r>
            <w:r>
              <w:rPr>
                <w:rFonts w:hint="eastAsia" w:ascii="宋体" w:hAnsi="宋体" w:cs="宋体"/>
                <w:color w:val="auto"/>
                <w:szCs w:val="21"/>
                <w:lang w:val="en-US" w:eastAsia="zh-CN"/>
              </w:rPr>
              <w:t>5</w:t>
            </w:r>
          </w:p>
        </w:tc>
        <w:tc>
          <w:tcPr>
            <w:tcW w:w="1696" w:type="dxa"/>
            <w:vAlign w:val="center"/>
          </w:tcPr>
          <w:p>
            <w:pPr>
              <w:adjustRightInd w:val="0"/>
              <w:snapToGrid w:val="0"/>
              <w:spacing w:line="480" w:lineRule="exact"/>
              <w:jc w:val="center"/>
              <w:rPr>
                <w:rFonts w:hint="eastAsia" w:ascii="宋体" w:hAnsi="宋体" w:eastAsia="宋体" w:cs="宋体"/>
                <w:b/>
                <w:bCs/>
                <w:color w:val="auto"/>
                <w:kern w:val="0"/>
                <w:szCs w:val="21"/>
                <w:lang w:eastAsia="zh-CN"/>
              </w:rPr>
            </w:pPr>
            <w:r>
              <w:rPr>
                <w:rFonts w:hint="eastAsia" w:ascii="宋体" w:hAnsi="宋体" w:cs="宋体"/>
                <w:bCs/>
                <w:color w:val="auto"/>
                <w:szCs w:val="21"/>
              </w:rPr>
              <w:t>所属行业</w:t>
            </w:r>
          </w:p>
        </w:tc>
        <w:tc>
          <w:tcPr>
            <w:tcW w:w="5896" w:type="dxa"/>
            <w:vAlign w:val="center"/>
          </w:tcPr>
          <w:p>
            <w:pPr>
              <w:adjustRightInd w:val="0"/>
              <w:snapToGrid w:val="0"/>
              <w:spacing w:line="48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rPr>
              <w:t>本项目采购标的对应的中小企业划分标准所属行业为：其他未列明行业*</w:t>
            </w:r>
            <w:r>
              <w:rPr>
                <w:rFonts w:hint="eastAsia" w:ascii="宋体" w:hAnsi="宋体" w:eastAsia="宋体" w:cs="Times New Roman"/>
                <w:color w:val="auto"/>
                <w:szCs w:val="21"/>
                <w:lang w:eastAsia="zh-CN"/>
              </w:rPr>
              <w:t xml:space="preserve"> </w:t>
            </w:r>
          </w:p>
          <w:p>
            <w:pPr>
              <w:adjustRightInd w:val="0"/>
              <w:snapToGrid w:val="0"/>
              <w:spacing w:line="480" w:lineRule="exact"/>
              <w:rPr>
                <w:rFonts w:hint="eastAsia"/>
                <w:color w:val="auto"/>
                <w:lang w:eastAsia="zh-CN"/>
              </w:rPr>
            </w:pPr>
            <w:r>
              <w:rPr>
                <w:rFonts w:hint="eastAsia" w:ascii="宋体" w:hAnsi="宋体" w:eastAsia="宋体" w:cs="Times New Roman"/>
                <w:color w:val="auto"/>
                <w:szCs w:val="21"/>
                <w:lang w:val="en-US" w:eastAsia="zh-CN"/>
              </w:rPr>
              <w:t>中小企业划型标准：中小微企业划分按照“工业和信息化部、国家统计局、国家发展和改革 委员会、财政部文件《关于印发中小企业划型标准规定的通知》（工信部联企业【2011】300号）”规定的划型标准为依据。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28" w:type="dxa"/>
            <w:vAlign w:val="center"/>
          </w:tcPr>
          <w:p>
            <w:pPr>
              <w:spacing w:line="480" w:lineRule="exact"/>
              <w:jc w:val="center"/>
              <w:rPr>
                <w:rFonts w:hint="eastAsia" w:ascii="宋体" w:hAnsi="宋体" w:eastAsia="宋体" w:cs="宋体"/>
                <w:color w:val="auto"/>
                <w:szCs w:val="21"/>
                <w:lang w:eastAsia="zh-CN"/>
              </w:rPr>
            </w:pPr>
            <w:bookmarkStart w:id="15" w:name="_Toc340581164"/>
            <w:bookmarkStart w:id="16" w:name="_Toc356423301"/>
            <w:r>
              <w:rPr>
                <w:rFonts w:hint="eastAsia" w:ascii="宋体" w:hAnsi="宋体" w:cs="宋体"/>
                <w:color w:val="auto"/>
                <w:szCs w:val="21"/>
              </w:rPr>
              <w:t>10.</w:t>
            </w:r>
            <w:r>
              <w:rPr>
                <w:rFonts w:hint="eastAsia" w:ascii="宋体" w:hAnsi="宋体" w:cs="宋体"/>
                <w:color w:val="auto"/>
                <w:szCs w:val="21"/>
                <w:lang w:val="en-US" w:eastAsia="zh-CN"/>
              </w:rPr>
              <w:t>6</w:t>
            </w:r>
          </w:p>
        </w:tc>
        <w:tc>
          <w:tcPr>
            <w:tcW w:w="1696" w:type="dxa"/>
            <w:vAlign w:val="center"/>
          </w:tcPr>
          <w:p>
            <w:pPr>
              <w:adjustRightInd w:val="0"/>
              <w:snapToGrid w:val="0"/>
              <w:spacing w:line="480" w:lineRule="exact"/>
              <w:jc w:val="center"/>
              <w:rPr>
                <w:rFonts w:ascii="宋体" w:hAnsi="宋体" w:cs="宋体"/>
                <w:bCs/>
                <w:color w:val="auto"/>
                <w:szCs w:val="21"/>
              </w:rPr>
            </w:pPr>
            <w:r>
              <w:rPr>
                <w:rFonts w:hint="eastAsia" w:ascii="宋体" w:hAnsi="宋体" w:cs="宋体"/>
                <w:color w:val="auto"/>
                <w:szCs w:val="21"/>
              </w:rPr>
              <w:t>解释权</w:t>
            </w:r>
          </w:p>
        </w:tc>
        <w:tc>
          <w:tcPr>
            <w:tcW w:w="5896" w:type="dxa"/>
            <w:vAlign w:val="center"/>
          </w:tcPr>
          <w:p>
            <w:pPr>
              <w:adjustRightInd w:val="0"/>
              <w:snapToGrid w:val="0"/>
              <w:spacing w:line="480" w:lineRule="exact"/>
              <w:rPr>
                <w:rFonts w:ascii="宋体" w:hAnsi="宋体" w:cs="宋体"/>
                <w:color w:val="auto"/>
                <w:szCs w:val="21"/>
              </w:rPr>
            </w:pPr>
            <w:r>
              <w:rPr>
                <w:rFonts w:hint="eastAsia" w:ascii="宋体" w:hAnsi="宋体" w:cs="宋体"/>
                <w:color w:val="auto"/>
                <w:szCs w:val="21"/>
              </w:rPr>
              <w:t>构成本磋商文件的各个组成文件应互为解释，互为说明；如有不明确或不一致，按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pPr>
        <w:rPr>
          <w:rFonts w:ascii="宋体" w:hAnsi="宋体" w:cs="宋体"/>
          <w:color w:val="auto"/>
          <w:szCs w:val="21"/>
        </w:rPr>
      </w:pPr>
      <w:r>
        <w:rPr>
          <w:rFonts w:hint="eastAsia" w:ascii="宋体" w:hAnsi="宋体" w:cs="宋体"/>
          <w:color w:val="auto"/>
          <w:szCs w:val="21"/>
        </w:rPr>
        <w:br w:type="page"/>
      </w:r>
    </w:p>
    <w:bookmarkEnd w:id="15"/>
    <w:bookmarkEnd w:id="16"/>
    <w:p>
      <w:pPr>
        <w:pStyle w:val="43"/>
        <w:pageBreakBefore w:val="0"/>
        <w:kinsoku/>
        <w:wordWrap/>
        <w:overflowPunct/>
        <w:topLinePunct w:val="0"/>
        <w:bidi w:val="0"/>
        <w:adjustRightInd w:val="0"/>
        <w:snapToGrid/>
        <w:spacing w:before="0" w:line="360" w:lineRule="auto"/>
        <w:textAlignment w:val="auto"/>
        <w:rPr>
          <w:rFonts w:asciiTheme="minorEastAsia" w:hAnsiTheme="minorEastAsia" w:eastAsiaTheme="minorEastAsia" w:cstheme="minorEastAsia"/>
          <w:color w:val="auto"/>
          <w:sz w:val="24"/>
          <w:szCs w:val="24"/>
        </w:rPr>
      </w:pPr>
      <w:bookmarkStart w:id="17" w:name="_Toc152045529"/>
      <w:bookmarkStart w:id="18" w:name="_Toc10502"/>
      <w:bookmarkStart w:id="19" w:name="_Toc144974497"/>
      <w:bookmarkStart w:id="20" w:name="_Toc22180"/>
      <w:bookmarkStart w:id="21" w:name="_Toc14400"/>
      <w:bookmarkStart w:id="22" w:name="_Toc15794"/>
      <w:bookmarkStart w:id="23" w:name="_Toc19481"/>
      <w:bookmarkStart w:id="24" w:name="_Toc23288"/>
      <w:bookmarkStart w:id="25" w:name="_Toc152042305"/>
      <w:bookmarkStart w:id="26" w:name="_Toc3242"/>
      <w:bookmarkStart w:id="27" w:name="_Toc10891"/>
      <w:bookmarkStart w:id="28" w:name="_Toc9515"/>
      <w:bookmarkStart w:id="29" w:name="_Toc356423311"/>
      <w:bookmarkStart w:id="30" w:name="_Toc340581214"/>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总则</w:t>
      </w:r>
      <w:bookmarkEnd w:id="17"/>
      <w:bookmarkEnd w:id="18"/>
      <w:bookmarkEnd w:id="19"/>
      <w:bookmarkEnd w:id="20"/>
      <w:bookmarkEnd w:id="21"/>
      <w:bookmarkEnd w:id="22"/>
      <w:bookmarkEnd w:id="23"/>
      <w:bookmarkEnd w:id="24"/>
      <w:bookmarkEnd w:id="25"/>
      <w:bookmarkEnd w:id="26"/>
      <w:bookmarkEnd w:id="27"/>
      <w:bookmarkEnd w:id="28"/>
    </w:p>
    <w:p>
      <w:pPr>
        <w:pStyle w:val="44"/>
        <w:pageBreakBefore w:val="0"/>
        <w:kinsoku/>
        <w:wordWrap/>
        <w:overflowPunct/>
        <w:topLinePunct w:val="0"/>
        <w:bidi w:val="0"/>
        <w:adjustRightInd w:val="0"/>
        <w:snapToGrid/>
        <w:spacing w:line="360" w:lineRule="auto"/>
        <w:textAlignment w:val="auto"/>
        <w:rPr>
          <w:rFonts w:ascii="宋体" w:hAnsi="宋体" w:eastAsia="宋体"/>
          <w:color w:val="auto"/>
          <w:szCs w:val="24"/>
        </w:rPr>
      </w:pPr>
      <w:bookmarkStart w:id="31" w:name="_Toc152042306"/>
      <w:bookmarkStart w:id="32" w:name="_Toc179632547"/>
      <w:bookmarkStart w:id="33" w:name="_Toc8227"/>
      <w:bookmarkStart w:id="34" w:name="_Toc18807"/>
      <w:bookmarkStart w:id="35" w:name="_Toc9903"/>
      <w:bookmarkStart w:id="36" w:name="_Toc21732"/>
      <w:bookmarkStart w:id="37" w:name="_Toc12414"/>
      <w:bookmarkStart w:id="38" w:name="_Toc413333589"/>
      <w:bookmarkStart w:id="39" w:name="_Toc152045530"/>
      <w:bookmarkStart w:id="40" w:name="_Toc28861"/>
      <w:bookmarkStart w:id="41" w:name="_Toc26383"/>
      <w:bookmarkStart w:id="42" w:name="_Toc531"/>
      <w:bookmarkStart w:id="43" w:name="_Toc24658"/>
      <w:bookmarkStart w:id="44" w:name="_Toc4960"/>
      <w:bookmarkStart w:id="45" w:name="_Toc144974498"/>
      <w:bookmarkStart w:id="46" w:name="_Toc144974499"/>
      <w:bookmarkStart w:id="47" w:name="_Toc152042307"/>
      <w:bookmarkStart w:id="48" w:name="_Toc152045531"/>
      <w:r>
        <w:rPr>
          <w:rFonts w:hint="eastAsia" w:ascii="宋体" w:hAnsi="宋体" w:eastAsia="宋体"/>
          <w:color w:val="auto"/>
          <w:szCs w:val="24"/>
        </w:rPr>
        <w:t>1.1</w:t>
      </w:r>
      <w:r>
        <w:rPr>
          <w:rFonts w:hint="eastAsia" w:ascii="宋体" w:hAnsi="宋体" w:eastAsia="宋体"/>
          <w:color w:val="auto"/>
          <w:szCs w:val="24"/>
          <w:lang w:eastAsia="zh-CN"/>
        </w:rPr>
        <w:t xml:space="preserve"> </w:t>
      </w:r>
      <w:r>
        <w:rPr>
          <w:rFonts w:hint="eastAsia" w:ascii="宋体" w:hAnsi="宋体" w:eastAsia="宋体"/>
          <w:color w:val="auto"/>
          <w:szCs w:val="24"/>
        </w:rPr>
        <w:t>项目概况</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1.1.1根据</w:t>
      </w:r>
      <w:r>
        <w:rPr>
          <w:rFonts w:ascii="宋体" w:hAnsi="宋体" w:cs="宋体"/>
          <w:color w:val="auto"/>
          <w:sz w:val="24"/>
        </w:rPr>
        <w:t>《中华人民共和国政府采购法》</w:t>
      </w:r>
      <w:r>
        <w:rPr>
          <w:rFonts w:hint="eastAsia" w:ascii="宋体" w:hAnsi="宋体" w:cs="宋体"/>
          <w:color w:val="auto"/>
          <w:sz w:val="24"/>
        </w:rPr>
        <w:t>等有关法律、法规和规章的规定，编制本项目采购文件（磋商文件）。</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1.1.2</w:t>
      </w:r>
      <w:r>
        <w:rPr>
          <w:rFonts w:hint="eastAsia" w:ascii="宋体" w:hAnsi="宋体" w:cs="宋体"/>
          <w:color w:val="auto"/>
          <w:sz w:val="24"/>
          <w:lang w:eastAsia="zh-CN"/>
        </w:rPr>
        <w:t xml:space="preserve"> </w:t>
      </w:r>
      <w:r>
        <w:rPr>
          <w:rFonts w:hint="eastAsia" w:ascii="宋体" w:hAnsi="宋体" w:cs="宋体"/>
          <w:color w:val="auto"/>
          <w:sz w:val="24"/>
        </w:rPr>
        <w:t>本招标项目采购人：见供应商须知前附表。</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1.1.3</w:t>
      </w:r>
      <w:r>
        <w:rPr>
          <w:rFonts w:hint="eastAsia" w:ascii="宋体" w:hAnsi="宋体" w:cs="宋体"/>
          <w:color w:val="auto"/>
          <w:sz w:val="24"/>
          <w:lang w:eastAsia="zh-CN"/>
        </w:rPr>
        <w:t xml:space="preserve"> </w:t>
      </w:r>
      <w:r>
        <w:rPr>
          <w:rFonts w:hint="eastAsia" w:ascii="宋体" w:hAnsi="宋体" w:cs="宋体"/>
          <w:color w:val="auto"/>
          <w:sz w:val="24"/>
        </w:rPr>
        <w:t>本项目采购代理机构：见供应商须知前附表。</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1.1.4</w:t>
      </w:r>
      <w:r>
        <w:rPr>
          <w:rFonts w:hint="eastAsia" w:ascii="宋体" w:hAnsi="宋体" w:cs="宋体"/>
          <w:color w:val="auto"/>
          <w:sz w:val="24"/>
          <w:lang w:eastAsia="zh-CN"/>
        </w:rPr>
        <w:t xml:space="preserve"> </w:t>
      </w:r>
      <w:r>
        <w:rPr>
          <w:rFonts w:hint="eastAsia" w:ascii="宋体" w:hAnsi="宋体" w:cs="宋体"/>
          <w:color w:val="auto"/>
          <w:sz w:val="24"/>
        </w:rPr>
        <w:t>本招标项目名称：见供应商须知前附表。</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宋体" w:hAnsi="宋体" w:cs="宋体"/>
          <w:color w:val="auto"/>
          <w:sz w:val="24"/>
        </w:rPr>
        <w:t>1.1.5</w:t>
      </w:r>
      <w:r>
        <w:rPr>
          <w:rFonts w:hint="eastAsia" w:ascii="宋体" w:hAnsi="宋体" w:cs="宋体"/>
          <w:color w:val="auto"/>
          <w:sz w:val="24"/>
          <w:lang w:eastAsia="zh-CN"/>
        </w:rPr>
        <w:t xml:space="preserve"> </w:t>
      </w:r>
      <w:r>
        <w:rPr>
          <w:rFonts w:hint="eastAsia" w:ascii="宋体" w:hAnsi="宋体" w:cs="宋体"/>
          <w:color w:val="auto"/>
          <w:sz w:val="24"/>
        </w:rPr>
        <w:t>本项目地点：见供应商须知前附表。</w:t>
      </w:r>
    </w:p>
    <w:p>
      <w:pPr>
        <w:pStyle w:val="44"/>
        <w:pageBreakBefore w:val="0"/>
        <w:kinsoku/>
        <w:wordWrap/>
        <w:overflowPunct/>
        <w:topLinePunct w:val="0"/>
        <w:bidi w:val="0"/>
        <w:adjustRightInd w:val="0"/>
        <w:snapToGrid/>
        <w:spacing w:line="360" w:lineRule="auto"/>
        <w:textAlignment w:val="auto"/>
        <w:rPr>
          <w:rFonts w:hint="eastAsia" w:ascii="宋体" w:hAnsi="宋体" w:eastAsia="宋体"/>
          <w:color w:val="auto"/>
          <w:szCs w:val="24"/>
        </w:rPr>
      </w:pPr>
      <w:bookmarkStart w:id="49" w:name="_Toc413333590"/>
      <w:bookmarkStart w:id="50" w:name="_Toc179632548"/>
      <w:bookmarkStart w:id="51" w:name="_Toc8660"/>
      <w:bookmarkStart w:id="52" w:name="_Toc26837"/>
      <w:bookmarkStart w:id="53" w:name="_Toc21437"/>
      <w:r>
        <w:rPr>
          <w:rFonts w:hint="eastAsia" w:ascii="宋体" w:hAnsi="宋体" w:eastAsia="宋体"/>
          <w:color w:val="auto"/>
          <w:szCs w:val="24"/>
        </w:rPr>
        <w:t>1.2</w:t>
      </w:r>
      <w:r>
        <w:rPr>
          <w:rFonts w:hint="eastAsia" w:ascii="宋体" w:hAnsi="宋体" w:eastAsia="宋体"/>
          <w:color w:val="auto"/>
          <w:szCs w:val="24"/>
          <w:lang w:eastAsia="zh-CN"/>
        </w:rPr>
        <w:t xml:space="preserve"> </w:t>
      </w:r>
      <w:r>
        <w:rPr>
          <w:rFonts w:hint="eastAsia" w:ascii="宋体" w:hAnsi="宋体" w:eastAsia="宋体"/>
          <w:color w:val="auto"/>
          <w:szCs w:val="24"/>
        </w:rPr>
        <w:t>资金来源和落实情况</w:t>
      </w:r>
      <w:bookmarkEnd w:id="49"/>
      <w:bookmarkEnd w:id="50"/>
      <w:bookmarkEnd w:id="51"/>
      <w:bookmarkEnd w:id="52"/>
      <w:bookmarkEnd w:id="53"/>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1.2.1</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本招标项目的资金来源：见供应商须知前附表。</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1.2.2</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本招标项目的出资比例：见供应商须知前附表。</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1.2.3</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本招标项目的资金落实情况：见供应商须知前附表。</w:t>
      </w:r>
    </w:p>
    <w:p>
      <w:pPr>
        <w:pStyle w:val="44"/>
        <w:pageBreakBefore w:val="0"/>
        <w:kinsoku/>
        <w:wordWrap/>
        <w:overflowPunct/>
        <w:topLinePunct w:val="0"/>
        <w:bidi w:val="0"/>
        <w:adjustRightInd w:val="0"/>
        <w:snapToGrid/>
        <w:spacing w:line="360" w:lineRule="auto"/>
        <w:textAlignment w:val="auto"/>
        <w:rPr>
          <w:rFonts w:ascii="宋体" w:hAnsi="宋体" w:eastAsia="宋体"/>
          <w:color w:val="auto"/>
          <w:szCs w:val="24"/>
        </w:rPr>
      </w:pPr>
      <w:bookmarkStart w:id="54" w:name="_Toc179632549"/>
      <w:bookmarkStart w:id="55" w:name="_Toc21905"/>
      <w:bookmarkStart w:id="56" w:name="_Toc634"/>
      <w:bookmarkStart w:id="57" w:name="_Toc26736"/>
      <w:bookmarkStart w:id="58" w:name="_Toc8091"/>
      <w:bookmarkStart w:id="59" w:name="_Toc7699"/>
      <w:bookmarkStart w:id="60" w:name="_Toc413333591"/>
      <w:bookmarkStart w:id="61" w:name="_Toc4884"/>
      <w:bookmarkStart w:id="62" w:name="_Toc9405"/>
      <w:bookmarkStart w:id="63" w:name="_Toc7919"/>
      <w:bookmarkStart w:id="64" w:name="_Toc30489"/>
      <w:r>
        <w:rPr>
          <w:rFonts w:hint="eastAsia" w:ascii="宋体" w:hAnsi="宋体" w:eastAsia="宋体"/>
          <w:color w:val="auto"/>
          <w:szCs w:val="24"/>
        </w:rPr>
        <w:t>1.3</w:t>
      </w:r>
      <w:r>
        <w:rPr>
          <w:rFonts w:hint="eastAsia" w:ascii="宋体" w:hAnsi="宋体" w:eastAsia="宋体"/>
          <w:color w:val="auto"/>
          <w:szCs w:val="24"/>
          <w:lang w:eastAsia="zh-CN"/>
        </w:rPr>
        <w:t xml:space="preserve"> </w:t>
      </w:r>
      <w:r>
        <w:rPr>
          <w:rFonts w:hint="eastAsia" w:ascii="宋体" w:hAnsi="宋体" w:eastAsia="宋体"/>
          <w:color w:val="auto"/>
          <w:szCs w:val="24"/>
        </w:rPr>
        <w:t>招标范围、合同履行期限和质量要求</w:t>
      </w:r>
      <w:bookmarkEnd w:id="54"/>
      <w:bookmarkEnd w:id="55"/>
      <w:bookmarkEnd w:id="56"/>
      <w:bookmarkEnd w:id="57"/>
      <w:bookmarkEnd w:id="58"/>
      <w:bookmarkEnd w:id="59"/>
      <w:bookmarkEnd w:id="60"/>
      <w:bookmarkEnd w:id="61"/>
      <w:bookmarkEnd w:id="62"/>
      <w:bookmarkEnd w:id="63"/>
      <w:bookmarkEnd w:id="64"/>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1.3.1</w:t>
      </w:r>
      <w:r>
        <w:rPr>
          <w:rFonts w:hint="eastAsia" w:ascii="宋体" w:hAnsi="宋体" w:cs="宋体"/>
          <w:color w:val="auto"/>
          <w:sz w:val="24"/>
          <w:lang w:eastAsia="zh-CN"/>
        </w:rPr>
        <w:t xml:space="preserve"> </w:t>
      </w:r>
      <w:r>
        <w:rPr>
          <w:rFonts w:hint="eastAsia" w:ascii="宋体" w:hAnsi="宋体" w:cs="宋体"/>
          <w:color w:val="auto"/>
          <w:sz w:val="24"/>
        </w:rPr>
        <w:t>本次招标范围及标段划分：见供应商须知前附表。</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1.3.2</w:t>
      </w:r>
      <w:r>
        <w:rPr>
          <w:rFonts w:hint="eastAsia" w:ascii="宋体" w:hAnsi="宋体" w:cs="宋体"/>
          <w:color w:val="auto"/>
          <w:sz w:val="24"/>
          <w:lang w:eastAsia="zh-CN"/>
        </w:rPr>
        <w:t xml:space="preserve"> </w:t>
      </w:r>
      <w:r>
        <w:rPr>
          <w:rFonts w:hint="eastAsia" w:ascii="宋体" w:hAnsi="宋体" w:cs="宋体"/>
          <w:color w:val="auto"/>
          <w:sz w:val="24"/>
        </w:rPr>
        <w:t>本项目的合同履行期限：见供应商须知前附表。</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宋体" w:hAnsi="宋体" w:cs="宋体"/>
          <w:color w:val="auto"/>
          <w:sz w:val="24"/>
        </w:rPr>
        <w:t>1.3.3</w:t>
      </w:r>
      <w:r>
        <w:rPr>
          <w:rFonts w:hint="eastAsia" w:ascii="宋体" w:hAnsi="宋体" w:cs="宋体"/>
          <w:color w:val="auto"/>
          <w:sz w:val="24"/>
          <w:lang w:eastAsia="zh-CN"/>
        </w:rPr>
        <w:t xml:space="preserve"> </w:t>
      </w:r>
      <w:r>
        <w:rPr>
          <w:rFonts w:hint="eastAsia" w:ascii="宋体" w:hAnsi="宋体" w:cs="宋体"/>
          <w:color w:val="auto"/>
          <w:sz w:val="24"/>
        </w:rPr>
        <w:t>本项目的质量要求：见供应商须知前附表。</w:t>
      </w:r>
    </w:p>
    <w:bookmarkEnd w:id="46"/>
    <w:bookmarkEnd w:id="47"/>
    <w:bookmarkEnd w:id="48"/>
    <w:p>
      <w:pPr>
        <w:pStyle w:val="44"/>
        <w:pageBreakBefore w:val="0"/>
        <w:kinsoku/>
        <w:wordWrap/>
        <w:overflowPunct/>
        <w:topLinePunct w:val="0"/>
        <w:bidi w:val="0"/>
        <w:adjustRightInd w:val="0"/>
        <w:snapToGrid/>
        <w:spacing w:line="360" w:lineRule="auto"/>
        <w:textAlignment w:val="auto"/>
        <w:rPr>
          <w:rFonts w:ascii="宋体" w:hAnsi="宋体" w:eastAsia="宋体"/>
          <w:color w:val="auto"/>
          <w:szCs w:val="24"/>
        </w:rPr>
      </w:pPr>
      <w:bookmarkStart w:id="65" w:name="_Toc22339"/>
      <w:bookmarkStart w:id="66" w:name="_Toc32334"/>
      <w:bookmarkStart w:id="67" w:name="_Toc19358"/>
      <w:bookmarkStart w:id="68" w:name="_Toc26244"/>
      <w:bookmarkStart w:id="69" w:name="_Toc179632551"/>
      <w:bookmarkStart w:id="70" w:name="_Toc406150719"/>
      <w:bookmarkStart w:id="71" w:name="_Toc413333592"/>
      <w:bookmarkStart w:id="72" w:name="_Toc11902"/>
      <w:bookmarkStart w:id="73" w:name="_Toc16510"/>
      <w:bookmarkStart w:id="74" w:name="_Toc24825"/>
      <w:bookmarkStart w:id="75" w:name="_Toc21395"/>
      <w:bookmarkStart w:id="76" w:name="_Toc6281"/>
      <w:bookmarkStart w:id="77" w:name="_Toc328"/>
      <w:bookmarkStart w:id="78" w:name="_Toc13509"/>
      <w:bookmarkStart w:id="79" w:name="_Toc7453"/>
      <w:bookmarkStart w:id="80" w:name="_Toc22643"/>
      <w:bookmarkStart w:id="81" w:name="_Toc318450679"/>
      <w:bookmarkStart w:id="82" w:name="_Toc18689"/>
      <w:bookmarkStart w:id="83" w:name="_Toc152042310"/>
      <w:bookmarkStart w:id="84" w:name="_Toc27760"/>
      <w:bookmarkStart w:id="85" w:name="_Toc22461"/>
      <w:bookmarkStart w:id="86" w:name="_Toc11063"/>
      <w:bookmarkStart w:id="87" w:name="_Toc7209"/>
      <w:bookmarkStart w:id="88" w:name="_Toc144974502"/>
      <w:bookmarkStart w:id="89" w:name="_Toc21620"/>
      <w:bookmarkStart w:id="90" w:name="_Toc5019"/>
      <w:bookmarkStart w:id="91" w:name="_Toc152045534"/>
      <w:bookmarkStart w:id="92" w:name="_Toc7429"/>
      <w:bookmarkStart w:id="93" w:name="_Toc23772"/>
      <w:bookmarkStart w:id="94" w:name="_Toc4301"/>
      <w:r>
        <w:rPr>
          <w:rFonts w:hint="eastAsia" w:ascii="宋体" w:hAnsi="宋体" w:eastAsia="宋体"/>
          <w:color w:val="auto"/>
          <w:szCs w:val="24"/>
        </w:rPr>
        <w:t>1.4</w:t>
      </w:r>
      <w:r>
        <w:rPr>
          <w:rFonts w:hint="eastAsia" w:ascii="宋体" w:hAnsi="宋体" w:eastAsia="宋体"/>
          <w:color w:val="auto"/>
          <w:szCs w:val="24"/>
          <w:lang w:eastAsia="zh-CN"/>
        </w:rPr>
        <w:t xml:space="preserve"> </w:t>
      </w:r>
      <w:r>
        <w:rPr>
          <w:rFonts w:hint="eastAsia" w:ascii="宋体" w:hAnsi="宋体" w:eastAsia="宋体"/>
          <w:color w:val="auto"/>
          <w:szCs w:val="24"/>
        </w:rPr>
        <w:t>供应商资格要求</w:t>
      </w:r>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1.4.1供应商应具备承担本项目服务的资质条件、信誉和能力。</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（1）营业执照：见供应商须知前附表；</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（2）资格要求：见供应商须知前附表；</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（3）信誉要求：见供应商须知前附表；</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（4）其他要求：见供应商须知前附表。</w:t>
      </w:r>
    </w:p>
    <w:p>
      <w:pPr>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1.4.2</w:t>
      </w:r>
      <w:r>
        <w:rPr>
          <w:rFonts w:hint="eastAsia" w:ascii="宋体" w:hAnsi="宋体" w:cs="宋体"/>
          <w:color w:val="auto"/>
          <w:sz w:val="24"/>
          <w:lang w:eastAsia="zh-CN"/>
        </w:rPr>
        <w:t xml:space="preserve"> </w:t>
      </w:r>
      <w:r>
        <w:rPr>
          <w:rFonts w:hint="eastAsia" w:ascii="宋体" w:hAnsi="宋体" w:cs="宋体"/>
          <w:color w:val="auto"/>
          <w:sz w:val="24"/>
        </w:rPr>
        <w:t>供应商须知前附表规定接受联合体投标的，除应符合本章第1.4.1项和供应商须知前附表的要求外，还应遵守以下规定：</w:t>
      </w:r>
      <w:r>
        <w:rPr>
          <w:rFonts w:hint="eastAsia" w:ascii="宋体" w:hAnsi="宋体" w:cs="宋体"/>
          <w:color w:val="auto"/>
          <w:sz w:val="24"/>
          <w:lang w:eastAsia="zh-CN"/>
        </w:rPr>
        <w:t xml:space="preserve"> </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（1）联合体各方应按磋商文件提供的格式签订联合体协议书，明确联合体牵头人和各方权利义务；</w:t>
      </w:r>
    </w:p>
    <w:p>
      <w:pPr>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（2）由同一专业的单位组成的联合体，按照资质等级较低的单位确定资质等级；</w:t>
      </w:r>
      <w:r>
        <w:rPr>
          <w:rFonts w:hint="eastAsia" w:ascii="宋体" w:hAnsi="宋体" w:cs="宋体"/>
          <w:color w:val="auto"/>
          <w:sz w:val="24"/>
          <w:lang w:eastAsia="zh-CN"/>
        </w:rPr>
        <w:t xml:space="preserve"> </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（3）联合体各方不得再以自己名义单独或参加其他联合体在同一项目中投标。</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1.4.3</w:t>
      </w:r>
      <w:r>
        <w:rPr>
          <w:rFonts w:hint="eastAsia" w:ascii="宋体" w:hAnsi="宋体" w:cs="宋体"/>
          <w:color w:val="auto"/>
          <w:sz w:val="24"/>
          <w:lang w:eastAsia="zh-CN"/>
        </w:rPr>
        <w:t xml:space="preserve"> </w:t>
      </w:r>
      <w:r>
        <w:rPr>
          <w:rFonts w:hint="eastAsia" w:ascii="宋体" w:hAnsi="宋体" w:cs="宋体"/>
          <w:color w:val="auto"/>
          <w:sz w:val="24"/>
        </w:rPr>
        <w:t>供应商不得存在下列情形之一：</w:t>
      </w:r>
    </w:p>
    <w:p>
      <w:pPr>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（1）为采购人不具有独立法人资格的附属机构（单位）；</w:t>
      </w:r>
      <w:r>
        <w:rPr>
          <w:rFonts w:hint="eastAsia" w:ascii="宋体" w:hAnsi="宋体" w:cs="宋体"/>
          <w:color w:val="auto"/>
          <w:sz w:val="24"/>
          <w:lang w:eastAsia="zh-CN"/>
        </w:rPr>
        <w:t xml:space="preserve"> </w:t>
      </w:r>
    </w:p>
    <w:p>
      <w:pPr>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（2）为本项目前期准备提供设计或咨询服务的，但设计施工总承包的除外；</w:t>
      </w:r>
      <w:r>
        <w:rPr>
          <w:rFonts w:hint="eastAsia" w:ascii="宋体" w:hAnsi="宋体" w:cs="宋体"/>
          <w:color w:val="auto"/>
          <w:sz w:val="24"/>
          <w:lang w:eastAsia="zh-CN"/>
        </w:rPr>
        <w:t xml:space="preserve"> </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（3）为本项目的监理人；</w:t>
      </w:r>
    </w:p>
    <w:p>
      <w:pPr>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（4）为本项目的代建人；</w:t>
      </w:r>
      <w:r>
        <w:rPr>
          <w:rFonts w:hint="eastAsia" w:ascii="宋体" w:hAnsi="宋体" w:cs="宋体"/>
          <w:color w:val="auto"/>
          <w:sz w:val="24"/>
          <w:lang w:eastAsia="zh-CN"/>
        </w:rPr>
        <w:t xml:space="preserve"> </w:t>
      </w:r>
    </w:p>
    <w:p>
      <w:pPr>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（5）为本项目提供招标代理服务的；</w:t>
      </w:r>
      <w:r>
        <w:rPr>
          <w:rFonts w:hint="eastAsia" w:ascii="宋体" w:hAnsi="宋体" w:cs="宋体"/>
          <w:color w:val="auto"/>
          <w:sz w:val="24"/>
          <w:lang w:eastAsia="zh-CN"/>
        </w:rPr>
        <w:t xml:space="preserve"> </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（6）与本项目的监理人或代建人或采购代理机构同为一个法定代表人的；</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（7）与本项目的监理人或代建人或采购代理机构相互控股或参股的；</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（8）与本项目的监理人或代建人或采购代理机构相互任职或工作的。</w:t>
      </w:r>
    </w:p>
    <w:p>
      <w:pPr>
        <w:pStyle w:val="44"/>
        <w:pageBreakBefore w:val="0"/>
        <w:kinsoku/>
        <w:wordWrap/>
        <w:overflowPunct/>
        <w:topLinePunct w:val="0"/>
        <w:bidi w:val="0"/>
        <w:adjustRightInd w:val="0"/>
        <w:snapToGrid/>
        <w:spacing w:line="360" w:lineRule="auto"/>
        <w:textAlignment w:val="auto"/>
        <w:rPr>
          <w:rFonts w:ascii="宋体" w:hAnsi="宋体" w:eastAsia="宋体"/>
          <w:color w:val="auto"/>
          <w:szCs w:val="24"/>
        </w:rPr>
      </w:pPr>
      <w:bookmarkStart w:id="95" w:name="_Toc13453"/>
      <w:bookmarkStart w:id="96" w:name="_Toc18890"/>
      <w:bookmarkStart w:id="97" w:name="_Toc10028"/>
      <w:bookmarkStart w:id="98" w:name="_Toc27123"/>
      <w:bookmarkStart w:id="99" w:name="_Toc413333593"/>
      <w:bookmarkStart w:id="100" w:name="_Toc26353"/>
      <w:bookmarkStart w:id="101" w:name="_Toc179632552"/>
      <w:bookmarkStart w:id="102" w:name="_Toc27436"/>
      <w:bookmarkStart w:id="103" w:name="_Toc10653"/>
      <w:bookmarkStart w:id="104" w:name="_Toc15549"/>
      <w:bookmarkStart w:id="105" w:name="_Toc17936"/>
      <w:bookmarkStart w:id="106" w:name="_Toc14865"/>
      <w:r>
        <w:rPr>
          <w:rFonts w:hint="eastAsia" w:ascii="宋体" w:hAnsi="宋体" w:eastAsia="宋体"/>
          <w:color w:val="auto"/>
          <w:szCs w:val="24"/>
        </w:rPr>
        <w:t>1.5</w:t>
      </w:r>
      <w:r>
        <w:rPr>
          <w:rFonts w:hint="eastAsia" w:ascii="宋体" w:hAnsi="宋体" w:eastAsia="宋体"/>
          <w:color w:val="auto"/>
          <w:szCs w:val="24"/>
          <w:lang w:eastAsia="zh-CN"/>
        </w:rPr>
        <w:t xml:space="preserve"> </w:t>
      </w:r>
      <w:r>
        <w:rPr>
          <w:rFonts w:hint="eastAsia" w:ascii="宋体" w:hAnsi="宋体" w:eastAsia="宋体"/>
          <w:color w:val="auto"/>
          <w:szCs w:val="24"/>
        </w:rPr>
        <w:t>费用承担</w:t>
      </w:r>
      <w:bookmarkEnd w:id="95"/>
      <w:bookmarkEnd w:id="96"/>
      <w:bookmarkEnd w:id="97"/>
      <w:bookmarkEnd w:id="98"/>
      <w:bookmarkEnd w:id="99"/>
      <w:bookmarkEnd w:id="100"/>
      <w:bookmarkEnd w:id="101"/>
      <w:bookmarkEnd w:id="102"/>
      <w:bookmarkEnd w:id="103"/>
      <w:bookmarkEnd w:id="104"/>
      <w:bookmarkEnd w:id="105"/>
      <w:bookmarkEnd w:id="106"/>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供应商准备和参加投标活动发生的费用自理。</w:t>
      </w:r>
    </w:p>
    <w:p>
      <w:pPr>
        <w:pStyle w:val="44"/>
        <w:pageBreakBefore w:val="0"/>
        <w:kinsoku/>
        <w:wordWrap/>
        <w:overflowPunct/>
        <w:topLinePunct w:val="0"/>
        <w:bidi w:val="0"/>
        <w:adjustRightInd w:val="0"/>
        <w:snapToGrid/>
        <w:spacing w:line="360" w:lineRule="auto"/>
        <w:textAlignment w:val="auto"/>
        <w:rPr>
          <w:rFonts w:ascii="宋体" w:hAnsi="宋体" w:eastAsia="宋体"/>
          <w:color w:val="auto"/>
          <w:szCs w:val="24"/>
        </w:rPr>
      </w:pPr>
      <w:bookmarkStart w:id="107" w:name="_Toc26532"/>
      <w:bookmarkStart w:id="108" w:name="_Toc26558"/>
      <w:bookmarkStart w:id="109" w:name="_Toc19086"/>
      <w:bookmarkStart w:id="110" w:name="_Toc14538"/>
      <w:bookmarkStart w:id="111" w:name="_Toc179632553"/>
      <w:bookmarkStart w:id="112" w:name="_Toc413333594"/>
      <w:bookmarkStart w:id="113" w:name="_Toc21264"/>
      <w:bookmarkStart w:id="114" w:name="_Toc5532"/>
      <w:bookmarkStart w:id="115" w:name="_Toc1759"/>
      <w:bookmarkStart w:id="116" w:name="_Toc3171"/>
      <w:bookmarkStart w:id="117" w:name="_Toc6442"/>
      <w:bookmarkStart w:id="118" w:name="_Toc15480"/>
      <w:r>
        <w:rPr>
          <w:rFonts w:hint="eastAsia" w:ascii="宋体" w:hAnsi="宋体" w:eastAsia="宋体"/>
          <w:color w:val="auto"/>
          <w:szCs w:val="24"/>
        </w:rPr>
        <w:t>1.6</w:t>
      </w:r>
      <w:r>
        <w:rPr>
          <w:rFonts w:hint="eastAsia" w:ascii="宋体" w:hAnsi="宋体" w:eastAsia="宋体"/>
          <w:color w:val="auto"/>
          <w:szCs w:val="24"/>
          <w:lang w:eastAsia="zh-CN"/>
        </w:rPr>
        <w:t xml:space="preserve"> </w:t>
      </w:r>
      <w:r>
        <w:rPr>
          <w:rFonts w:hint="eastAsia" w:ascii="宋体" w:hAnsi="宋体" w:eastAsia="宋体"/>
          <w:color w:val="auto"/>
          <w:szCs w:val="24"/>
        </w:rPr>
        <w:t>保密</w:t>
      </w:r>
      <w:bookmarkEnd w:id="107"/>
      <w:bookmarkEnd w:id="108"/>
      <w:bookmarkEnd w:id="109"/>
      <w:bookmarkEnd w:id="110"/>
      <w:bookmarkEnd w:id="111"/>
      <w:bookmarkEnd w:id="112"/>
      <w:bookmarkEnd w:id="113"/>
      <w:bookmarkEnd w:id="114"/>
      <w:bookmarkEnd w:id="115"/>
      <w:bookmarkEnd w:id="116"/>
      <w:bookmarkEnd w:id="117"/>
      <w:bookmarkEnd w:id="118"/>
    </w:p>
    <w:p>
      <w:pPr>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参与招标投标活动的各方应对磋商文件和响应文件中的商业和技术等秘密保密，违者应对由此造成的后果承担法律责任。</w:t>
      </w:r>
      <w:r>
        <w:rPr>
          <w:rFonts w:hint="eastAsia" w:ascii="宋体" w:hAnsi="宋体" w:cs="宋体"/>
          <w:color w:val="auto"/>
          <w:sz w:val="24"/>
          <w:lang w:eastAsia="zh-CN"/>
        </w:rPr>
        <w:t xml:space="preserve"> </w:t>
      </w:r>
    </w:p>
    <w:p>
      <w:pPr>
        <w:pStyle w:val="44"/>
        <w:pageBreakBefore w:val="0"/>
        <w:kinsoku/>
        <w:wordWrap/>
        <w:overflowPunct/>
        <w:topLinePunct w:val="0"/>
        <w:bidi w:val="0"/>
        <w:adjustRightInd w:val="0"/>
        <w:snapToGrid/>
        <w:spacing w:line="360" w:lineRule="auto"/>
        <w:textAlignment w:val="auto"/>
        <w:rPr>
          <w:rFonts w:ascii="宋体" w:hAnsi="宋体" w:eastAsia="宋体"/>
          <w:color w:val="auto"/>
          <w:szCs w:val="24"/>
        </w:rPr>
      </w:pPr>
      <w:bookmarkStart w:id="119" w:name="_Toc10360"/>
      <w:bookmarkStart w:id="120" w:name="_Toc23268"/>
      <w:bookmarkStart w:id="121" w:name="_Toc19615"/>
      <w:bookmarkStart w:id="122" w:name="_Toc29137"/>
      <w:bookmarkStart w:id="123" w:name="_Toc17643"/>
      <w:bookmarkStart w:id="124" w:name="_Toc23076"/>
      <w:bookmarkStart w:id="125" w:name="_Toc8744"/>
      <w:bookmarkStart w:id="126" w:name="_Toc18037"/>
      <w:bookmarkStart w:id="127" w:name="_Toc31777"/>
      <w:bookmarkStart w:id="128" w:name="_Toc413333595"/>
      <w:bookmarkStart w:id="129" w:name="_Toc21908"/>
      <w:bookmarkStart w:id="130" w:name="_Toc179632554"/>
      <w:r>
        <w:rPr>
          <w:rFonts w:hint="eastAsia" w:ascii="宋体" w:hAnsi="宋体" w:eastAsia="宋体"/>
          <w:color w:val="auto"/>
          <w:szCs w:val="24"/>
        </w:rPr>
        <w:t>1.7</w:t>
      </w:r>
      <w:r>
        <w:rPr>
          <w:rFonts w:hint="eastAsia" w:ascii="宋体" w:hAnsi="宋体" w:eastAsia="宋体"/>
          <w:color w:val="auto"/>
          <w:szCs w:val="24"/>
          <w:lang w:eastAsia="zh-CN"/>
        </w:rPr>
        <w:t xml:space="preserve"> </w:t>
      </w:r>
      <w:r>
        <w:rPr>
          <w:rFonts w:hint="eastAsia" w:ascii="宋体" w:hAnsi="宋体" w:eastAsia="宋体"/>
          <w:color w:val="auto"/>
          <w:szCs w:val="24"/>
        </w:rPr>
        <w:t>语言文字</w:t>
      </w:r>
      <w:bookmarkEnd w:id="119"/>
      <w:bookmarkEnd w:id="120"/>
      <w:bookmarkEnd w:id="121"/>
      <w:bookmarkEnd w:id="122"/>
      <w:bookmarkEnd w:id="123"/>
      <w:bookmarkEnd w:id="124"/>
      <w:bookmarkEnd w:id="125"/>
      <w:bookmarkEnd w:id="126"/>
      <w:bookmarkEnd w:id="127"/>
      <w:bookmarkEnd w:id="128"/>
      <w:bookmarkEnd w:id="129"/>
      <w:bookmarkEnd w:id="130"/>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除专用术语外，与招标投标有关的语言均使用中文。必要时专用术语应附有中文注释。</w:t>
      </w:r>
    </w:p>
    <w:p>
      <w:pPr>
        <w:pStyle w:val="44"/>
        <w:pageBreakBefore w:val="0"/>
        <w:kinsoku/>
        <w:wordWrap/>
        <w:overflowPunct/>
        <w:topLinePunct w:val="0"/>
        <w:bidi w:val="0"/>
        <w:adjustRightInd w:val="0"/>
        <w:snapToGrid/>
        <w:spacing w:line="360" w:lineRule="auto"/>
        <w:textAlignment w:val="auto"/>
        <w:rPr>
          <w:rFonts w:ascii="宋体" w:hAnsi="宋体" w:eastAsia="宋体"/>
          <w:color w:val="auto"/>
          <w:szCs w:val="24"/>
        </w:rPr>
      </w:pPr>
      <w:bookmarkStart w:id="131" w:name="_Toc3962"/>
      <w:bookmarkStart w:id="132" w:name="_Toc32301"/>
      <w:bookmarkStart w:id="133" w:name="_Toc413333596"/>
      <w:bookmarkStart w:id="134" w:name="_Toc6748"/>
      <w:bookmarkStart w:id="135" w:name="_Toc3002"/>
      <w:bookmarkStart w:id="136" w:name="_Toc12048"/>
      <w:bookmarkStart w:id="137" w:name="_Toc3391"/>
      <w:bookmarkStart w:id="138" w:name="_Toc22580"/>
      <w:bookmarkStart w:id="139" w:name="_Toc21920"/>
      <w:bookmarkStart w:id="140" w:name="_Toc179632555"/>
      <w:bookmarkStart w:id="141" w:name="_Toc15857"/>
      <w:bookmarkStart w:id="142" w:name="_Toc16818"/>
      <w:r>
        <w:rPr>
          <w:rFonts w:hint="eastAsia" w:ascii="宋体" w:hAnsi="宋体" w:eastAsia="宋体"/>
          <w:color w:val="auto"/>
          <w:szCs w:val="24"/>
        </w:rPr>
        <w:t>1.8</w:t>
      </w:r>
      <w:r>
        <w:rPr>
          <w:rFonts w:hint="eastAsia" w:ascii="宋体" w:hAnsi="宋体" w:eastAsia="宋体"/>
          <w:color w:val="auto"/>
          <w:szCs w:val="24"/>
          <w:lang w:eastAsia="zh-CN"/>
        </w:rPr>
        <w:t xml:space="preserve"> </w:t>
      </w:r>
      <w:r>
        <w:rPr>
          <w:rFonts w:hint="eastAsia" w:ascii="宋体" w:hAnsi="宋体" w:eastAsia="宋体"/>
          <w:color w:val="auto"/>
          <w:szCs w:val="24"/>
        </w:rPr>
        <w:t>计量单位</w:t>
      </w:r>
      <w:bookmarkEnd w:id="131"/>
      <w:bookmarkEnd w:id="132"/>
      <w:bookmarkEnd w:id="133"/>
      <w:bookmarkEnd w:id="134"/>
      <w:bookmarkEnd w:id="135"/>
      <w:bookmarkEnd w:id="136"/>
      <w:bookmarkEnd w:id="137"/>
      <w:bookmarkEnd w:id="138"/>
      <w:bookmarkEnd w:id="139"/>
      <w:bookmarkEnd w:id="140"/>
      <w:bookmarkEnd w:id="141"/>
      <w:bookmarkEnd w:id="142"/>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所有计量均采用中华人民共和国法定计量单位。</w:t>
      </w:r>
    </w:p>
    <w:p>
      <w:pPr>
        <w:pStyle w:val="44"/>
        <w:pageBreakBefore w:val="0"/>
        <w:kinsoku/>
        <w:wordWrap/>
        <w:overflowPunct/>
        <w:topLinePunct w:val="0"/>
        <w:bidi w:val="0"/>
        <w:adjustRightInd w:val="0"/>
        <w:snapToGrid/>
        <w:spacing w:line="360" w:lineRule="auto"/>
        <w:textAlignment w:val="auto"/>
        <w:rPr>
          <w:rFonts w:ascii="宋体" w:hAnsi="宋体" w:eastAsia="宋体"/>
          <w:color w:val="auto"/>
          <w:szCs w:val="24"/>
        </w:rPr>
      </w:pPr>
      <w:bookmarkStart w:id="143" w:name="_Toc6117"/>
      <w:bookmarkStart w:id="144" w:name="_Toc4083"/>
      <w:bookmarkStart w:id="145" w:name="_Toc179632556"/>
      <w:bookmarkStart w:id="146" w:name="_Toc152042315"/>
      <w:bookmarkStart w:id="147" w:name="_Toc22370"/>
      <w:bookmarkStart w:id="148" w:name="_Toc14022"/>
      <w:bookmarkStart w:id="149" w:name="_Toc152045539"/>
      <w:bookmarkStart w:id="150" w:name="_Toc11422"/>
      <w:bookmarkStart w:id="151" w:name="_Toc9858"/>
      <w:bookmarkStart w:id="152" w:name="_Toc21326"/>
      <w:bookmarkStart w:id="153" w:name="_Toc413333597"/>
      <w:bookmarkStart w:id="154" w:name="_Toc21576"/>
      <w:bookmarkStart w:id="155" w:name="_Toc13096"/>
      <w:bookmarkStart w:id="156" w:name="_Toc17450"/>
      <w:bookmarkStart w:id="157" w:name="_Toc144974507"/>
      <w:r>
        <w:rPr>
          <w:rFonts w:hint="eastAsia" w:ascii="宋体" w:hAnsi="宋体" w:eastAsia="宋体"/>
          <w:color w:val="auto"/>
          <w:szCs w:val="24"/>
        </w:rPr>
        <w:t>1.9</w:t>
      </w:r>
      <w:r>
        <w:rPr>
          <w:rFonts w:hint="eastAsia" w:ascii="宋体" w:hAnsi="宋体" w:eastAsia="宋体"/>
          <w:color w:val="auto"/>
          <w:szCs w:val="24"/>
          <w:lang w:eastAsia="zh-CN"/>
        </w:rPr>
        <w:t xml:space="preserve"> </w:t>
      </w:r>
      <w:r>
        <w:rPr>
          <w:rFonts w:hint="eastAsia" w:ascii="宋体" w:hAnsi="宋体" w:eastAsia="宋体"/>
          <w:color w:val="auto"/>
          <w:szCs w:val="24"/>
        </w:rPr>
        <w:t>踏勘现场</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1.9.1</w:t>
      </w:r>
      <w:r>
        <w:rPr>
          <w:rFonts w:hint="eastAsia" w:ascii="宋体" w:hAnsi="宋体" w:cs="宋体"/>
          <w:color w:val="auto"/>
          <w:sz w:val="24"/>
          <w:lang w:eastAsia="zh-CN"/>
        </w:rPr>
        <w:t xml:space="preserve"> </w:t>
      </w:r>
      <w:r>
        <w:rPr>
          <w:rFonts w:hint="eastAsia" w:ascii="宋体" w:hAnsi="宋体" w:cs="宋体"/>
          <w:color w:val="auto"/>
          <w:sz w:val="24"/>
        </w:rPr>
        <w:t>供应商须知前附表规定组织踏勘现场的，采购人按供应商须知前附表规定的时间、地点组织供应商踏勘项目现场。</w:t>
      </w:r>
      <w:r>
        <w:rPr>
          <w:rFonts w:hint="eastAsia" w:ascii="宋体" w:hAnsi="宋体" w:cs="宋体"/>
          <w:color w:val="auto"/>
          <w:sz w:val="24"/>
          <w:lang w:eastAsia="zh-CN"/>
        </w:rPr>
        <w:t xml:space="preserve"> </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1.9.2</w:t>
      </w:r>
      <w:r>
        <w:rPr>
          <w:rFonts w:hint="eastAsia" w:ascii="宋体" w:hAnsi="宋体" w:cs="宋体"/>
          <w:color w:val="auto"/>
          <w:sz w:val="24"/>
          <w:lang w:eastAsia="zh-CN"/>
        </w:rPr>
        <w:t xml:space="preserve"> </w:t>
      </w:r>
      <w:r>
        <w:rPr>
          <w:rFonts w:hint="eastAsia" w:ascii="宋体" w:hAnsi="宋体" w:cs="宋体"/>
          <w:color w:val="auto"/>
          <w:sz w:val="24"/>
        </w:rPr>
        <w:t>供应商踏勘现场发生的费用自理。</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1.9.3</w:t>
      </w:r>
      <w:r>
        <w:rPr>
          <w:rFonts w:hint="eastAsia" w:ascii="宋体" w:hAnsi="宋体" w:cs="宋体"/>
          <w:color w:val="auto"/>
          <w:sz w:val="24"/>
          <w:lang w:eastAsia="zh-CN"/>
        </w:rPr>
        <w:t xml:space="preserve"> </w:t>
      </w:r>
      <w:r>
        <w:rPr>
          <w:rFonts w:hint="eastAsia" w:ascii="宋体" w:hAnsi="宋体" w:cs="宋体"/>
          <w:color w:val="auto"/>
          <w:sz w:val="24"/>
        </w:rPr>
        <w:t>除采购人的原因外，供应商自行负责在踏勘现场中所发生的人员伤亡和财产损失。</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1.9.4</w:t>
      </w:r>
      <w:r>
        <w:rPr>
          <w:rFonts w:hint="eastAsia" w:ascii="宋体" w:hAnsi="宋体" w:cs="宋体"/>
          <w:color w:val="auto"/>
          <w:sz w:val="24"/>
          <w:lang w:eastAsia="zh-CN"/>
        </w:rPr>
        <w:t xml:space="preserve"> </w:t>
      </w:r>
      <w:r>
        <w:rPr>
          <w:rFonts w:hint="eastAsia" w:ascii="宋体" w:hAnsi="宋体" w:cs="宋体"/>
          <w:color w:val="auto"/>
          <w:sz w:val="24"/>
        </w:rPr>
        <w:t>采购人在踏勘现场中介绍相关的周边环境情况，供供应商在编制响应文件时参考，采购人不对供应商据此作出的判断和决策负责。</w:t>
      </w:r>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158" w:name="_Toc14543"/>
      <w:bookmarkStart w:id="159" w:name="_Toc28953"/>
      <w:bookmarkStart w:id="160" w:name="_Toc27570"/>
      <w:bookmarkStart w:id="161" w:name="_Toc32147"/>
      <w:bookmarkStart w:id="162" w:name="_Toc3483"/>
      <w:bookmarkStart w:id="163" w:name="_Toc3736"/>
      <w:bookmarkStart w:id="164" w:name="_Toc6923"/>
      <w:bookmarkStart w:id="165" w:name="_Toc32436"/>
      <w:bookmarkStart w:id="166" w:name="_Toc4754"/>
      <w:bookmarkStart w:id="167" w:name="_Toc12922"/>
      <w:bookmarkStart w:id="168" w:name="_Toc284"/>
      <w:bookmarkStart w:id="169" w:name="_Toc12601"/>
      <w:bookmarkStart w:id="170" w:name="_Toc2372"/>
      <w:bookmarkStart w:id="171" w:name="_Toc13115"/>
      <w:bookmarkStart w:id="172" w:name="_Toc152042316"/>
      <w:bookmarkStart w:id="173" w:name="_Toc28118"/>
      <w:bookmarkStart w:id="174" w:name="_Toc144974508"/>
      <w:bookmarkStart w:id="175" w:name="_Toc152045540"/>
      <w:bookmarkStart w:id="176" w:name="_Toc318450684"/>
      <w:bookmarkStart w:id="177" w:name="_Toc2508"/>
      <w:bookmarkStart w:id="178" w:name="_Toc338"/>
      <w:bookmarkStart w:id="179" w:name="_Toc12027"/>
      <w:bookmarkStart w:id="180" w:name="_Toc13675"/>
      <w:r>
        <w:rPr>
          <w:rFonts w:hint="eastAsia" w:asciiTheme="minorEastAsia" w:hAnsiTheme="minorEastAsia" w:eastAsiaTheme="minorEastAsia" w:cstheme="minorEastAsia"/>
          <w:color w:val="auto"/>
          <w:szCs w:val="24"/>
        </w:rPr>
        <w:t>1.10</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bCs/>
          <w:color w:val="auto"/>
          <w:szCs w:val="24"/>
        </w:rPr>
        <w:t>投标预备会</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1.10.1</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供应商须知前附表规定召开投标预备会的，采购人按供应商须知前附表规定的时间和地点召开投标预备会，澄清供应商提出的问题。</w:t>
      </w:r>
      <w:r>
        <w:rPr>
          <w:rFonts w:hint="eastAsia" w:asciiTheme="minorEastAsia" w:hAnsiTheme="minorEastAsia" w:eastAsiaTheme="minorEastAsia" w:cstheme="minorEastAsia"/>
          <w:color w:val="auto"/>
          <w:kern w:val="0"/>
          <w:sz w:val="24"/>
        </w:rPr>
        <w:t>供应商自行决定是否参加。</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1.10.2</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供应商应在供应商须知前附表规定的时间前，以书面形式将提出的问题送达采购人，以便采购人在会议期间澄清。</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1.10.3</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投标预备会后，采购人在供应商须知前附表规定的时间内，将对供应商所提问题的澄清，以书面方式通知所有购买磋商文件的供应商。该澄清内容为磋商文件的组成部分。</w:t>
      </w:r>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181" w:name="_Toc23635"/>
      <w:bookmarkStart w:id="182" w:name="_Toc21752"/>
      <w:bookmarkStart w:id="183" w:name="_Toc21127"/>
      <w:bookmarkStart w:id="184" w:name="_Toc26577"/>
      <w:bookmarkStart w:id="185" w:name="_Toc11744"/>
      <w:bookmarkStart w:id="186" w:name="_Toc29272"/>
      <w:bookmarkStart w:id="187" w:name="_Toc11765"/>
      <w:bookmarkStart w:id="188" w:name="_Toc152045541"/>
      <w:bookmarkStart w:id="189" w:name="_Toc318450685"/>
      <w:bookmarkStart w:id="190" w:name="_Toc26494"/>
      <w:bookmarkStart w:id="191" w:name="_Toc32757"/>
      <w:bookmarkStart w:id="192" w:name="_Toc11685"/>
      <w:bookmarkStart w:id="193" w:name="_Toc26572"/>
      <w:bookmarkStart w:id="194" w:name="_Toc24234"/>
      <w:bookmarkStart w:id="195" w:name="_Toc19256"/>
      <w:bookmarkStart w:id="196" w:name="_Toc23678"/>
      <w:bookmarkStart w:id="197" w:name="_Toc26515"/>
      <w:bookmarkStart w:id="198" w:name="_Toc12562"/>
      <w:bookmarkStart w:id="199" w:name="_Toc144974509"/>
      <w:bookmarkStart w:id="200" w:name="_Toc7695"/>
      <w:bookmarkStart w:id="201" w:name="_Toc21018"/>
      <w:bookmarkStart w:id="202" w:name="_Toc24262"/>
      <w:bookmarkStart w:id="203" w:name="_Toc152042317"/>
      <w:r>
        <w:rPr>
          <w:rFonts w:hint="eastAsia" w:asciiTheme="minorEastAsia" w:hAnsiTheme="minorEastAsia" w:eastAsiaTheme="minorEastAsia" w:cstheme="minorEastAsia"/>
          <w:color w:val="auto"/>
          <w:szCs w:val="24"/>
        </w:rPr>
        <w:t>1.11分包</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是否允许分包：见供应商须知前附表。</w:t>
      </w:r>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204" w:name="_Toc14055"/>
      <w:bookmarkStart w:id="205" w:name="_Toc15969"/>
      <w:bookmarkStart w:id="206" w:name="_Toc12736"/>
      <w:bookmarkStart w:id="207" w:name="_Toc13720"/>
      <w:bookmarkStart w:id="208" w:name="_Toc21658"/>
      <w:bookmarkStart w:id="209" w:name="_Toc413333600"/>
      <w:bookmarkStart w:id="210" w:name="_Toc179632559"/>
      <w:bookmarkStart w:id="211" w:name="_Toc21329"/>
      <w:bookmarkStart w:id="212" w:name="_Toc31384"/>
      <w:bookmarkStart w:id="213" w:name="_Toc15553"/>
      <w:bookmarkStart w:id="214" w:name="_Toc26583"/>
      <w:bookmarkStart w:id="215" w:name="_Toc18986"/>
      <w:bookmarkStart w:id="216" w:name="_Toc6421"/>
      <w:bookmarkStart w:id="217" w:name="_Toc12593"/>
      <w:r>
        <w:rPr>
          <w:rFonts w:hint="eastAsia" w:asciiTheme="minorEastAsia" w:hAnsiTheme="minorEastAsia" w:eastAsiaTheme="minorEastAsia" w:cstheme="minorEastAsia"/>
          <w:color w:val="auto"/>
          <w:szCs w:val="24"/>
        </w:rPr>
        <w:t>1.12</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偏离</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供应商须知前附表允许响应文件偏离磋商文件某些要求的，偏离应当符合磋商文件规定的偏离范围和幅度。</w:t>
      </w:r>
    </w:p>
    <w:p>
      <w:pPr>
        <w:pStyle w:val="43"/>
        <w:pageBreakBefore w:val="0"/>
        <w:kinsoku/>
        <w:wordWrap/>
        <w:overflowPunct/>
        <w:topLinePunct w:val="0"/>
        <w:bidi w:val="0"/>
        <w:adjustRightInd w:val="0"/>
        <w:snapToGrid/>
        <w:spacing w:before="0" w:line="360" w:lineRule="auto"/>
        <w:textAlignment w:val="auto"/>
        <w:rPr>
          <w:rFonts w:asciiTheme="minorEastAsia" w:hAnsiTheme="minorEastAsia" w:eastAsiaTheme="minorEastAsia" w:cstheme="minorEastAsia"/>
          <w:color w:val="auto"/>
          <w:sz w:val="24"/>
          <w:szCs w:val="24"/>
        </w:rPr>
      </w:pPr>
      <w:bookmarkStart w:id="218" w:name="_Toc152042318"/>
      <w:bookmarkStart w:id="219" w:name="_Toc144974510"/>
      <w:bookmarkStart w:id="220" w:name="_Toc152045542"/>
      <w:bookmarkStart w:id="221" w:name="_Toc11684"/>
      <w:bookmarkStart w:id="222" w:name="_Toc3103"/>
      <w:bookmarkStart w:id="223" w:name="_Toc25964"/>
      <w:bookmarkStart w:id="224" w:name="_Toc2214"/>
      <w:bookmarkStart w:id="225" w:name="_Toc4553"/>
      <w:bookmarkStart w:id="226" w:name="_Toc31583"/>
      <w:bookmarkStart w:id="227" w:name="_Toc5125"/>
      <w:bookmarkStart w:id="228" w:name="_Toc10295"/>
      <w:bookmarkStart w:id="229" w:name="_Toc15889"/>
      <w:r>
        <w:rPr>
          <w:rFonts w:hint="eastAsia" w:asciiTheme="minorEastAsia" w:hAnsiTheme="minorEastAsia" w:eastAsiaTheme="minorEastAsia" w:cstheme="minorEastAsia"/>
          <w:color w:val="auto"/>
          <w:sz w:val="24"/>
          <w:szCs w:val="24"/>
        </w:rPr>
        <w:t>2.</w:t>
      </w:r>
      <w:bookmarkEnd w:id="218"/>
      <w:bookmarkEnd w:id="219"/>
      <w:bookmarkEnd w:id="220"/>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磋商文件</w:t>
      </w:r>
      <w:bookmarkEnd w:id="221"/>
      <w:bookmarkEnd w:id="222"/>
      <w:bookmarkEnd w:id="223"/>
      <w:bookmarkEnd w:id="224"/>
      <w:bookmarkEnd w:id="225"/>
      <w:bookmarkEnd w:id="226"/>
      <w:bookmarkEnd w:id="227"/>
      <w:bookmarkEnd w:id="228"/>
      <w:bookmarkEnd w:id="229"/>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230" w:name="_Toc32711"/>
      <w:bookmarkStart w:id="231" w:name="_Toc24383"/>
      <w:bookmarkStart w:id="232" w:name="_Toc318450687"/>
      <w:bookmarkStart w:id="233" w:name="_Toc23750"/>
      <w:bookmarkStart w:id="234" w:name="_Toc3043"/>
      <w:bookmarkStart w:id="235" w:name="_Toc32082"/>
      <w:bookmarkStart w:id="236" w:name="_Toc13413"/>
      <w:bookmarkStart w:id="237" w:name="_Toc2385"/>
      <w:bookmarkStart w:id="238" w:name="_Toc28947"/>
      <w:bookmarkStart w:id="239" w:name="_Toc28376"/>
      <w:bookmarkStart w:id="240" w:name="_Toc11599"/>
      <w:bookmarkStart w:id="241" w:name="_Toc144974511"/>
      <w:bookmarkStart w:id="242" w:name="_Toc27041"/>
      <w:bookmarkStart w:id="243" w:name="_Toc152045543"/>
      <w:bookmarkStart w:id="244" w:name="_Toc1008"/>
      <w:bookmarkStart w:id="245" w:name="_Toc32092"/>
      <w:bookmarkStart w:id="246" w:name="_Toc20537"/>
      <w:bookmarkStart w:id="247" w:name="_Toc23842"/>
      <w:bookmarkStart w:id="248" w:name="_Toc11567"/>
      <w:bookmarkStart w:id="249" w:name="_Toc1908"/>
      <w:bookmarkStart w:id="250" w:name="_Toc152042319"/>
      <w:bookmarkStart w:id="251" w:name="_Toc12640"/>
      <w:bookmarkStart w:id="252" w:name="_Toc9780"/>
      <w:r>
        <w:rPr>
          <w:rFonts w:hint="eastAsia" w:asciiTheme="minorEastAsia" w:hAnsiTheme="minorEastAsia" w:eastAsiaTheme="minorEastAsia" w:cstheme="minorEastAsia"/>
          <w:color w:val="auto"/>
          <w:szCs w:val="24"/>
        </w:rPr>
        <w:t>2.1</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磋商文件的组成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本磋商文件包括：</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（1）竞争性磋商公告；</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（2）供应商须知；</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（3）评标办法；</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（4）合同条款及格式；</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（5）服务标准及要求；</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lang w:eastAsia="zh-CN"/>
        </w:rPr>
        <w:t>竞争性磋商</w:t>
      </w:r>
      <w:r>
        <w:rPr>
          <w:rFonts w:hint="eastAsia" w:asciiTheme="minorEastAsia" w:hAnsiTheme="minorEastAsia" w:eastAsiaTheme="minorEastAsia" w:cstheme="minorEastAsia"/>
          <w:color w:val="auto"/>
          <w:sz w:val="24"/>
        </w:rPr>
        <w:t>响应文件格式；</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根据本章第1.10款、第2.2款和第2.3款</w:t>
      </w:r>
      <w:r>
        <w:rPr>
          <w:rFonts w:hint="eastAsia" w:asciiTheme="minorEastAsia" w:hAnsiTheme="minorEastAsia" w:eastAsiaTheme="minorEastAsia" w:cstheme="minorEastAsia"/>
          <w:color w:val="auto"/>
          <w:sz w:val="24"/>
        </w:rPr>
        <w:t>对磋商文件所作的澄清、修改，构成磋商文件的组成部分。</w:t>
      </w:r>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253" w:name="_Toc10328"/>
      <w:bookmarkStart w:id="254" w:name="_Toc27283"/>
      <w:bookmarkStart w:id="255" w:name="_Toc26925"/>
      <w:bookmarkStart w:id="256" w:name="_Toc8875"/>
      <w:bookmarkStart w:id="257" w:name="_Toc19734"/>
      <w:bookmarkStart w:id="258" w:name="_Toc23171"/>
      <w:bookmarkStart w:id="259" w:name="_Toc144974512"/>
      <w:bookmarkStart w:id="260" w:name="_Toc152042320"/>
      <w:bookmarkStart w:id="261" w:name="_Toc29276"/>
      <w:bookmarkStart w:id="262" w:name="_Toc13700"/>
      <w:bookmarkStart w:id="263" w:name="_Toc28238"/>
      <w:bookmarkStart w:id="264" w:name="_Toc21592"/>
      <w:bookmarkStart w:id="265" w:name="_Toc18661"/>
      <w:bookmarkStart w:id="266" w:name="_Toc14067"/>
      <w:bookmarkStart w:id="267" w:name="_Toc28462"/>
      <w:bookmarkStart w:id="268" w:name="_Toc17296"/>
      <w:bookmarkStart w:id="269" w:name="_Toc318450688"/>
      <w:bookmarkStart w:id="270" w:name="_Toc23905"/>
      <w:bookmarkStart w:id="271" w:name="_Toc19497"/>
      <w:bookmarkStart w:id="272" w:name="_Toc8943"/>
      <w:bookmarkStart w:id="273" w:name="_Toc152045544"/>
      <w:bookmarkStart w:id="274" w:name="_Toc7939"/>
      <w:bookmarkStart w:id="275" w:name="_Toc19029"/>
      <w:r>
        <w:rPr>
          <w:rFonts w:hint="eastAsia" w:asciiTheme="minorEastAsia" w:hAnsiTheme="minorEastAsia" w:eastAsiaTheme="minorEastAsia" w:cstheme="minorEastAsia"/>
          <w:color w:val="auto"/>
          <w:szCs w:val="24"/>
        </w:rPr>
        <w:t>2.2</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磋商文件的澄清</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pageBreakBefore w:val="0"/>
        <w:kinsoku/>
        <w:wordWrap/>
        <w:overflowPunct/>
        <w:topLinePunct w:val="0"/>
        <w:bidi w:val="0"/>
        <w:adjustRightInd w:val="0"/>
        <w:snapToGrid/>
        <w:spacing w:line="360" w:lineRule="auto"/>
        <w:ind w:firstLine="480" w:firstLineChars="200"/>
        <w:textAlignment w:val="auto"/>
        <w:rPr>
          <w:rFonts w:ascii="宋体" w:hAnsi="宋体"/>
          <w:color w:val="auto"/>
          <w:sz w:val="24"/>
        </w:rPr>
      </w:pPr>
      <w:r>
        <w:rPr>
          <w:rFonts w:hint="eastAsia" w:asciiTheme="minorEastAsia" w:hAnsiTheme="minorEastAsia" w:eastAsiaTheme="minorEastAsia" w:cstheme="minorEastAsia"/>
          <w:color w:val="auto"/>
          <w:sz w:val="24"/>
        </w:rPr>
        <w:t>2.2.1供应商应仔细阅读和检查磋商文件的全部内容。如发现缺页或附件不全，应及时向采购人提出，以便补齐。如有任何疑问，应在开标前7天前</w:t>
      </w:r>
      <w:r>
        <w:rPr>
          <w:rFonts w:hint="eastAsia" w:ascii="宋体" w:hAnsi="宋体"/>
          <w:color w:val="auto"/>
          <w:sz w:val="24"/>
        </w:rPr>
        <w:t>在交易平台上进行提问</w:t>
      </w:r>
      <w:r>
        <w:rPr>
          <w:rFonts w:hint="eastAsia" w:asciiTheme="minorEastAsia" w:hAnsiTheme="minorEastAsia" w:eastAsiaTheme="minorEastAsia" w:cstheme="minorEastAsia"/>
          <w:color w:val="auto"/>
          <w:sz w:val="24"/>
        </w:rPr>
        <w:t>，并及时电话联系采购人和采购代理机构，要求采购人对磋商文件予以澄清。</w:t>
      </w:r>
      <w:r>
        <w:rPr>
          <w:rFonts w:hint="eastAsia" w:ascii="宋体" w:hAnsi="宋体"/>
          <w:color w:val="auto"/>
          <w:sz w:val="24"/>
          <w:lang w:val="en-GB"/>
        </w:rPr>
        <w:t>供应商在规定的时间内未要求对磋商文件澄清或提出疑问的，</w:t>
      </w:r>
      <w:r>
        <w:rPr>
          <w:rFonts w:hint="eastAsia" w:ascii="宋体" w:hAnsi="宋体"/>
          <w:color w:val="auto"/>
          <w:sz w:val="24"/>
        </w:rPr>
        <w:t>采购人和采购代理机构</w:t>
      </w:r>
      <w:r>
        <w:rPr>
          <w:rFonts w:hint="eastAsia" w:ascii="宋体" w:hAnsi="宋体"/>
          <w:color w:val="auto"/>
          <w:sz w:val="24"/>
          <w:lang w:val="en-GB"/>
        </w:rPr>
        <w:t>将视其为无异议</w:t>
      </w:r>
      <w:r>
        <w:rPr>
          <w:rFonts w:hint="eastAsia" w:ascii="宋体" w:hAnsi="宋体"/>
          <w:color w:val="auto"/>
          <w:sz w:val="24"/>
        </w:rPr>
        <w:t>，开标后，采购人和采购代理机构不接受其对磋商文件内容的质疑。</w:t>
      </w:r>
    </w:p>
    <w:p>
      <w:pPr>
        <w:pageBreakBefore w:val="0"/>
        <w:kinsoku/>
        <w:wordWrap/>
        <w:overflowPunct/>
        <w:topLinePunct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2.2.2</w:t>
      </w:r>
      <w:r>
        <w:rPr>
          <w:rFonts w:hint="eastAsia" w:asciiTheme="minorEastAsia" w:hAnsiTheme="minorEastAsia" w:eastAsiaTheme="minorEastAsia" w:cstheme="minorEastAsia"/>
          <w:color w:val="auto"/>
          <w:sz w:val="24"/>
          <w:lang w:val="en-US" w:eastAsia="zh-CN"/>
        </w:rPr>
        <w:t xml:space="preserve">磋商文件的澄清将在供应商须知前附表规定的磋商截止时间 5 天前 </w:t>
      </w:r>
    </w:p>
    <w:p>
      <w:pPr>
        <w:pageBreakBefore w:val="0"/>
        <w:kinsoku/>
        <w:wordWrap/>
        <w:overflowPunct/>
        <w:topLinePunct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以网上提交的形式上传至中牟县公共资源交易中心，请供应商自行登录中牟县公共资源交易中心系统查看，不再另行通知所有供应商，供应商应实时关注并及时下载，不指明澄清问题的来源。如果澄清发出的时间距提交响应文件截止时间不足5天，相应延长提交响应文件截止时间。</w:t>
      </w:r>
    </w:p>
    <w:p>
      <w:pPr>
        <w:pageBreakBefore w:val="0"/>
        <w:kinsoku/>
        <w:wordWrap/>
        <w:overflowPunct/>
        <w:topLinePunct w:val="0"/>
        <w:bidi w:val="0"/>
        <w:adjustRightInd w:val="0"/>
        <w:snapToGrid/>
        <w:spacing w:line="360" w:lineRule="auto"/>
        <w:ind w:firstLine="480" w:firstLineChars="200"/>
        <w:textAlignment w:val="auto"/>
        <w:rPr>
          <w:rFonts w:hint="eastAsia" w:ascii="宋体" w:hAnsi="宋体"/>
          <w:color w:val="auto"/>
          <w:sz w:val="24"/>
        </w:rPr>
      </w:pPr>
      <w:bookmarkStart w:id="276" w:name="_Toc5907"/>
      <w:bookmarkStart w:id="277" w:name="_Toc13111"/>
      <w:bookmarkStart w:id="278" w:name="_Toc24962"/>
      <w:bookmarkStart w:id="279" w:name="_Toc28979"/>
      <w:bookmarkStart w:id="280" w:name="_Toc9164"/>
      <w:bookmarkStart w:id="281" w:name="_Toc2131"/>
      <w:bookmarkStart w:id="282" w:name="_Toc318450689"/>
      <w:bookmarkStart w:id="283" w:name="_Toc21711"/>
      <w:bookmarkStart w:id="284" w:name="_Toc10512"/>
      <w:bookmarkStart w:id="285" w:name="_Toc17619"/>
      <w:bookmarkStart w:id="286" w:name="_Toc14966"/>
      <w:bookmarkStart w:id="287" w:name="_Toc13617"/>
      <w:bookmarkStart w:id="288" w:name="_Toc29851"/>
      <w:bookmarkStart w:id="289" w:name="_Toc152045545"/>
      <w:bookmarkStart w:id="290" w:name="_Toc11948"/>
      <w:bookmarkStart w:id="291" w:name="_Toc4098"/>
      <w:bookmarkStart w:id="292" w:name="_Toc152042321"/>
      <w:bookmarkStart w:id="293" w:name="_Toc18557"/>
      <w:bookmarkStart w:id="294" w:name="_Toc19748"/>
      <w:bookmarkStart w:id="295" w:name="_Toc6394"/>
      <w:bookmarkStart w:id="296" w:name="_Toc144974513"/>
      <w:r>
        <w:rPr>
          <w:rFonts w:hint="eastAsia" w:ascii="宋体" w:hAnsi="宋体"/>
          <w:color w:val="auto"/>
          <w:sz w:val="24"/>
        </w:rPr>
        <w:t>2.2.3</w:t>
      </w:r>
      <w:r>
        <w:rPr>
          <w:rFonts w:hint="eastAsia" w:ascii="宋体" w:hAnsi="宋体"/>
          <w:color w:val="auto"/>
          <w:sz w:val="24"/>
          <w:lang w:val="en-US" w:eastAsia="zh-CN"/>
        </w:rPr>
        <w:t>供应商在收到澄清后，应在供应商须知前附表规定的时间内在交易平台上回复确认已收到该澄清，未按规定时间予以回复的视为同意或满意该澄清。</w:t>
      </w:r>
    </w:p>
    <w:p>
      <w:pPr>
        <w:pageBreakBefore w:val="0"/>
        <w:kinsoku/>
        <w:wordWrap/>
        <w:overflowPunct/>
        <w:topLinePunct w:val="0"/>
        <w:bidi w:val="0"/>
        <w:adjustRightInd w:val="0"/>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2.2.4</w:t>
      </w:r>
      <w:r>
        <w:rPr>
          <w:rFonts w:hint="eastAsia" w:ascii="宋体" w:hAnsi="宋体"/>
          <w:color w:val="auto"/>
          <w:sz w:val="24"/>
          <w:lang w:val="en-US" w:eastAsia="zh-CN"/>
        </w:rPr>
        <w:t>因交易中心平台在开标前具有保密性，供应商在投标截止时间前须自行查看项目进展、变更通知、澄清及回复，因供应商未及时查看而造成的后果自负。</w:t>
      </w:r>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297" w:name="_Toc3204"/>
      <w:bookmarkStart w:id="298" w:name="_Toc4341"/>
      <w:r>
        <w:rPr>
          <w:rFonts w:hint="eastAsia" w:asciiTheme="minorEastAsia" w:hAnsiTheme="minorEastAsia" w:eastAsiaTheme="minorEastAsia" w:cstheme="minorEastAsia"/>
          <w:color w:val="auto"/>
          <w:szCs w:val="24"/>
        </w:rPr>
        <w:t>2.3</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磋商文件的修改</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pageBreakBefore w:val="0"/>
        <w:kinsoku/>
        <w:wordWrap/>
        <w:overflowPunct/>
        <w:topLinePunct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2.3.1</w:t>
      </w:r>
      <w:r>
        <w:rPr>
          <w:rFonts w:hint="eastAsia" w:asciiTheme="minorEastAsia" w:hAnsiTheme="minorEastAsia" w:eastAsiaTheme="minorEastAsia" w:cstheme="minorEastAsia"/>
          <w:color w:val="auto"/>
          <w:sz w:val="24"/>
          <w:lang w:val="en-US" w:eastAsia="zh-CN"/>
        </w:rPr>
        <w:t>在提交响应文件截止5天前，采购人可以网上提交的形式上传至中牟县公共资源交易中心，请供应商自行登录中牟县公共资源交易中心系统查看，不再另行通知所有供应商，供应商应实时关注并及时下载。如果修改磋商文件的时间距提交响应文件截止时间不足 5 天，相应延长提交响应文件截止时间。</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2.3.2</w:t>
      </w:r>
      <w:bookmarkStart w:id="299" w:name="_Toc152045546"/>
      <w:bookmarkStart w:id="300" w:name="_Toc152042322"/>
      <w:bookmarkStart w:id="301" w:name="_Toc144974514"/>
      <w:bookmarkStart w:id="302" w:name="_Toc24097"/>
      <w:bookmarkStart w:id="303" w:name="_Toc17338"/>
      <w:bookmarkStart w:id="304" w:name="_Toc2949"/>
      <w:bookmarkStart w:id="305" w:name="_Toc12811"/>
      <w:bookmarkStart w:id="306" w:name="_Toc12288"/>
      <w:bookmarkStart w:id="307" w:name="_Toc3266"/>
      <w:r>
        <w:rPr>
          <w:rFonts w:hint="eastAsia" w:asciiTheme="minorEastAsia" w:hAnsiTheme="minorEastAsia" w:eastAsiaTheme="minorEastAsia" w:cstheme="minorEastAsia"/>
          <w:color w:val="auto"/>
          <w:sz w:val="24"/>
        </w:rPr>
        <w:t>修改内容是</w:t>
      </w:r>
      <w:r>
        <w:rPr>
          <w:rFonts w:hint="eastAsia" w:asciiTheme="minorEastAsia" w:hAnsiTheme="minorEastAsia" w:eastAsiaTheme="minorEastAsia" w:cstheme="minorEastAsia"/>
          <w:color w:val="auto"/>
          <w:sz w:val="24"/>
          <w:lang w:eastAsia="zh-CN"/>
        </w:rPr>
        <w:t>磋商</w:t>
      </w:r>
      <w:r>
        <w:rPr>
          <w:rFonts w:hint="eastAsia" w:asciiTheme="minorEastAsia" w:hAnsiTheme="minorEastAsia" w:eastAsiaTheme="minorEastAsia" w:cstheme="minorEastAsia"/>
          <w:color w:val="auto"/>
          <w:sz w:val="24"/>
        </w:rPr>
        <w:t>文件的组成部分，修改内容一经在项目公告网站和电子交易平台发布，视作已送达所有投标人，并对投标人具有约束力。若投标人对修改内容仍有疑问，应在修改内容发出后24小时内在电子交易平台进行提问，否则视为已接收，并同意修改或澄清内容。开标后，采购人和采购代理机构不接受其对</w:t>
      </w:r>
      <w:r>
        <w:rPr>
          <w:rFonts w:hint="eastAsia" w:asciiTheme="minorEastAsia" w:hAnsiTheme="minorEastAsia" w:eastAsiaTheme="minorEastAsia" w:cstheme="minorEastAsia"/>
          <w:color w:val="auto"/>
          <w:sz w:val="24"/>
          <w:lang w:eastAsia="zh-CN"/>
        </w:rPr>
        <w:t>磋商</w:t>
      </w:r>
      <w:r>
        <w:rPr>
          <w:rFonts w:hint="eastAsia" w:asciiTheme="minorEastAsia" w:hAnsiTheme="minorEastAsia" w:eastAsiaTheme="minorEastAsia" w:cstheme="minorEastAsia"/>
          <w:color w:val="auto"/>
          <w:sz w:val="24"/>
        </w:rPr>
        <w:t>文件内容的质疑。</w:t>
      </w:r>
    </w:p>
    <w:p>
      <w:pPr>
        <w:pStyle w:val="45"/>
        <w:pageBreakBefore w:val="0"/>
        <w:kinsoku/>
        <w:wordWrap/>
        <w:overflowPunct/>
        <w:topLinePunct w:val="0"/>
        <w:bidi w:val="0"/>
        <w:adjustRightInd w:val="0"/>
        <w:snapToGrid/>
        <w:spacing w:line="360" w:lineRule="auto"/>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2.3.3投标人在投标截止时间前须自行查看项目进展、下载</w:t>
      </w:r>
      <w:r>
        <w:rPr>
          <w:rFonts w:hint="eastAsia" w:ascii="宋体" w:hAnsi="宋体" w:cs="Times New Roman"/>
          <w:color w:val="auto"/>
          <w:sz w:val="24"/>
          <w:szCs w:val="24"/>
          <w:lang w:eastAsia="zh-CN"/>
        </w:rPr>
        <w:t>磋商</w:t>
      </w:r>
      <w:r>
        <w:rPr>
          <w:rFonts w:hint="eastAsia" w:ascii="宋体" w:hAnsi="宋体" w:cs="Times New Roman"/>
          <w:color w:val="auto"/>
          <w:sz w:val="24"/>
          <w:szCs w:val="24"/>
        </w:rPr>
        <w:t>文件的修改等，因投标人未及时查看和下载而造成的后果自负。</w:t>
      </w:r>
    </w:p>
    <w:p>
      <w:pPr>
        <w:pStyle w:val="43"/>
        <w:pageBreakBefore w:val="0"/>
        <w:kinsoku/>
        <w:wordWrap/>
        <w:overflowPunct/>
        <w:topLinePunct w:val="0"/>
        <w:bidi w:val="0"/>
        <w:adjustRightInd w:val="0"/>
        <w:snapToGrid/>
        <w:spacing w:before="0" w:line="360" w:lineRule="auto"/>
        <w:textAlignment w:val="auto"/>
        <w:rPr>
          <w:rFonts w:hint="eastAsia" w:asciiTheme="minorEastAsia" w:hAnsiTheme="minorEastAsia" w:eastAsiaTheme="minorEastAsia" w:cstheme="minorEastAsia"/>
          <w:color w:val="auto"/>
          <w:sz w:val="24"/>
          <w:szCs w:val="24"/>
        </w:rPr>
      </w:pPr>
      <w:bookmarkStart w:id="308" w:name="_Toc21306"/>
      <w:r>
        <w:rPr>
          <w:rFonts w:hint="eastAsia" w:asciiTheme="minorEastAsia" w:hAnsiTheme="minorEastAsia" w:eastAsiaTheme="minorEastAsia" w:cstheme="minorEastAsia"/>
          <w:color w:val="auto"/>
          <w:sz w:val="24"/>
          <w:szCs w:val="24"/>
        </w:rPr>
        <w:t>3.</w:t>
      </w:r>
      <w:bookmarkEnd w:id="299"/>
      <w:bookmarkEnd w:id="300"/>
      <w:bookmarkEnd w:id="301"/>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响应文件</w:t>
      </w:r>
      <w:bookmarkEnd w:id="302"/>
      <w:bookmarkEnd w:id="303"/>
      <w:bookmarkEnd w:id="304"/>
      <w:bookmarkEnd w:id="305"/>
      <w:bookmarkEnd w:id="306"/>
      <w:bookmarkEnd w:id="307"/>
      <w:bookmarkEnd w:id="308"/>
    </w:p>
    <w:p>
      <w:pPr>
        <w:pageBreakBefore w:val="0"/>
        <w:kinsoku/>
        <w:wordWrap/>
        <w:overflowPunct/>
        <w:topLinePunct w:val="0"/>
        <w:bidi w:val="0"/>
        <w:adjustRightInd w:val="0"/>
        <w:snapToGrid/>
        <w:spacing w:line="360" w:lineRule="auto"/>
        <w:textAlignment w:val="auto"/>
        <w:outlineLvl w:val="2"/>
        <w:rPr>
          <w:rFonts w:asciiTheme="minorEastAsia" w:hAnsiTheme="minorEastAsia" w:eastAsiaTheme="minorEastAsia" w:cstheme="minorEastAsia"/>
          <w:color w:val="auto"/>
          <w:sz w:val="24"/>
        </w:rPr>
      </w:pPr>
      <w:bookmarkStart w:id="309" w:name="_Toc152045547"/>
      <w:bookmarkStart w:id="310" w:name="_Toc15810"/>
      <w:bookmarkStart w:id="311" w:name="_Toc32134"/>
      <w:bookmarkStart w:id="312" w:name="_Toc23087"/>
      <w:bookmarkStart w:id="313" w:name="_Toc24440"/>
      <w:bookmarkStart w:id="314" w:name="_Toc28740"/>
      <w:bookmarkStart w:id="315" w:name="_Toc144974515"/>
      <w:bookmarkStart w:id="316" w:name="_Toc28014"/>
      <w:bookmarkStart w:id="317" w:name="_Toc5475"/>
      <w:bookmarkStart w:id="318" w:name="_Toc23293"/>
      <w:bookmarkStart w:id="319" w:name="_Toc19649"/>
      <w:bookmarkStart w:id="320" w:name="_Toc318450691"/>
      <w:bookmarkStart w:id="321" w:name="_Toc6705"/>
      <w:bookmarkStart w:id="322" w:name="_Toc17585"/>
      <w:bookmarkStart w:id="323" w:name="_Toc13831"/>
      <w:bookmarkStart w:id="324" w:name="_Toc152042323"/>
      <w:r>
        <w:rPr>
          <w:rFonts w:hint="eastAsia" w:asciiTheme="minorEastAsia" w:hAnsiTheme="minorEastAsia" w:eastAsiaTheme="minorEastAsia" w:cstheme="minorEastAsia"/>
          <w:color w:val="auto"/>
          <w:sz w:val="24"/>
        </w:rPr>
        <w:t>3.1</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响应文件的组成</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bookmarkStart w:id="325" w:name="_Toc25145"/>
      <w:bookmarkStart w:id="326" w:name="_Toc22864"/>
      <w:bookmarkStart w:id="327" w:name="_Toc18750"/>
      <w:bookmarkStart w:id="328" w:name="_Toc13280"/>
      <w:bookmarkStart w:id="329" w:name="_Toc9077"/>
      <w:bookmarkStart w:id="330" w:name="_Toc14104"/>
      <w:bookmarkStart w:id="331" w:name="_Toc779"/>
      <w:r>
        <w:rPr>
          <w:rFonts w:hint="eastAsia" w:asciiTheme="minorEastAsia" w:hAnsiTheme="minorEastAsia" w:eastAsiaTheme="minorEastAsia" w:cstheme="minorEastAsia"/>
          <w:color w:val="auto"/>
          <w:sz w:val="24"/>
        </w:rPr>
        <w:t>详见第六章</w:t>
      </w:r>
      <w:bookmarkStart w:id="332" w:name="_Toc152042324"/>
      <w:bookmarkStart w:id="333" w:name="_Toc144974516"/>
      <w:bookmarkStart w:id="334" w:name="_Toc318450692"/>
      <w:bookmarkStart w:id="335" w:name="_Toc899"/>
      <w:bookmarkStart w:id="336" w:name="_Toc152045548"/>
      <w:bookmarkStart w:id="337" w:name="_Toc26291"/>
      <w:bookmarkStart w:id="338" w:name="_Toc279156232"/>
      <w:r>
        <w:rPr>
          <w:rFonts w:hint="eastAsia" w:asciiTheme="minorEastAsia" w:hAnsiTheme="minorEastAsia" w:eastAsiaTheme="minorEastAsia" w:cstheme="minorEastAsia"/>
          <w:color w:val="auto"/>
          <w:sz w:val="24"/>
        </w:rPr>
        <w:t>“响应文件格式”</w:t>
      </w:r>
      <w:bookmarkEnd w:id="325"/>
      <w:bookmarkEnd w:id="326"/>
      <w:bookmarkEnd w:id="327"/>
      <w:bookmarkEnd w:id="328"/>
      <w:bookmarkEnd w:id="329"/>
      <w:bookmarkEnd w:id="330"/>
      <w:bookmarkEnd w:id="331"/>
      <w:r>
        <w:rPr>
          <w:rFonts w:hint="eastAsia" w:asciiTheme="minorEastAsia" w:hAnsiTheme="minorEastAsia" w:eastAsiaTheme="minorEastAsia" w:cstheme="minorEastAsia"/>
          <w:color w:val="auto"/>
          <w:sz w:val="24"/>
        </w:rPr>
        <w:t>。</w:t>
      </w:r>
    </w:p>
    <w:p>
      <w:pPr>
        <w:pageBreakBefore w:val="0"/>
        <w:kinsoku/>
        <w:wordWrap/>
        <w:overflowPunct/>
        <w:topLinePunct w:val="0"/>
        <w:bidi w:val="0"/>
        <w:adjustRightInd w:val="0"/>
        <w:snapToGrid/>
        <w:spacing w:line="360" w:lineRule="auto"/>
        <w:textAlignment w:val="auto"/>
        <w:outlineLvl w:val="2"/>
        <w:rPr>
          <w:rFonts w:asciiTheme="minorEastAsia" w:hAnsiTheme="minorEastAsia" w:eastAsiaTheme="minorEastAsia" w:cstheme="minorEastAsia"/>
          <w:color w:val="auto"/>
          <w:sz w:val="24"/>
        </w:rPr>
      </w:pPr>
      <w:bookmarkStart w:id="339" w:name="_Toc30155"/>
      <w:bookmarkStart w:id="340" w:name="_Toc31538"/>
      <w:bookmarkStart w:id="341" w:name="_Toc18931"/>
      <w:bookmarkStart w:id="342" w:name="_Toc32601"/>
      <w:bookmarkStart w:id="343" w:name="_Toc26631"/>
      <w:bookmarkStart w:id="344" w:name="_Toc15385"/>
      <w:bookmarkStart w:id="345" w:name="_Toc13127"/>
      <w:bookmarkStart w:id="346" w:name="_Toc23036"/>
      <w:bookmarkStart w:id="347" w:name="_Toc8112"/>
      <w:bookmarkStart w:id="348" w:name="_Toc26553"/>
      <w:r>
        <w:rPr>
          <w:rFonts w:hint="eastAsia" w:asciiTheme="minorEastAsia" w:hAnsiTheme="minorEastAsia" w:eastAsiaTheme="minorEastAsia" w:cstheme="minorEastAsia"/>
          <w:color w:val="auto"/>
          <w:sz w:val="24"/>
        </w:rPr>
        <w:t>3.2</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磋商报价</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Start w:id="349" w:name="_Toc21307"/>
      <w:bookmarkStart w:id="350" w:name="_Toc3624"/>
      <w:bookmarkStart w:id="351" w:name="_Toc6105"/>
      <w:bookmarkStart w:id="352" w:name="_Toc14069"/>
      <w:bookmarkStart w:id="353" w:name="_Toc5188"/>
      <w:bookmarkStart w:id="354" w:name="_Toc2425"/>
      <w:bookmarkStart w:id="355" w:name="_Toc152045549"/>
      <w:bookmarkStart w:id="356" w:name="_Toc21680"/>
      <w:bookmarkStart w:id="357" w:name="_Toc22166"/>
      <w:bookmarkStart w:id="358" w:name="_Toc11907"/>
      <w:bookmarkStart w:id="359" w:name="_Toc21600"/>
      <w:bookmarkStart w:id="360" w:name="_Toc152042325"/>
      <w:bookmarkStart w:id="361" w:name="_Toc144974517"/>
      <w:bookmarkStart w:id="362" w:name="_Toc318450693"/>
      <w:bookmarkStart w:id="363" w:name="_Toc7910"/>
      <w:bookmarkStart w:id="364" w:name="_Toc9319"/>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bookmarkStart w:id="365" w:name="_Toc11454"/>
      <w:bookmarkStart w:id="366" w:name="_Toc17801"/>
      <w:bookmarkStart w:id="367" w:name="_Toc17730"/>
      <w:bookmarkStart w:id="368" w:name="_Toc24331"/>
      <w:r>
        <w:rPr>
          <w:rFonts w:hint="eastAsia" w:asciiTheme="minorEastAsia" w:hAnsiTheme="minorEastAsia" w:eastAsiaTheme="minorEastAsia" w:cstheme="minorEastAsia"/>
          <w:color w:val="auto"/>
          <w:sz w:val="24"/>
        </w:rPr>
        <w:t>3.2.1</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供应商应按第六章“磋商函附录”的要求填写相应表格，投标总报价应包括完成该项目的成本、利润、税金、风险等所有伴随的其他费用。</w:t>
      </w:r>
      <w:bookmarkEnd w:id="365"/>
      <w:bookmarkEnd w:id="366"/>
      <w:bookmarkEnd w:id="367"/>
      <w:bookmarkEnd w:id="368"/>
      <w:bookmarkStart w:id="369" w:name="_Toc32137"/>
      <w:bookmarkStart w:id="370" w:name="_Toc8520"/>
      <w:bookmarkStart w:id="371" w:name="_Toc15719"/>
      <w:bookmarkStart w:id="372" w:name="_Toc14644"/>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3.2.2</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供应商在投标截止时间前修改磋商函中的投标总报价，应同时修改第六章“磋商函附录”中的相应报价。此修改须符合本章第4.3</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款的有关要求。</w:t>
      </w:r>
      <w:bookmarkEnd w:id="369"/>
      <w:bookmarkEnd w:id="370"/>
      <w:bookmarkEnd w:id="371"/>
      <w:bookmarkEnd w:id="372"/>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3.2.</w:t>
      </w:r>
      <w:r>
        <w:rPr>
          <w:rFonts w:hint="eastAsia" w:asciiTheme="minorEastAsia" w:hAnsiTheme="minorEastAsia" w:eastAsiaTheme="minorEastAsia" w:cstheme="minorEastAsia"/>
          <w:color w:val="auto"/>
          <w:sz w:val="24"/>
        </w:rPr>
        <w:t>3</w:t>
      </w:r>
      <w:r>
        <w:rPr>
          <w:rFonts w:hint="eastAsia" w:ascii="宋体" w:hAnsi="宋体" w:cs="宋体" w:eastAsiaTheme="minorEastAsia"/>
          <w:color w:val="auto"/>
          <w:sz w:val="24"/>
          <w:lang w:eastAsia="zh-CN"/>
        </w:rPr>
        <w:t xml:space="preserve"> </w:t>
      </w:r>
      <w:r>
        <w:rPr>
          <w:rFonts w:hint="eastAsia" w:ascii="宋体" w:hAnsi="宋体" w:cs="宋体"/>
          <w:color w:val="auto"/>
          <w:sz w:val="24"/>
        </w:rPr>
        <w:t>投标总报价应是</w:t>
      </w:r>
      <w:r>
        <w:rPr>
          <w:rFonts w:hint="eastAsia" w:asciiTheme="minorEastAsia" w:hAnsiTheme="minorEastAsia" w:eastAsiaTheme="minorEastAsia" w:cstheme="minorEastAsia"/>
          <w:color w:val="auto"/>
          <w:sz w:val="24"/>
        </w:rPr>
        <w:t>采购人</w:t>
      </w:r>
      <w:r>
        <w:rPr>
          <w:rFonts w:hint="eastAsia" w:ascii="宋体" w:hAnsi="宋体" w:cs="宋体"/>
          <w:color w:val="auto"/>
          <w:sz w:val="24"/>
        </w:rPr>
        <w:t>指定地点的包括履约完成前发生的各种税费、保险费、技术服务费以及伴随的其它服务费总报价。各项报价应准确填入投标总报价表相应栏内。</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3.2.</w:t>
      </w:r>
      <w:r>
        <w:rPr>
          <w:rFonts w:hint="eastAsia" w:asciiTheme="minorEastAsia" w:hAnsiTheme="minorEastAsia" w:eastAsiaTheme="minorEastAsia" w:cstheme="minorEastAsia"/>
          <w:color w:val="auto"/>
          <w:sz w:val="24"/>
        </w:rPr>
        <w:t>4</w:t>
      </w:r>
      <w:r>
        <w:rPr>
          <w:rFonts w:hint="eastAsia" w:ascii="宋体" w:hAnsi="宋体" w:cs="宋体" w:eastAsiaTheme="minorEastAsia"/>
          <w:color w:val="auto"/>
          <w:sz w:val="24"/>
          <w:lang w:eastAsia="zh-CN"/>
        </w:rPr>
        <w:t xml:space="preserve"> </w:t>
      </w:r>
      <w:r>
        <w:rPr>
          <w:rFonts w:hint="eastAsia" w:asciiTheme="minorEastAsia" w:hAnsiTheme="minorEastAsia" w:eastAsiaTheme="minorEastAsia" w:cstheme="minorEastAsia"/>
          <w:color w:val="auto"/>
          <w:sz w:val="24"/>
        </w:rPr>
        <w:t>供应商</w:t>
      </w:r>
      <w:r>
        <w:rPr>
          <w:rFonts w:hint="eastAsia" w:ascii="宋体" w:hAnsi="宋体" w:cs="宋体"/>
          <w:color w:val="auto"/>
          <w:sz w:val="24"/>
        </w:rPr>
        <w:t>只能提出一个不变报价，</w:t>
      </w:r>
      <w:r>
        <w:rPr>
          <w:rFonts w:hint="eastAsia" w:asciiTheme="minorEastAsia" w:hAnsiTheme="minorEastAsia" w:eastAsiaTheme="minorEastAsia" w:cstheme="minorEastAsia"/>
          <w:color w:val="auto"/>
          <w:sz w:val="24"/>
        </w:rPr>
        <w:t>采购人</w:t>
      </w:r>
      <w:r>
        <w:rPr>
          <w:rFonts w:hint="eastAsia" w:ascii="宋体" w:hAnsi="宋体" w:cs="宋体"/>
          <w:color w:val="auto"/>
          <w:sz w:val="24"/>
        </w:rPr>
        <w:t>不接受任何选择价。投标价格不作为中标的唯一因素，不保证最低价中标。</w:t>
      </w:r>
    </w:p>
    <w:p>
      <w:pPr>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3.2.5</w:t>
      </w:r>
      <w:r>
        <w:rPr>
          <w:rFonts w:hint="eastAsia" w:ascii="宋体" w:hAnsi="宋体" w:cs="宋体"/>
          <w:color w:val="auto"/>
          <w:sz w:val="24"/>
          <w:lang w:eastAsia="zh-CN"/>
        </w:rPr>
        <w:t xml:space="preserve"> </w:t>
      </w:r>
      <w:r>
        <w:rPr>
          <w:rFonts w:hint="eastAsia" w:ascii="宋体" w:hAnsi="宋体" w:cs="宋体"/>
          <w:color w:val="auto"/>
          <w:sz w:val="24"/>
        </w:rPr>
        <w:t>采购人设有最高投标限价的，供应商的投标报价不得超过最高投标限价，最高投标限价在供应商须知前附表中载明。</w:t>
      </w:r>
      <w:r>
        <w:rPr>
          <w:rFonts w:hint="eastAsia" w:ascii="宋体" w:hAnsi="宋体" w:cs="宋体"/>
          <w:color w:val="auto"/>
          <w:sz w:val="24"/>
          <w:lang w:eastAsia="zh-CN"/>
        </w:rPr>
        <w:t xml:space="preserve"> </w:t>
      </w:r>
    </w:p>
    <w:p>
      <w:pPr>
        <w:pageBreakBefore w:val="0"/>
        <w:kinsoku/>
        <w:wordWrap/>
        <w:overflowPunct/>
        <w:topLinePunct w:val="0"/>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3.2.6</w:t>
      </w:r>
      <w:r>
        <w:rPr>
          <w:rFonts w:hint="eastAsia" w:ascii="宋体" w:hAnsi="宋体" w:cs="宋体"/>
          <w:color w:val="auto"/>
          <w:sz w:val="24"/>
          <w:lang w:eastAsia="zh-CN"/>
        </w:rPr>
        <w:t xml:space="preserve"> </w:t>
      </w:r>
      <w:r>
        <w:rPr>
          <w:rFonts w:hint="eastAsia" w:ascii="宋体" w:hAnsi="宋体" w:cs="宋体"/>
          <w:color w:val="auto"/>
          <w:sz w:val="24"/>
        </w:rPr>
        <w:t>投标报价的其他要求见供应商须知前附表。</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宋体" w:hAnsi="宋体" w:cs="宋体"/>
          <w:color w:val="auto"/>
          <w:sz w:val="24"/>
        </w:rPr>
        <w:t>3.2.</w:t>
      </w:r>
      <w:r>
        <w:rPr>
          <w:rFonts w:hint="eastAsia" w:asciiTheme="minorEastAsia" w:hAnsiTheme="minorEastAsia" w:eastAsiaTheme="minorEastAsia" w:cstheme="minorEastAsia"/>
          <w:color w:val="auto"/>
          <w:sz w:val="24"/>
        </w:rPr>
        <w:t>7</w:t>
      </w:r>
      <w:r>
        <w:rPr>
          <w:rFonts w:hint="eastAsia" w:ascii="宋体" w:hAnsi="宋体" w:cs="宋体" w:eastAsiaTheme="minorEastAsia"/>
          <w:color w:val="auto"/>
          <w:sz w:val="24"/>
          <w:lang w:eastAsia="zh-CN"/>
        </w:rPr>
        <w:t xml:space="preserve"> </w:t>
      </w:r>
      <w:r>
        <w:rPr>
          <w:rFonts w:hint="eastAsia" w:ascii="宋体" w:hAnsi="宋体" w:cs="宋体"/>
          <w:color w:val="auto"/>
          <w:sz w:val="24"/>
        </w:rPr>
        <w:t>如投标报价表中的大写金额和小写金额不一致的，以大写金额为准；总价金额与单价金额不一致的，以单价金额为准，但单价金额小数点有明显错误的除外。</w:t>
      </w:r>
    </w:p>
    <w:p>
      <w:pPr>
        <w:pageBreakBefore w:val="0"/>
        <w:kinsoku/>
        <w:wordWrap/>
        <w:overflowPunct/>
        <w:topLinePunct w:val="0"/>
        <w:bidi w:val="0"/>
        <w:adjustRightInd w:val="0"/>
        <w:snapToGrid/>
        <w:spacing w:line="360" w:lineRule="auto"/>
        <w:textAlignment w:val="auto"/>
        <w:outlineLvl w:val="2"/>
        <w:rPr>
          <w:rFonts w:hint="eastAsia" w:asciiTheme="minorEastAsia" w:hAnsiTheme="minorEastAsia" w:eastAsiaTheme="minorEastAsia" w:cstheme="minorEastAsia"/>
          <w:color w:val="auto"/>
          <w:sz w:val="24"/>
        </w:rPr>
      </w:pPr>
      <w:bookmarkStart w:id="373" w:name="_Toc18445"/>
      <w:bookmarkStart w:id="374" w:name="_Toc17449"/>
      <w:r>
        <w:rPr>
          <w:rFonts w:hint="eastAsia" w:asciiTheme="minorEastAsia" w:hAnsiTheme="minorEastAsia" w:eastAsiaTheme="minorEastAsia" w:cstheme="minorEastAsia"/>
          <w:color w:val="auto"/>
          <w:sz w:val="24"/>
        </w:rPr>
        <w:t>3.3</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磋商有效期</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73"/>
      <w:bookmarkEnd w:id="374"/>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3.3.1</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在供应商须知前附表规定的磋商有效期内，</w:t>
      </w:r>
      <w:r>
        <w:rPr>
          <w:rFonts w:hint="eastAsia" w:asciiTheme="minorEastAsia" w:hAnsiTheme="minorEastAsia" w:eastAsiaTheme="minorEastAsia" w:cstheme="minorEastAsia"/>
          <w:color w:val="auto"/>
          <w:kern w:val="0"/>
          <w:sz w:val="24"/>
        </w:rPr>
        <w:t>供应商的响应文件承诺始终有效。除磋商小组提出实质性变动采购需求中的技术、服务要求以及合同草案条款外，不得要求撤销或修改其响应文件。</w:t>
      </w:r>
    </w:p>
    <w:p>
      <w:pPr>
        <w:pageBreakBefore w:val="0"/>
        <w:kinsoku/>
        <w:wordWrap/>
        <w:overflowPunct/>
        <w:topLinePunct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3.3.2出现特殊情况需要延长磋商有效期的，采购人以书面形式通知所有供应商延长磋商有效期。供应商同意延长的，应相应延长其磋商保证金的有效期，但不得要求或被允许修改或撤销其响应文件；供应商拒绝延长的，其响应文件失效，但供应商有权</w:t>
      </w:r>
      <w:r>
        <w:rPr>
          <w:rFonts w:hint="eastAsia" w:asciiTheme="minorEastAsia" w:hAnsiTheme="minorEastAsia" w:eastAsiaTheme="minorEastAsia" w:cstheme="minorEastAsia"/>
          <w:color w:val="auto"/>
          <w:kern w:val="0"/>
          <w:sz w:val="24"/>
        </w:rPr>
        <w:t>无息</w:t>
      </w:r>
      <w:r>
        <w:rPr>
          <w:rFonts w:hint="eastAsia" w:asciiTheme="minorEastAsia" w:hAnsiTheme="minorEastAsia" w:eastAsiaTheme="minorEastAsia" w:cstheme="minorEastAsia"/>
          <w:color w:val="auto"/>
          <w:sz w:val="24"/>
        </w:rPr>
        <w:t>收回其磋商保证金。</w:t>
      </w:r>
      <w:r>
        <w:rPr>
          <w:rFonts w:hint="eastAsia" w:asciiTheme="minorEastAsia" w:hAnsiTheme="minorEastAsia" w:eastAsiaTheme="minorEastAsia" w:cstheme="minorEastAsia"/>
          <w:color w:val="auto"/>
          <w:sz w:val="24"/>
          <w:lang w:eastAsia="zh-CN"/>
        </w:rPr>
        <w:t xml:space="preserve"> </w:t>
      </w:r>
    </w:p>
    <w:p>
      <w:pPr>
        <w:pStyle w:val="44"/>
        <w:keepNext w:val="0"/>
        <w:keepLines w:val="0"/>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375" w:name="_Toc3757"/>
      <w:bookmarkStart w:id="376" w:name="_Toc27088"/>
      <w:bookmarkStart w:id="377" w:name="_Toc6277"/>
      <w:bookmarkStart w:id="378" w:name="_Toc30697"/>
      <w:bookmarkStart w:id="379" w:name="_Toc11235"/>
      <w:bookmarkStart w:id="380" w:name="_Toc152042326"/>
      <w:bookmarkStart w:id="381" w:name="_Toc14960"/>
      <w:bookmarkStart w:id="382" w:name="_Toc152045550"/>
      <w:bookmarkStart w:id="383" w:name="_Toc2369"/>
      <w:bookmarkStart w:id="384" w:name="_Toc318450694"/>
      <w:bookmarkStart w:id="385" w:name="_Toc10370"/>
      <w:bookmarkStart w:id="386" w:name="_Toc2505"/>
      <w:bookmarkStart w:id="387" w:name="_Toc144974518"/>
      <w:bookmarkStart w:id="388" w:name="_Toc19878"/>
      <w:bookmarkStart w:id="389" w:name="_Toc14383"/>
      <w:bookmarkStart w:id="390" w:name="_Toc467"/>
      <w:bookmarkStart w:id="391" w:name="_Toc4165"/>
      <w:bookmarkStart w:id="392" w:name="_Toc13000"/>
      <w:bookmarkStart w:id="393" w:name="_Toc7973"/>
      <w:bookmarkStart w:id="394" w:name="_Toc15887"/>
      <w:bookmarkStart w:id="395" w:name="_Toc7057"/>
      <w:bookmarkStart w:id="396" w:name="_Toc3887"/>
      <w:bookmarkStart w:id="397" w:name="_Toc3028"/>
      <w:r>
        <w:rPr>
          <w:rFonts w:hint="eastAsia" w:asciiTheme="minorEastAsia" w:hAnsiTheme="minorEastAsia" w:eastAsiaTheme="minorEastAsia" w:cstheme="minorEastAsia"/>
          <w:color w:val="auto"/>
          <w:szCs w:val="24"/>
        </w:rPr>
        <w:t>3.4</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磋商保证金</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Theme="minorEastAsia" w:hAnsiTheme="minorEastAsia" w:eastAsiaTheme="minorEastAsia" w:cstheme="minorEastAsia"/>
          <w:color w:val="auto"/>
          <w:szCs w:val="24"/>
        </w:rPr>
        <w:t>：</w:t>
      </w:r>
      <w:r>
        <w:rPr>
          <w:rFonts w:hint="eastAsia" w:asciiTheme="minorEastAsia" w:hAnsiTheme="minorEastAsia" w:eastAsiaTheme="minorEastAsia" w:cstheme="minorEastAsia"/>
          <w:color w:val="auto"/>
        </w:rPr>
        <w:t>无</w:t>
      </w:r>
      <w:bookmarkStart w:id="398" w:name="_Toc318450695"/>
      <w:bookmarkStart w:id="399" w:name="_Toc144974520"/>
      <w:bookmarkStart w:id="400" w:name="_Toc152045552"/>
      <w:bookmarkStart w:id="401" w:name="_Toc152042328"/>
      <w:r>
        <w:rPr>
          <w:rFonts w:hint="eastAsia" w:asciiTheme="minorEastAsia" w:hAnsiTheme="minorEastAsia" w:eastAsiaTheme="minorEastAsia" w:cstheme="minorEastAsia"/>
          <w:color w:val="auto"/>
        </w:rPr>
        <w:t>。</w:t>
      </w:r>
      <w:bookmarkEnd w:id="397"/>
    </w:p>
    <w:p>
      <w:pPr>
        <w:pStyle w:val="44"/>
        <w:keepNext w:val="0"/>
        <w:keepLines w:val="0"/>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402" w:name="_Toc21174"/>
      <w:bookmarkStart w:id="403" w:name="_Toc28707"/>
      <w:bookmarkStart w:id="404" w:name="_Toc28617"/>
      <w:bookmarkStart w:id="405" w:name="_Toc16935"/>
      <w:bookmarkStart w:id="406" w:name="_Toc20834"/>
      <w:bookmarkStart w:id="407" w:name="_Toc11077"/>
      <w:bookmarkStart w:id="408" w:name="_Toc27579"/>
      <w:bookmarkStart w:id="409" w:name="_Toc22527"/>
      <w:bookmarkStart w:id="410" w:name="_Toc8275"/>
      <w:bookmarkStart w:id="411" w:name="_Toc17153"/>
      <w:bookmarkStart w:id="412" w:name="_Toc15862"/>
      <w:bookmarkStart w:id="413" w:name="_Toc2041"/>
      <w:bookmarkStart w:id="414" w:name="_Toc26727"/>
      <w:bookmarkStart w:id="415" w:name="_Toc22384"/>
      <w:bookmarkStart w:id="416" w:name="_Toc14800"/>
      <w:bookmarkStart w:id="417" w:name="_Toc3855"/>
      <w:bookmarkStart w:id="418" w:name="_Toc18149"/>
      <w:bookmarkStart w:id="419" w:name="_Toc16747"/>
      <w:bookmarkStart w:id="420" w:name="_Toc4142"/>
      <w:r>
        <w:rPr>
          <w:rFonts w:hint="eastAsia" w:asciiTheme="minorEastAsia" w:hAnsiTheme="minorEastAsia" w:eastAsiaTheme="minorEastAsia" w:cstheme="minorEastAsia"/>
          <w:color w:val="auto"/>
          <w:szCs w:val="24"/>
        </w:rPr>
        <w:t>3.5资格审查资料</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Start w:id="421" w:name="_Toc152042329"/>
      <w:bookmarkStart w:id="422" w:name="_Toc26258"/>
      <w:bookmarkStart w:id="423" w:name="_Toc152045553"/>
      <w:bookmarkStart w:id="424" w:name="_Toc318450696"/>
      <w:bookmarkStart w:id="425" w:name="_Toc5132"/>
      <w:bookmarkStart w:id="426" w:name="_Toc144974521"/>
      <w:r>
        <w:rPr>
          <w:rFonts w:hint="eastAsia" w:asciiTheme="minorEastAsia" w:hAnsiTheme="minorEastAsia" w:eastAsiaTheme="minorEastAsia" w:cstheme="minorEastAsia"/>
          <w:color w:val="auto"/>
          <w:szCs w:val="24"/>
        </w:rPr>
        <w:t>：</w:t>
      </w:r>
      <w:r>
        <w:rPr>
          <w:rFonts w:hint="eastAsia" w:asciiTheme="minorEastAsia" w:hAnsiTheme="minorEastAsia" w:eastAsiaTheme="minorEastAsia" w:cstheme="minorEastAsia"/>
          <w:color w:val="auto"/>
        </w:rPr>
        <w:t>见供应商须知前附表。</w:t>
      </w:r>
      <w:bookmarkEnd w:id="420"/>
    </w:p>
    <w:p>
      <w:pPr>
        <w:pStyle w:val="44"/>
        <w:keepNext w:val="0"/>
        <w:keepLines w:val="0"/>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427" w:name="_Toc2699"/>
      <w:bookmarkStart w:id="428" w:name="_Toc18174"/>
      <w:bookmarkStart w:id="429" w:name="_Toc16142"/>
      <w:bookmarkStart w:id="430" w:name="_Toc192"/>
      <w:bookmarkStart w:id="431" w:name="_Toc27442"/>
      <w:bookmarkStart w:id="432" w:name="_Toc11694"/>
      <w:bookmarkStart w:id="433" w:name="_Toc9015"/>
      <w:bookmarkStart w:id="434" w:name="_Toc10235"/>
      <w:bookmarkStart w:id="435" w:name="_Toc20871"/>
      <w:bookmarkStart w:id="436" w:name="_Toc19272"/>
      <w:bookmarkStart w:id="437" w:name="_Toc30442"/>
      <w:bookmarkStart w:id="438" w:name="_Toc19724"/>
      <w:bookmarkStart w:id="439" w:name="_Toc20240"/>
      <w:bookmarkStart w:id="440" w:name="_Toc10837"/>
      <w:bookmarkStart w:id="441" w:name="_Toc25632"/>
      <w:bookmarkStart w:id="442" w:name="_Toc26641"/>
      <w:bookmarkStart w:id="443" w:name="_Toc11471"/>
      <w:r>
        <w:rPr>
          <w:rFonts w:hint="eastAsia" w:asciiTheme="minorEastAsia" w:hAnsiTheme="minorEastAsia" w:eastAsiaTheme="minorEastAsia" w:cstheme="minorEastAsia"/>
          <w:color w:val="auto"/>
          <w:szCs w:val="24"/>
        </w:rPr>
        <w:t>3.6</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备选方案</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Pr>
          <w:rFonts w:hint="eastAsia" w:asciiTheme="minorEastAsia" w:hAnsiTheme="minorEastAsia" w:eastAsiaTheme="minorEastAsia" w:cstheme="minorEastAsia"/>
          <w:color w:val="auto"/>
          <w:szCs w:val="24"/>
        </w:rPr>
        <w:t>：</w:t>
      </w:r>
      <w:r>
        <w:rPr>
          <w:rFonts w:hint="eastAsia" w:asciiTheme="minorEastAsia" w:hAnsiTheme="minorEastAsia" w:eastAsiaTheme="minorEastAsia" w:cstheme="minorEastAsia"/>
          <w:color w:val="auto"/>
          <w:kern w:val="0"/>
        </w:rPr>
        <w:t>不作排除性限定。</w:t>
      </w:r>
      <w:bookmarkEnd w:id="443"/>
    </w:p>
    <w:p>
      <w:pPr>
        <w:pStyle w:val="44"/>
        <w:keepNext w:val="0"/>
        <w:keepLines w:val="0"/>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444" w:name="_Toc6323"/>
      <w:bookmarkStart w:id="445" w:name="_Toc152045554"/>
      <w:bookmarkStart w:id="446" w:name="_Toc667"/>
      <w:bookmarkStart w:id="447" w:name="_Toc25620"/>
      <w:bookmarkStart w:id="448" w:name="_Toc12275"/>
      <w:bookmarkStart w:id="449" w:name="_Toc25624"/>
      <w:bookmarkStart w:id="450" w:name="_Toc11438"/>
      <w:bookmarkStart w:id="451" w:name="_Toc12715"/>
      <w:bookmarkStart w:id="452" w:name="_Toc10469"/>
      <w:bookmarkStart w:id="453" w:name="_Toc25735"/>
      <w:bookmarkStart w:id="454" w:name="_Toc7894"/>
      <w:bookmarkStart w:id="455" w:name="_Toc21300"/>
      <w:bookmarkStart w:id="456" w:name="_Toc7626"/>
      <w:bookmarkStart w:id="457" w:name="_Toc28656"/>
      <w:bookmarkStart w:id="458" w:name="_Toc318450697"/>
      <w:bookmarkStart w:id="459" w:name="_Toc21286"/>
      <w:bookmarkStart w:id="460" w:name="_Toc7966"/>
      <w:bookmarkStart w:id="461" w:name="_Toc144974522"/>
      <w:bookmarkStart w:id="462" w:name="_Toc4703"/>
      <w:bookmarkStart w:id="463" w:name="_Toc31662"/>
      <w:bookmarkStart w:id="464" w:name="_Toc9960"/>
      <w:bookmarkStart w:id="465" w:name="_Toc22952"/>
      <w:bookmarkStart w:id="466" w:name="_Toc152042330"/>
      <w:r>
        <w:rPr>
          <w:rFonts w:hint="eastAsia" w:asciiTheme="minorEastAsia" w:hAnsiTheme="minorEastAsia" w:eastAsiaTheme="minorEastAsia" w:cstheme="minorEastAsia"/>
          <w:color w:val="auto"/>
          <w:szCs w:val="24"/>
        </w:rPr>
        <w:t>3.7</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响应文件的编制</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pageBreakBefore w:val="0"/>
        <w:kinsoku/>
        <w:wordWrap/>
        <w:overflowPunct/>
        <w:topLinePunct w:val="0"/>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val="en-US" w:eastAsia="zh-CN"/>
        </w:rPr>
        <w:t>3.7.1 本项目实行电子开评标，获取采购文件后，请各供应商在“中牟县公共资源交易中心门户网站（http:// www.zmxggzy.com）“下载中心”栏目下载相关驱动和电子投标工具。供应商在制作电子标书过程中，如遇到电子交易系统的软件操作问题时，可通过热线电话（4009980000）进行咨询。</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3.7.</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响应文件应按第六章“响应文件格式”进行编写，如有必要，可以增加附页，作为响应文件的组成部分。其中，磋商函附录在满足磋商文件实质性要求的基础上，可以提出比磋商文件要求更有利于采购人的承诺。</w:t>
      </w:r>
    </w:p>
    <w:p>
      <w:pPr>
        <w:pageBreakBefore w:val="0"/>
        <w:kinsoku/>
        <w:wordWrap/>
        <w:overflowPunct/>
        <w:topLinePunct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3.7.</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响应文件应当对磋商文件</w:t>
      </w:r>
      <w:r>
        <w:rPr>
          <w:rFonts w:hint="eastAsia" w:asciiTheme="minorEastAsia" w:hAnsiTheme="minorEastAsia" w:eastAsiaTheme="minorEastAsia" w:cstheme="minorEastAsia"/>
          <w:color w:val="auto"/>
          <w:sz w:val="24"/>
          <w:lang w:eastAsia="zh-CN"/>
        </w:rPr>
        <w:t>服务</w:t>
      </w:r>
      <w:r>
        <w:rPr>
          <w:rFonts w:hint="eastAsia" w:asciiTheme="minorEastAsia" w:hAnsiTheme="minorEastAsia" w:eastAsiaTheme="minorEastAsia" w:cstheme="minorEastAsia"/>
          <w:color w:val="auto"/>
          <w:sz w:val="24"/>
        </w:rPr>
        <w:t>期限、磋商有效期、质量要求、采购内容等实质性内容做出完全响应。否则，其磋商响应文件可能被拒绝。</w:t>
      </w:r>
    </w:p>
    <w:p>
      <w:pPr>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auto"/>
          <w:kern w:val="0"/>
          <w:sz w:val="24"/>
          <w:szCs w:val="24"/>
          <w:lang w:val="en-US" w:eastAsia="zh-CN" w:bidi="ar"/>
        </w:rPr>
      </w:pPr>
      <w:r>
        <w:rPr>
          <w:rFonts w:hint="eastAsia" w:asciiTheme="minorEastAsia" w:hAnsiTheme="minorEastAsia" w:eastAsiaTheme="minorEastAsia" w:cstheme="minorEastAsia"/>
          <w:color w:val="auto"/>
          <w:sz w:val="24"/>
        </w:rPr>
        <w:t>3.7.</w:t>
      </w:r>
      <w:bookmarkStart w:id="467" w:name="_Toc152045555"/>
      <w:bookmarkStart w:id="468" w:name="_Toc144974523"/>
      <w:bookmarkStart w:id="469" w:name="_Toc152042331"/>
      <w:bookmarkStart w:id="470" w:name="_Toc21046"/>
      <w:bookmarkStart w:id="471" w:name="_Toc3995"/>
      <w:bookmarkStart w:id="472" w:name="_Toc1550"/>
      <w:bookmarkStart w:id="473" w:name="_Toc29139"/>
      <w:bookmarkStart w:id="474" w:name="_Toc16530"/>
      <w:bookmarkStart w:id="475" w:name="_Toc2584"/>
      <w:r>
        <w:rPr>
          <w:rFonts w:hint="eastAsia" w:asciiTheme="minorEastAsia" w:hAnsiTheme="minorEastAsia" w:eastAsiaTheme="minorEastAsia" w:cstheme="minorEastAsia"/>
          <w:color w:val="auto"/>
          <w:sz w:val="24"/>
          <w:lang w:val="en-US" w:eastAsia="zh-CN"/>
        </w:rPr>
        <w:t>4</w:t>
      </w:r>
      <w:r>
        <w:rPr>
          <w:rFonts w:hint="eastAsia" w:ascii="宋体" w:hAnsi="宋体" w:eastAsia="宋体" w:cs="宋体"/>
          <w:color w:val="auto"/>
          <w:kern w:val="0"/>
          <w:sz w:val="24"/>
          <w:szCs w:val="24"/>
          <w:lang w:val="en-US" w:eastAsia="zh-CN" w:bidi="ar"/>
        </w:rPr>
        <w:t>（1）供应商应在投标截止时间前上传加密的电子投标文件到会员系统的指定位置。上传时必须得到电脑“上传成功”的确认。请供应商在上传时认真检查上传响应文件是否完整、正确。供应商在制作电子响应文件完成后须加盖电子签章（包括企业电子签章和个人电子签章）；</w:t>
      </w:r>
    </w:p>
    <w:p>
      <w:pPr>
        <w:keepNext w:val="0"/>
        <w:keepLines w:val="0"/>
        <w:pageBreakBefore w:val="0"/>
        <w:widowControl/>
        <w:suppressLineNumbers w:val="0"/>
        <w:kinsoku/>
        <w:wordWrap/>
        <w:overflowPunct/>
        <w:topLinePunct w:val="0"/>
        <w:bidi w:val="0"/>
        <w:snapToGrid/>
        <w:spacing w:line="360" w:lineRule="auto"/>
        <w:jc w:val="left"/>
        <w:textAlignment w:val="auto"/>
        <w:rPr>
          <w:color w:val="auto"/>
        </w:rPr>
      </w:pPr>
      <w:r>
        <w:rPr>
          <w:rFonts w:hint="eastAsia" w:ascii="宋体" w:hAnsi="宋体" w:eastAsia="宋体" w:cs="宋体"/>
          <w:color w:val="auto"/>
          <w:kern w:val="0"/>
          <w:sz w:val="24"/>
          <w:szCs w:val="24"/>
          <w:lang w:val="en-US" w:eastAsia="zh-CN" w:bidi="ar"/>
        </w:rPr>
        <w:t>（2）响应文件应用不褪色的材料书写或打印，投标函、投标函附录及对响应文件的澄清、说明和补正应由供应商的法定代表人或其授权的代理人签字或盖单位章（企业电子签章或个人电子签章）。供应商按磋商文件要求格式制作纸质响应文件，纸质响应文件可以为加密电子响应文件的打印件。</w:t>
      </w:r>
      <w:r>
        <w:rPr>
          <w:rFonts w:hint="eastAsia" w:ascii="宋体" w:hAnsi="宋体" w:eastAsia="宋体" w:cs="宋体"/>
          <w:b/>
          <w:bCs/>
          <w:color w:val="auto"/>
          <w:kern w:val="0"/>
          <w:sz w:val="24"/>
          <w:szCs w:val="24"/>
          <w:lang w:val="en-US" w:eastAsia="zh-CN" w:bidi="ar"/>
        </w:rPr>
        <w:t xml:space="preserve">具体要求见供应商须知前附表。 </w:t>
      </w:r>
    </w:p>
    <w:p>
      <w:pPr>
        <w:keepNext w:val="0"/>
        <w:keepLines w:val="0"/>
        <w:pageBreakBefore w:val="0"/>
        <w:widowControl/>
        <w:suppressLineNumbers w:val="0"/>
        <w:kinsoku/>
        <w:wordWrap/>
        <w:overflowPunct/>
        <w:topLinePunct w:val="0"/>
        <w:bidi w:val="0"/>
        <w:snapToGrid/>
        <w:spacing w:line="360" w:lineRule="auto"/>
        <w:jc w:val="left"/>
        <w:textAlignment w:val="auto"/>
        <w:rPr>
          <w:color w:val="auto"/>
        </w:rPr>
      </w:pPr>
      <w:r>
        <w:rPr>
          <w:rFonts w:hint="eastAsia" w:ascii="宋体" w:hAnsi="宋体" w:eastAsia="宋体" w:cs="宋体"/>
          <w:color w:val="auto"/>
          <w:kern w:val="0"/>
          <w:sz w:val="24"/>
          <w:szCs w:val="24"/>
          <w:lang w:val="en-US" w:eastAsia="zh-CN" w:bidi="ar"/>
        </w:rPr>
        <w:t>（3）响应文件份数见供应商须知前附表。当电子版响应文件和纸质响应文件不一致时，以系统上传的电子响应文件为准。</w:t>
      </w:r>
      <w:r>
        <w:rPr>
          <w:rFonts w:hint="eastAsia" w:ascii="宋体" w:hAnsi="宋体" w:eastAsia="宋体" w:cs="宋体"/>
          <w:b/>
          <w:bCs/>
          <w:color w:val="auto"/>
          <w:kern w:val="0"/>
          <w:sz w:val="24"/>
          <w:szCs w:val="24"/>
          <w:lang w:val="en-US" w:eastAsia="zh-CN" w:bidi="ar"/>
        </w:rPr>
        <w:t>具体要求见供应商须知前附表。</w:t>
      </w:r>
    </w:p>
    <w:p>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asciiTheme="minorEastAsia" w:hAnsiTheme="minorEastAsia" w:eastAsiaTheme="minorEastAsia" w:cstheme="minorEastAsia"/>
          <w:color w:val="auto"/>
          <w:sz w:val="24"/>
        </w:rPr>
      </w:pPr>
      <w:bookmarkStart w:id="476" w:name="_Toc12608"/>
      <w:r>
        <w:rPr>
          <w:rFonts w:hint="eastAsia" w:asciiTheme="minorEastAsia" w:hAnsiTheme="minorEastAsia" w:eastAsiaTheme="minorEastAsia" w:cstheme="minorEastAsia"/>
          <w:color w:val="auto"/>
          <w:sz w:val="24"/>
        </w:rPr>
        <w:t>4.</w:t>
      </w:r>
      <w:bookmarkEnd w:id="467"/>
      <w:bookmarkEnd w:id="468"/>
      <w:bookmarkEnd w:id="469"/>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kern w:val="0"/>
          <w:sz w:val="24"/>
        </w:rPr>
        <w:t>响应</w:t>
      </w:r>
      <w:bookmarkEnd w:id="470"/>
      <w:bookmarkEnd w:id="471"/>
      <w:bookmarkEnd w:id="472"/>
      <w:bookmarkEnd w:id="473"/>
      <w:bookmarkEnd w:id="474"/>
      <w:bookmarkEnd w:id="475"/>
      <w:bookmarkEnd w:id="476"/>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477" w:name="_Toc23592"/>
      <w:bookmarkStart w:id="478" w:name="_Toc152045556"/>
      <w:bookmarkStart w:id="479" w:name="_Toc16962"/>
      <w:bookmarkStart w:id="480" w:name="_Toc12471"/>
      <w:bookmarkStart w:id="481" w:name="_Toc31760"/>
      <w:bookmarkStart w:id="482" w:name="_Toc16783"/>
      <w:bookmarkStart w:id="483" w:name="_Toc31492"/>
      <w:bookmarkStart w:id="484" w:name="_Toc709"/>
      <w:bookmarkStart w:id="485" w:name="_Toc14934"/>
      <w:bookmarkStart w:id="486" w:name="_Toc19206"/>
      <w:bookmarkStart w:id="487" w:name="_Toc144974524"/>
      <w:bookmarkStart w:id="488" w:name="_Toc31711"/>
      <w:bookmarkStart w:id="489" w:name="_Toc31080"/>
      <w:bookmarkStart w:id="490" w:name="_Toc318450699"/>
      <w:bookmarkStart w:id="491" w:name="_Toc22499"/>
      <w:bookmarkStart w:id="492" w:name="_Toc23671"/>
      <w:bookmarkStart w:id="493" w:name="_Toc16344"/>
      <w:bookmarkStart w:id="494" w:name="_Toc26550"/>
      <w:bookmarkStart w:id="495" w:name="_Toc11243"/>
      <w:bookmarkStart w:id="496" w:name="_Toc152042332"/>
      <w:bookmarkStart w:id="497" w:name="_Toc9012"/>
      <w:bookmarkStart w:id="498" w:name="_Toc25136"/>
      <w:r>
        <w:rPr>
          <w:rFonts w:hint="eastAsia" w:asciiTheme="minorEastAsia" w:hAnsiTheme="minorEastAsia" w:eastAsiaTheme="minorEastAsia" w:cstheme="minorEastAsia"/>
          <w:color w:val="auto"/>
          <w:szCs w:val="24"/>
        </w:rPr>
        <w:t>4.1</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响应文件的</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hint="eastAsia" w:asciiTheme="minorEastAsia" w:hAnsiTheme="minorEastAsia" w:eastAsiaTheme="minorEastAsia" w:cstheme="minorEastAsia"/>
          <w:color w:val="auto"/>
          <w:szCs w:val="24"/>
        </w:rPr>
        <w:t>递交</w:t>
      </w:r>
      <w:bookmarkEnd w:id="498"/>
    </w:p>
    <w:p>
      <w:pPr>
        <w:pageBreakBefore w:val="0"/>
        <w:kinsoku/>
        <w:wordWrap/>
        <w:overflowPunct/>
        <w:topLinePunct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4.1.1</w:t>
      </w:r>
      <w:r>
        <w:rPr>
          <w:rFonts w:hint="eastAsia" w:asciiTheme="minorEastAsia" w:hAnsiTheme="minorEastAsia" w:eastAsiaTheme="minorEastAsia" w:cstheme="minorEastAsia"/>
          <w:color w:val="auto"/>
          <w:sz w:val="24"/>
          <w:lang w:val="en-US" w:eastAsia="zh-CN"/>
        </w:rPr>
        <w:t>供应商应在供应商须知前附表中规定的投标截止时间前递交响应文件。加密的电子响应文件,应在响应文件截止时间前通过“中牟县公共资源交易中心（http://www.zzsggzy.com/）”电子交易平台内上传；具体要求见供应商须知前附表。</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4.1.2</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kern w:val="0"/>
          <w:sz w:val="24"/>
        </w:rPr>
        <w:t>首次</w:t>
      </w:r>
      <w:r>
        <w:rPr>
          <w:rFonts w:hint="eastAsia" w:asciiTheme="minorEastAsia" w:hAnsiTheme="minorEastAsia" w:eastAsiaTheme="minorEastAsia" w:cstheme="minorEastAsia"/>
          <w:color w:val="auto"/>
          <w:sz w:val="24"/>
        </w:rPr>
        <w:t>递交响应文件的地点：见供应商须知前附表。</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4.1.3</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除供应商须知前附表另有规定外，供应商所</w:t>
      </w:r>
      <w:r>
        <w:rPr>
          <w:rFonts w:hint="eastAsia" w:asciiTheme="minorEastAsia" w:hAnsiTheme="minorEastAsia" w:eastAsiaTheme="minorEastAsia" w:cstheme="minorEastAsia"/>
          <w:color w:val="auto"/>
          <w:kern w:val="0"/>
          <w:sz w:val="24"/>
        </w:rPr>
        <w:t>首次</w:t>
      </w:r>
      <w:r>
        <w:rPr>
          <w:rFonts w:hint="eastAsia" w:asciiTheme="minorEastAsia" w:hAnsiTheme="minorEastAsia" w:eastAsiaTheme="minorEastAsia" w:cstheme="minorEastAsia"/>
          <w:color w:val="auto"/>
          <w:sz w:val="24"/>
        </w:rPr>
        <w:t>递交的响应文件不予退还。</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4.1.4</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逾期送达的或者未送达指定地点的响应文件，采购人不予受理。</w:t>
      </w:r>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499" w:name="_Toc11532"/>
      <w:bookmarkStart w:id="500" w:name="_Toc13035"/>
      <w:bookmarkStart w:id="501" w:name="_Toc31928"/>
      <w:bookmarkStart w:id="502" w:name="_Toc18043"/>
      <w:bookmarkStart w:id="503" w:name="_Toc144974526"/>
      <w:bookmarkStart w:id="504" w:name="_Toc2952"/>
      <w:bookmarkStart w:id="505" w:name="_Toc152045558"/>
      <w:bookmarkStart w:id="506" w:name="_Toc14401"/>
      <w:bookmarkStart w:id="507" w:name="_Toc6227"/>
      <w:bookmarkStart w:id="508" w:name="_Toc20281"/>
      <w:bookmarkStart w:id="509" w:name="_Toc22554"/>
      <w:bookmarkStart w:id="510" w:name="_Toc5102"/>
      <w:bookmarkStart w:id="511" w:name="_Toc318450701"/>
      <w:bookmarkStart w:id="512" w:name="_Toc28493"/>
      <w:bookmarkStart w:id="513" w:name="_Toc2176"/>
      <w:bookmarkStart w:id="514" w:name="_Toc8687"/>
      <w:bookmarkStart w:id="515" w:name="_Toc16925"/>
      <w:bookmarkStart w:id="516" w:name="_Toc10491"/>
      <w:bookmarkStart w:id="517" w:name="_Toc26501"/>
      <w:bookmarkStart w:id="518" w:name="_Toc21890"/>
      <w:bookmarkStart w:id="519" w:name="_Toc26684"/>
      <w:bookmarkStart w:id="520" w:name="_Toc152042334"/>
      <w:bookmarkStart w:id="521" w:name="_Toc30860"/>
      <w:r>
        <w:rPr>
          <w:rFonts w:hint="eastAsia" w:asciiTheme="minorEastAsia" w:hAnsiTheme="minorEastAsia" w:eastAsiaTheme="minorEastAsia" w:cstheme="minorEastAsia"/>
          <w:color w:val="auto"/>
          <w:szCs w:val="24"/>
        </w:rPr>
        <w:t>4.</w:t>
      </w:r>
      <w:r>
        <w:rPr>
          <w:rFonts w:hint="eastAsia" w:asciiTheme="minorEastAsia" w:hAnsiTheme="minorEastAsia" w:eastAsiaTheme="minorEastAsia" w:cstheme="minorEastAsia"/>
          <w:color w:val="auto"/>
          <w:szCs w:val="24"/>
          <w:lang w:val="en-US" w:eastAsia="zh-CN"/>
        </w:rPr>
        <w:t>2</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响应文件的修改与撤回</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在本章第2.2.2项规定的</w:t>
      </w:r>
      <w:r>
        <w:rPr>
          <w:rFonts w:hint="eastAsia" w:asciiTheme="minorEastAsia" w:hAnsiTheme="minorEastAsia" w:eastAsiaTheme="minorEastAsia" w:cstheme="minorEastAsia"/>
          <w:color w:val="auto"/>
          <w:kern w:val="0"/>
          <w:sz w:val="24"/>
        </w:rPr>
        <w:t>首次</w:t>
      </w:r>
      <w:r>
        <w:rPr>
          <w:rFonts w:hint="eastAsia" w:asciiTheme="minorEastAsia" w:hAnsiTheme="minorEastAsia" w:eastAsiaTheme="minorEastAsia" w:cstheme="minorEastAsia"/>
          <w:color w:val="auto"/>
          <w:sz w:val="24"/>
        </w:rPr>
        <w:t>响应截止时间前，供应商可以修改或撤回已递交的响应文件，但应以书面形式通知采购人。</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供应商在提交响应文件截止时间前，</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可以对所提交的响应文件进行补充、修改或者撤回，以响应文件截止时间前最终提交的文件为准。</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修改的内容为响应文件的组成部分。</w:t>
      </w:r>
    </w:p>
    <w:p>
      <w:pPr>
        <w:pStyle w:val="43"/>
        <w:keepNext w:val="0"/>
        <w:keepLines w:val="0"/>
        <w:pageBreakBefore w:val="0"/>
        <w:kinsoku/>
        <w:wordWrap/>
        <w:overflowPunct/>
        <w:topLinePunct w:val="0"/>
        <w:bidi w:val="0"/>
        <w:adjustRightInd w:val="0"/>
        <w:snapToGrid/>
        <w:spacing w:before="0" w:line="360" w:lineRule="auto"/>
        <w:textAlignment w:val="auto"/>
        <w:rPr>
          <w:rFonts w:asciiTheme="minorEastAsia" w:hAnsiTheme="minorEastAsia" w:eastAsiaTheme="minorEastAsia" w:cstheme="minorEastAsia"/>
          <w:color w:val="auto"/>
          <w:sz w:val="24"/>
          <w:szCs w:val="24"/>
        </w:rPr>
      </w:pPr>
      <w:bookmarkStart w:id="522" w:name="_Toc144974527"/>
      <w:bookmarkStart w:id="523" w:name="_Toc152045559"/>
      <w:bookmarkStart w:id="524" w:name="_Toc152042335"/>
      <w:bookmarkStart w:id="525" w:name="_Toc8433"/>
      <w:bookmarkStart w:id="526" w:name="_Toc18282"/>
      <w:bookmarkStart w:id="527" w:name="_Toc28902"/>
      <w:bookmarkStart w:id="528" w:name="_Toc31741"/>
      <w:bookmarkStart w:id="529" w:name="_Toc20576"/>
      <w:bookmarkStart w:id="530" w:name="_Toc3897"/>
      <w:bookmarkStart w:id="531" w:name="_Toc18147"/>
      <w:bookmarkStart w:id="532" w:name="_Toc29782"/>
      <w:r>
        <w:rPr>
          <w:rFonts w:hint="eastAsia" w:asciiTheme="minorEastAsia" w:hAnsiTheme="minorEastAsia" w:eastAsiaTheme="minorEastAsia" w:cstheme="minorEastAsia"/>
          <w:color w:val="auto"/>
          <w:sz w:val="24"/>
          <w:szCs w:val="24"/>
        </w:rPr>
        <w:t>5.</w:t>
      </w:r>
      <w:bookmarkEnd w:id="522"/>
      <w:bookmarkEnd w:id="523"/>
      <w:bookmarkEnd w:id="524"/>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磋商开始</w:t>
      </w:r>
      <w:bookmarkEnd w:id="525"/>
      <w:bookmarkEnd w:id="526"/>
      <w:bookmarkEnd w:id="527"/>
      <w:bookmarkEnd w:id="528"/>
      <w:bookmarkEnd w:id="529"/>
      <w:bookmarkEnd w:id="530"/>
      <w:bookmarkEnd w:id="531"/>
      <w:bookmarkEnd w:id="532"/>
    </w:p>
    <w:p>
      <w:pPr>
        <w:pStyle w:val="44"/>
        <w:keepNext w:val="0"/>
        <w:keepLines w:val="0"/>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533" w:name="_Toc318450703"/>
      <w:bookmarkStart w:id="534" w:name="_Toc23305"/>
      <w:bookmarkStart w:id="535" w:name="_Toc3078"/>
      <w:bookmarkStart w:id="536" w:name="_Toc14287"/>
      <w:bookmarkStart w:id="537" w:name="_Toc14834"/>
      <w:bookmarkStart w:id="538" w:name="_Toc25809"/>
      <w:bookmarkStart w:id="539" w:name="_Toc27085"/>
      <w:bookmarkStart w:id="540" w:name="_Toc29732"/>
      <w:bookmarkStart w:id="541" w:name="_Toc15024"/>
      <w:bookmarkStart w:id="542" w:name="_Toc25051"/>
      <w:bookmarkStart w:id="543" w:name="_Toc9969"/>
      <w:bookmarkStart w:id="544" w:name="_Toc2299"/>
      <w:bookmarkStart w:id="545" w:name="_Toc759"/>
      <w:bookmarkStart w:id="546" w:name="_Toc152042336"/>
      <w:bookmarkStart w:id="547" w:name="_Toc11703"/>
      <w:bookmarkStart w:id="548" w:name="_Toc25533"/>
      <w:bookmarkStart w:id="549" w:name="_Toc26426"/>
      <w:bookmarkStart w:id="550" w:name="_Toc14"/>
      <w:bookmarkStart w:id="551" w:name="_Toc152045560"/>
      <w:bookmarkStart w:id="552" w:name="_Toc6864"/>
      <w:bookmarkStart w:id="553" w:name="_Toc26972"/>
      <w:bookmarkStart w:id="554" w:name="_Toc144974528"/>
      <w:bookmarkStart w:id="555" w:name="_Toc20333"/>
      <w:r>
        <w:rPr>
          <w:rFonts w:hint="eastAsia" w:asciiTheme="minorEastAsia" w:hAnsiTheme="minorEastAsia" w:eastAsiaTheme="minorEastAsia" w:cstheme="minorEastAsia"/>
          <w:color w:val="auto"/>
          <w:szCs w:val="24"/>
        </w:rPr>
        <w:t>5.1</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磋商时间和地点</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Start w:id="556" w:name="_Toc16921"/>
      <w:bookmarkStart w:id="557" w:name="_Toc10171"/>
      <w:bookmarkStart w:id="558" w:name="_Toc21953"/>
      <w:bookmarkStart w:id="559" w:name="_Toc757"/>
      <w:bookmarkStart w:id="560" w:name="_Toc17157"/>
      <w:bookmarkStart w:id="561" w:name="_Toc3865"/>
      <w:bookmarkStart w:id="562" w:name="_Toc17076"/>
      <w:bookmarkStart w:id="563" w:name="_Toc16608"/>
      <w:bookmarkStart w:id="564" w:name="_Toc5567"/>
      <w:bookmarkStart w:id="565" w:name="_Toc30965"/>
      <w:bookmarkStart w:id="566" w:name="_Toc152045561"/>
      <w:bookmarkStart w:id="567" w:name="_Toc152042337"/>
      <w:bookmarkStart w:id="568" w:name="_Toc318450704"/>
      <w:bookmarkStart w:id="569" w:name="_Toc7166"/>
      <w:bookmarkStart w:id="570" w:name="_Toc17991"/>
      <w:bookmarkStart w:id="571" w:name="_Toc17491"/>
      <w:bookmarkStart w:id="572" w:name="_Toc1716"/>
      <w:bookmarkStart w:id="573" w:name="_Toc30074"/>
      <w:bookmarkStart w:id="574" w:name="_Toc144974529"/>
      <w:bookmarkStart w:id="575" w:name="_Toc11148"/>
      <w:bookmarkStart w:id="576" w:name="_Toc25911"/>
      <w:bookmarkStart w:id="577" w:name="_Toc19569"/>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5.1.1采购人在本章第2.2.2项规定的响应文件提交截止时间和供应商须知前附表规定的地点进行磋商，</w:t>
      </w:r>
      <w:bookmarkEnd w:id="556"/>
      <w:bookmarkStart w:id="578" w:name="_Toc2016"/>
      <w:r>
        <w:rPr>
          <w:rFonts w:hint="eastAsia" w:asciiTheme="minorEastAsia" w:hAnsiTheme="minorEastAsia" w:eastAsiaTheme="minorEastAsia" w:cstheme="minorEastAsia"/>
          <w:color w:val="auto"/>
          <w:sz w:val="24"/>
        </w:rPr>
        <w:t>并邀请所有供应商的法定代表人或其委托代理人准时远程在线参加。各供应商登录开标大厅后，应先进行签到，其后应一直保持在线状态，保证能准时参加开标大会、投标文件的解密、现场答疑澄清等活动。供应商如对开标过程有异议应在远程在线开标现场当场提出，开标结束后不得再对开标过程提出任何异议与质疑。</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5.1.2开标前，采购代理机构将会同相关人员进行验标（检查网上招标系统正常与否），确认无误后开标。开标时，各供应商应在规定时间内</w:t>
      </w:r>
      <w:bookmarkEnd w:id="578"/>
      <w:bookmarkStart w:id="579" w:name="_Toc30264"/>
      <w:r>
        <w:rPr>
          <w:rFonts w:hint="eastAsia" w:asciiTheme="minorEastAsia" w:hAnsiTheme="minorEastAsia" w:eastAsiaTheme="minorEastAsia" w:cstheme="minorEastAsia"/>
          <w:color w:val="auto"/>
          <w:sz w:val="24"/>
        </w:rPr>
        <w:t>对本单位的加密投标文件远程在线解密。</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5.1.3供应商如未在磋商文件规定的磋商文件递交截止时间前成功上传或误传加密的响应文件，而导致的解密失败,将被拒绝。</w:t>
      </w:r>
      <w:bookmarkEnd w:id="579"/>
      <w:bookmarkStart w:id="580" w:name="_Toc12569"/>
    </w:p>
    <w:p>
      <w:pPr>
        <w:pStyle w:val="44"/>
        <w:keepNext w:val="0"/>
        <w:keepLines w:val="0"/>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581" w:name="_Toc11382"/>
      <w:r>
        <w:rPr>
          <w:rFonts w:hint="eastAsia" w:asciiTheme="minorEastAsia" w:hAnsiTheme="minorEastAsia" w:eastAsiaTheme="minorEastAsia" w:cstheme="minorEastAsia"/>
          <w:color w:val="auto"/>
          <w:szCs w:val="24"/>
        </w:rPr>
        <w:t>5.2</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磋商程序</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80"/>
      <w:bookmarkEnd w:id="581"/>
    </w:p>
    <w:p>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asciiTheme="minorEastAsia" w:hAnsiTheme="minorEastAsia" w:eastAsiaTheme="minorEastAsia" w:cstheme="minorEastAsia"/>
          <w:color w:val="auto"/>
          <w:kern w:val="0"/>
          <w:sz w:val="24"/>
        </w:rPr>
      </w:pPr>
      <w:bookmarkStart w:id="582" w:name="_Toc152045562"/>
      <w:bookmarkStart w:id="583" w:name="_Toc152042338"/>
      <w:bookmarkStart w:id="584" w:name="_Toc144974530"/>
      <w:r>
        <w:rPr>
          <w:rFonts w:hint="eastAsia" w:asciiTheme="minorEastAsia" w:hAnsiTheme="minorEastAsia" w:eastAsiaTheme="minorEastAsia" w:cstheme="minorEastAsia"/>
          <w:color w:val="auto"/>
          <w:kern w:val="0"/>
          <w:sz w:val="24"/>
        </w:rPr>
        <w:t>5.2.1磋商小组对磋商文件进行熟悉确认。</w:t>
      </w:r>
    </w:p>
    <w:p>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5.2.2磋商小组推选组长，讨论、通过磋商工作流程和磋商要点。</w:t>
      </w:r>
    </w:p>
    <w:p>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5.2.3资格性审查：磋商开始后，磋商小组依据磋商文件规定，对响应文件中的资格证明是否已按要求提供等内容进行审查，以确定磋商供应商是否具备参与磋商的资格。</w:t>
      </w:r>
    </w:p>
    <w:p>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5.2.4形式性、符合性审查：磋商小组依据磋商文件规定，对响应文件的内容是否完整、文件签署是否正确、响应文件是否符合磋商文件的要求等内容进行审查，以确定是否对磋商文件的实质性要求作出响应。</w:t>
      </w:r>
    </w:p>
    <w:p>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5.2.5技术评审：磋商小组对响应文件在技术、服务等方面是否能满足磋商文件实质性要求进行评审打分。</w:t>
      </w:r>
    </w:p>
    <w:p>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5.2.6磋商小组对通过形式性、资格性和符合性审查的响应文件进行评估，确定与各竞标人磋商的具体内容。</w:t>
      </w:r>
    </w:p>
    <w:p>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5.2.7磋商过程中，磋商小组可以根据磋商情况实质性变动采购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并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采购需求中的技术、服务要求以及合同草案条款，则供应商的最后报价不得高于首次报价，否则按废标处理。</w:t>
      </w:r>
    </w:p>
    <w:p>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5.2.8经磋商确定最终采购需求，由磋商小组采用综合评分法对通过初步评审的供应商的响应文件进行综合评分。</w:t>
      </w:r>
    </w:p>
    <w:p>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5.2.9根据需要进行二次甚至多次磋商。</w:t>
      </w:r>
    </w:p>
    <w:p>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asciiTheme="minorEastAsia" w:hAnsiTheme="minorEastAsia" w:eastAsiaTheme="minorEastAsia" w:cstheme="minorEastAsia"/>
          <w:color w:val="auto"/>
          <w:kern w:val="0"/>
          <w:sz w:val="24"/>
        </w:rPr>
      </w:pPr>
      <w:r>
        <w:rPr>
          <w:rFonts w:asciiTheme="minorEastAsia" w:hAnsiTheme="minorEastAsia" w:eastAsiaTheme="minorEastAsia" w:cstheme="minorEastAsia"/>
          <w:color w:val="auto"/>
          <w:kern w:val="0"/>
          <w:sz w:val="24"/>
        </w:rPr>
        <w:t>供应商应及时关注</w:t>
      </w:r>
      <w:r>
        <w:rPr>
          <w:rFonts w:hint="eastAsia" w:asciiTheme="minorEastAsia" w:hAnsiTheme="minorEastAsia" w:eastAsiaTheme="minorEastAsia" w:cstheme="minorEastAsia"/>
          <w:color w:val="auto"/>
          <w:kern w:val="0"/>
          <w:sz w:val="24"/>
          <w:lang w:eastAsia="zh-CN"/>
        </w:rPr>
        <w:t>中牟县</w:t>
      </w:r>
      <w:r>
        <w:rPr>
          <w:rFonts w:hint="eastAsia" w:asciiTheme="minorEastAsia" w:hAnsiTheme="minorEastAsia" w:eastAsiaTheme="minorEastAsia" w:cstheme="minorEastAsia"/>
          <w:color w:val="auto"/>
          <w:kern w:val="0"/>
          <w:sz w:val="24"/>
        </w:rPr>
        <w:t>公共资源交易中心</w:t>
      </w:r>
      <w:r>
        <w:rPr>
          <w:rFonts w:asciiTheme="minorEastAsia" w:hAnsiTheme="minorEastAsia" w:eastAsiaTheme="minorEastAsia" w:cstheme="minorEastAsia"/>
          <w:color w:val="auto"/>
          <w:kern w:val="0"/>
          <w:sz w:val="24"/>
        </w:rPr>
        <w:t>系统上的通知，应在规定的时间内进行第二次</w:t>
      </w:r>
      <w:r>
        <w:rPr>
          <w:rFonts w:hint="eastAsia" w:asciiTheme="minorEastAsia" w:hAnsiTheme="minorEastAsia" w:eastAsiaTheme="minorEastAsia" w:cstheme="minorEastAsia"/>
          <w:color w:val="auto"/>
          <w:kern w:val="0"/>
          <w:sz w:val="24"/>
        </w:rPr>
        <w:t>甚至多次</w:t>
      </w:r>
      <w:r>
        <w:rPr>
          <w:rFonts w:asciiTheme="minorEastAsia" w:hAnsiTheme="minorEastAsia" w:eastAsiaTheme="minorEastAsia" w:cstheme="minorEastAsia"/>
          <w:color w:val="auto"/>
          <w:kern w:val="0"/>
          <w:sz w:val="24"/>
        </w:rPr>
        <w:t>报价，未在规定时间内进行第二次</w:t>
      </w:r>
      <w:r>
        <w:rPr>
          <w:rFonts w:hint="eastAsia" w:asciiTheme="minorEastAsia" w:hAnsiTheme="minorEastAsia" w:eastAsiaTheme="minorEastAsia" w:cstheme="minorEastAsia"/>
          <w:color w:val="auto"/>
          <w:kern w:val="0"/>
          <w:sz w:val="24"/>
        </w:rPr>
        <w:t>甚至多次</w:t>
      </w:r>
      <w:r>
        <w:rPr>
          <w:rFonts w:asciiTheme="minorEastAsia" w:hAnsiTheme="minorEastAsia" w:eastAsiaTheme="minorEastAsia" w:cstheme="minorEastAsia"/>
          <w:color w:val="auto"/>
          <w:kern w:val="0"/>
          <w:sz w:val="24"/>
        </w:rPr>
        <w:t>报价的，</w:t>
      </w:r>
      <w:r>
        <w:rPr>
          <w:rFonts w:hint="eastAsia" w:asciiTheme="minorEastAsia" w:hAnsiTheme="minorEastAsia" w:eastAsiaTheme="minorEastAsia" w:cstheme="minorEastAsia"/>
          <w:color w:val="auto"/>
          <w:kern w:val="0"/>
          <w:sz w:val="24"/>
        </w:rPr>
        <w:t>视为第一次报价为最终报价</w:t>
      </w:r>
      <w:r>
        <w:rPr>
          <w:rFonts w:asciiTheme="minorEastAsia" w:hAnsiTheme="minorEastAsia" w:eastAsiaTheme="minorEastAsia" w:cstheme="minorEastAsia"/>
          <w:color w:val="auto"/>
          <w:kern w:val="0"/>
          <w:sz w:val="24"/>
        </w:rPr>
        <w:t>，由此承担的一切后果由供应商自行承担。</w:t>
      </w:r>
    </w:p>
    <w:p>
      <w:pPr>
        <w:pStyle w:val="43"/>
        <w:pageBreakBefore w:val="0"/>
        <w:kinsoku/>
        <w:wordWrap/>
        <w:overflowPunct/>
        <w:topLinePunct w:val="0"/>
        <w:bidi w:val="0"/>
        <w:adjustRightInd w:val="0"/>
        <w:snapToGrid/>
        <w:spacing w:before="0" w:line="360" w:lineRule="auto"/>
        <w:textAlignment w:val="auto"/>
        <w:rPr>
          <w:rFonts w:asciiTheme="minorEastAsia" w:hAnsiTheme="minorEastAsia" w:eastAsiaTheme="minorEastAsia" w:cstheme="minorEastAsia"/>
          <w:color w:val="auto"/>
          <w:sz w:val="24"/>
          <w:szCs w:val="24"/>
        </w:rPr>
      </w:pPr>
      <w:bookmarkStart w:id="585" w:name="_Toc7748"/>
      <w:bookmarkStart w:id="586" w:name="_Toc6320"/>
      <w:bookmarkStart w:id="587" w:name="_Toc10924"/>
      <w:bookmarkStart w:id="588" w:name="_Toc17955"/>
      <w:bookmarkStart w:id="589" w:name="_Toc22322"/>
      <w:bookmarkStart w:id="590" w:name="_Toc23980"/>
      <w:bookmarkStart w:id="591" w:name="_Toc4592"/>
      <w:bookmarkStart w:id="592" w:name="_Toc10638"/>
      <w:bookmarkStart w:id="593" w:name="_Toc24550"/>
      <w:r>
        <w:rPr>
          <w:rFonts w:hint="eastAsia" w:asciiTheme="minorEastAsia" w:hAnsiTheme="minorEastAsia" w:eastAsiaTheme="minorEastAsia" w:cstheme="minorEastAsia"/>
          <w:color w:val="auto"/>
          <w:sz w:val="24"/>
          <w:szCs w:val="24"/>
        </w:rPr>
        <w:t>6.</w:t>
      </w:r>
      <w:bookmarkEnd w:id="582"/>
      <w:bookmarkEnd w:id="583"/>
      <w:bookmarkEnd w:id="584"/>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磋商</w:t>
      </w:r>
      <w:bookmarkEnd w:id="585"/>
      <w:bookmarkEnd w:id="586"/>
      <w:bookmarkEnd w:id="587"/>
      <w:bookmarkEnd w:id="588"/>
      <w:bookmarkEnd w:id="589"/>
      <w:bookmarkEnd w:id="590"/>
      <w:bookmarkEnd w:id="591"/>
      <w:bookmarkEnd w:id="592"/>
      <w:bookmarkEnd w:id="593"/>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594" w:name="_Toc152042339"/>
      <w:bookmarkStart w:id="595" w:name="_Toc318450706"/>
      <w:bookmarkStart w:id="596" w:name="_Toc22250"/>
      <w:bookmarkStart w:id="597" w:name="_Toc144974531"/>
      <w:bookmarkStart w:id="598" w:name="_Toc26098"/>
      <w:bookmarkStart w:id="599" w:name="_Toc152045563"/>
      <w:bookmarkStart w:id="600" w:name="_Toc9808"/>
      <w:bookmarkStart w:id="601" w:name="_Toc13136"/>
      <w:bookmarkStart w:id="602" w:name="_Toc1546"/>
      <w:bookmarkStart w:id="603" w:name="_Toc23973"/>
      <w:bookmarkStart w:id="604" w:name="_Toc8606"/>
      <w:bookmarkStart w:id="605" w:name="_Toc29989"/>
      <w:bookmarkStart w:id="606" w:name="_Toc3724"/>
      <w:bookmarkStart w:id="607" w:name="_Toc3821"/>
      <w:bookmarkStart w:id="608" w:name="_Toc20119"/>
      <w:bookmarkStart w:id="609" w:name="_Toc19805"/>
      <w:bookmarkStart w:id="610" w:name="_Toc16587"/>
      <w:bookmarkStart w:id="611" w:name="_Toc4821"/>
      <w:bookmarkStart w:id="612" w:name="_Toc1574"/>
      <w:bookmarkStart w:id="613" w:name="_Toc15233"/>
      <w:bookmarkStart w:id="614" w:name="_Toc29148"/>
      <w:bookmarkStart w:id="615" w:name="_Toc20140"/>
      <w:bookmarkStart w:id="616" w:name="_Toc18985"/>
      <w:r>
        <w:rPr>
          <w:rFonts w:hint="eastAsia" w:asciiTheme="minorEastAsia" w:hAnsiTheme="minorEastAsia" w:eastAsiaTheme="minorEastAsia" w:cstheme="minorEastAsia"/>
          <w:color w:val="auto"/>
          <w:szCs w:val="24"/>
        </w:rPr>
        <w:t>6.1</w:t>
      </w:r>
      <w:bookmarkEnd w:id="594"/>
      <w:bookmarkEnd w:id="595"/>
      <w:bookmarkEnd w:id="596"/>
      <w:bookmarkEnd w:id="597"/>
      <w:bookmarkEnd w:id="598"/>
      <w:bookmarkEnd w:id="599"/>
      <w:bookmarkEnd w:id="600"/>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磋商小组</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磋商由采购人依法组建的磋商小组负责。磋商小组由采购人代表以及有关技术、经济等方面的专家组成。磋商小组成员人数以及技术、经济等方面专家的确定方式见供应商须知前附表。</w:t>
      </w:r>
    </w:p>
    <w:p>
      <w:pPr>
        <w:pStyle w:val="44"/>
        <w:pageBreakBefore w:val="0"/>
        <w:tabs>
          <w:tab w:val="left" w:pos="2620"/>
        </w:tabs>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617" w:name="_Toc32635"/>
      <w:bookmarkStart w:id="618" w:name="_Toc152042340"/>
      <w:bookmarkStart w:id="619" w:name="_Toc8248"/>
      <w:bookmarkStart w:id="620" w:name="_Toc5059"/>
      <w:bookmarkStart w:id="621" w:name="_Toc20818"/>
      <w:bookmarkStart w:id="622" w:name="_Toc152045564"/>
      <w:bookmarkStart w:id="623" w:name="_Toc14094"/>
      <w:bookmarkStart w:id="624" w:name="_Toc20894"/>
      <w:bookmarkStart w:id="625" w:name="_Toc25721"/>
      <w:bookmarkStart w:id="626" w:name="_Toc24307"/>
      <w:bookmarkStart w:id="627" w:name="_Toc27851"/>
      <w:bookmarkStart w:id="628" w:name="_Toc25015"/>
      <w:bookmarkStart w:id="629" w:name="_Toc318450707"/>
      <w:bookmarkStart w:id="630" w:name="_Toc32647"/>
      <w:bookmarkStart w:id="631" w:name="_Toc11238"/>
      <w:bookmarkStart w:id="632" w:name="_Toc144974532"/>
      <w:bookmarkStart w:id="633" w:name="_Toc28186"/>
      <w:bookmarkStart w:id="634" w:name="_Toc23453"/>
      <w:bookmarkStart w:id="635" w:name="_Toc21102"/>
      <w:bookmarkStart w:id="636" w:name="_Toc4435"/>
      <w:bookmarkStart w:id="637" w:name="_Toc22143"/>
      <w:bookmarkStart w:id="638" w:name="_Toc31771"/>
      <w:bookmarkStart w:id="639" w:name="_Toc8240"/>
      <w:r>
        <w:rPr>
          <w:rFonts w:hint="eastAsia" w:asciiTheme="minorEastAsia" w:hAnsiTheme="minorEastAsia" w:eastAsiaTheme="minorEastAsia" w:cstheme="minorEastAsia"/>
          <w:color w:val="auto"/>
          <w:szCs w:val="24"/>
        </w:rPr>
        <w:t>6.2</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磋商原则</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磋商活动遵循公平、公正、科学和择优的原则。</w:t>
      </w:r>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640" w:name="_Toc152045565"/>
      <w:bookmarkStart w:id="641" w:name="_Toc8705"/>
      <w:bookmarkStart w:id="642" w:name="_Toc144974533"/>
      <w:bookmarkStart w:id="643" w:name="_Toc15595"/>
      <w:bookmarkStart w:id="644" w:name="_Toc318450708"/>
      <w:bookmarkStart w:id="645" w:name="_Toc16725"/>
      <w:bookmarkStart w:id="646" w:name="_Toc152042341"/>
      <w:bookmarkStart w:id="647" w:name="_Toc10808"/>
      <w:bookmarkStart w:id="648" w:name="_Toc11099"/>
      <w:bookmarkStart w:id="649" w:name="_Toc24358"/>
      <w:bookmarkStart w:id="650" w:name="_Toc12722"/>
      <w:bookmarkStart w:id="651" w:name="_Toc18756"/>
      <w:bookmarkStart w:id="652" w:name="_Toc26773"/>
      <w:bookmarkStart w:id="653" w:name="_Toc22921"/>
      <w:bookmarkStart w:id="654" w:name="_Toc10516"/>
      <w:bookmarkStart w:id="655" w:name="_Toc8965"/>
      <w:bookmarkStart w:id="656" w:name="_Toc18633"/>
      <w:bookmarkStart w:id="657" w:name="_Toc2365"/>
      <w:bookmarkStart w:id="658" w:name="_Toc3080"/>
      <w:bookmarkStart w:id="659" w:name="_Toc27036"/>
      <w:bookmarkStart w:id="660" w:name="_Toc20623"/>
      <w:bookmarkStart w:id="661" w:name="_Toc13604"/>
      <w:bookmarkStart w:id="662" w:name="_Toc16975"/>
      <w:r>
        <w:rPr>
          <w:rFonts w:hint="eastAsia" w:asciiTheme="minorEastAsia" w:hAnsiTheme="minorEastAsia" w:eastAsiaTheme="minorEastAsia" w:cstheme="minorEastAsia"/>
          <w:color w:val="auto"/>
          <w:szCs w:val="24"/>
        </w:rPr>
        <w:t>6.3</w:t>
      </w:r>
      <w:bookmarkEnd w:id="640"/>
      <w:bookmarkEnd w:id="641"/>
      <w:bookmarkEnd w:id="642"/>
      <w:bookmarkEnd w:id="643"/>
      <w:bookmarkEnd w:id="644"/>
      <w:bookmarkEnd w:id="645"/>
      <w:bookmarkEnd w:id="646"/>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磋商</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磋商小组按照第三章“评标办法”规定的方法、评审因素、标准和程序对响应文件进行评审。第三章“评标办法”没有规定的方法、评审因素和标准，不作为评标依据。</w:t>
      </w:r>
    </w:p>
    <w:p>
      <w:pPr>
        <w:pStyle w:val="43"/>
        <w:pageBreakBefore w:val="0"/>
        <w:kinsoku/>
        <w:wordWrap/>
        <w:overflowPunct/>
        <w:topLinePunct w:val="0"/>
        <w:bidi w:val="0"/>
        <w:adjustRightInd w:val="0"/>
        <w:snapToGrid/>
        <w:spacing w:before="0" w:line="360" w:lineRule="auto"/>
        <w:textAlignment w:val="auto"/>
        <w:rPr>
          <w:rFonts w:asciiTheme="minorEastAsia" w:hAnsiTheme="minorEastAsia" w:eastAsiaTheme="minorEastAsia" w:cstheme="minorEastAsia"/>
          <w:color w:val="auto"/>
          <w:sz w:val="24"/>
          <w:szCs w:val="24"/>
        </w:rPr>
      </w:pPr>
      <w:bookmarkStart w:id="663" w:name="_Toc152042342"/>
      <w:bookmarkStart w:id="664" w:name="_Toc144974534"/>
      <w:bookmarkStart w:id="665" w:name="_Toc25919"/>
      <w:bookmarkStart w:id="666" w:name="_Toc6347"/>
      <w:bookmarkStart w:id="667" w:name="_Toc22276"/>
      <w:bookmarkStart w:id="668" w:name="_Toc26835"/>
      <w:bookmarkStart w:id="669" w:name="_Toc1669"/>
      <w:bookmarkStart w:id="670" w:name="_Toc6019"/>
      <w:bookmarkStart w:id="671" w:name="_Toc257"/>
      <w:bookmarkStart w:id="672" w:name="_Toc152045566"/>
      <w:bookmarkStart w:id="673" w:name="_Toc11351"/>
      <w:bookmarkStart w:id="674" w:name="_Toc21147"/>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合同授予</w:t>
      </w:r>
      <w:bookmarkEnd w:id="663"/>
      <w:bookmarkEnd w:id="664"/>
      <w:bookmarkEnd w:id="665"/>
      <w:bookmarkEnd w:id="666"/>
      <w:bookmarkEnd w:id="667"/>
      <w:bookmarkEnd w:id="668"/>
      <w:bookmarkEnd w:id="669"/>
      <w:bookmarkEnd w:id="670"/>
      <w:bookmarkEnd w:id="671"/>
      <w:bookmarkEnd w:id="672"/>
      <w:bookmarkEnd w:id="673"/>
      <w:bookmarkEnd w:id="674"/>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675" w:name="_Toc10676"/>
      <w:bookmarkStart w:id="676" w:name="_Toc152042343"/>
      <w:bookmarkStart w:id="677" w:name="_Toc28919"/>
      <w:bookmarkStart w:id="678" w:name="_Toc7358"/>
      <w:bookmarkStart w:id="679" w:name="_Toc152045567"/>
      <w:bookmarkStart w:id="680" w:name="_Toc6401"/>
      <w:bookmarkStart w:id="681" w:name="_Toc31611"/>
      <w:bookmarkStart w:id="682" w:name="_Toc14528"/>
      <w:bookmarkStart w:id="683" w:name="_Toc24120"/>
      <w:bookmarkStart w:id="684" w:name="_Toc11310"/>
      <w:bookmarkStart w:id="685" w:name="_Toc144974535"/>
      <w:bookmarkStart w:id="686" w:name="_Toc30044"/>
      <w:bookmarkStart w:id="687" w:name="_Toc318450710"/>
      <w:bookmarkStart w:id="688" w:name="_Toc19261"/>
      <w:bookmarkStart w:id="689" w:name="_Toc22473"/>
      <w:bookmarkStart w:id="690" w:name="_Toc29664"/>
      <w:bookmarkStart w:id="691" w:name="_Toc29174"/>
      <w:bookmarkStart w:id="692" w:name="_Toc4270"/>
      <w:bookmarkStart w:id="693" w:name="_Toc8782"/>
      <w:bookmarkStart w:id="694" w:name="_Toc25316"/>
      <w:bookmarkStart w:id="695" w:name="_Toc11409"/>
      <w:bookmarkStart w:id="696" w:name="_Toc14442"/>
      <w:bookmarkStart w:id="697" w:name="_Toc26780"/>
      <w:r>
        <w:rPr>
          <w:rFonts w:hint="eastAsia" w:asciiTheme="minorEastAsia" w:hAnsiTheme="minorEastAsia" w:eastAsiaTheme="minorEastAsia" w:cstheme="minorEastAsia"/>
          <w:color w:val="auto"/>
          <w:szCs w:val="24"/>
        </w:rPr>
        <w:t>7.1</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定标方式</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bookmarkStart w:id="698" w:name="_Toc28254"/>
      <w:bookmarkStart w:id="699" w:name="_Toc152042344"/>
      <w:bookmarkStart w:id="700" w:name="_Toc10868"/>
      <w:bookmarkStart w:id="701" w:name="_Toc144974536"/>
      <w:bookmarkStart w:id="702" w:name="_Toc7066"/>
      <w:bookmarkStart w:id="703" w:name="_Toc318450711"/>
      <w:bookmarkStart w:id="704" w:name="_Toc152045568"/>
      <w:r>
        <w:rPr>
          <w:rFonts w:hint="eastAsia" w:asciiTheme="minorEastAsia" w:hAnsiTheme="minorEastAsia" w:eastAsiaTheme="minorEastAsia" w:cstheme="minorEastAsia"/>
          <w:color w:val="auto"/>
          <w:sz w:val="24"/>
        </w:rPr>
        <w:t>除供应商须知前附表规定磋商小组直接确定成交人外，采购人依据磋商小组推荐的成交候选人确定成交人，磋商小组推荐成交候选人的人数见供应商须知前附表。若排名在前的成交候选人放弃中标、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705" w:name="_Toc16088"/>
      <w:bookmarkStart w:id="706" w:name="_Toc4598"/>
      <w:bookmarkStart w:id="707" w:name="_Toc5428"/>
      <w:bookmarkStart w:id="708" w:name="_Toc12233"/>
      <w:bookmarkStart w:id="709" w:name="_Toc8378"/>
      <w:bookmarkStart w:id="710" w:name="_Toc18902"/>
      <w:bookmarkStart w:id="711" w:name="_Toc4506"/>
      <w:bookmarkStart w:id="712" w:name="_Toc7141"/>
      <w:bookmarkStart w:id="713" w:name="_Toc7438"/>
      <w:bookmarkStart w:id="714" w:name="_Toc24009"/>
      <w:bookmarkStart w:id="715" w:name="_Toc15825"/>
      <w:bookmarkStart w:id="716" w:name="_Toc9897"/>
      <w:bookmarkStart w:id="717" w:name="_Toc19819"/>
      <w:bookmarkStart w:id="718" w:name="_Toc30412"/>
      <w:bookmarkStart w:id="719" w:name="_Toc5337"/>
      <w:bookmarkStart w:id="720" w:name="_Toc23749"/>
      <w:r>
        <w:rPr>
          <w:rFonts w:hint="eastAsia" w:asciiTheme="minorEastAsia" w:hAnsiTheme="minorEastAsia" w:eastAsiaTheme="minorEastAsia" w:cstheme="minorEastAsia"/>
          <w:color w:val="auto"/>
          <w:szCs w:val="24"/>
        </w:rPr>
        <w:t>7.2</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成交通知</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采购人或者采购代理机构应当采购结果确定当日在原公告发布媒体上公告中标（成交）结果，同时向中标（成交）供应商发出中标（成交）通知书</w:t>
      </w:r>
      <w:r>
        <w:rPr>
          <w:rFonts w:hint="eastAsia" w:asciiTheme="minorEastAsia" w:hAnsiTheme="minorEastAsia" w:eastAsiaTheme="minorEastAsia" w:cstheme="minorEastAsia"/>
          <w:color w:val="auto"/>
          <w:sz w:val="24"/>
        </w:rPr>
        <w:t>。</w:t>
      </w:r>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721" w:name="_Toc4616"/>
      <w:bookmarkStart w:id="722" w:name="_Toc1945"/>
      <w:bookmarkStart w:id="723" w:name="_Toc21271"/>
      <w:bookmarkStart w:id="724" w:name="_Toc152045570"/>
      <w:bookmarkStart w:id="725" w:name="_Toc4649"/>
      <w:bookmarkStart w:id="726" w:name="_Toc15458"/>
      <w:bookmarkStart w:id="727" w:name="_Toc13147"/>
      <w:bookmarkStart w:id="728" w:name="_Toc8886"/>
      <w:bookmarkStart w:id="729" w:name="_Toc24026"/>
      <w:bookmarkStart w:id="730" w:name="_Toc26915"/>
      <w:bookmarkStart w:id="731" w:name="_Toc17211"/>
      <w:bookmarkStart w:id="732" w:name="_Toc144974538"/>
      <w:bookmarkStart w:id="733" w:name="_Toc152042346"/>
      <w:bookmarkStart w:id="734" w:name="_Toc318450712"/>
      <w:bookmarkStart w:id="735" w:name="_Toc25881"/>
      <w:bookmarkStart w:id="736" w:name="_Toc23473"/>
      <w:bookmarkStart w:id="737" w:name="_Toc23028"/>
      <w:bookmarkStart w:id="738" w:name="_Toc31078"/>
      <w:bookmarkStart w:id="739" w:name="_Toc28681"/>
      <w:bookmarkStart w:id="740" w:name="_Toc6719"/>
      <w:bookmarkStart w:id="741" w:name="_Toc25782"/>
      <w:bookmarkStart w:id="742" w:name="_Toc4273"/>
      <w:bookmarkStart w:id="743" w:name="_Toc27681"/>
      <w:r>
        <w:rPr>
          <w:rFonts w:hint="eastAsia" w:asciiTheme="minorEastAsia" w:hAnsiTheme="minorEastAsia" w:eastAsiaTheme="minorEastAsia" w:cstheme="minorEastAsia"/>
          <w:color w:val="auto"/>
          <w:szCs w:val="24"/>
        </w:rPr>
        <w:t>7.3</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签订合同</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pPr>
        <w:pageBreakBefore w:val="0"/>
        <w:kinsoku/>
        <w:wordWrap/>
        <w:overflowPunct/>
        <w:topLinePunct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7.3.1采购人和成交人应当自成交通知书发出之日起2个工作日内，根据磋商文件和成交人的响应文件订立书面合同。成交人无正当理由拒签合同的，采购人取消其成交资格，其磋商保证金不予退还；给采购人造成的损失超过磋商保证金数额的，成交人还应当对超过部分予以赔偿。</w:t>
      </w:r>
      <w:r>
        <w:rPr>
          <w:rFonts w:hint="eastAsia" w:asciiTheme="minorEastAsia" w:hAnsiTheme="minorEastAsia" w:eastAsiaTheme="minorEastAsia" w:cstheme="minorEastAsia"/>
          <w:color w:val="auto"/>
          <w:sz w:val="24"/>
          <w:lang w:eastAsia="zh-CN"/>
        </w:rPr>
        <w:t xml:space="preserve"> </w:t>
      </w:r>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7.3.2</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发出成交通知书后，采购人无正当理由拒签合同的，采购人向成交人退还磋商保证金；给成交人造成损失的，还应当赔偿损失。</w:t>
      </w:r>
      <w:bookmarkStart w:id="744" w:name="_Toc1015"/>
      <w:bookmarkStart w:id="745" w:name="_Toc9016"/>
      <w:bookmarkStart w:id="746" w:name="_Toc11391"/>
      <w:bookmarkStart w:id="747" w:name="_Toc20244"/>
      <w:bookmarkStart w:id="748" w:name="_Toc13169"/>
      <w:bookmarkStart w:id="749" w:name="_Toc26437"/>
      <w:bookmarkStart w:id="750" w:name="_Toc1279"/>
      <w:bookmarkStart w:id="751" w:name="_Toc152042350"/>
      <w:bookmarkStart w:id="752" w:name="_Toc144974542"/>
      <w:bookmarkStart w:id="753" w:name="_Toc152045574"/>
    </w:p>
    <w:p>
      <w:pPr>
        <w:pStyle w:val="44"/>
        <w:pageBreakBefore w:val="0"/>
        <w:kinsoku/>
        <w:wordWrap/>
        <w:overflowPunct/>
        <w:topLinePunct w:val="0"/>
        <w:bidi w:val="0"/>
        <w:adjustRightInd w:val="0"/>
        <w:snapToGrid/>
        <w:spacing w:line="360" w:lineRule="auto"/>
        <w:textAlignment w:val="auto"/>
        <w:outlineLvl w:val="1"/>
        <w:rPr>
          <w:rFonts w:asciiTheme="minorEastAsia" w:hAnsiTheme="minorEastAsia" w:eastAsiaTheme="minorEastAsia" w:cstheme="minorEastAsia"/>
          <w:color w:val="auto"/>
          <w:szCs w:val="24"/>
        </w:rPr>
      </w:pPr>
      <w:bookmarkStart w:id="754" w:name="_Toc28560"/>
      <w:bookmarkStart w:id="755" w:name="_Toc3826"/>
      <w:r>
        <w:rPr>
          <w:rFonts w:hint="eastAsia" w:asciiTheme="minorEastAsia" w:hAnsiTheme="minorEastAsia" w:eastAsiaTheme="minorEastAsia" w:cstheme="minorEastAsia"/>
          <w:color w:val="auto"/>
          <w:szCs w:val="24"/>
        </w:rPr>
        <w:t>8.</w:t>
      </w:r>
      <w:r>
        <w:rPr>
          <w:rFonts w:hint="eastAsia" w:asciiTheme="minorEastAsia" w:hAnsiTheme="minorEastAsia" w:eastAsiaTheme="minorEastAsia" w:cstheme="minorEastAsia"/>
          <w:color w:val="auto"/>
          <w:szCs w:val="24"/>
          <w:lang w:val="en-US" w:eastAsia="zh-CN"/>
        </w:rPr>
        <w:t xml:space="preserve"> </w:t>
      </w:r>
      <w:r>
        <w:rPr>
          <w:rFonts w:hint="eastAsia" w:asciiTheme="minorEastAsia" w:hAnsiTheme="minorEastAsia" w:eastAsiaTheme="minorEastAsia" w:cstheme="minorEastAsia"/>
          <w:color w:val="auto"/>
          <w:szCs w:val="24"/>
        </w:rPr>
        <w:t>重新招标</w:t>
      </w:r>
      <w:bookmarkEnd w:id="744"/>
      <w:bookmarkEnd w:id="745"/>
      <w:bookmarkEnd w:id="746"/>
      <w:bookmarkEnd w:id="747"/>
      <w:bookmarkEnd w:id="748"/>
      <w:bookmarkEnd w:id="749"/>
      <w:bookmarkEnd w:id="750"/>
      <w:bookmarkEnd w:id="754"/>
      <w:bookmarkEnd w:id="755"/>
    </w:p>
    <w:p>
      <w:pPr>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 w:val="24"/>
        </w:rPr>
      </w:pPr>
      <w:bookmarkStart w:id="756" w:name="_Toc16556"/>
      <w:r>
        <w:rPr>
          <w:rFonts w:hint="eastAsia" w:asciiTheme="minorEastAsia" w:hAnsiTheme="minorEastAsia" w:eastAsiaTheme="minorEastAsia" w:cstheme="minorEastAsia"/>
          <w:color w:val="auto"/>
          <w:sz w:val="24"/>
        </w:rPr>
        <w:t>8.1</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重新招标</w:t>
      </w:r>
      <w:bookmarkEnd w:id="756"/>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bookmarkStart w:id="757" w:name="_Toc9985"/>
      <w:r>
        <w:rPr>
          <w:rFonts w:hint="eastAsia" w:asciiTheme="minorEastAsia" w:hAnsiTheme="minorEastAsia" w:eastAsiaTheme="minorEastAsia" w:cstheme="minorEastAsia"/>
          <w:color w:val="auto"/>
          <w:sz w:val="24"/>
        </w:rPr>
        <w:t>有下列情形之一的，采购人将重新招标：</w:t>
      </w:r>
      <w:bookmarkEnd w:id="757"/>
      <w:bookmarkStart w:id="758" w:name="_Toc471"/>
      <w:bookmarkStart w:id="759" w:name="_Toc15717"/>
      <w:bookmarkStart w:id="760" w:name="_Toc3297"/>
      <w:bookmarkStart w:id="761" w:name="_Toc30258"/>
      <w:bookmarkStart w:id="762" w:name="_Toc31355"/>
      <w:bookmarkStart w:id="763" w:name="_Toc18087"/>
      <w:bookmarkStart w:id="764" w:name="_Toc11051"/>
      <w:bookmarkStart w:id="765" w:name="_Toc28379"/>
      <w:bookmarkStart w:id="766" w:name="_Toc31695"/>
      <w:bookmarkStart w:id="767" w:name="_Toc30630"/>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（1）投标截止时间止，供应商少于3个的。</w:t>
      </w:r>
      <w:bookmarkEnd w:id="758"/>
      <w:bookmarkEnd w:id="759"/>
      <w:bookmarkEnd w:id="760"/>
      <w:bookmarkEnd w:id="761"/>
      <w:bookmarkEnd w:id="762"/>
      <w:bookmarkEnd w:id="763"/>
      <w:bookmarkEnd w:id="764"/>
      <w:bookmarkEnd w:id="765"/>
      <w:bookmarkEnd w:id="766"/>
      <w:bookmarkEnd w:id="767"/>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bookmarkStart w:id="768" w:name="_Toc2373"/>
      <w:bookmarkStart w:id="769" w:name="_Toc17616"/>
      <w:bookmarkStart w:id="770" w:name="_Toc28086"/>
      <w:bookmarkStart w:id="771" w:name="_Toc17762"/>
      <w:r>
        <w:rPr>
          <w:rFonts w:hint="eastAsia" w:asciiTheme="minorEastAsia" w:hAnsiTheme="minorEastAsia" w:eastAsiaTheme="minorEastAsia" w:cstheme="minorEastAsia"/>
          <w:color w:val="auto"/>
          <w:sz w:val="24"/>
        </w:rPr>
        <w:t>（2）符合专业条件的供应商或者对磋商文件作实质响应的供应商不足3家的。</w:t>
      </w:r>
      <w:bookmarkEnd w:id="768"/>
      <w:bookmarkEnd w:id="769"/>
      <w:bookmarkEnd w:id="770"/>
      <w:bookmarkEnd w:id="771"/>
    </w:p>
    <w:p>
      <w:pPr>
        <w:pStyle w:val="43"/>
        <w:pageBreakBefore w:val="0"/>
        <w:kinsoku/>
        <w:wordWrap/>
        <w:overflowPunct/>
        <w:topLinePunct w:val="0"/>
        <w:bidi w:val="0"/>
        <w:adjustRightInd w:val="0"/>
        <w:snapToGrid/>
        <w:spacing w:before="0" w:line="360" w:lineRule="auto"/>
        <w:textAlignment w:val="auto"/>
        <w:rPr>
          <w:rFonts w:asciiTheme="minorEastAsia" w:hAnsiTheme="minorEastAsia" w:eastAsiaTheme="minorEastAsia" w:cstheme="minorEastAsia"/>
          <w:color w:val="auto"/>
          <w:sz w:val="24"/>
          <w:szCs w:val="24"/>
        </w:rPr>
      </w:pPr>
      <w:bookmarkStart w:id="772" w:name="_Toc21117"/>
      <w:bookmarkStart w:id="773" w:name="_Toc1414"/>
      <w:bookmarkStart w:id="774" w:name="_Toc25499"/>
      <w:bookmarkStart w:id="775" w:name="_Toc7173"/>
      <w:bookmarkStart w:id="776" w:name="_Toc29689"/>
      <w:bookmarkStart w:id="777" w:name="_Toc2615"/>
      <w:bookmarkStart w:id="778" w:name="_Toc27803"/>
      <w:bookmarkStart w:id="779" w:name="_Toc12929"/>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纪律和监督</w:t>
      </w:r>
      <w:bookmarkEnd w:id="751"/>
      <w:bookmarkEnd w:id="752"/>
      <w:bookmarkEnd w:id="753"/>
      <w:bookmarkEnd w:id="772"/>
      <w:bookmarkEnd w:id="773"/>
      <w:bookmarkEnd w:id="774"/>
      <w:bookmarkEnd w:id="775"/>
      <w:bookmarkEnd w:id="776"/>
      <w:bookmarkEnd w:id="777"/>
      <w:bookmarkEnd w:id="778"/>
      <w:bookmarkEnd w:id="779"/>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780" w:name="_Toc15356"/>
      <w:bookmarkStart w:id="781" w:name="_Toc144974543"/>
      <w:bookmarkStart w:id="782" w:name="_Toc12992"/>
      <w:bookmarkStart w:id="783" w:name="_Toc13970"/>
      <w:bookmarkStart w:id="784" w:name="_Toc20398"/>
      <w:bookmarkStart w:id="785" w:name="_Toc20009"/>
      <w:bookmarkStart w:id="786" w:name="_Toc25904"/>
      <w:bookmarkStart w:id="787" w:name="_Toc318450714"/>
      <w:bookmarkStart w:id="788" w:name="_Toc10559"/>
      <w:bookmarkStart w:id="789" w:name="_Toc8980"/>
      <w:bookmarkStart w:id="790" w:name="_Toc15543"/>
      <w:bookmarkStart w:id="791" w:name="_Toc10345"/>
      <w:bookmarkStart w:id="792" w:name="_Toc15824"/>
      <w:bookmarkStart w:id="793" w:name="_Toc15592"/>
      <w:bookmarkStart w:id="794" w:name="_Toc152042351"/>
      <w:bookmarkStart w:id="795" w:name="_Toc10603"/>
      <w:bookmarkStart w:id="796" w:name="_Toc4556"/>
      <w:bookmarkStart w:id="797" w:name="_Toc5275"/>
      <w:bookmarkStart w:id="798" w:name="_Toc19159"/>
      <w:bookmarkStart w:id="799" w:name="_Toc152045575"/>
      <w:bookmarkStart w:id="800" w:name="_Toc25414"/>
      <w:bookmarkStart w:id="801" w:name="_Toc23911"/>
      <w:bookmarkStart w:id="802" w:name="_Toc1282"/>
      <w:r>
        <w:rPr>
          <w:rFonts w:hint="eastAsia" w:asciiTheme="minorEastAsia" w:hAnsiTheme="minorEastAsia" w:eastAsiaTheme="minorEastAsia" w:cstheme="minorEastAsia"/>
          <w:color w:val="auto"/>
          <w:szCs w:val="24"/>
        </w:rPr>
        <w:t>9.1</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对采购人的纪律要求</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采购人不得泄漏磋商活动中应当保密的情况和资料，不得与供应商串通损害国家利益、社会公共利益或者他人合法权益。</w:t>
      </w:r>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803" w:name="_Toc7572"/>
      <w:bookmarkStart w:id="804" w:name="_Toc14693"/>
      <w:bookmarkStart w:id="805" w:name="_Toc26468"/>
      <w:bookmarkStart w:id="806" w:name="_Toc318450715"/>
      <w:bookmarkStart w:id="807" w:name="_Toc21278"/>
      <w:bookmarkStart w:id="808" w:name="_Toc21416"/>
      <w:bookmarkStart w:id="809" w:name="_Toc195"/>
      <w:bookmarkStart w:id="810" w:name="_Toc6534"/>
      <w:bookmarkStart w:id="811" w:name="_Toc156"/>
      <w:bookmarkStart w:id="812" w:name="_Toc144974544"/>
      <w:bookmarkStart w:id="813" w:name="_Toc7860"/>
      <w:bookmarkStart w:id="814" w:name="_Toc152042352"/>
      <w:bookmarkStart w:id="815" w:name="_Toc31652"/>
      <w:bookmarkStart w:id="816" w:name="_Toc1743"/>
      <w:bookmarkStart w:id="817" w:name="_Toc24902"/>
      <w:bookmarkStart w:id="818" w:name="_Toc3089"/>
      <w:bookmarkStart w:id="819" w:name="_Toc27698"/>
      <w:bookmarkStart w:id="820" w:name="_Toc152045576"/>
      <w:bookmarkStart w:id="821" w:name="_Toc21646"/>
      <w:bookmarkStart w:id="822" w:name="_Toc8578"/>
      <w:bookmarkStart w:id="823" w:name="_Toc26817"/>
      <w:bookmarkStart w:id="824" w:name="_Toc18604"/>
      <w:bookmarkStart w:id="825" w:name="_Toc31179"/>
      <w:r>
        <w:rPr>
          <w:rFonts w:hint="eastAsia" w:asciiTheme="minorEastAsia" w:hAnsiTheme="minorEastAsia" w:eastAsiaTheme="minorEastAsia" w:cstheme="minorEastAsia"/>
          <w:color w:val="auto"/>
          <w:szCs w:val="24"/>
        </w:rPr>
        <w:t>9.2</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对供应商的纪律要求</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bCs/>
          <w:color w:val="auto"/>
          <w:sz w:val="24"/>
        </w:rPr>
        <w:t>之间不得相互串通或者与采购人串通，不得向采购人或者磋商小组行贿谋取中标，不得以他人名义响应或者以其他方式弄虚作假骗取中标；供应商不得以任何方式干扰、影响评标工作。</w:t>
      </w:r>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bCs/>
          <w:color w:val="auto"/>
          <w:szCs w:val="24"/>
        </w:rPr>
      </w:pPr>
      <w:bookmarkStart w:id="826" w:name="_Toc22040"/>
      <w:bookmarkStart w:id="827" w:name="_Toc4125"/>
      <w:bookmarkStart w:id="828" w:name="_Toc152042353"/>
      <w:bookmarkStart w:id="829" w:name="_Toc5290"/>
      <w:bookmarkStart w:id="830" w:name="_Toc30153"/>
      <w:bookmarkStart w:id="831" w:name="_Toc7439"/>
      <w:bookmarkStart w:id="832" w:name="_Toc25241"/>
      <w:bookmarkStart w:id="833" w:name="_Toc152045577"/>
      <w:bookmarkStart w:id="834" w:name="_Toc22231"/>
      <w:bookmarkStart w:id="835" w:name="_Toc22268"/>
      <w:bookmarkStart w:id="836" w:name="_Toc7107"/>
      <w:bookmarkStart w:id="837" w:name="_Toc22592"/>
      <w:bookmarkStart w:id="838" w:name="_Toc318450716"/>
      <w:bookmarkStart w:id="839" w:name="_Toc15282"/>
      <w:bookmarkStart w:id="840" w:name="_Toc2533"/>
      <w:bookmarkStart w:id="841" w:name="_Toc27539"/>
      <w:bookmarkStart w:id="842" w:name="_Toc26179"/>
      <w:bookmarkStart w:id="843" w:name="_Toc13624"/>
      <w:bookmarkStart w:id="844" w:name="_Toc11381"/>
      <w:bookmarkStart w:id="845" w:name="_Toc32320"/>
      <w:bookmarkStart w:id="846" w:name="_Toc29520"/>
      <w:bookmarkStart w:id="847" w:name="_Toc144974545"/>
      <w:bookmarkStart w:id="848" w:name="_Toc28813"/>
      <w:r>
        <w:rPr>
          <w:rFonts w:hint="eastAsia" w:asciiTheme="minorEastAsia" w:hAnsiTheme="minorEastAsia" w:eastAsiaTheme="minorEastAsia" w:cstheme="minorEastAsia"/>
          <w:bCs/>
          <w:color w:val="auto"/>
          <w:szCs w:val="24"/>
        </w:rPr>
        <w:t>9.3</w:t>
      </w:r>
      <w:r>
        <w:rPr>
          <w:rFonts w:hint="eastAsia" w:asciiTheme="minorEastAsia" w:hAnsiTheme="minorEastAsia" w:eastAsiaTheme="minorEastAsia" w:cstheme="minorEastAsia"/>
          <w:bCs/>
          <w:color w:val="auto"/>
          <w:szCs w:val="24"/>
          <w:lang w:eastAsia="zh-CN"/>
        </w:rPr>
        <w:t xml:space="preserve"> </w:t>
      </w:r>
      <w:r>
        <w:rPr>
          <w:rFonts w:hint="eastAsia" w:asciiTheme="minorEastAsia" w:hAnsiTheme="minorEastAsia" w:eastAsiaTheme="minorEastAsia" w:cstheme="minorEastAsia"/>
          <w:bCs/>
          <w:color w:val="auto"/>
          <w:szCs w:val="24"/>
        </w:rPr>
        <w:t>对磋商小组成员的纪律要求</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磋商小组成员不得收受供应商及他人的财物或者其他好处，不得向供应商及他人透漏对响应文件的评审和比较、成交候选人的推荐情况以及评标有关的其他情况。在磋商活动中，磋商小组成员不得擅离职守，影响评标程序正常进行，不得使用第三章“评标办法”没有规定的评审因素和标准进行评标。</w:t>
      </w:r>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bCs/>
          <w:color w:val="auto"/>
          <w:szCs w:val="24"/>
        </w:rPr>
      </w:pPr>
      <w:bookmarkStart w:id="849" w:name="_Toc318450717"/>
      <w:bookmarkStart w:id="850" w:name="_Toc152042354"/>
      <w:bookmarkStart w:id="851" w:name="_Toc24"/>
      <w:bookmarkStart w:id="852" w:name="_Toc16624"/>
      <w:bookmarkStart w:id="853" w:name="_Toc152045578"/>
      <w:bookmarkStart w:id="854" w:name="_Toc21964"/>
      <w:bookmarkStart w:id="855" w:name="_Toc23717"/>
      <w:bookmarkStart w:id="856" w:name="_Toc25923"/>
      <w:bookmarkStart w:id="857" w:name="_Toc7368"/>
      <w:bookmarkStart w:id="858" w:name="_Toc27559"/>
      <w:bookmarkStart w:id="859" w:name="_Toc17612"/>
      <w:bookmarkStart w:id="860" w:name="_Toc31681"/>
      <w:bookmarkStart w:id="861" w:name="_Toc7193"/>
      <w:bookmarkStart w:id="862" w:name="_Toc28594"/>
      <w:bookmarkStart w:id="863" w:name="_Toc7906"/>
      <w:bookmarkStart w:id="864" w:name="_Toc3612"/>
      <w:bookmarkStart w:id="865" w:name="_Toc21252"/>
      <w:bookmarkStart w:id="866" w:name="_Toc20546"/>
      <w:bookmarkStart w:id="867" w:name="_Toc9063"/>
      <w:bookmarkStart w:id="868" w:name="_Toc6880"/>
      <w:bookmarkStart w:id="869" w:name="_Toc19331"/>
      <w:bookmarkStart w:id="870" w:name="_Toc12310"/>
      <w:bookmarkStart w:id="871" w:name="_Toc144974546"/>
      <w:r>
        <w:rPr>
          <w:rFonts w:hint="eastAsia" w:asciiTheme="minorEastAsia" w:hAnsiTheme="minorEastAsia" w:eastAsiaTheme="minorEastAsia" w:cstheme="minorEastAsia"/>
          <w:bCs/>
          <w:color w:val="auto"/>
          <w:szCs w:val="24"/>
        </w:rPr>
        <w:t>9.4</w:t>
      </w:r>
      <w:r>
        <w:rPr>
          <w:rFonts w:hint="eastAsia" w:asciiTheme="minorEastAsia" w:hAnsiTheme="minorEastAsia" w:eastAsiaTheme="minorEastAsia" w:cstheme="minorEastAsia"/>
          <w:bCs/>
          <w:color w:val="auto"/>
          <w:szCs w:val="24"/>
          <w:lang w:eastAsia="zh-CN"/>
        </w:rPr>
        <w:t xml:space="preserve"> </w:t>
      </w:r>
      <w:r>
        <w:rPr>
          <w:rFonts w:hint="eastAsia" w:asciiTheme="minorEastAsia" w:hAnsiTheme="minorEastAsia" w:eastAsiaTheme="minorEastAsia" w:cstheme="minorEastAsia"/>
          <w:bCs/>
          <w:color w:val="auto"/>
          <w:szCs w:val="24"/>
        </w:rPr>
        <w:t>对与评标活动有关的工作人员的纪律要求</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bookmarkStart w:id="872" w:name="_Toc152042355"/>
      <w:r>
        <w:rPr>
          <w:rFonts w:hint="eastAsia" w:asciiTheme="minorEastAsia" w:hAnsiTheme="minorEastAsia" w:eastAsiaTheme="minorEastAsia" w:cstheme="minorEastAsia"/>
          <w:bCs/>
          <w:color w:val="auto"/>
          <w:sz w:val="24"/>
        </w:rPr>
        <w:t>与评标活动有关的工作人员不得收受供应商及他人的财物或者其他好处，不得向供应商及他人透漏对响应文件的评审和比较、成交候选人的推荐情况以</w:t>
      </w:r>
      <w:r>
        <w:rPr>
          <w:rFonts w:hint="eastAsia" w:asciiTheme="minorEastAsia" w:hAnsiTheme="minorEastAsia" w:eastAsiaTheme="minorEastAsia" w:cstheme="minorEastAsia"/>
          <w:color w:val="auto"/>
          <w:sz w:val="24"/>
        </w:rPr>
        <w:t>及评标有关的其他情况。在评标活动中，与评标活动有关的工作人员不得擅离职守，影响评标程序正常进行。</w:t>
      </w:r>
      <w:bookmarkEnd w:id="872"/>
    </w:p>
    <w:p>
      <w:pPr>
        <w:pStyle w:val="44"/>
        <w:pageBreakBefore w:val="0"/>
        <w:kinsoku/>
        <w:wordWrap/>
        <w:overflowPunct/>
        <w:topLinePunct w:val="0"/>
        <w:bidi w:val="0"/>
        <w:adjustRightInd w:val="0"/>
        <w:snapToGrid/>
        <w:spacing w:line="360" w:lineRule="auto"/>
        <w:textAlignment w:val="auto"/>
        <w:rPr>
          <w:rFonts w:asciiTheme="minorEastAsia" w:hAnsiTheme="minorEastAsia" w:eastAsiaTheme="minorEastAsia" w:cstheme="minorEastAsia"/>
          <w:color w:val="auto"/>
          <w:szCs w:val="24"/>
        </w:rPr>
      </w:pPr>
      <w:bookmarkStart w:id="873" w:name="_Toc318450718"/>
      <w:bookmarkStart w:id="874" w:name="_Toc152042356"/>
      <w:bookmarkStart w:id="875" w:name="_Toc21563"/>
      <w:bookmarkStart w:id="876" w:name="_Toc672"/>
      <w:bookmarkStart w:id="877" w:name="_Toc1820"/>
      <w:bookmarkStart w:id="878" w:name="_Toc17735"/>
      <w:bookmarkStart w:id="879" w:name="_Toc22077"/>
      <w:bookmarkStart w:id="880" w:name="_Toc642"/>
      <w:bookmarkStart w:id="881" w:name="_Toc17328"/>
      <w:bookmarkStart w:id="882" w:name="_Toc31523"/>
      <w:bookmarkStart w:id="883" w:name="_Toc8074"/>
      <w:bookmarkStart w:id="884" w:name="_Toc20319"/>
      <w:bookmarkStart w:id="885" w:name="_Toc28679"/>
      <w:bookmarkStart w:id="886" w:name="_Toc3303"/>
      <w:bookmarkStart w:id="887" w:name="_Toc2422"/>
      <w:bookmarkStart w:id="888" w:name="_Toc152045579"/>
      <w:bookmarkStart w:id="889" w:name="_Toc25751"/>
      <w:bookmarkStart w:id="890" w:name="_Toc4612"/>
      <w:bookmarkStart w:id="891" w:name="_Toc8873"/>
      <w:bookmarkStart w:id="892" w:name="_Toc3617"/>
      <w:bookmarkStart w:id="893" w:name="_Toc1471"/>
      <w:bookmarkStart w:id="894" w:name="_Toc23060"/>
      <w:r>
        <w:rPr>
          <w:rFonts w:hint="eastAsia" w:asciiTheme="minorEastAsia" w:hAnsiTheme="minorEastAsia" w:eastAsiaTheme="minorEastAsia" w:cstheme="minorEastAsia"/>
          <w:color w:val="auto"/>
          <w:szCs w:val="24"/>
        </w:rPr>
        <w:t>9.5</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投诉</w:t>
      </w:r>
      <w:bookmarkEnd w:id="871"/>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供应商和其他利害关系人认为本次磋商活动违反法律、法规和规章规定的，有权向有关行政监督部门投诉。</w:t>
      </w:r>
      <w:bookmarkStart w:id="895" w:name="_Toc27777"/>
      <w:bookmarkStart w:id="896" w:name="_Toc144974547"/>
      <w:bookmarkStart w:id="897" w:name="_Toc152042357"/>
      <w:bookmarkStart w:id="898" w:name="_Toc11975"/>
      <w:bookmarkStart w:id="899" w:name="_Toc32722"/>
      <w:bookmarkStart w:id="900" w:name="_Toc15973"/>
      <w:bookmarkStart w:id="901" w:name="_Toc15792"/>
      <w:bookmarkStart w:id="902" w:name="_Toc7516"/>
      <w:bookmarkStart w:id="903" w:name="_Toc152045580"/>
      <w:bookmarkStart w:id="904" w:name="_Toc18167"/>
    </w:p>
    <w:p>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textAlignment w:val="auto"/>
        <w:outlineLvl w:val="1"/>
        <w:rPr>
          <w:rFonts w:asciiTheme="minorEastAsia" w:hAnsiTheme="minorEastAsia" w:eastAsiaTheme="minorEastAsia" w:cstheme="minorEastAsia"/>
          <w:color w:val="auto"/>
          <w:sz w:val="24"/>
        </w:rPr>
      </w:pPr>
      <w:bookmarkStart w:id="905" w:name="_Toc7972"/>
      <w:r>
        <w:rPr>
          <w:rFonts w:hint="eastAsia" w:asciiTheme="minorEastAsia" w:hAnsiTheme="minorEastAsia" w:eastAsiaTheme="minorEastAsia" w:cstheme="minorEastAsia"/>
          <w:color w:val="auto"/>
          <w:sz w:val="24"/>
          <w:szCs w:val="24"/>
        </w:rPr>
        <w:t>需要补充的其他内容</w:t>
      </w:r>
      <w:bookmarkEnd w:id="895"/>
      <w:bookmarkEnd w:id="896"/>
      <w:bookmarkEnd w:id="897"/>
      <w:bookmarkEnd w:id="898"/>
      <w:bookmarkEnd w:id="899"/>
      <w:bookmarkEnd w:id="900"/>
      <w:bookmarkEnd w:id="901"/>
      <w:bookmarkEnd w:id="902"/>
      <w:bookmarkEnd w:id="903"/>
      <w:bookmarkEnd w:id="904"/>
      <w:bookmarkEnd w:id="905"/>
    </w:p>
    <w:p>
      <w:pPr>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见供应商须知前附表。</w:t>
      </w:r>
    </w:p>
    <w:p>
      <w:pPr>
        <w:rPr>
          <w:rFonts w:ascii="宋体" w:hAnsi="宋体"/>
          <w:color w:val="auto"/>
        </w:rPr>
      </w:pPr>
      <w:r>
        <w:rPr>
          <w:rFonts w:hint="eastAsia" w:ascii="宋体" w:hAnsi="宋体"/>
          <w:color w:val="auto"/>
        </w:rPr>
        <w:br w:type="page"/>
      </w:r>
    </w:p>
    <w:p>
      <w:pPr>
        <w:pStyle w:val="7"/>
        <w:spacing w:before="0" w:after="0" w:line="360" w:lineRule="auto"/>
        <w:rPr>
          <w:b/>
          <w:bCs w:val="0"/>
          <w:color w:val="auto"/>
        </w:rPr>
      </w:pPr>
      <w:bookmarkStart w:id="906" w:name="_Toc17249"/>
      <w:bookmarkStart w:id="907" w:name="_Toc26360"/>
      <w:r>
        <w:rPr>
          <w:rFonts w:hint="eastAsia"/>
          <w:b/>
          <w:bCs w:val="0"/>
          <w:color w:val="auto"/>
        </w:rPr>
        <w:t>第三章</w:t>
      </w:r>
      <w:r>
        <w:rPr>
          <w:rFonts w:hint="eastAsia"/>
          <w:b/>
          <w:bCs w:val="0"/>
          <w:color w:val="auto"/>
          <w:lang w:eastAsia="zh-CN"/>
        </w:rPr>
        <w:t xml:space="preserve">  </w:t>
      </w:r>
      <w:r>
        <w:rPr>
          <w:rFonts w:hint="eastAsia"/>
          <w:b/>
          <w:bCs w:val="0"/>
          <w:color w:val="auto"/>
        </w:rPr>
        <w:t>评标办法</w:t>
      </w:r>
      <w:bookmarkEnd w:id="29"/>
      <w:bookmarkEnd w:id="30"/>
      <w:bookmarkStart w:id="908" w:name="_Toc340581215"/>
      <w:r>
        <w:rPr>
          <w:rFonts w:hint="eastAsia"/>
          <w:b/>
          <w:bCs w:val="0"/>
          <w:color w:val="auto"/>
        </w:rPr>
        <w:t>（综合评估法）</w:t>
      </w:r>
      <w:bookmarkEnd w:id="906"/>
      <w:bookmarkEnd w:id="907"/>
    </w:p>
    <w:p>
      <w:pPr>
        <w:spacing w:line="360" w:lineRule="auto"/>
        <w:ind w:left="6" w:hanging="6"/>
        <w:jc w:val="center"/>
        <w:rPr>
          <w:rFonts w:ascii="宋体" w:hAnsi="宋体"/>
          <w:b/>
          <w:bCs/>
          <w:color w:val="auto"/>
        </w:rPr>
      </w:pPr>
      <w:r>
        <w:rPr>
          <w:rFonts w:hint="eastAsia" w:ascii="宋体" w:hAnsi="宋体"/>
          <w:b/>
          <w:bCs/>
          <w:color w:val="auto"/>
        </w:rPr>
        <w:t>评标办法前附表</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393"/>
        <w:gridCol w:w="1850"/>
        <w:gridCol w:w="4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pPr>
              <w:keepNext/>
              <w:spacing w:line="400" w:lineRule="exact"/>
              <w:jc w:val="center"/>
              <w:rPr>
                <w:color w:val="auto"/>
              </w:rPr>
            </w:pPr>
            <w:r>
              <w:rPr>
                <w:rFonts w:hint="eastAsia"/>
                <w:color w:val="auto"/>
              </w:rPr>
              <w:t>条款号</w:t>
            </w:r>
          </w:p>
        </w:tc>
        <w:tc>
          <w:tcPr>
            <w:tcW w:w="3243" w:type="dxa"/>
            <w:gridSpan w:val="2"/>
            <w:vAlign w:val="center"/>
          </w:tcPr>
          <w:p>
            <w:pPr>
              <w:keepNext/>
              <w:spacing w:line="400" w:lineRule="exact"/>
              <w:jc w:val="center"/>
              <w:rPr>
                <w:color w:val="auto"/>
              </w:rPr>
            </w:pPr>
            <w:r>
              <w:rPr>
                <w:rFonts w:hint="eastAsia"/>
                <w:color w:val="auto"/>
              </w:rPr>
              <w:t>评审因素</w:t>
            </w:r>
          </w:p>
        </w:tc>
        <w:tc>
          <w:tcPr>
            <w:tcW w:w="4168" w:type="dxa"/>
            <w:vAlign w:val="center"/>
          </w:tcPr>
          <w:p>
            <w:pPr>
              <w:keepNext/>
              <w:spacing w:line="400" w:lineRule="exact"/>
              <w:jc w:val="center"/>
              <w:rPr>
                <w:color w:val="auto"/>
              </w:rPr>
            </w:pPr>
            <w:r>
              <w:rPr>
                <w:rFonts w:hint="eastAsia"/>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pPr>
              <w:keepNext/>
              <w:spacing w:line="400" w:lineRule="exact"/>
              <w:jc w:val="center"/>
              <w:rPr>
                <w:color w:val="auto"/>
              </w:rPr>
            </w:pPr>
            <w:r>
              <w:rPr>
                <w:rFonts w:hint="eastAsia"/>
                <w:color w:val="auto"/>
              </w:rPr>
              <w:t>2.1.1</w:t>
            </w:r>
          </w:p>
        </w:tc>
        <w:tc>
          <w:tcPr>
            <w:tcW w:w="1393" w:type="dxa"/>
            <w:vMerge w:val="restart"/>
            <w:vAlign w:val="center"/>
          </w:tcPr>
          <w:p>
            <w:pPr>
              <w:keepNext/>
              <w:spacing w:line="400" w:lineRule="exact"/>
              <w:jc w:val="center"/>
              <w:rPr>
                <w:color w:val="auto"/>
              </w:rPr>
            </w:pPr>
            <w:r>
              <w:rPr>
                <w:rFonts w:hint="eastAsia"/>
                <w:color w:val="auto"/>
              </w:rPr>
              <w:t>资格</w:t>
            </w:r>
          </w:p>
          <w:p>
            <w:pPr>
              <w:keepNext/>
              <w:spacing w:line="400" w:lineRule="exact"/>
              <w:jc w:val="center"/>
              <w:rPr>
                <w:color w:val="auto"/>
              </w:rPr>
            </w:pPr>
            <w:r>
              <w:rPr>
                <w:rFonts w:hint="eastAsia"/>
                <w:color w:val="auto"/>
              </w:rPr>
              <w:t>评审</w:t>
            </w:r>
          </w:p>
          <w:p>
            <w:pPr>
              <w:keepNext/>
              <w:spacing w:line="400" w:lineRule="exact"/>
              <w:jc w:val="center"/>
              <w:rPr>
                <w:color w:val="auto"/>
              </w:rPr>
            </w:pPr>
            <w:r>
              <w:rPr>
                <w:rFonts w:hint="eastAsia"/>
                <w:color w:val="auto"/>
              </w:rPr>
              <w:t>标准</w:t>
            </w:r>
          </w:p>
        </w:tc>
        <w:tc>
          <w:tcPr>
            <w:tcW w:w="1850" w:type="dxa"/>
            <w:vAlign w:val="center"/>
          </w:tcPr>
          <w:p>
            <w:pPr>
              <w:keepNext/>
              <w:spacing w:line="400" w:lineRule="exact"/>
              <w:jc w:val="center"/>
              <w:rPr>
                <w:color w:val="auto"/>
              </w:rPr>
            </w:pPr>
            <w:r>
              <w:rPr>
                <w:rFonts w:hint="eastAsia"/>
                <w:color w:val="auto"/>
              </w:rPr>
              <w:t>营业执照</w:t>
            </w:r>
          </w:p>
        </w:tc>
        <w:tc>
          <w:tcPr>
            <w:tcW w:w="4168" w:type="dxa"/>
            <w:vAlign w:val="center"/>
          </w:tcPr>
          <w:p>
            <w:pPr>
              <w:keepNext/>
              <w:spacing w:line="400" w:lineRule="exact"/>
              <w:rPr>
                <w:color w:val="auto"/>
              </w:rPr>
            </w:pPr>
            <w:r>
              <w:rPr>
                <w:rFonts w:hint="eastAsia"/>
                <w:color w:val="auto"/>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Pr>
          <w:p>
            <w:pPr>
              <w:spacing w:line="400" w:lineRule="exact"/>
              <w:rPr>
                <w:color w:val="auto"/>
              </w:rPr>
            </w:pPr>
          </w:p>
        </w:tc>
        <w:tc>
          <w:tcPr>
            <w:tcW w:w="1393" w:type="dxa"/>
            <w:vMerge w:val="continue"/>
          </w:tcPr>
          <w:p>
            <w:pPr>
              <w:spacing w:line="400" w:lineRule="exact"/>
              <w:rPr>
                <w:color w:val="auto"/>
              </w:rPr>
            </w:pPr>
          </w:p>
        </w:tc>
        <w:tc>
          <w:tcPr>
            <w:tcW w:w="1850" w:type="dxa"/>
            <w:vAlign w:val="center"/>
          </w:tcPr>
          <w:p>
            <w:pPr>
              <w:keepNext/>
              <w:spacing w:line="400" w:lineRule="exact"/>
              <w:jc w:val="center"/>
              <w:rPr>
                <w:color w:val="auto"/>
              </w:rPr>
            </w:pPr>
            <w:r>
              <w:rPr>
                <w:rFonts w:hint="eastAsia"/>
                <w:color w:val="auto"/>
              </w:rPr>
              <w:t>资格要求</w:t>
            </w:r>
          </w:p>
        </w:tc>
        <w:tc>
          <w:tcPr>
            <w:tcW w:w="4168" w:type="dxa"/>
            <w:vAlign w:val="center"/>
          </w:tcPr>
          <w:p>
            <w:pPr>
              <w:keepNext/>
              <w:spacing w:line="400" w:lineRule="exact"/>
              <w:rPr>
                <w:color w:val="auto"/>
              </w:rPr>
            </w:pPr>
            <w:r>
              <w:rPr>
                <w:rFonts w:hint="eastAsia"/>
                <w:color w:val="auto"/>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Pr>
          <w:p>
            <w:pPr>
              <w:spacing w:line="400" w:lineRule="exact"/>
              <w:rPr>
                <w:color w:val="auto"/>
              </w:rPr>
            </w:pPr>
          </w:p>
        </w:tc>
        <w:tc>
          <w:tcPr>
            <w:tcW w:w="1393" w:type="dxa"/>
            <w:vMerge w:val="continue"/>
          </w:tcPr>
          <w:p>
            <w:pPr>
              <w:spacing w:line="400" w:lineRule="exact"/>
              <w:rPr>
                <w:color w:val="auto"/>
              </w:rPr>
            </w:pPr>
          </w:p>
        </w:tc>
        <w:tc>
          <w:tcPr>
            <w:tcW w:w="1850" w:type="dxa"/>
            <w:vAlign w:val="center"/>
          </w:tcPr>
          <w:p>
            <w:pPr>
              <w:keepNext/>
              <w:spacing w:line="400" w:lineRule="exact"/>
              <w:jc w:val="center"/>
              <w:rPr>
                <w:color w:val="auto"/>
              </w:rPr>
            </w:pPr>
            <w:r>
              <w:rPr>
                <w:rFonts w:hint="eastAsia"/>
                <w:color w:val="auto"/>
              </w:rPr>
              <w:t>《中华人民共和国政府采购法》第二十二条规定的相关材料</w:t>
            </w:r>
          </w:p>
        </w:tc>
        <w:tc>
          <w:tcPr>
            <w:tcW w:w="4168" w:type="dxa"/>
            <w:vAlign w:val="center"/>
          </w:tcPr>
          <w:p>
            <w:pPr>
              <w:keepNext/>
              <w:spacing w:line="400" w:lineRule="exact"/>
              <w:rPr>
                <w:color w:val="auto"/>
              </w:rPr>
            </w:pPr>
            <w:r>
              <w:rPr>
                <w:rFonts w:hint="eastAsia"/>
                <w:color w:val="auto"/>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Pr>
          <w:p>
            <w:pPr>
              <w:spacing w:line="400" w:lineRule="exact"/>
              <w:rPr>
                <w:color w:val="auto"/>
              </w:rPr>
            </w:pPr>
          </w:p>
        </w:tc>
        <w:tc>
          <w:tcPr>
            <w:tcW w:w="1393" w:type="dxa"/>
            <w:vMerge w:val="continue"/>
          </w:tcPr>
          <w:p>
            <w:pPr>
              <w:spacing w:line="400" w:lineRule="exact"/>
              <w:rPr>
                <w:color w:val="auto"/>
              </w:rPr>
            </w:pPr>
          </w:p>
        </w:tc>
        <w:tc>
          <w:tcPr>
            <w:tcW w:w="1850" w:type="dxa"/>
            <w:vAlign w:val="center"/>
          </w:tcPr>
          <w:p>
            <w:pPr>
              <w:keepNext/>
              <w:spacing w:line="400" w:lineRule="exact"/>
              <w:jc w:val="center"/>
              <w:rPr>
                <w:color w:val="auto"/>
              </w:rPr>
            </w:pPr>
            <w:r>
              <w:rPr>
                <w:rFonts w:hint="eastAsia"/>
                <w:color w:val="auto"/>
              </w:rPr>
              <w:t>信誉要求</w:t>
            </w:r>
          </w:p>
        </w:tc>
        <w:tc>
          <w:tcPr>
            <w:tcW w:w="4168" w:type="dxa"/>
            <w:vAlign w:val="center"/>
          </w:tcPr>
          <w:p>
            <w:pPr>
              <w:keepNext/>
              <w:spacing w:line="400" w:lineRule="exact"/>
              <w:rPr>
                <w:color w:val="auto"/>
              </w:rPr>
            </w:pPr>
            <w:r>
              <w:rPr>
                <w:rFonts w:hint="eastAsia"/>
                <w:color w:val="auto"/>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Pr>
          <w:p>
            <w:pPr>
              <w:spacing w:line="400" w:lineRule="exact"/>
              <w:rPr>
                <w:color w:val="auto"/>
              </w:rPr>
            </w:pPr>
          </w:p>
        </w:tc>
        <w:tc>
          <w:tcPr>
            <w:tcW w:w="1393" w:type="dxa"/>
            <w:vMerge w:val="continue"/>
          </w:tcPr>
          <w:p>
            <w:pPr>
              <w:spacing w:line="400" w:lineRule="exact"/>
              <w:rPr>
                <w:color w:val="auto"/>
              </w:rPr>
            </w:pPr>
          </w:p>
        </w:tc>
        <w:tc>
          <w:tcPr>
            <w:tcW w:w="1850" w:type="dxa"/>
            <w:vAlign w:val="center"/>
          </w:tcPr>
          <w:p>
            <w:pPr>
              <w:keepNext/>
              <w:spacing w:line="400" w:lineRule="exact"/>
              <w:jc w:val="center"/>
              <w:rPr>
                <w:color w:val="auto"/>
              </w:rPr>
            </w:pPr>
            <w:r>
              <w:rPr>
                <w:rFonts w:hint="eastAsia"/>
                <w:color w:val="auto"/>
              </w:rPr>
              <w:t>其他要求</w:t>
            </w:r>
          </w:p>
        </w:tc>
        <w:tc>
          <w:tcPr>
            <w:tcW w:w="4168" w:type="dxa"/>
            <w:vAlign w:val="center"/>
          </w:tcPr>
          <w:p>
            <w:pPr>
              <w:keepNext/>
              <w:spacing w:line="400" w:lineRule="exact"/>
              <w:rPr>
                <w:color w:val="auto"/>
              </w:rPr>
            </w:pPr>
            <w:r>
              <w:rPr>
                <w:rFonts w:hint="eastAsia"/>
                <w:color w:val="auto"/>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tcPr>
          <w:p>
            <w:pPr>
              <w:spacing w:line="400" w:lineRule="exact"/>
              <w:rPr>
                <w:color w:val="auto"/>
              </w:rPr>
            </w:pPr>
            <w:r>
              <w:rPr>
                <w:rFonts w:hint="eastAsia"/>
                <w:color w:val="auto"/>
              </w:rPr>
              <w:t>2.1.2</w:t>
            </w:r>
          </w:p>
        </w:tc>
        <w:tc>
          <w:tcPr>
            <w:tcW w:w="1393" w:type="dxa"/>
            <w:vMerge w:val="restart"/>
          </w:tcPr>
          <w:p>
            <w:pPr>
              <w:keepNext/>
              <w:spacing w:line="400" w:lineRule="exact"/>
              <w:jc w:val="center"/>
              <w:rPr>
                <w:color w:val="auto"/>
              </w:rPr>
            </w:pPr>
            <w:r>
              <w:rPr>
                <w:rFonts w:hint="eastAsia"/>
                <w:color w:val="auto"/>
              </w:rPr>
              <w:t>形式</w:t>
            </w:r>
          </w:p>
          <w:p>
            <w:pPr>
              <w:keepNext/>
              <w:spacing w:line="400" w:lineRule="exact"/>
              <w:jc w:val="center"/>
              <w:rPr>
                <w:color w:val="auto"/>
              </w:rPr>
            </w:pPr>
            <w:r>
              <w:rPr>
                <w:rFonts w:hint="eastAsia"/>
                <w:color w:val="auto"/>
              </w:rPr>
              <w:t>评审</w:t>
            </w:r>
          </w:p>
          <w:p>
            <w:pPr>
              <w:spacing w:line="400" w:lineRule="exact"/>
              <w:jc w:val="center"/>
              <w:rPr>
                <w:color w:val="auto"/>
              </w:rPr>
            </w:pPr>
            <w:r>
              <w:rPr>
                <w:rFonts w:hint="eastAsia"/>
                <w:color w:val="auto"/>
              </w:rPr>
              <w:t>标准</w:t>
            </w:r>
          </w:p>
        </w:tc>
        <w:tc>
          <w:tcPr>
            <w:tcW w:w="1850" w:type="dxa"/>
            <w:vAlign w:val="center"/>
          </w:tcPr>
          <w:p>
            <w:pPr>
              <w:keepNext/>
              <w:spacing w:line="400" w:lineRule="exact"/>
              <w:jc w:val="center"/>
              <w:rPr>
                <w:color w:val="auto"/>
              </w:rPr>
            </w:pPr>
            <w:r>
              <w:rPr>
                <w:rFonts w:hint="eastAsia"/>
                <w:color w:val="auto"/>
              </w:rPr>
              <w:t>供应商</w:t>
            </w:r>
            <w:r>
              <w:rPr>
                <w:color w:val="auto"/>
              </w:rPr>
              <w:t>名称</w:t>
            </w:r>
          </w:p>
        </w:tc>
        <w:tc>
          <w:tcPr>
            <w:tcW w:w="4168" w:type="dxa"/>
            <w:vAlign w:val="center"/>
          </w:tcPr>
          <w:p>
            <w:pPr>
              <w:keepNext/>
              <w:spacing w:line="400" w:lineRule="exact"/>
              <w:rPr>
                <w:color w:val="auto"/>
              </w:rPr>
            </w:pPr>
            <w:r>
              <w:rPr>
                <w:color w:va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Pr>
          <w:p>
            <w:pPr>
              <w:spacing w:line="400" w:lineRule="exact"/>
              <w:rPr>
                <w:color w:val="auto"/>
              </w:rPr>
            </w:pPr>
          </w:p>
        </w:tc>
        <w:tc>
          <w:tcPr>
            <w:tcW w:w="1393" w:type="dxa"/>
            <w:vMerge w:val="continue"/>
          </w:tcPr>
          <w:p>
            <w:pPr>
              <w:spacing w:line="400" w:lineRule="exact"/>
              <w:rPr>
                <w:color w:val="auto"/>
              </w:rPr>
            </w:pPr>
          </w:p>
        </w:tc>
        <w:tc>
          <w:tcPr>
            <w:tcW w:w="1850" w:type="dxa"/>
            <w:vAlign w:val="center"/>
          </w:tcPr>
          <w:p>
            <w:pPr>
              <w:keepNext/>
              <w:spacing w:line="400" w:lineRule="exact"/>
              <w:jc w:val="center"/>
              <w:rPr>
                <w:color w:val="auto"/>
              </w:rPr>
            </w:pPr>
            <w:r>
              <w:rPr>
                <w:rFonts w:hint="eastAsia"/>
                <w:color w:val="auto"/>
              </w:rPr>
              <w:t>磋商</w:t>
            </w:r>
            <w:r>
              <w:rPr>
                <w:color w:val="auto"/>
              </w:rPr>
              <w:t>函签字盖章</w:t>
            </w:r>
          </w:p>
        </w:tc>
        <w:tc>
          <w:tcPr>
            <w:tcW w:w="4168" w:type="dxa"/>
            <w:vAlign w:val="center"/>
          </w:tcPr>
          <w:p>
            <w:pPr>
              <w:keepNext/>
              <w:spacing w:line="400" w:lineRule="exact"/>
              <w:rPr>
                <w:color w:val="auto"/>
              </w:rPr>
            </w:pPr>
            <w:r>
              <w:rPr>
                <w:rFonts w:hint="eastAsia"/>
                <w:color w:val="auto"/>
              </w:rPr>
              <w:t>符合</w:t>
            </w:r>
            <w:r>
              <w:rPr>
                <w:rFonts w:hint="eastAsia"/>
                <w:color w:val="auto"/>
                <w:lang w:eastAsia="zh-CN"/>
              </w:rPr>
              <w:t>磋商</w:t>
            </w:r>
            <w:r>
              <w:rPr>
                <w:rFonts w:hint="eastAsia"/>
                <w:color w:val="auto"/>
              </w:rPr>
              <w:t>文件规定的签字盖章要求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Pr>
          <w:p>
            <w:pPr>
              <w:spacing w:line="400" w:lineRule="exact"/>
              <w:rPr>
                <w:color w:val="auto"/>
              </w:rPr>
            </w:pPr>
          </w:p>
        </w:tc>
        <w:tc>
          <w:tcPr>
            <w:tcW w:w="1393" w:type="dxa"/>
            <w:vMerge w:val="continue"/>
          </w:tcPr>
          <w:p>
            <w:pPr>
              <w:spacing w:line="400" w:lineRule="exact"/>
              <w:rPr>
                <w:color w:val="auto"/>
              </w:rPr>
            </w:pPr>
          </w:p>
        </w:tc>
        <w:tc>
          <w:tcPr>
            <w:tcW w:w="1850" w:type="dxa"/>
            <w:vAlign w:val="center"/>
          </w:tcPr>
          <w:p>
            <w:pPr>
              <w:keepNext/>
              <w:spacing w:line="400" w:lineRule="exact"/>
              <w:jc w:val="center"/>
              <w:rPr>
                <w:color w:val="auto"/>
              </w:rPr>
            </w:pPr>
            <w:r>
              <w:rPr>
                <w:rFonts w:hint="eastAsia"/>
                <w:color w:val="auto"/>
              </w:rPr>
              <w:t>响应</w:t>
            </w:r>
            <w:r>
              <w:rPr>
                <w:color w:val="auto"/>
              </w:rPr>
              <w:t>文件格式</w:t>
            </w:r>
          </w:p>
        </w:tc>
        <w:tc>
          <w:tcPr>
            <w:tcW w:w="4168" w:type="dxa"/>
            <w:vAlign w:val="center"/>
          </w:tcPr>
          <w:p>
            <w:pPr>
              <w:keepNext/>
              <w:spacing w:line="400" w:lineRule="exact"/>
              <w:rPr>
                <w:color w:val="auto"/>
              </w:rPr>
            </w:pPr>
            <w:r>
              <w:rPr>
                <w:color w:val="auto"/>
              </w:rPr>
              <w:t>符合</w:t>
            </w:r>
            <w:r>
              <w:rPr>
                <w:rFonts w:hint="eastAsia"/>
                <w:color w:val="auto"/>
                <w:lang w:eastAsia="zh-CN"/>
              </w:rPr>
              <w:t>磋商</w:t>
            </w:r>
            <w:r>
              <w:rPr>
                <w:rFonts w:hint="eastAsia"/>
                <w:color w:val="auto"/>
              </w:rPr>
              <w:t>文件中</w:t>
            </w:r>
            <w:r>
              <w:rPr>
                <w:color w:val="auto"/>
              </w:rPr>
              <w:t>“</w:t>
            </w:r>
            <w:r>
              <w:rPr>
                <w:rFonts w:hint="eastAsia"/>
                <w:color w:val="auto"/>
                <w:lang w:eastAsia="zh-CN"/>
              </w:rPr>
              <w:t>竞争性磋商响应文件</w:t>
            </w:r>
            <w:r>
              <w:rPr>
                <w:color w:val="auto"/>
              </w:rPr>
              <w:t>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Pr>
          <w:p>
            <w:pPr>
              <w:spacing w:line="400" w:lineRule="exact"/>
              <w:rPr>
                <w:color w:val="auto"/>
              </w:rPr>
            </w:pPr>
          </w:p>
        </w:tc>
        <w:tc>
          <w:tcPr>
            <w:tcW w:w="1393" w:type="dxa"/>
            <w:vMerge w:val="continue"/>
          </w:tcPr>
          <w:p>
            <w:pPr>
              <w:spacing w:line="400" w:lineRule="exact"/>
              <w:rPr>
                <w:color w:val="auto"/>
              </w:rPr>
            </w:pPr>
          </w:p>
        </w:tc>
        <w:tc>
          <w:tcPr>
            <w:tcW w:w="1850" w:type="dxa"/>
            <w:vAlign w:val="center"/>
          </w:tcPr>
          <w:p>
            <w:pPr>
              <w:keepNext/>
              <w:spacing w:line="400" w:lineRule="exact"/>
              <w:jc w:val="center"/>
              <w:rPr>
                <w:color w:val="auto"/>
              </w:rPr>
            </w:pPr>
            <w:r>
              <w:rPr>
                <w:color w:val="auto"/>
              </w:rPr>
              <w:t>报价唯一</w:t>
            </w:r>
          </w:p>
        </w:tc>
        <w:tc>
          <w:tcPr>
            <w:tcW w:w="4168" w:type="dxa"/>
            <w:vAlign w:val="center"/>
          </w:tcPr>
          <w:p>
            <w:pPr>
              <w:keepNext/>
              <w:spacing w:line="400" w:lineRule="exact"/>
              <w:rPr>
                <w:color w:val="auto"/>
              </w:rPr>
            </w:pPr>
            <w:r>
              <w:rPr>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11" w:type="dxa"/>
            <w:vMerge w:val="restart"/>
            <w:vAlign w:val="center"/>
          </w:tcPr>
          <w:p>
            <w:pPr>
              <w:spacing w:line="400" w:lineRule="exact"/>
              <w:jc w:val="center"/>
              <w:rPr>
                <w:color w:val="auto"/>
              </w:rPr>
            </w:pPr>
            <w:r>
              <w:rPr>
                <w:rFonts w:hint="eastAsia"/>
                <w:color w:val="auto"/>
              </w:rPr>
              <w:t>2.1.3</w:t>
            </w:r>
          </w:p>
        </w:tc>
        <w:tc>
          <w:tcPr>
            <w:tcW w:w="1393" w:type="dxa"/>
            <w:vMerge w:val="restart"/>
            <w:vAlign w:val="center"/>
          </w:tcPr>
          <w:p>
            <w:pPr>
              <w:spacing w:line="400" w:lineRule="exact"/>
              <w:jc w:val="center"/>
              <w:rPr>
                <w:color w:val="auto"/>
              </w:rPr>
            </w:pPr>
            <w:r>
              <w:rPr>
                <w:rFonts w:hint="eastAsia"/>
                <w:color w:val="auto"/>
              </w:rPr>
              <w:t>响应性</w:t>
            </w:r>
          </w:p>
          <w:p>
            <w:pPr>
              <w:spacing w:line="400" w:lineRule="exact"/>
              <w:jc w:val="center"/>
              <w:rPr>
                <w:color w:val="auto"/>
              </w:rPr>
            </w:pPr>
            <w:r>
              <w:rPr>
                <w:rFonts w:hint="eastAsia"/>
                <w:color w:val="auto"/>
              </w:rPr>
              <w:t>评审标准</w:t>
            </w:r>
          </w:p>
        </w:tc>
        <w:tc>
          <w:tcPr>
            <w:tcW w:w="1850" w:type="dxa"/>
            <w:vAlign w:val="center"/>
          </w:tcPr>
          <w:p>
            <w:pPr>
              <w:keepNext/>
              <w:spacing w:line="400" w:lineRule="exact"/>
              <w:jc w:val="center"/>
              <w:rPr>
                <w:rFonts w:hint="eastAsia" w:eastAsia="宋体"/>
                <w:color w:val="auto"/>
                <w:lang w:eastAsia="zh-CN"/>
              </w:rPr>
            </w:pPr>
            <w:r>
              <w:rPr>
                <w:rFonts w:hint="eastAsia"/>
                <w:color w:val="auto"/>
              </w:rPr>
              <w:t>投标</w:t>
            </w:r>
            <w:r>
              <w:rPr>
                <w:rFonts w:hint="eastAsia"/>
                <w:color w:val="auto"/>
                <w:lang w:eastAsia="zh-CN"/>
              </w:rPr>
              <w:t>内容</w:t>
            </w:r>
          </w:p>
        </w:tc>
        <w:tc>
          <w:tcPr>
            <w:tcW w:w="4168" w:type="dxa"/>
            <w:vAlign w:val="center"/>
          </w:tcPr>
          <w:p>
            <w:pPr>
              <w:keepNext/>
              <w:spacing w:line="400" w:lineRule="exact"/>
              <w:rPr>
                <w:color w:val="auto"/>
              </w:rPr>
            </w:pPr>
            <w:r>
              <w:rPr>
                <w:rFonts w:hint="eastAsia"/>
                <w:color w:val="auto"/>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11" w:type="dxa"/>
            <w:vMerge w:val="continue"/>
          </w:tcPr>
          <w:p>
            <w:pPr>
              <w:spacing w:line="400" w:lineRule="exact"/>
              <w:rPr>
                <w:color w:val="auto"/>
              </w:rPr>
            </w:pPr>
          </w:p>
        </w:tc>
        <w:tc>
          <w:tcPr>
            <w:tcW w:w="1393" w:type="dxa"/>
            <w:vMerge w:val="continue"/>
          </w:tcPr>
          <w:p>
            <w:pPr>
              <w:spacing w:line="400" w:lineRule="exact"/>
              <w:rPr>
                <w:color w:val="auto"/>
              </w:rPr>
            </w:pPr>
          </w:p>
        </w:tc>
        <w:tc>
          <w:tcPr>
            <w:tcW w:w="1850" w:type="dxa"/>
            <w:vAlign w:val="center"/>
          </w:tcPr>
          <w:p>
            <w:pPr>
              <w:keepNext/>
              <w:spacing w:line="400" w:lineRule="exact"/>
              <w:jc w:val="center"/>
              <w:rPr>
                <w:color w:val="auto"/>
              </w:rPr>
            </w:pPr>
            <w:r>
              <w:rPr>
                <w:rFonts w:hint="eastAsia"/>
                <w:color w:val="auto"/>
              </w:rPr>
              <w:t>服务期限</w:t>
            </w:r>
          </w:p>
        </w:tc>
        <w:tc>
          <w:tcPr>
            <w:tcW w:w="4168" w:type="dxa"/>
            <w:vAlign w:val="center"/>
          </w:tcPr>
          <w:p>
            <w:pPr>
              <w:keepNext/>
              <w:spacing w:line="400" w:lineRule="exact"/>
              <w:rPr>
                <w:color w:val="auto"/>
              </w:rPr>
            </w:pPr>
            <w:r>
              <w:rPr>
                <w:rFonts w:hint="eastAsia"/>
                <w:color w:val="auto"/>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Pr>
          <w:p>
            <w:pPr>
              <w:spacing w:line="400" w:lineRule="exact"/>
              <w:rPr>
                <w:color w:val="auto"/>
              </w:rPr>
            </w:pPr>
          </w:p>
        </w:tc>
        <w:tc>
          <w:tcPr>
            <w:tcW w:w="1393" w:type="dxa"/>
            <w:vMerge w:val="continue"/>
          </w:tcPr>
          <w:p>
            <w:pPr>
              <w:spacing w:line="400" w:lineRule="exact"/>
              <w:rPr>
                <w:color w:val="auto"/>
              </w:rPr>
            </w:pPr>
          </w:p>
        </w:tc>
        <w:tc>
          <w:tcPr>
            <w:tcW w:w="1850" w:type="dxa"/>
            <w:vAlign w:val="center"/>
          </w:tcPr>
          <w:p>
            <w:pPr>
              <w:keepNext/>
              <w:spacing w:line="400" w:lineRule="exact"/>
              <w:jc w:val="center"/>
              <w:rPr>
                <w:color w:val="auto"/>
              </w:rPr>
            </w:pPr>
            <w:r>
              <w:rPr>
                <w:rFonts w:hint="eastAsia"/>
                <w:color w:val="auto"/>
              </w:rPr>
              <w:t>服务质量</w:t>
            </w:r>
          </w:p>
        </w:tc>
        <w:tc>
          <w:tcPr>
            <w:tcW w:w="4168" w:type="dxa"/>
            <w:vAlign w:val="center"/>
          </w:tcPr>
          <w:p>
            <w:pPr>
              <w:keepNext/>
              <w:spacing w:line="400" w:lineRule="exact"/>
              <w:rPr>
                <w:color w:val="auto"/>
              </w:rPr>
            </w:pPr>
            <w:r>
              <w:rPr>
                <w:rFonts w:hint="eastAsia"/>
                <w:color w:val="auto"/>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Pr>
          <w:p>
            <w:pPr>
              <w:spacing w:line="400" w:lineRule="exact"/>
              <w:rPr>
                <w:color w:val="auto"/>
              </w:rPr>
            </w:pPr>
          </w:p>
        </w:tc>
        <w:tc>
          <w:tcPr>
            <w:tcW w:w="1393" w:type="dxa"/>
            <w:vMerge w:val="continue"/>
          </w:tcPr>
          <w:p>
            <w:pPr>
              <w:spacing w:line="400" w:lineRule="exact"/>
              <w:rPr>
                <w:color w:val="auto"/>
              </w:rPr>
            </w:pPr>
          </w:p>
        </w:tc>
        <w:tc>
          <w:tcPr>
            <w:tcW w:w="1850" w:type="dxa"/>
            <w:vAlign w:val="center"/>
          </w:tcPr>
          <w:p>
            <w:pPr>
              <w:keepNext/>
              <w:spacing w:line="400" w:lineRule="exact"/>
              <w:jc w:val="center"/>
              <w:rPr>
                <w:color w:val="auto"/>
              </w:rPr>
            </w:pPr>
            <w:r>
              <w:rPr>
                <w:rFonts w:hint="eastAsia"/>
                <w:color w:val="auto"/>
              </w:rPr>
              <w:t>磋商有效期</w:t>
            </w:r>
          </w:p>
        </w:tc>
        <w:tc>
          <w:tcPr>
            <w:tcW w:w="4168" w:type="dxa"/>
            <w:vAlign w:val="center"/>
          </w:tcPr>
          <w:p>
            <w:pPr>
              <w:keepNext/>
              <w:spacing w:line="400" w:lineRule="exact"/>
              <w:rPr>
                <w:color w:val="auto"/>
              </w:rPr>
            </w:pPr>
            <w:r>
              <w:rPr>
                <w:rFonts w:hint="eastAsia"/>
                <w:color w:val="auto"/>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Pr>
          <w:p>
            <w:pPr>
              <w:spacing w:line="400" w:lineRule="exact"/>
              <w:rPr>
                <w:color w:val="auto"/>
              </w:rPr>
            </w:pPr>
          </w:p>
        </w:tc>
        <w:tc>
          <w:tcPr>
            <w:tcW w:w="1393" w:type="dxa"/>
            <w:vMerge w:val="continue"/>
          </w:tcPr>
          <w:p>
            <w:pPr>
              <w:spacing w:line="400" w:lineRule="exact"/>
              <w:rPr>
                <w:color w:val="auto"/>
              </w:rPr>
            </w:pPr>
          </w:p>
        </w:tc>
        <w:tc>
          <w:tcPr>
            <w:tcW w:w="1850" w:type="dxa"/>
            <w:vAlign w:val="center"/>
          </w:tcPr>
          <w:p>
            <w:pPr>
              <w:keepNext/>
              <w:spacing w:line="400" w:lineRule="exact"/>
              <w:jc w:val="center"/>
              <w:rPr>
                <w:color w:val="auto"/>
              </w:rPr>
            </w:pPr>
            <w:r>
              <w:rPr>
                <w:rFonts w:hint="eastAsia"/>
                <w:color w:val="auto"/>
              </w:rPr>
              <w:t>投标报价</w:t>
            </w:r>
          </w:p>
        </w:tc>
        <w:tc>
          <w:tcPr>
            <w:tcW w:w="4168" w:type="dxa"/>
            <w:vAlign w:val="center"/>
          </w:tcPr>
          <w:p>
            <w:pPr>
              <w:keepNext/>
              <w:spacing w:line="400" w:lineRule="exact"/>
              <w:rPr>
                <w:color w:val="auto"/>
              </w:rPr>
            </w:pPr>
            <w:r>
              <w:rPr>
                <w:rFonts w:hint="eastAsia"/>
                <w:color w:val="auto"/>
              </w:rPr>
              <w:t>投标报价不超过最高投标限价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pPr>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条款号</w:t>
            </w:r>
          </w:p>
        </w:tc>
        <w:tc>
          <w:tcPr>
            <w:tcW w:w="1393" w:type="dxa"/>
            <w:vAlign w:val="center"/>
          </w:tcPr>
          <w:p>
            <w:pPr>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条款内容</w:t>
            </w:r>
          </w:p>
        </w:tc>
        <w:tc>
          <w:tcPr>
            <w:tcW w:w="6018" w:type="dxa"/>
            <w:gridSpan w:val="2"/>
            <w:vAlign w:val="center"/>
          </w:tcPr>
          <w:p>
            <w:pPr>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pPr>
              <w:jc w:val="center"/>
              <w:rPr>
                <w:rFonts w:asciiTheme="minorEastAsia" w:hAnsiTheme="minorEastAsia" w:eastAsiaTheme="minorEastAsia"/>
                <w:color w:val="auto"/>
              </w:rPr>
            </w:pPr>
            <w:r>
              <w:rPr>
                <w:rFonts w:hint="eastAsia" w:asciiTheme="minorEastAsia" w:hAnsiTheme="minorEastAsia" w:eastAsiaTheme="minorEastAsia"/>
                <w:color w:val="auto"/>
              </w:rPr>
              <w:t>2.2.1</w:t>
            </w:r>
          </w:p>
        </w:tc>
        <w:tc>
          <w:tcPr>
            <w:tcW w:w="1393" w:type="dxa"/>
            <w:vAlign w:val="center"/>
          </w:tcPr>
          <w:p>
            <w:pPr>
              <w:jc w:val="center"/>
              <w:rPr>
                <w:rFonts w:asciiTheme="minorEastAsia" w:hAnsiTheme="minorEastAsia" w:eastAsiaTheme="minorEastAsia"/>
                <w:color w:val="auto"/>
              </w:rPr>
            </w:pPr>
            <w:r>
              <w:rPr>
                <w:rFonts w:hint="eastAsia" w:asciiTheme="minorEastAsia" w:hAnsiTheme="minorEastAsia" w:eastAsiaTheme="minorEastAsia"/>
                <w:color w:val="auto"/>
              </w:rPr>
              <w:t>分值构成</w:t>
            </w:r>
          </w:p>
          <w:p>
            <w:pPr>
              <w:jc w:val="center"/>
              <w:rPr>
                <w:rFonts w:asciiTheme="minorEastAsia" w:hAnsiTheme="minorEastAsia" w:eastAsiaTheme="minorEastAsia"/>
                <w:color w:val="auto"/>
              </w:rPr>
            </w:pPr>
            <w:r>
              <w:rPr>
                <w:rFonts w:hint="eastAsia" w:asciiTheme="minorEastAsia" w:hAnsiTheme="minorEastAsia" w:eastAsiaTheme="minorEastAsia"/>
                <w:color w:val="auto"/>
              </w:rPr>
              <w:t>(总分100分)</w:t>
            </w:r>
          </w:p>
        </w:tc>
        <w:tc>
          <w:tcPr>
            <w:tcW w:w="6018" w:type="dxa"/>
            <w:gridSpan w:val="2"/>
            <w:vAlign w:val="center"/>
          </w:tcPr>
          <w:p>
            <w:pPr>
              <w:rPr>
                <w:rFonts w:asciiTheme="minorEastAsia" w:hAnsiTheme="minorEastAsia" w:eastAsiaTheme="minorEastAsia"/>
                <w:color w:val="auto"/>
              </w:rPr>
            </w:pPr>
            <w:r>
              <w:rPr>
                <w:rFonts w:hint="eastAsia" w:asciiTheme="minorEastAsia" w:hAnsiTheme="minorEastAsia" w:eastAsiaTheme="minorEastAsia"/>
                <w:color w:val="auto"/>
              </w:rPr>
              <w:t>（1）投标报价：20分</w:t>
            </w:r>
          </w:p>
          <w:p>
            <w:pPr>
              <w:rPr>
                <w:rFonts w:asciiTheme="minorEastAsia" w:hAnsiTheme="minorEastAsia" w:eastAsiaTheme="minorEastAsia"/>
                <w:color w:val="auto"/>
              </w:rPr>
            </w:pPr>
            <w:r>
              <w:rPr>
                <w:rFonts w:hint="eastAsia" w:asciiTheme="minorEastAsia" w:hAnsiTheme="minorEastAsia" w:eastAsiaTheme="minorEastAsia"/>
                <w:color w:val="auto"/>
              </w:rPr>
              <w:t>（2）技术部分：</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0分</w:t>
            </w:r>
          </w:p>
          <w:p>
            <w:pPr>
              <w:rPr>
                <w:rFonts w:asciiTheme="minorEastAsia" w:hAnsiTheme="minorEastAsia" w:eastAsiaTheme="minorEastAsia"/>
                <w:color w:val="auto"/>
              </w:rPr>
            </w:pPr>
            <w:r>
              <w:rPr>
                <w:rFonts w:hint="eastAsia" w:asciiTheme="minorEastAsia" w:hAnsiTheme="minorEastAsia" w:eastAsiaTheme="minorEastAsia"/>
                <w:color w:val="auto"/>
              </w:rPr>
              <w:t>（3）商务部分：</w:t>
            </w:r>
            <w:r>
              <w:rPr>
                <w:rFonts w:hint="eastAsia" w:asciiTheme="minorEastAsia" w:hAnsiTheme="minorEastAsia" w:eastAsiaTheme="minorEastAsia"/>
                <w:color w:val="auto"/>
                <w:lang w:val="en-US" w:eastAsia="zh-CN"/>
              </w:rPr>
              <w:t>3</w:t>
            </w:r>
            <w:r>
              <w:rPr>
                <w:rFonts w:hint="eastAsia" w:asciiTheme="minorEastAsia" w:hAnsiTheme="minorEastAsia" w:eastAsiaTheme="minorEastAsia"/>
                <w:color w:val="auto"/>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11" w:type="dxa"/>
            <w:vAlign w:val="center"/>
          </w:tcPr>
          <w:p>
            <w:pPr>
              <w:jc w:val="center"/>
              <w:rPr>
                <w:rFonts w:asciiTheme="minorEastAsia" w:hAnsiTheme="minorEastAsia" w:eastAsiaTheme="minorEastAsia"/>
                <w:color w:val="auto"/>
              </w:rPr>
            </w:pPr>
            <w:r>
              <w:rPr>
                <w:rFonts w:hint="eastAsia" w:cs="Times New Roman" w:asciiTheme="minorEastAsia" w:hAnsiTheme="minorEastAsia" w:eastAsiaTheme="minorEastAsia"/>
                <w:color w:val="auto"/>
              </w:rPr>
              <w:t xml:space="preserve">2.2.2 </w:t>
            </w:r>
          </w:p>
        </w:tc>
        <w:tc>
          <w:tcPr>
            <w:tcW w:w="1393" w:type="dxa"/>
            <w:vAlign w:val="center"/>
          </w:tcPr>
          <w:p>
            <w:pPr>
              <w:jc w:val="center"/>
              <w:rPr>
                <w:rFonts w:asciiTheme="minorEastAsia" w:hAnsiTheme="minorEastAsia" w:eastAsiaTheme="minorEastAsia"/>
                <w:color w:val="auto"/>
              </w:rPr>
            </w:pPr>
            <w:r>
              <w:rPr>
                <w:rFonts w:hint="eastAsia" w:hAnsi="宋体" w:cs="仿宋_GB2312"/>
                <w:color w:val="auto"/>
                <w:sz w:val="21"/>
                <w:szCs w:val="21"/>
              </w:rPr>
              <w:t>评标基准价计算方法</w:t>
            </w:r>
          </w:p>
        </w:tc>
        <w:tc>
          <w:tcPr>
            <w:tcW w:w="6018" w:type="dxa"/>
            <w:gridSpan w:val="2"/>
            <w:vAlign w:val="center"/>
          </w:tcPr>
          <w:p>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ascii="宋体" w:hAnsi="宋体"/>
                <w:color w:val="auto"/>
                <w:szCs w:val="28"/>
              </w:rPr>
            </w:pPr>
            <w:r>
              <w:rPr>
                <w:rFonts w:hint="eastAsia" w:ascii="宋体" w:hAnsi="宋体"/>
                <w:color w:val="auto"/>
                <w:szCs w:val="28"/>
              </w:rPr>
              <w:t>开标后以磋商控制价为参考值，供应商的投标总报价超过磋商控制价的，其投标将被拒绝。如果所有投标总报价均超过磋商控制价，则采购人有权重新组织招标。</w:t>
            </w:r>
          </w:p>
          <w:p>
            <w:pPr>
              <w:rPr>
                <w:rFonts w:asciiTheme="minorEastAsia" w:hAnsiTheme="minorEastAsia" w:eastAsiaTheme="minorEastAsia"/>
                <w:color w:val="auto"/>
              </w:rPr>
            </w:pPr>
            <w:r>
              <w:rPr>
                <w:rFonts w:hint="eastAsia" w:ascii="宋体" w:hAnsi="宋体"/>
                <w:color w:val="auto"/>
                <w:szCs w:val="28"/>
              </w:rPr>
              <w:t>报价分采用低价优先法计算，即满足磋商文件要求且报价最低的为评标基准价。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asciiTheme="minorEastAsia" w:hAnsiTheme="minorEastAsia" w:eastAsiaTheme="minorEastAsia"/>
                <w:color w:val="auto"/>
                <w:lang w:val="en-US" w:eastAsia="zh-CN"/>
              </w:rPr>
              <w:t>3</w:t>
            </w:r>
            <w:r>
              <w:rPr>
                <w:rFonts w:hint="eastAsia" w:asciiTheme="minorEastAsia" w:hAnsiTheme="minorEastAsia" w:eastAsiaTheme="minorEastAsia"/>
                <w:color w:val="auto"/>
              </w:rPr>
              <w:t>(1)</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heme="minorEastAsia" w:hAnsiTheme="minorEastAsia" w:eastAsiaTheme="minorEastAsia"/>
                <w:color w:val="auto"/>
              </w:rPr>
            </w:pPr>
            <w:r>
              <w:rPr>
                <w:rFonts w:hint="eastAsia" w:asciiTheme="minorEastAsia" w:hAnsiTheme="minorEastAsia" w:eastAsiaTheme="minorEastAsia"/>
                <w:color w:val="auto"/>
              </w:rPr>
              <w:t>投标报价</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Theme="minorEastAsia" w:hAnsiTheme="minorEastAsia" w:eastAsiaTheme="minorEastAsia"/>
                <w:color w:val="auto"/>
              </w:rPr>
            </w:pPr>
            <w:r>
              <w:rPr>
                <w:rFonts w:hint="eastAsia" w:asciiTheme="minorEastAsia" w:hAnsiTheme="minorEastAsia" w:eastAsiaTheme="minorEastAsia"/>
                <w:color w:val="auto"/>
              </w:rPr>
              <w:t>（20分）</w:t>
            </w:r>
          </w:p>
        </w:tc>
        <w:tc>
          <w:tcPr>
            <w:tcW w:w="6018"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报价得分=（评审基准价/磋商报价）×20，计算结果按四舍五入，保留两位小数。</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注：（1）评标委员会或者竞争性磋商小组认为供应商报价明显低于其他合格供应商的报价，有可能影响产品或服务质量或者不能诚信履约的，应当要求其在评审现场合理时间内提供书面说明，必要时提供相关证明材料；供应商不能证明其报价合理性的，评标委员会或竞争性磋商小组应当将其作为无效投标或者无效响应处理。</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Theme="minorEastAsia" w:hAnsiTheme="minorEastAsia" w:eastAsiaTheme="minorEastAsia" w:cstheme="minorEastAsia"/>
                <w:color w:val="auto"/>
                <w:szCs w:val="21"/>
                <w:lang w:val="en-US" w:eastAsia="zh-CN"/>
              </w:rPr>
              <w:t>（2）为了促进中小企业发展，根据财库[2020]46号、财库[2022]19号的规定，给予小型和微型企业价格20%的扣除，用扣除后的价格参与评审，小型或微型企业评标报价=投标报价*（1-20%）。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11"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rPr>
            </w:pPr>
            <w:r>
              <w:rPr>
                <w:rFonts w:hint="eastAsia"/>
                <w:color w:val="auto"/>
              </w:rPr>
              <w:t>2.2.</w:t>
            </w:r>
            <w:r>
              <w:rPr>
                <w:rFonts w:hint="eastAsia"/>
                <w:color w:val="auto"/>
                <w:lang w:val="en-US" w:eastAsia="zh-CN"/>
              </w:rPr>
              <w:t>3</w:t>
            </w:r>
            <w:r>
              <w:rPr>
                <w:rFonts w:hint="eastAsia"/>
                <w:color w:val="auto"/>
              </w:rPr>
              <w:t>(2)</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rPr>
            </w:pPr>
            <w:r>
              <w:rPr>
                <w:rFonts w:hint="eastAsia"/>
                <w:color w:val="auto"/>
              </w:rPr>
              <w:t>技术部分</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rPr>
            </w:pPr>
            <w:r>
              <w:rPr>
                <w:rFonts w:hint="eastAsia"/>
                <w:color w:val="auto"/>
              </w:rPr>
              <w:t>（</w:t>
            </w:r>
            <w:r>
              <w:rPr>
                <w:rFonts w:hint="eastAsia"/>
                <w:color w:val="auto"/>
                <w:lang w:val="en-US" w:eastAsia="zh-CN"/>
              </w:rPr>
              <w:t>50</w:t>
            </w:r>
            <w:r>
              <w:rPr>
                <w:rFonts w:hint="eastAsia"/>
                <w:color w:val="auto"/>
              </w:rPr>
              <w:t>分）</w:t>
            </w:r>
          </w:p>
        </w:tc>
        <w:tc>
          <w:tcPr>
            <w:tcW w:w="18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lang w:eastAsia="zh-CN"/>
              </w:rPr>
            </w:pPr>
            <w:r>
              <w:rPr>
                <w:rFonts w:hint="eastAsia" w:ascii="宋体" w:hAnsi="宋体" w:cs="宋体"/>
                <w:color w:val="auto"/>
              </w:rPr>
              <w:t>1、</w:t>
            </w:r>
            <w:r>
              <w:rPr>
                <w:rFonts w:hint="eastAsia" w:ascii="宋体" w:hAnsi="宋体" w:cs="宋体"/>
                <w:color w:val="auto"/>
                <w:lang w:eastAsia="zh-CN"/>
              </w:rPr>
              <w:t>保险方案（</w:t>
            </w:r>
            <w:r>
              <w:rPr>
                <w:rFonts w:hint="eastAsia" w:ascii="宋体" w:hAnsi="宋体" w:cs="宋体"/>
                <w:color w:val="auto"/>
                <w:lang w:val="en-US" w:eastAsia="zh-CN"/>
              </w:rPr>
              <w:t>10分</w:t>
            </w:r>
            <w:r>
              <w:rPr>
                <w:rFonts w:hint="eastAsia" w:ascii="宋体" w:hAnsi="宋体" w:cs="宋体"/>
                <w:color w:val="auto"/>
                <w:lang w:eastAsia="zh-CN"/>
              </w:rPr>
              <w:t>）</w:t>
            </w:r>
          </w:p>
        </w:tc>
        <w:tc>
          <w:tcPr>
            <w:tcW w:w="4168"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险方案全面、合理、切实可行的得</w:t>
            </w:r>
            <w:r>
              <w:rPr>
                <w:rFonts w:hint="eastAsia" w:asciiTheme="minorEastAsia" w:hAnsiTheme="minorEastAsia" w:eastAsiaTheme="minorEastAsia" w:cstheme="minorEastAsia"/>
                <w:color w:val="auto"/>
                <w:szCs w:val="21"/>
                <w:lang w:val="en-US" w:eastAsia="zh-CN"/>
              </w:rPr>
              <w:t>10</w:t>
            </w:r>
            <w:r>
              <w:rPr>
                <w:rFonts w:hint="eastAsia" w:asciiTheme="minorEastAsia" w:hAnsiTheme="minorEastAsia" w:eastAsiaTheme="minorEastAsia" w:cstheme="minorEastAsia"/>
                <w:color w:val="auto"/>
                <w:szCs w:val="21"/>
              </w:rPr>
              <w:t>分；保险方案比较全面、比较合理、比较可行的得</w:t>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分；保险方案基本全面、基本合理、基本可行的得</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分；有保险方案但保险方案不够全面、不够合理、不够可行的得1分；缺项的不得分。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rPr>
            </w:pP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rPr>
            </w:pPr>
          </w:p>
        </w:tc>
        <w:tc>
          <w:tcPr>
            <w:tcW w:w="18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ascii="宋体" w:hAnsi="宋体" w:cs="宋体"/>
                <w:color w:val="auto"/>
              </w:rPr>
            </w:pPr>
            <w:r>
              <w:rPr>
                <w:rFonts w:ascii="宋体" w:hAnsi="宋体" w:eastAsia="宋体" w:cs="宋体"/>
                <w:color w:val="auto"/>
                <w:kern w:val="2"/>
                <w:sz w:val="21"/>
                <w:szCs w:val="22"/>
                <w:lang w:val="en-US" w:eastAsia="zh-CN" w:bidi="ar-SA"/>
              </w:rPr>
              <w:t>2、</w:t>
            </w:r>
            <w:r>
              <w:rPr>
                <w:rFonts w:hint="eastAsia" w:ascii="宋体" w:hAnsi="宋体" w:eastAsia="宋体" w:cs="宋体"/>
                <w:color w:val="auto"/>
                <w:lang w:val="en-US" w:eastAsia="zh-CN"/>
              </w:rPr>
              <w:t>服务方案（20分）</w:t>
            </w:r>
          </w:p>
        </w:tc>
        <w:tc>
          <w:tcPr>
            <w:tcW w:w="4168"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供应商需提供整体服务方案，服务方案包括承保服务方案和理赔服务方案。</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1）有承保服务方案且承保服务方案时效性强、准确性高、完善程度好、非常有利于本项目实施的，得10分；有承保服务方案且承保服务方案时效性较强、准确性较高、完善程度较好、比较有利于本项目实施的，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得6分；有承保服务方案且承保服务方案有基本时效性、准确性、基本完善、基本符合本项目实施的，得3分；有承保服务方案但承保服务方案缺乏时效性、准确性、不完善、与本项目实施关联不大的，得1分；缺项的不得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2）有理赔服务方案且理赔服务方案时效性强、准确性高、完善程度好、非常有利于本项目实施的，得 10 分；有理赔服务方案且理赔服务方案时效性较强、准确性较高、完善程度较好、比较有利于本项目实施的，得 6 分；有理赔服务方案且理赔服务方案有基本时效性、准确性、基本完善、基本符合本项目实施的，得3分；有理赔服务方案但理赔服务方案缺乏时效性、准确性、不完善、与本项目实施关联不大的，得 1分；缺项的不得分。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rPr>
            </w:pP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rPr>
            </w:pPr>
          </w:p>
        </w:tc>
        <w:tc>
          <w:tcPr>
            <w:tcW w:w="18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2"/>
                <w:lang w:val="en-US" w:eastAsia="zh-CN" w:bidi="ar-SA"/>
              </w:rPr>
              <w:t>3、</w:t>
            </w:r>
            <w:r>
              <w:rPr>
                <w:rFonts w:hint="eastAsia" w:ascii="宋体" w:hAnsi="宋体" w:eastAsia="宋体" w:cs="宋体"/>
                <w:color w:val="auto"/>
                <w:lang w:val="en-US" w:eastAsia="zh-CN"/>
              </w:rPr>
              <w:t>组织机构及人员配备方案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center"/>
              <w:textAlignment w:val="auto"/>
              <w:rPr>
                <w:rFonts w:hint="eastAsia" w:ascii="宋体" w:hAnsi="宋体" w:eastAsia="宋体" w:cs="宋体"/>
                <w:color w:val="auto"/>
              </w:rPr>
            </w:pPr>
            <w:r>
              <w:rPr>
                <w:rFonts w:hint="eastAsia" w:ascii="宋体" w:hAnsi="宋体" w:eastAsia="宋体" w:cs="宋体"/>
                <w:color w:val="auto"/>
                <w:lang w:val="en-US" w:eastAsia="zh-CN"/>
              </w:rPr>
              <w:t>（5分）</w:t>
            </w:r>
          </w:p>
        </w:tc>
        <w:tc>
          <w:tcPr>
            <w:tcW w:w="4168"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拟派本项目项目部组成人员中，组织机构及人员配备方案配置充分，分工明确，方案合理、切合实际的得5分；方案较合理、较切合实际的得3分；方案不够合理、不够切合实际的得1分；缺项的不得分。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rPr>
            </w:pP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rPr>
            </w:pPr>
          </w:p>
        </w:tc>
        <w:tc>
          <w:tcPr>
            <w:tcW w:w="18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en-US" w:eastAsia="zh-CN"/>
              </w:rPr>
              <w:t>财务管理</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rPr>
            </w:pPr>
            <w:r>
              <w:rPr>
                <w:rFonts w:hint="eastAsia" w:ascii="宋体" w:hAnsi="宋体" w:eastAsia="宋体" w:cs="宋体"/>
                <w:color w:val="auto"/>
                <w:lang w:val="en-US" w:eastAsia="zh-CN"/>
              </w:rPr>
              <w:t>制度(5分)</w:t>
            </w:r>
          </w:p>
        </w:tc>
        <w:tc>
          <w:tcPr>
            <w:tcW w:w="4168"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保险财务管理制度好，实行独立、封闭运行的得5分；保险财务管理制度较好，较为独立、较为封闭运行的得3分；保险财务管理制度较差，不能实行独立、封闭运行的得1分；缺项的不得分。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rPr>
            </w:pP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rPr>
            </w:pPr>
          </w:p>
        </w:tc>
        <w:tc>
          <w:tcPr>
            <w:tcW w:w="18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lang w:val="en-US" w:eastAsia="zh-CN"/>
              </w:rPr>
            </w:pPr>
            <w:r>
              <w:rPr>
                <w:rFonts w:hint="eastAsia" w:ascii="宋体" w:hAnsi="宋体" w:eastAsia="宋体" w:cs="宋体"/>
                <w:color w:val="auto"/>
              </w:rPr>
              <w:t>5、</w:t>
            </w:r>
            <w:r>
              <w:rPr>
                <w:rFonts w:hint="eastAsia" w:ascii="宋体" w:hAnsi="宋体" w:eastAsia="宋体" w:cs="宋体"/>
                <w:color w:val="auto"/>
                <w:lang w:val="en-US" w:eastAsia="zh-CN"/>
              </w:rPr>
              <w:t>服务承诺</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cs="宋体"/>
                <w:color w:val="auto"/>
                <w:lang w:val="en-US" w:eastAsia="zh-CN"/>
              </w:rPr>
              <w:t>0</w:t>
            </w:r>
            <w:r>
              <w:rPr>
                <w:rFonts w:hint="eastAsia" w:ascii="宋体" w:hAnsi="宋体" w:eastAsia="宋体" w:cs="宋体"/>
                <w:color w:val="auto"/>
                <w:lang w:val="en-US" w:eastAsia="zh-CN"/>
              </w:rPr>
              <w:t>分）</w:t>
            </w:r>
          </w:p>
        </w:tc>
        <w:tc>
          <w:tcPr>
            <w:tcW w:w="4168"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优惠服务承诺：供应商根据本项目特点以及自己公司情况，提出的优惠服务承诺切实可行、可操作性高、非常合理的得10分；提出的优惠服务承诺可行、有操作、合理的得6分；提出的优惠服务承诺较为可行、有一定操作、较为合理的得3分；提出的有优惠服务承诺但优惠服务承诺可行性操作性合理程度不高的得1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rPr>
            </w:pPr>
            <w:r>
              <w:rPr>
                <w:rFonts w:hint="eastAsia"/>
                <w:color w:val="auto"/>
              </w:rPr>
              <w:t>2.2.</w:t>
            </w:r>
            <w:r>
              <w:rPr>
                <w:rFonts w:hint="eastAsia"/>
                <w:color w:val="auto"/>
                <w:lang w:val="en-US" w:eastAsia="zh-CN"/>
              </w:rPr>
              <w:t>3</w:t>
            </w:r>
            <w:r>
              <w:rPr>
                <w:rFonts w:hint="eastAsia"/>
                <w:color w:val="auto"/>
              </w:rPr>
              <w:t>(3)</w:t>
            </w:r>
          </w:p>
        </w:tc>
        <w:tc>
          <w:tcPr>
            <w:tcW w:w="1393"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rPr>
            </w:pPr>
            <w:r>
              <w:rPr>
                <w:rFonts w:hint="eastAsia"/>
                <w:color w:val="auto"/>
              </w:rPr>
              <w:t>商务部分</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auto"/>
              </w:rPr>
            </w:pPr>
            <w:r>
              <w:rPr>
                <w:rFonts w:hint="eastAsia"/>
                <w:color w:val="auto"/>
              </w:rPr>
              <w:t>（</w:t>
            </w:r>
            <w:r>
              <w:rPr>
                <w:rFonts w:hint="eastAsia"/>
                <w:color w:val="auto"/>
                <w:lang w:val="en-US" w:eastAsia="zh-CN"/>
              </w:rPr>
              <w:t>3</w:t>
            </w:r>
            <w:r>
              <w:rPr>
                <w:rFonts w:hint="eastAsia"/>
                <w:color w:val="auto"/>
              </w:rPr>
              <w:t>0分）</w:t>
            </w:r>
          </w:p>
        </w:tc>
        <w:tc>
          <w:tcPr>
            <w:tcW w:w="18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rPr>
            </w:pPr>
            <w:r>
              <w:rPr>
                <w:rFonts w:hint="eastAsia" w:ascii="宋体" w:hAnsi="宋体" w:eastAsia="宋体" w:cs="宋体"/>
                <w:color w:val="auto"/>
                <w:lang w:val="en-US" w:eastAsia="zh-CN"/>
              </w:rPr>
              <w:t>售后服务</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rPr>
            </w:pPr>
            <w:r>
              <w:rPr>
                <w:rFonts w:hint="eastAsia" w:ascii="宋体" w:hAnsi="宋体" w:eastAsia="宋体" w:cs="宋体"/>
                <w:color w:val="auto"/>
                <w:lang w:val="en-US" w:eastAsia="zh-CN"/>
              </w:rPr>
              <w:t>(5分）</w:t>
            </w:r>
          </w:p>
        </w:tc>
        <w:tc>
          <w:tcPr>
            <w:tcW w:w="4168"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rPr>
            </w:pPr>
            <w:r>
              <w:rPr>
                <w:rFonts w:hint="eastAsia" w:ascii="宋体" w:hAnsi="宋体" w:eastAsia="宋体" w:cs="宋体"/>
                <w:color w:val="auto"/>
                <w:lang w:val="en-US" w:eastAsia="zh-CN"/>
              </w:rPr>
              <w:t>供应商应根据项目特点和需求制定售后服务方案，方案包括但不限于服务内容、服务形式、响应时间、突发事件处理等等，评标委员会根据售后服务方案。符合要求得5分；未提供售后服务方案者或提供不全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111"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rPr>
            </w:pP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rPr>
            </w:pPr>
          </w:p>
        </w:tc>
        <w:tc>
          <w:tcPr>
            <w:tcW w:w="1850"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s="宋体"/>
                <w:color w:val="auto"/>
                <w:lang w:val="en-US" w:eastAsia="zh-CN"/>
              </w:rPr>
            </w:pPr>
            <w:r>
              <w:rPr>
                <w:rFonts w:hint="eastAsia" w:ascii="宋体" w:hAnsi="宋体" w:cs="宋体"/>
                <w:color w:val="auto"/>
                <w:lang w:val="en-US" w:eastAsia="zh-CN"/>
              </w:rPr>
              <w:t>履约能力</w:t>
            </w:r>
          </w:p>
          <w:p>
            <w:pPr>
              <w:pStyle w:val="2"/>
              <w:ind w:left="0" w:leftChars="0" w:firstLine="0" w:firstLineChars="0"/>
              <w:jc w:val="center"/>
              <w:rPr>
                <w:rFonts w:hint="default"/>
                <w:color w:val="auto"/>
                <w:lang w:val="en-US" w:eastAsia="zh-CN"/>
              </w:rPr>
            </w:pPr>
            <w:r>
              <w:rPr>
                <w:rFonts w:hint="eastAsia" w:ascii="宋体" w:hAnsi="宋体" w:cs="宋体"/>
                <w:color w:val="auto"/>
                <w:lang w:val="en-US" w:eastAsia="zh-CN"/>
              </w:rPr>
              <w:t>（10分）</w:t>
            </w:r>
          </w:p>
        </w:tc>
        <w:tc>
          <w:tcPr>
            <w:tcW w:w="4168" w:type="dxa"/>
            <w:vAlign w:val="center"/>
          </w:tcPr>
          <w:p>
            <w:pPr>
              <w:spacing w:line="300" w:lineRule="exact"/>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以供应商总公司2022年度综合偿付能力充足率为评分标准：</w:t>
            </w:r>
          </w:p>
          <w:p>
            <w:pPr>
              <w:spacing w:line="300" w:lineRule="exact"/>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供应商年度综合偿付能力达到220%（含）以上的得5分，综合偿付能力在220%以下者不得分。</w:t>
            </w:r>
          </w:p>
          <w:p>
            <w:pPr>
              <w:spacing w:line="300" w:lineRule="exact"/>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注：不重复计分，以能得到的最高标准计算得分。综合偿付能力充足率以供应商提供的年度审计报告为准。（没有不得分）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11"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rPr>
            </w:pPr>
          </w:p>
        </w:tc>
        <w:tc>
          <w:tcPr>
            <w:tcW w:w="1393"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rPr>
            </w:pPr>
          </w:p>
        </w:tc>
        <w:tc>
          <w:tcPr>
            <w:tcW w:w="1850" w:type="dxa"/>
            <w:vMerge w:val="continue"/>
            <w:vAlign w:val="center"/>
          </w:tcPr>
          <w:p>
            <w:pPr>
              <w:pStyle w:val="2"/>
              <w:ind w:left="0" w:leftChars="0" w:firstLine="0" w:firstLineChars="0"/>
              <w:jc w:val="center"/>
              <w:rPr>
                <w:rFonts w:hint="eastAsia" w:ascii="宋体" w:hAnsi="宋体" w:cs="宋体"/>
                <w:color w:val="auto"/>
                <w:lang w:val="en-US" w:eastAsia="zh-CN"/>
              </w:rPr>
            </w:pPr>
          </w:p>
        </w:tc>
        <w:tc>
          <w:tcPr>
            <w:tcW w:w="4168" w:type="dxa"/>
            <w:vAlign w:val="center"/>
          </w:tcPr>
          <w:p>
            <w:pPr>
              <w:spacing w:line="300" w:lineRule="exact"/>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供应商</w:t>
            </w:r>
            <w:r>
              <w:rPr>
                <w:rFonts w:hint="eastAsia" w:ascii="宋体" w:hAnsi="宋体" w:cs="宋体"/>
                <w:color w:val="auto"/>
                <w:lang w:val="en-US" w:eastAsia="zh-CN"/>
              </w:rPr>
              <w:t>应具有信用等级证书，AAA级得5分，AA级得3分，A级得1分，A级以下不得分。需提供相关证书复印件。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p>
        </w:tc>
        <w:tc>
          <w:tcPr>
            <w:tcW w:w="1393"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p>
        </w:tc>
        <w:tc>
          <w:tcPr>
            <w:tcW w:w="18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rPr>
            </w:pPr>
            <w:r>
              <w:rPr>
                <w:rFonts w:hint="eastAsia" w:ascii="宋体" w:hAnsi="宋体" w:eastAsia="宋体" w:cs="宋体"/>
                <w:color w:val="auto"/>
                <w:lang w:val="en-US" w:eastAsia="zh-CN"/>
              </w:rPr>
              <w:t>类似业绩</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rPr>
            </w:pPr>
            <w:r>
              <w:rPr>
                <w:rFonts w:hint="eastAsia" w:ascii="宋体" w:hAnsi="宋体" w:eastAsia="宋体" w:cs="宋体"/>
                <w:color w:val="auto"/>
                <w:lang w:val="en-US" w:eastAsia="zh-CN"/>
              </w:rPr>
              <w:t>（10分）</w:t>
            </w:r>
          </w:p>
        </w:tc>
        <w:tc>
          <w:tcPr>
            <w:tcW w:w="4168"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供应商提供202</w:t>
            </w:r>
            <w:r>
              <w:rPr>
                <w:rFonts w:hint="eastAsia" w:ascii="宋体" w:hAnsi="宋体" w:cs="宋体"/>
                <w:color w:val="auto"/>
                <w:lang w:val="en-US" w:eastAsia="zh-CN"/>
              </w:rPr>
              <w:t>1</w:t>
            </w:r>
            <w:r>
              <w:rPr>
                <w:rFonts w:hint="eastAsia" w:ascii="宋体" w:hAnsi="宋体" w:eastAsia="宋体" w:cs="宋体"/>
                <w:color w:val="auto"/>
                <w:lang w:val="en-US" w:eastAsia="zh-CN"/>
              </w:rPr>
              <w:t>年1月份以来承担过类似项目业绩的，每提供一份业绩得5分，最高得10分。</w:t>
            </w:r>
            <w:r>
              <w:rPr>
                <w:rFonts w:hint="eastAsia" w:ascii="宋体" w:hAnsi="宋体" w:cs="宋体"/>
                <w:color w:val="auto"/>
                <w:kern w:val="0"/>
                <w:szCs w:val="21"/>
              </w:rPr>
              <w:t>（投标文件内附合同</w:t>
            </w:r>
            <w:r>
              <w:rPr>
                <w:rFonts w:hint="eastAsia" w:ascii="宋体" w:hAnsi="宋体" w:cs="宋体"/>
                <w:color w:val="auto"/>
                <w:kern w:val="0"/>
                <w:szCs w:val="21"/>
                <w:lang w:val="en-US" w:eastAsia="zh-CN"/>
              </w:rPr>
              <w:t>或者证明材料</w:t>
            </w:r>
            <w:r>
              <w:rPr>
                <w:rFonts w:hint="eastAsia" w:ascii="宋体" w:hAnsi="宋体" w:cs="宋体"/>
                <w:color w:val="auto"/>
                <w:kern w:val="0"/>
                <w:szCs w:val="21"/>
              </w:rPr>
              <w:t>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111"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p>
        </w:tc>
        <w:tc>
          <w:tcPr>
            <w:tcW w:w="1393"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p>
        </w:tc>
        <w:tc>
          <w:tcPr>
            <w:tcW w:w="18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rPr>
            </w:pPr>
            <w:r>
              <w:rPr>
                <w:rFonts w:hint="eastAsia" w:ascii="宋体" w:hAnsi="宋体" w:eastAsia="宋体" w:cs="宋体"/>
                <w:color w:val="auto"/>
                <w:lang w:val="en-US" w:eastAsia="zh-CN"/>
              </w:rPr>
              <w:t>风险综合</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rPr>
            </w:pPr>
            <w:r>
              <w:rPr>
                <w:rFonts w:hint="eastAsia" w:ascii="宋体" w:hAnsi="宋体" w:eastAsia="宋体" w:cs="宋体"/>
                <w:color w:val="auto"/>
                <w:lang w:val="en-US" w:eastAsia="zh-CN"/>
              </w:rPr>
              <w:t>评级(5分)</w:t>
            </w:r>
          </w:p>
        </w:tc>
        <w:tc>
          <w:tcPr>
            <w:tcW w:w="4168"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投标人2021年季度末监管部门发布的风险综合评级，A级5分，B级3分，C级1分，C级以下不得分。（响应文件中须提供监督管理部门监控信息系统截图证明。）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p>
        </w:tc>
        <w:tc>
          <w:tcPr>
            <w:tcW w:w="1393"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p>
        </w:tc>
        <w:tc>
          <w:tcPr>
            <w:tcW w:w="6018" w:type="dxa"/>
            <w:gridSpan w:val="2"/>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olor w:val="auto"/>
                <w:spacing w:val="-1"/>
              </w:rPr>
              <w:t>注</w:t>
            </w:r>
            <w:r>
              <w:rPr>
                <w:rFonts w:hint="eastAsia" w:ascii="宋体" w:hAnsi="宋体"/>
                <w:color w:val="auto"/>
                <w:spacing w:val="2"/>
              </w:rPr>
              <w:t>：</w:t>
            </w:r>
            <w:r>
              <w:rPr>
                <w:rFonts w:hint="eastAsia" w:ascii="宋体" w:hAnsi="宋体"/>
                <w:color w:val="auto"/>
                <w:spacing w:val="-1"/>
              </w:rPr>
              <w:t>以</w:t>
            </w:r>
            <w:r>
              <w:rPr>
                <w:rFonts w:hint="eastAsia" w:ascii="宋体" w:hAnsi="宋体"/>
                <w:color w:val="auto"/>
                <w:spacing w:val="2"/>
              </w:rPr>
              <w:t>上</w:t>
            </w:r>
            <w:r>
              <w:rPr>
                <w:rFonts w:hint="eastAsia" w:ascii="宋体" w:hAnsi="宋体"/>
                <w:color w:val="auto"/>
                <w:spacing w:val="-1"/>
              </w:rPr>
              <w:t>内</w:t>
            </w:r>
            <w:r>
              <w:rPr>
                <w:rFonts w:hint="eastAsia" w:ascii="宋体" w:hAnsi="宋体"/>
                <w:color w:val="auto"/>
                <w:spacing w:val="2"/>
              </w:rPr>
              <w:t>容</w:t>
            </w:r>
            <w:r>
              <w:rPr>
                <w:rFonts w:hint="eastAsia" w:ascii="宋体" w:hAnsi="宋体"/>
                <w:color w:val="auto"/>
                <w:spacing w:val="-1"/>
              </w:rPr>
              <w:t>缺</w:t>
            </w:r>
            <w:r>
              <w:rPr>
                <w:rFonts w:hint="eastAsia" w:ascii="宋体" w:hAnsi="宋体"/>
                <w:color w:val="auto"/>
                <w:spacing w:val="2"/>
              </w:rPr>
              <w:t>项</w:t>
            </w:r>
            <w:r>
              <w:rPr>
                <w:rFonts w:hint="eastAsia" w:ascii="宋体" w:hAnsi="宋体"/>
                <w:color w:val="auto"/>
                <w:spacing w:val="-1"/>
              </w:rPr>
              <w:t>不</w:t>
            </w:r>
            <w:r>
              <w:rPr>
                <w:rFonts w:hint="eastAsia" w:ascii="宋体" w:hAnsi="宋体"/>
                <w:color w:val="auto"/>
                <w:spacing w:val="2"/>
              </w:rPr>
              <w:t>得</w:t>
            </w:r>
            <w:r>
              <w:rPr>
                <w:rFonts w:hint="eastAsia" w:ascii="宋体" w:hAnsi="宋体"/>
                <w:color w:val="auto"/>
                <w:spacing w:val="-1"/>
              </w:rPr>
              <w:t>分</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Pr>
          <w:p>
            <w:pPr>
              <w:spacing w:line="360" w:lineRule="auto"/>
              <w:jc w:val="left"/>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综合得分＝投标报价得分＋</w:t>
            </w:r>
            <w:r>
              <w:rPr>
                <w:rFonts w:hint="eastAsia" w:ascii="宋体" w:hAnsi="宋体" w:cs="宋体"/>
                <w:color w:val="auto"/>
                <w:szCs w:val="21"/>
                <w:lang w:eastAsia="zh-CN"/>
              </w:rPr>
              <w:t>技术部分</w:t>
            </w:r>
            <w:r>
              <w:rPr>
                <w:rFonts w:hint="eastAsia" w:ascii="宋体" w:hAnsi="宋体" w:cs="宋体"/>
                <w:color w:val="auto"/>
                <w:szCs w:val="21"/>
              </w:rPr>
              <w:t>得分＋</w:t>
            </w:r>
            <w:r>
              <w:rPr>
                <w:rFonts w:hint="eastAsia" w:ascii="宋体" w:hAnsi="宋体" w:cs="宋体"/>
                <w:color w:val="auto"/>
                <w:szCs w:val="21"/>
                <w:lang w:eastAsia="zh-CN"/>
              </w:rPr>
              <w:t>商务部分</w:t>
            </w:r>
            <w:r>
              <w:rPr>
                <w:rFonts w:hint="eastAsia" w:ascii="宋体" w:hAnsi="宋体" w:cs="宋体"/>
                <w:color w:val="auto"/>
                <w:szCs w:val="21"/>
              </w:rPr>
              <w:t>得分；</w:t>
            </w:r>
          </w:p>
          <w:p>
            <w:pPr>
              <w:spacing w:line="360" w:lineRule="auto"/>
              <w:jc w:val="left"/>
              <w:rPr>
                <w:rFonts w:hint="eastAsia" w:ascii="宋体" w:hAnsi="宋体" w:cs="宋体"/>
                <w:color w:val="auto"/>
                <w:szCs w:val="21"/>
              </w:rPr>
            </w:pPr>
            <w:r>
              <w:rPr>
                <w:rFonts w:hint="eastAsia" w:ascii="宋体" w:hAnsi="宋体" w:cs="宋体"/>
                <w:color w:val="auto"/>
                <w:szCs w:val="21"/>
                <w:lang w:val="en-US" w:eastAsia="zh-CN"/>
              </w:rPr>
              <w:t xml:space="preserve">供应商的最终得分： </w:t>
            </w:r>
          </w:p>
          <w:p>
            <w:pPr>
              <w:spacing w:line="360" w:lineRule="auto"/>
              <w:jc w:val="left"/>
              <w:rPr>
                <w:rFonts w:hint="eastAsia" w:ascii="宋体" w:hAnsi="宋体" w:cs="宋体"/>
                <w:color w:val="auto"/>
                <w:szCs w:val="21"/>
              </w:rPr>
            </w:pPr>
            <w:r>
              <w:rPr>
                <w:rFonts w:hint="eastAsia" w:ascii="宋体" w:hAnsi="宋体" w:cs="宋体"/>
                <w:color w:val="auto"/>
                <w:szCs w:val="21"/>
                <w:lang w:val="en-US" w:eastAsia="zh-CN"/>
              </w:rPr>
              <w:t xml:space="preserve">1．评标委员会完成对项目技术部分得分、投标报价得分、商务部分得分的汇总后，评委打分的算术平均值，作为该供应商的最终得分。 </w:t>
            </w:r>
          </w:p>
          <w:p>
            <w:pPr>
              <w:spacing w:line="360" w:lineRule="auto"/>
              <w:jc w:val="left"/>
              <w:rPr>
                <w:rFonts w:ascii="宋体" w:hAnsi="宋体"/>
                <w:color w:val="auto"/>
                <w:spacing w:val="-1"/>
              </w:rPr>
            </w:pPr>
            <w:r>
              <w:rPr>
                <w:rFonts w:hint="eastAsia" w:ascii="宋体" w:hAnsi="宋体" w:cs="宋体"/>
                <w:color w:val="auto"/>
                <w:szCs w:val="21"/>
                <w:lang w:val="en-US" w:eastAsia="zh-CN"/>
              </w:rPr>
              <w:t>2．本办法计算过程中分值按四舍五入保留两位小数，结果按四舍五入保留两位小数。</w:t>
            </w:r>
          </w:p>
        </w:tc>
      </w:tr>
      <w:bookmarkEnd w:id="908"/>
    </w:tbl>
    <w:p>
      <w:pPr>
        <w:pStyle w:val="43"/>
        <w:rPr>
          <w:rFonts w:asciiTheme="minorEastAsia" w:hAnsiTheme="minorEastAsia" w:eastAsiaTheme="minorEastAsia" w:cstheme="minorEastAsia"/>
          <w:color w:val="auto"/>
        </w:rPr>
      </w:pPr>
      <w:bookmarkStart w:id="909" w:name="_Toc29540"/>
      <w:bookmarkStart w:id="910" w:name="_Toc2549"/>
      <w:bookmarkStart w:id="911" w:name="_Toc25647"/>
      <w:bookmarkStart w:id="912" w:name="_Toc2630"/>
      <w:bookmarkStart w:id="913" w:name="_Toc27447"/>
      <w:bookmarkStart w:id="914" w:name="_Toc29873"/>
      <w:bookmarkStart w:id="915" w:name="_Toc318450722"/>
      <w:bookmarkStart w:id="916" w:name="_Toc152042377"/>
      <w:bookmarkStart w:id="917" w:name="_Toc281405528"/>
      <w:bookmarkStart w:id="918" w:name="_Toc10434"/>
      <w:bookmarkStart w:id="919" w:name="_Toc152045600"/>
      <w:bookmarkStart w:id="920" w:name="_Toc144974567"/>
      <w:bookmarkStart w:id="921" w:name="_Toc9783"/>
      <w:bookmarkStart w:id="922" w:name="_Toc14425"/>
      <w:bookmarkStart w:id="923" w:name="_Toc356423312"/>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评标方法</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bidi="en-US"/>
        </w:rPr>
        <w:t>本次评标采用综合评分法。磋商小组对满足磋商文件实质性要求的响应文件</w:t>
      </w:r>
      <w:r>
        <w:rPr>
          <w:rFonts w:hint="eastAsia" w:asciiTheme="minorEastAsia" w:hAnsiTheme="minorEastAsia" w:eastAsiaTheme="minorEastAsia" w:cstheme="minorEastAsia"/>
          <w:color w:val="auto"/>
          <w:sz w:val="24"/>
        </w:rPr>
        <w:t>，按照本章第2.2款规定的评分标准进行打分，并按得分由高到低顺序推荐成交候选人，</w:t>
      </w:r>
      <w:r>
        <w:rPr>
          <w:rFonts w:hint="eastAsia" w:asciiTheme="minorEastAsia" w:hAnsiTheme="minorEastAsia" w:eastAsiaTheme="minorEastAsia" w:cstheme="minorEastAsia"/>
          <w:color w:val="auto"/>
          <w:kern w:val="0"/>
          <w:sz w:val="24"/>
        </w:rPr>
        <w:t>综合评分相等时，以报价得分高的优先；报价得分也相等的，由采购人自行确定。</w:t>
      </w:r>
    </w:p>
    <w:p>
      <w:pPr>
        <w:pStyle w:val="43"/>
        <w:rPr>
          <w:rFonts w:asciiTheme="minorEastAsia" w:hAnsiTheme="minorEastAsia" w:eastAsiaTheme="minorEastAsia" w:cstheme="minorEastAsia"/>
          <w:color w:val="auto"/>
          <w:sz w:val="24"/>
          <w:szCs w:val="24"/>
        </w:rPr>
      </w:pPr>
      <w:bookmarkStart w:id="924" w:name="_Toc14170"/>
      <w:bookmarkStart w:id="925" w:name="_Toc31865"/>
      <w:bookmarkStart w:id="926" w:name="_Toc24936"/>
      <w:bookmarkStart w:id="927" w:name="_Toc318450723"/>
      <w:bookmarkStart w:id="928" w:name="_Toc19294"/>
      <w:bookmarkStart w:id="929" w:name="_Toc31282"/>
      <w:bookmarkStart w:id="930" w:name="_Toc2108"/>
      <w:bookmarkStart w:id="931" w:name="_Toc16596"/>
      <w:bookmarkStart w:id="932" w:name="_Toc29453"/>
      <w:bookmarkStart w:id="933" w:name="_Toc152042378"/>
      <w:bookmarkStart w:id="934" w:name="_Toc27401"/>
      <w:bookmarkStart w:id="935" w:name="_Toc152045601"/>
      <w:bookmarkStart w:id="936" w:name="_Toc281405529"/>
      <w:bookmarkStart w:id="937" w:name="_Toc10192"/>
      <w:bookmarkStart w:id="938" w:name="_Toc144974568"/>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评审标准</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pPr>
        <w:pStyle w:val="44"/>
        <w:rPr>
          <w:rFonts w:asciiTheme="minorEastAsia" w:hAnsiTheme="minorEastAsia" w:eastAsiaTheme="minorEastAsia" w:cstheme="minorEastAsia"/>
          <w:color w:val="auto"/>
          <w:szCs w:val="24"/>
        </w:rPr>
      </w:pPr>
      <w:bookmarkStart w:id="939" w:name="_Toc152045602"/>
      <w:bookmarkStart w:id="940" w:name="_Toc17015"/>
      <w:bookmarkStart w:id="941" w:name="_Toc16312"/>
      <w:bookmarkStart w:id="942" w:name="_Toc32411"/>
      <w:bookmarkStart w:id="943" w:name="_Toc15571"/>
      <w:bookmarkStart w:id="944" w:name="_Toc31037"/>
      <w:bookmarkStart w:id="945" w:name="_Toc28970"/>
      <w:bookmarkStart w:id="946" w:name="_Toc3958"/>
      <w:bookmarkStart w:id="947" w:name="_Toc9382"/>
      <w:bookmarkStart w:id="948" w:name="_Toc8770"/>
      <w:bookmarkStart w:id="949" w:name="_Toc144974569"/>
      <w:bookmarkStart w:id="950" w:name="_Toc25637"/>
      <w:bookmarkStart w:id="951" w:name="_Toc15813"/>
      <w:bookmarkStart w:id="952" w:name="_Toc10829"/>
      <w:bookmarkStart w:id="953" w:name="_Toc11410"/>
      <w:bookmarkStart w:id="954" w:name="_Toc10332"/>
      <w:bookmarkStart w:id="955" w:name="_Toc152042379"/>
      <w:bookmarkStart w:id="956" w:name="_Toc19934"/>
      <w:bookmarkStart w:id="957" w:name="_Toc21999"/>
      <w:bookmarkStart w:id="958" w:name="_Toc21120"/>
      <w:bookmarkStart w:id="959" w:name="_Toc26189"/>
      <w:bookmarkStart w:id="960" w:name="_Toc281405530"/>
      <w:bookmarkStart w:id="961" w:name="_Toc318450724"/>
      <w:r>
        <w:rPr>
          <w:rFonts w:hint="eastAsia" w:asciiTheme="minorEastAsia" w:hAnsiTheme="minorEastAsia" w:eastAsiaTheme="minorEastAsia" w:cstheme="minorEastAsia"/>
          <w:color w:val="auto"/>
          <w:szCs w:val="24"/>
        </w:rPr>
        <w:t>2.1</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初步评审标准</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资格性检查评审标准：见评标办法前附表。</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2.1.2</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形式、符合性检查评审标准：见评标办法前附表。</w:t>
      </w:r>
    </w:p>
    <w:p>
      <w:pPr>
        <w:pStyle w:val="44"/>
        <w:rPr>
          <w:rFonts w:asciiTheme="minorEastAsia" w:hAnsiTheme="minorEastAsia" w:eastAsiaTheme="minorEastAsia" w:cstheme="minorEastAsia"/>
          <w:color w:val="auto"/>
          <w:szCs w:val="24"/>
        </w:rPr>
      </w:pPr>
      <w:bookmarkStart w:id="962" w:name="_Toc31055"/>
      <w:bookmarkStart w:id="963" w:name="_Toc30189"/>
      <w:bookmarkStart w:id="964" w:name="_Toc17683"/>
      <w:bookmarkStart w:id="965" w:name="_Toc318450725"/>
      <w:bookmarkStart w:id="966" w:name="_Toc12013"/>
      <w:bookmarkStart w:id="967" w:name="_Toc11061"/>
      <w:bookmarkStart w:id="968" w:name="_Toc15270"/>
      <w:bookmarkStart w:id="969" w:name="_Toc14197"/>
      <w:bookmarkStart w:id="970" w:name="_Toc281405531"/>
      <w:bookmarkStart w:id="971" w:name="_Toc30547"/>
      <w:bookmarkStart w:id="972" w:name="_Toc152042380"/>
      <w:bookmarkStart w:id="973" w:name="_Toc25492"/>
      <w:bookmarkStart w:id="974" w:name="_Toc12909"/>
      <w:bookmarkStart w:id="975" w:name="_Toc3372"/>
      <w:bookmarkStart w:id="976" w:name="_Toc144974570"/>
      <w:bookmarkStart w:id="977" w:name="_Toc16887"/>
      <w:bookmarkStart w:id="978" w:name="_Toc152045603"/>
      <w:bookmarkStart w:id="979" w:name="_Toc22439"/>
      <w:bookmarkStart w:id="980" w:name="_Toc16032"/>
      <w:bookmarkStart w:id="981" w:name="_Toc2054"/>
      <w:bookmarkStart w:id="982" w:name="_Toc29997"/>
      <w:bookmarkStart w:id="983" w:name="_Toc26533"/>
      <w:bookmarkStart w:id="984" w:name="_Toc4837"/>
      <w:r>
        <w:rPr>
          <w:rFonts w:hint="eastAsia" w:asciiTheme="minorEastAsia" w:hAnsiTheme="minorEastAsia" w:eastAsiaTheme="minorEastAsia" w:cstheme="minorEastAsia"/>
          <w:color w:val="auto"/>
          <w:szCs w:val="24"/>
        </w:rPr>
        <w:t>2.2</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分值构成与评分标准</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2.2.1</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分值构成：见评标办法前附表；</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2.2.2</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评分标准</w:t>
      </w:r>
      <w:bookmarkStart w:id="985" w:name="_Toc17308"/>
      <w:bookmarkStart w:id="986" w:name="_Toc281405532"/>
      <w:bookmarkStart w:id="987" w:name="_Toc318450726"/>
      <w:r>
        <w:rPr>
          <w:rFonts w:hint="eastAsia" w:asciiTheme="minorEastAsia" w:hAnsiTheme="minorEastAsia" w:eastAsiaTheme="minorEastAsia" w:cstheme="minorEastAsia"/>
          <w:color w:val="auto"/>
          <w:sz w:val="24"/>
        </w:rPr>
        <w:t>：见评标办法前附表；</w:t>
      </w:r>
    </w:p>
    <w:p>
      <w:pPr>
        <w:pStyle w:val="43"/>
        <w:rPr>
          <w:rFonts w:asciiTheme="minorEastAsia" w:hAnsiTheme="minorEastAsia" w:eastAsiaTheme="minorEastAsia" w:cstheme="minorEastAsia"/>
          <w:color w:val="auto"/>
          <w:sz w:val="24"/>
          <w:szCs w:val="24"/>
        </w:rPr>
      </w:pPr>
      <w:bookmarkStart w:id="988" w:name="_Toc31416"/>
      <w:bookmarkStart w:id="989" w:name="_Toc16231"/>
      <w:bookmarkStart w:id="990" w:name="_Toc10214"/>
      <w:bookmarkStart w:id="991" w:name="_Toc25955"/>
      <w:bookmarkStart w:id="992" w:name="_Toc31546"/>
      <w:bookmarkStart w:id="993" w:name="_Toc22494"/>
      <w:bookmarkStart w:id="994" w:name="_Toc6946"/>
      <w:bookmarkStart w:id="995" w:name="_Toc25460"/>
      <w:bookmarkStart w:id="996" w:name="_Toc13561"/>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评审程序</w:t>
      </w:r>
      <w:bookmarkEnd w:id="985"/>
      <w:bookmarkEnd w:id="986"/>
      <w:bookmarkEnd w:id="987"/>
      <w:bookmarkEnd w:id="988"/>
      <w:bookmarkEnd w:id="989"/>
      <w:bookmarkEnd w:id="990"/>
      <w:bookmarkEnd w:id="991"/>
      <w:bookmarkEnd w:id="992"/>
      <w:bookmarkEnd w:id="993"/>
      <w:bookmarkEnd w:id="994"/>
      <w:bookmarkEnd w:id="995"/>
      <w:bookmarkEnd w:id="996"/>
    </w:p>
    <w:p>
      <w:pPr>
        <w:pStyle w:val="44"/>
        <w:rPr>
          <w:rFonts w:asciiTheme="minorEastAsia" w:hAnsiTheme="minorEastAsia" w:eastAsiaTheme="minorEastAsia" w:cstheme="minorEastAsia"/>
          <w:color w:val="auto"/>
          <w:szCs w:val="24"/>
        </w:rPr>
      </w:pPr>
      <w:bookmarkStart w:id="997" w:name="_Toc7272"/>
      <w:bookmarkStart w:id="998" w:name="_Toc21733"/>
      <w:bookmarkStart w:id="999" w:name="_Toc25313"/>
      <w:bookmarkStart w:id="1000" w:name="_Toc30986"/>
      <w:bookmarkStart w:id="1001" w:name="_Toc24490"/>
      <w:bookmarkStart w:id="1002" w:name="_Toc15415"/>
      <w:bookmarkStart w:id="1003" w:name="_Toc2969"/>
      <w:bookmarkStart w:id="1004" w:name="_Toc7138"/>
      <w:bookmarkStart w:id="1005" w:name="_Toc25139"/>
      <w:bookmarkStart w:id="1006" w:name="_Toc29431"/>
      <w:bookmarkStart w:id="1007" w:name="_Toc12551"/>
      <w:bookmarkStart w:id="1008" w:name="_Toc18886"/>
      <w:bookmarkStart w:id="1009" w:name="_Toc318450727"/>
      <w:bookmarkStart w:id="1010" w:name="_Toc281405533"/>
      <w:bookmarkStart w:id="1011" w:name="_Toc14633"/>
      <w:bookmarkStart w:id="1012" w:name="_Toc5427"/>
      <w:bookmarkStart w:id="1013" w:name="_Toc9497"/>
      <w:bookmarkStart w:id="1014" w:name="_Toc17460"/>
      <w:bookmarkStart w:id="1015" w:name="_Toc13534"/>
      <w:bookmarkStart w:id="1016" w:name="_Toc29163"/>
      <w:bookmarkStart w:id="1017" w:name="_Toc29614"/>
      <w:r>
        <w:rPr>
          <w:rFonts w:hint="eastAsia" w:asciiTheme="minorEastAsia" w:hAnsiTheme="minorEastAsia" w:eastAsiaTheme="minorEastAsia" w:cstheme="minorEastAsia"/>
          <w:color w:val="auto"/>
          <w:szCs w:val="24"/>
        </w:rPr>
        <w:t>3.1</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初步评审</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3.1.1</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磋商小组依据本章第2.1款规定的标准对响应文件进行初步评审。有一项不符合评审标准的，作废标处理。</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3.1.2</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供应商有以下情形之一的，其响应作废标处理：</w:t>
      </w:r>
    </w:p>
    <w:p>
      <w:pPr>
        <w:spacing w:line="400" w:lineRule="exact"/>
        <w:ind w:firstLine="820" w:firstLineChars="34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（1）串通响应或弄虚作假或有其他违法行为的；</w:t>
      </w:r>
    </w:p>
    <w:p>
      <w:pPr>
        <w:spacing w:line="400" w:lineRule="exact"/>
        <w:ind w:firstLine="820" w:firstLineChars="34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（2）不按磋商小组要求澄清、说明或补正的；</w:t>
      </w:r>
    </w:p>
    <w:p>
      <w:pPr>
        <w:spacing w:line="400" w:lineRule="exact"/>
        <w:ind w:firstLine="820" w:firstLineChars="34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（3）未按规定格式填写、内容不全或关键字迹模糊、无法辨认的；</w:t>
      </w:r>
    </w:p>
    <w:p>
      <w:pPr>
        <w:spacing w:line="400" w:lineRule="exact"/>
        <w:ind w:firstLine="820" w:firstLineChars="34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（4）响应文件附有采购人不能接受的条件；</w:t>
      </w:r>
    </w:p>
    <w:p>
      <w:pPr>
        <w:spacing w:line="400" w:lineRule="exact"/>
        <w:ind w:firstLine="820" w:firstLineChars="342"/>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（5）不符合磋商文件规定的其他实质性要求</w:t>
      </w:r>
      <w:r>
        <w:rPr>
          <w:rFonts w:hint="eastAsia" w:asciiTheme="minorEastAsia" w:hAnsiTheme="minorEastAsia" w:eastAsiaTheme="minorEastAsia" w:cstheme="minorEastAsia"/>
          <w:color w:val="auto"/>
          <w:sz w:val="24"/>
          <w:lang w:eastAsia="zh-CN"/>
        </w:rPr>
        <w:t>；</w:t>
      </w:r>
    </w:p>
    <w:p>
      <w:pPr>
        <w:spacing w:line="400" w:lineRule="exact"/>
        <w:ind w:firstLine="820" w:firstLineChars="342"/>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（6）不同供应商使用同一台计算机编制投标文件的（投标文件制作机器码一致）</w:t>
      </w:r>
      <w:r>
        <w:rPr>
          <w:rFonts w:hint="eastAsia" w:asciiTheme="minorEastAsia" w:hAnsiTheme="minorEastAsia" w:eastAsiaTheme="minorEastAsia" w:cstheme="minorEastAsia"/>
          <w:color w:val="auto"/>
          <w:sz w:val="24"/>
          <w:lang w:eastAsia="zh-CN"/>
        </w:rPr>
        <w:t>。</w:t>
      </w:r>
    </w:p>
    <w:p>
      <w:pPr>
        <w:pStyle w:val="44"/>
        <w:rPr>
          <w:rFonts w:asciiTheme="minorEastAsia" w:hAnsiTheme="minorEastAsia" w:eastAsiaTheme="minorEastAsia" w:cstheme="minorEastAsia"/>
          <w:color w:val="auto"/>
          <w:szCs w:val="24"/>
        </w:rPr>
      </w:pPr>
      <w:bookmarkStart w:id="1018" w:name="_Toc27296"/>
      <w:bookmarkStart w:id="1019" w:name="_Toc26909"/>
      <w:bookmarkStart w:id="1020" w:name="_Toc28021"/>
      <w:bookmarkStart w:id="1021" w:name="_Toc25174"/>
      <w:bookmarkStart w:id="1022" w:name="_Toc318450728"/>
      <w:bookmarkStart w:id="1023" w:name="_Toc26259"/>
      <w:bookmarkStart w:id="1024" w:name="_Toc21032"/>
      <w:bookmarkStart w:id="1025" w:name="_Toc10692"/>
      <w:bookmarkStart w:id="1026" w:name="_Toc21570"/>
      <w:bookmarkStart w:id="1027" w:name="_Toc21463"/>
      <w:bookmarkStart w:id="1028" w:name="_Toc75"/>
      <w:bookmarkStart w:id="1029" w:name="_Toc26049"/>
      <w:bookmarkStart w:id="1030" w:name="_Toc12082"/>
      <w:bookmarkStart w:id="1031" w:name="_Toc5622"/>
      <w:bookmarkStart w:id="1032" w:name="_Toc12151"/>
      <w:bookmarkStart w:id="1033" w:name="_Toc1603"/>
      <w:bookmarkStart w:id="1034" w:name="_Toc322"/>
      <w:bookmarkStart w:id="1035" w:name="_Toc281405534"/>
      <w:bookmarkStart w:id="1036" w:name="_Toc12406"/>
      <w:bookmarkStart w:id="1037" w:name="_Toc26150"/>
      <w:bookmarkStart w:id="1038" w:name="_Toc7121"/>
      <w:r>
        <w:rPr>
          <w:rFonts w:hint="eastAsia" w:asciiTheme="minorEastAsia" w:hAnsiTheme="minorEastAsia" w:eastAsiaTheme="minorEastAsia" w:cstheme="minorEastAsia"/>
          <w:color w:val="auto"/>
          <w:szCs w:val="24"/>
        </w:rPr>
        <w:t>3.2</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详细评审</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3.2.1</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磋商小组按本章第2.2款规定的量化因素和分值进行打分，并计算出综合评分得分。</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3.2.2</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评分分值计算保留小数点后两位，小数点后第三位“四舍五入”。</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3.2.3供应商的最终得分以全部小组成员打分的算术平均值为准，作为该供应商的最终得分。</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3.2.4在磋商过程中，凡遇到磋商文件中无界定或界定不清、前后不一致使磋商小组意见有分歧且又难以协商一致的问题，均由磋商小组予以表决，获半数以上同意的即为通过，未获半数同意的即为否决。</w:t>
      </w:r>
    </w:p>
    <w:p>
      <w:pPr>
        <w:pStyle w:val="44"/>
        <w:rPr>
          <w:rFonts w:asciiTheme="minorEastAsia" w:hAnsiTheme="minorEastAsia" w:eastAsiaTheme="minorEastAsia" w:cstheme="minorEastAsia"/>
          <w:color w:val="auto"/>
          <w:szCs w:val="24"/>
        </w:rPr>
      </w:pPr>
      <w:bookmarkStart w:id="1039" w:name="_Toc22023"/>
      <w:bookmarkStart w:id="1040" w:name="_Toc22448"/>
      <w:bookmarkStart w:id="1041" w:name="_Toc281405535"/>
      <w:bookmarkStart w:id="1042" w:name="_Toc10153"/>
      <w:bookmarkStart w:id="1043" w:name="_Toc2885"/>
      <w:bookmarkStart w:id="1044" w:name="_Toc318450729"/>
      <w:bookmarkStart w:id="1045" w:name="_Toc6380"/>
      <w:bookmarkStart w:id="1046" w:name="_Toc29679"/>
      <w:bookmarkStart w:id="1047" w:name="_Toc24862"/>
      <w:bookmarkStart w:id="1048" w:name="_Toc12060"/>
      <w:bookmarkStart w:id="1049" w:name="_Toc8813"/>
      <w:bookmarkStart w:id="1050" w:name="_Toc21623"/>
      <w:bookmarkStart w:id="1051" w:name="_Toc14361"/>
      <w:bookmarkStart w:id="1052" w:name="_Toc4640"/>
      <w:bookmarkStart w:id="1053" w:name="_Toc22429"/>
      <w:bookmarkStart w:id="1054" w:name="_Toc10518"/>
      <w:bookmarkStart w:id="1055" w:name="_Toc8342"/>
      <w:bookmarkStart w:id="1056" w:name="_Toc28655"/>
      <w:bookmarkStart w:id="1057" w:name="_Toc28633"/>
      <w:bookmarkStart w:id="1058" w:name="_Toc11958"/>
      <w:bookmarkStart w:id="1059" w:name="_Toc18234"/>
      <w:r>
        <w:rPr>
          <w:rFonts w:hint="eastAsia" w:asciiTheme="minorEastAsia" w:hAnsiTheme="minorEastAsia" w:eastAsiaTheme="minorEastAsia" w:cstheme="minorEastAsia"/>
          <w:color w:val="auto"/>
          <w:szCs w:val="24"/>
        </w:rPr>
        <w:t>3.3</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响应文件的澄清和补正</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3.3.1在磋商过程中，磋商小组可以书面形式要求供应商对所提交的响应文件中不明确的内容进行书面澄清或说明，或者对细微偏离进行补正。磋商小组不接受供应商主动提出的澄清、说明或补正。</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3.3.2</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澄清、说明和补正不得超出响应文件的范围或者改变响应文件的实质性内容（算术性错误修正的除外）。供应商的书面澄清、说明和补正属于响应文件的组成部分。</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3.3.3</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磋商小组对供应商提交的澄清、说明或补正有疑问的，可以要求供应商进一步澄清、说明或补正，直至满足磋商小组的要求。</w:t>
      </w:r>
    </w:p>
    <w:p>
      <w:pPr>
        <w:pStyle w:val="44"/>
        <w:rPr>
          <w:rFonts w:asciiTheme="minorEastAsia" w:hAnsiTheme="minorEastAsia" w:eastAsiaTheme="minorEastAsia" w:cstheme="minorEastAsia"/>
          <w:color w:val="auto"/>
          <w:szCs w:val="24"/>
        </w:rPr>
      </w:pPr>
      <w:bookmarkStart w:id="1060" w:name="_Toc1698"/>
      <w:bookmarkStart w:id="1061" w:name="_Toc12756"/>
      <w:bookmarkStart w:id="1062" w:name="_Toc9823"/>
      <w:bookmarkStart w:id="1063" w:name="_Toc5903"/>
      <w:bookmarkStart w:id="1064" w:name="_Toc27926"/>
      <w:bookmarkStart w:id="1065" w:name="_Toc28375"/>
      <w:bookmarkStart w:id="1066" w:name="_Toc1857"/>
      <w:bookmarkStart w:id="1067" w:name="_Toc25048"/>
      <w:bookmarkStart w:id="1068" w:name="_Toc281405536"/>
      <w:bookmarkStart w:id="1069" w:name="_Toc26894"/>
      <w:bookmarkStart w:id="1070" w:name="_Toc7115"/>
      <w:bookmarkStart w:id="1071" w:name="_Toc17974"/>
      <w:bookmarkStart w:id="1072" w:name="_Toc20891"/>
      <w:bookmarkStart w:id="1073" w:name="_Toc30323"/>
      <w:bookmarkStart w:id="1074" w:name="_Toc318450730"/>
      <w:bookmarkStart w:id="1075" w:name="_Toc10044"/>
      <w:bookmarkStart w:id="1076" w:name="_Toc32183"/>
      <w:bookmarkStart w:id="1077" w:name="_Toc28713"/>
      <w:bookmarkStart w:id="1078" w:name="_Toc5021"/>
      <w:bookmarkStart w:id="1079" w:name="_Toc19453"/>
      <w:r>
        <w:rPr>
          <w:rFonts w:hint="eastAsia" w:asciiTheme="minorEastAsia" w:hAnsiTheme="minorEastAsia" w:eastAsiaTheme="minorEastAsia" w:cstheme="minorEastAsia"/>
          <w:color w:val="auto"/>
          <w:szCs w:val="24"/>
        </w:rPr>
        <w:t>3.4</w:t>
      </w:r>
      <w:r>
        <w:rPr>
          <w:rFonts w:hint="eastAsia" w:asciiTheme="minorEastAsia" w:hAnsiTheme="minorEastAsia" w:eastAsiaTheme="minorEastAsia" w:cstheme="minorEastAsia"/>
          <w:color w:val="auto"/>
          <w:szCs w:val="24"/>
          <w:lang w:eastAsia="zh-CN"/>
        </w:rPr>
        <w:t xml:space="preserve"> </w:t>
      </w:r>
      <w:r>
        <w:rPr>
          <w:rFonts w:hint="eastAsia" w:asciiTheme="minorEastAsia" w:hAnsiTheme="minorEastAsia" w:eastAsiaTheme="minorEastAsia" w:cstheme="minorEastAsia"/>
          <w:color w:val="auto"/>
          <w:szCs w:val="24"/>
        </w:rPr>
        <w:t>评标结果</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3.4.1除第二章“供应商须知”前附表授权直接确定成交人外，磋商小组按照得分由高到低的顺序推荐成交候选人。</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3.4.2</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磋商小组完成评标后，应当向采购人提交书面评审报告。</w:t>
      </w:r>
    </w:p>
    <w:p>
      <w:pPr>
        <w:rPr>
          <w:rFonts w:ascii="宋体" w:hAnsi="宋体" w:cs="宋体"/>
          <w:color w:val="auto"/>
          <w:sz w:val="24"/>
        </w:rPr>
      </w:pPr>
      <w:r>
        <w:rPr>
          <w:rFonts w:hint="eastAsia" w:ascii="宋体" w:hAnsi="宋体" w:cs="宋体"/>
          <w:color w:val="auto"/>
          <w:sz w:val="24"/>
        </w:rPr>
        <w:br w:type="page"/>
      </w:r>
    </w:p>
    <w:p>
      <w:pPr>
        <w:pStyle w:val="7"/>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b/>
          <w:bCs w:val="0"/>
          <w:color w:val="auto"/>
        </w:rPr>
      </w:pPr>
      <w:bookmarkStart w:id="1080" w:name="_Toc651"/>
      <w:bookmarkStart w:id="1081" w:name="_Toc13547"/>
      <w:r>
        <w:rPr>
          <w:rFonts w:hint="eastAsia"/>
          <w:b/>
          <w:bCs w:val="0"/>
          <w:color w:val="auto"/>
        </w:rPr>
        <w:t>第四章</w:t>
      </w:r>
      <w:bookmarkEnd w:id="923"/>
      <w:r>
        <w:rPr>
          <w:rFonts w:hint="eastAsia"/>
          <w:b/>
          <w:bCs w:val="0"/>
          <w:color w:val="auto"/>
          <w:lang w:eastAsia="zh-CN"/>
        </w:rPr>
        <w:t xml:space="preserve">  </w:t>
      </w:r>
      <w:r>
        <w:rPr>
          <w:rFonts w:hint="eastAsia"/>
          <w:b/>
          <w:bCs w:val="0"/>
          <w:color w:val="auto"/>
        </w:rPr>
        <w:t>合同条款及格式</w:t>
      </w:r>
      <w:bookmarkEnd w:id="1080"/>
      <w:bookmarkEnd w:id="1081"/>
    </w:p>
    <w:p>
      <w:pPr>
        <w:keepNext w:val="0"/>
        <w:keepLines w:val="0"/>
        <w:widowControl/>
        <w:suppressLineNumbers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（此合同格式仅供参考，以实际签订合同为准）</w:t>
      </w:r>
    </w:p>
    <w:p>
      <w:pPr>
        <w:jc w:val="center"/>
        <w:rPr>
          <w:color w:val="auto"/>
          <w:sz w:val="24"/>
          <w:szCs w:val="28"/>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bookmarkStart w:id="1082" w:name="_Toc356423313"/>
      <w:r>
        <w:rPr>
          <w:rFonts w:hint="eastAsia" w:ascii="宋体" w:hAnsi="宋体" w:eastAsia="宋体" w:cs="宋体"/>
          <w:color w:val="auto"/>
          <w:kern w:val="0"/>
          <w:sz w:val="24"/>
          <w:szCs w:val="24"/>
          <w:lang w:val="en-US" w:eastAsia="zh-CN" w:bidi="ar"/>
        </w:rPr>
        <w:t xml:space="preserve">甲方：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乙方：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经甲、乙双方充分协商，联合实施</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（项目名称），为明确各方权利、义务，防范风险，达成以下合作协议：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第一条 合作事项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第二条 保险范围：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第三条 保险对象：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第四条 保险金额、保费及保费结算：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第五条 保险内容：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第六条 本保险分为主险、盗抢险、见义勇为意外伤害综合险、溺水死亡意外险等（见保险方案）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第七条 双方责任和义务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（一）甲方责任和义务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1.建立政府救助领导组织，明确各有关单位的工作职责和与乙方的对接部门、人员。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2.按照项目险种承保需求向乙方提供各类数据、资料，并做好必要的引导工作。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3.按保险合同需求及时向乙方支付保险费。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4.建立必要的数据对接交接机制。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（二）乙方责任和义务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1.按合作协议制定保险方案。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2.按保险合同要求及时向甲方出具保险单。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3.完善服务网络体系，为该项目提供服务绿色通道，保证按保险合同和协议内容提供方便、快捷、准确、合理的保险服务。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4.对甲方提供的各类涉密数据承担保密责任。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5.提高服务能力，定期将理赔情况上报甲方。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6.负责对居民进行保险政策和服务的宣传，让群众清楚理赔过程和联系人电话，并协助整理相关理赔材料（保险材料和赔付清单）。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第八条 履约验收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采购人在收到成交人验收申请后 5 个工作日内，按照采购文件规定、成交人投标文件承诺，及国家有关规定认真组织验收工作。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第九条 其他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1.本协议一式陆份，具有同等效力，甲乙双方各执叁份。本协议如有未尽事宜，由双方共同协商后签订补充协议，补充协议与本协议具有同等效力。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2.因本协议发生的或与本协议有关的任何争议，甲、乙双方友好协商解决。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（以下无正文）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甲方：                                           乙方：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（盖章）                                       （盖章）</w:t>
      </w:r>
    </w:p>
    <w:p>
      <w:pPr>
        <w:rPr>
          <w:color w:val="auto"/>
        </w:rPr>
      </w:pPr>
      <w:r>
        <w:rPr>
          <w:rFonts w:hint="eastAsia"/>
          <w:color w:val="auto"/>
        </w:rPr>
        <w:br w:type="page"/>
      </w:r>
    </w:p>
    <w:p>
      <w:pPr>
        <w:pStyle w:val="7"/>
        <w:spacing w:before="0" w:after="0" w:line="360" w:lineRule="auto"/>
        <w:rPr>
          <w:rFonts w:hint="eastAsia" w:eastAsia="宋体"/>
          <w:b/>
          <w:bCs w:val="0"/>
          <w:color w:val="auto"/>
          <w:lang w:eastAsia="zh-CN"/>
        </w:rPr>
      </w:pPr>
      <w:bookmarkStart w:id="1083" w:name="_Toc31203"/>
      <w:bookmarkStart w:id="1084" w:name="_Toc4630"/>
      <w:r>
        <w:rPr>
          <w:rFonts w:hint="eastAsia"/>
          <w:b/>
          <w:bCs w:val="0"/>
          <w:color w:val="auto"/>
        </w:rPr>
        <w:t>第五章</w:t>
      </w:r>
      <w:bookmarkEnd w:id="1082"/>
      <w:r>
        <w:rPr>
          <w:rFonts w:hint="eastAsia"/>
          <w:b/>
          <w:bCs w:val="0"/>
          <w:color w:val="auto"/>
          <w:lang w:eastAsia="zh-CN"/>
        </w:rPr>
        <w:t xml:space="preserve">  </w:t>
      </w:r>
      <w:bookmarkEnd w:id="1083"/>
      <w:r>
        <w:rPr>
          <w:rFonts w:hint="eastAsia"/>
          <w:b/>
          <w:bCs w:val="0"/>
          <w:color w:val="auto"/>
          <w:lang w:eastAsia="zh-CN"/>
        </w:rPr>
        <w:t>采购项目需求及具体要求</w:t>
      </w:r>
      <w:bookmarkEnd w:id="1084"/>
    </w:p>
    <w:p>
      <w:pPr>
        <w:rPr>
          <w:rFonts w:hint="eastAsia" w:ascii="宋体" w:hAnsi="宋体"/>
          <w:color w:val="auto"/>
        </w:rPr>
      </w:pPr>
      <w:bookmarkStart w:id="1085" w:name="_Toc356423314"/>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auto"/>
          <w:sz w:val="24"/>
          <w:szCs w:val="24"/>
        </w:rPr>
      </w:pPr>
      <w:bookmarkStart w:id="1086" w:name="_Toc8787"/>
      <w:r>
        <w:rPr>
          <w:rFonts w:hint="eastAsia" w:ascii="宋体" w:hAnsi="宋体" w:eastAsia="宋体" w:cs="宋体"/>
          <w:b/>
          <w:bCs/>
          <w:color w:val="auto"/>
          <w:kern w:val="0"/>
          <w:sz w:val="24"/>
          <w:szCs w:val="24"/>
          <w:lang w:val="en-US" w:eastAsia="zh-CN" w:bidi="ar"/>
        </w:rPr>
        <w:t>一、项目概况</w:t>
      </w:r>
      <w:bookmarkEnd w:id="1086"/>
      <w:r>
        <w:rPr>
          <w:rFonts w:hint="eastAsia" w:ascii="宋体" w:hAnsi="宋体" w:eastAsia="宋体" w:cs="宋体"/>
          <w:b/>
          <w:bCs/>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1、项目名称：中国共产党中牟县委员会政法委员会社会治安财产保险项目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2、项目预算金额：470000.00元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3、项目需求：为全县每人购买治安财产保险。保证人民群众财产安全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4、合同履行期限：一年；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5、服务质量：符合国家现行规范和相关质量标准要求，满足采购人相关要求；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auto"/>
          <w:kern w:val="0"/>
          <w:sz w:val="24"/>
          <w:szCs w:val="24"/>
          <w:lang w:val="en-US" w:eastAsia="zh-CN" w:bidi="ar"/>
        </w:rPr>
      </w:pPr>
      <w:bookmarkStart w:id="1087" w:name="_Toc17523"/>
      <w:r>
        <w:rPr>
          <w:rFonts w:hint="eastAsia" w:ascii="宋体" w:hAnsi="宋体" w:eastAsia="宋体" w:cs="宋体"/>
          <w:b/>
          <w:bCs/>
          <w:color w:val="auto"/>
          <w:kern w:val="0"/>
          <w:sz w:val="24"/>
          <w:szCs w:val="24"/>
          <w:lang w:val="en-US" w:eastAsia="zh-CN" w:bidi="ar"/>
        </w:rPr>
        <w:t>二、保险内容</w:t>
      </w:r>
      <w:bookmarkEnd w:id="1087"/>
      <w:r>
        <w:rPr>
          <w:rFonts w:hint="eastAsia" w:ascii="宋体" w:hAnsi="宋体" w:eastAsia="宋体" w:cs="宋体"/>
          <w:b/>
          <w:bCs/>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1、保障的内容有主险、盗抢险、见义勇为意外伤害综合险、溺水死亡意外险等（见保险方案）。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2、在保险期间内，居民在承保区域内因发生保险合同项下的事故导致财产损失或人身伤亡时，被保险人依据国家或地方有关法律规定给付的财产或人身伤害救助金，保险人负责赔付。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auto"/>
          <w:kern w:val="0"/>
          <w:sz w:val="24"/>
          <w:szCs w:val="24"/>
          <w:lang w:val="en-US" w:eastAsia="zh-CN" w:bidi="ar"/>
        </w:rPr>
      </w:pPr>
      <w:bookmarkStart w:id="1088" w:name="_Toc30522"/>
      <w:r>
        <w:rPr>
          <w:rFonts w:hint="eastAsia" w:ascii="宋体" w:hAnsi="宋体" w:eastAsia="宋体" w:cs="宋体"/>
          <w:b/>
          <w:bCs/>
          <w:color w:val="auto"/>
          <w:kern w:val="0"/>
          <w:sz w:val="24"/>
          <w:szCs w:val="24"/>
          <w:lang w:val="en-US" w:eastAsia="zh-CN" w:bidi="ar"/>
        </w:rPr>
        <w:t>三、服务内容及要</w:t>
      </w:r>
      <w:bookmarkEnd w:id="1088"/>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1、具体工作划分：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第一阶段：事故发生后由乡镇（办事处）相关负责人与保险公司包点乡镇负责人一同查勘第一现场，并由乡镇（办事处）做初步事故鉴定。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第二阶段：事故初步鉴定后上报县政法办和保险公司进行核实，经县政法办和保险公司核实后的案件按照理赔流程进行赔付。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2、服务要求：在接到采购方服务请求后，1小时响应，24小时内到达现场；服务期内提供免费上门服务，服务期外的收费按相关行业规则或由双方协商收取。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3、服务地点：采购人指定地点。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4、合同履行期限：一年。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5、验收：采购人在收到成交人验收申请后5个工作日内，按照采购文件规定、成交人投标文件承诺，及国家有关规定认真组织验收工作。</w:t>
      </w:r>
    </w:p>
    <w:p>
      <w:pPr>
        <w:rPr>
          <w:rFonts w:ascii="宋体" w:hAnsi="宋体"/>
          <w:color w:val="auto"/>
        </w:rPr>
      </w:pPr>
      <w:r>
        <w:rPr>
          <w:rFonts w:hint="eastAsia" w:ascii="宋体" w:hAnsi="宋体"/>
          <w:color w:val="auto"/>
        </w:rPr>
        <w:br w:type="page"/>
      </w:r>
    </w:p>
    <w:bookmarkEnd w:id="1085"/>
    <w:p>
      <w:pPr>
        <w:pStyle w:val="7"/>
        <w:spacing w:before="0" w:after="0" w:line="360" w:lineRule="auto"/>
        <w:rPr>
          <w:b/>
          <w:bCs w:val="0"/>
          <w:color w:val="auto"/>
        </w:rPr>
      </w:pPr>
      <w:bookmarkStart w:id="1089" w:name="_Toc6782"/>
      <w:bookmarkStart w:id="1090" w:name="_Toc81818110"/>
      <w:bookmarkStart w:id="1091" w:name="_Toc19722"/>
      <w:bookmarkStart w:id="1092" w:name="_Toc32116"/>
      <w:bookmarkStart w:id="1093" w:name="_Toc1372"/>
      <w:bookmarkStart w:id="1094" w:name="_Toc11090"/>
      <w:bookmarkStart w:id="1095" w:name="_Toc8952"/>
      <w:bookmarkStart w:id="1096" w:name="_Toc7779"/>
      <w:r>
        <w:rPr>
          <w:rFonts w:hint="eastAsia"/>
          <w:b/>
          <w:bCs w:val="0"/>
          <w:color w:val="auto"/>
        </w:rPr>
        <w:t>第六章</w:t>
      </w:r>
      <w:bookmarkEnd w:id="1089"/>
      <w:bookmarkEnd w:id="1090"/>
      <w:bookmarkEnd w:id="1091"/>
      <w:bookmarkEnd w:id="1092"/>
      <w:bookmarkEnd w:id="1093"/>
      <w:bookmarkEnd w:id="1094"/>
      <w:r>
        <w:rPr>
          <w:rFonts w:hint="eastAsia"/>
          <w:b/>
          <w:bCs w:val="0"/>
          <w:color w:val="auto"/>
          <w:lang w:eastAsia="zh-CN"/>
        </w:rPr>
        <w:t xml:space="preserve">  </w:t>
      </w:r>
      <w:r>
        <w:rPr>
          <w:rFonts w:hint="eastAsia"/>
          <w:b/>
          <w:bCs w:val="0"/>
          <w:color w:val="auto"/>
        </w:rPr>
        <w:t>竞争性磋商响应文件格式</w:t>
      </w:r>
      <w:bookmarkEnd w:id="1095"/>
      <w:bookmarkEnd w:id="1096"/>
    </w:p>
    <w:p>
      <w:pPr>
        <w:pStyle w:val="2"/>
        <w:ind w:firstLine="349"/>
        <w:rPr>
          <w:rFonts w:ascii="宋体" w:hAnsi="宋体" w:cs="宋体"/>
          <w:color w:val="auto"/>
          <w:w w:val="97"/>
          <w:sz w:val="36"/>
          <w:u w:val="single"/>
        </w:rPr>
      </w:pPr>
    </w:p>
    <w:p>
      <w:pPr>
        <w:pStyle w:val="5"/>
        <w:ind w:firstLine="600"/>
        <w:rPr>
          <w:rFonts w:cs="宋体"/>
          <w:color w:val="auto"/>
        </w:rPr>
      </w:pPr>
    </w:p>
    <w:p>
      <w:pPr>
        <w:spacing w:before="86" w:line="414" w:lineRule="exact"/>
        <w:ind w:left="14" w:hanging="14"/>
        <w:jc w:val="center"/>
        <w:rPr>
          <w:rFonts w:ascii="宋体" w:hAnsi="宋体" w:cs="宋体"/>
          <w:color w:val="auto"/>
          <w:w w:val="97"/>
          <w:sz w:val="36"/>
          <w:u w:val="single"/>
        </w:rPr>
      </w:pPr>
    </w:p>
    <w:p>
      <w:pPr>
        <w:jc w:val="center"/>
        <w:rPr>
          <w:rFonts w:hint="eastAsia" w:ascii="宋体" w:hAnsi="宋体" w:eastAsia="宋体" w:cs="宋体"/>
          <w:color w:val="auto"/>
          <w:sz w:val="36"/>
          <w:szCs w:val="36"/>
          <w:u w:val="single"/>
          <w:lang w:eastAsia="zh-CN"/>
        </w:rPr>
      </w:pPr>
      <w:bookmarkStart w:id="1097" w:name="_Toc19738"/>
      <w:bookmarkStart w:id="1098" w:name="_Toc21561"/>
      <w:bookmarkStart w:id="1099" w:name="_Toc21906"/>
      <w:bookmarkStart w:id="1100" w:name="_Toc13507"/>
      <w:r>
        <w:rPr>
          <w:rFonts w:hint="eastAsia" w:ascii="宋体" w:hAnsi="宋体" w:cs="宋体"/>
          <w:color w:val="auto"/>
          <w:sz w:val="36"/>
          <w:szCs w:val="36"/>
          <w:u w:val="single"/>
          <w:lang w:eastAsia="zh-CN"/>
        </w:rPr>
        <w:t xml:space="preserve">       </w:t>
      </w:r>
      <w:r>
        <w:rPr>
          <w:rFonts w:hint="eastAsia" w:ascii="宋体" w:hAnsi="宋体" w:cs="宋体"/>
          <w:color w:val="auto"/>
          <w:sz w:val="36"/>
          <w:szCs w:val="36"/>
          <w:u w:val="single"/>
        </w:rPr>
        <w:t>（项目名称）</w:t>
      </w:r>
      <w:bookmarkEnd w:id="1097"/>
      <w:bookmarkEnd w:id="1098"/>
      <w:bookmarkEnd w:id="1099"/>
      <w:bookmarkEnd w:id="1100"/>
      <w:r>
        <w:rPr>
          <w:rFonts w:hint="eastAsia" w:ascii="宋体" w:hAnsi="宋体" w:cs="宋体"/>
          <w:color w:val="auto"/>
          <w:sz w:val="36"/>
          <w:szCs w:val="36"/>
          <w:u w:val="single"/>
          <w:lang w:eastAsia="zh-CN"/>
        </w:rPr>
        <w:t xml:space="preserve">      </w:t>
      </w:r>
    </w:p>
    <w:p>
      <w:pPr>
        <w:spacing w:line="312" w:lineRule="auto"/>
        <w:jc w:val="center"/>
        <w:rPr>
          <w:rFonts w:ascii="宋体" w:hAnsi="宋体" w:cs="宋体"/>
          <w:b/>
          <w:color w:val="auto"/>
          <w:sz w:val="32"/>
          <w:szCs w:val="32"/>
        </w:rPr>
      </w:pPr>
    </w:p>
    <w:p>
      <w:pPr>
        <w:spacing w:line="312" w:lineRule="auto"/>
        <w:jc w:val="center"/>
        <w:rPr>
          <w:rFonts w:ascii="宋体" w:hAnsi="宋体" w:cs="宋体"/>
          <w:b/>
          <w:color w:val="auto"/>
          <w:sz w:val="32"/>
          <w:szCs w:val="32"/>
        </w:rPr>
      </w:pPr>
    </w:p>
    <w:p>
      <w:pPr>
        <w:rPr>
          <w:rFonts w:ascii="宋体" w:hAnsi="宋体" w:cs="宋体"/>
          <w:color w:val="auto"/>
        </w:rPr>
      </w:pPr>
    </w:p>
    <w:p>
      <w:pPr>
        <w:jc w:val="center"/>
        <w:rPr>
          <w:b/>
          <w:bCs/>
          <w:color w:val="auto"/>
          <w:sz w:val="72"/>
          <w:szCs w:val="144"/>
        </w:rPr>
      </w:pPr>
      <w:bookmarkStart w:id="1101" w:name="_Toc18869"/>
      <w:bookmarkStart w:id="1102" w:name="_Toc29304"/>
      <w:bookmarkStart w:id="1103" w:name="_Toc4856"/>
      <w:bookmarkStart w:id="1104" w:name="_Toc24201"/>
      <w:r>
        <w:rPr>
          <w:rFonts w:hint="eastAsia"/>
          <w:b/>
          <w:bCs/>
          <w:color w:val="auto"/>
          <w:sz w:val="72"/>
          <w:szCs w:val="144"/>
        </w:rPr>
        <w:t>响</w:t>
      </w:r>
      <w:r>
        <w:rPr>
          <w:rFonts w:hint="eastAsia"/>
          <w:b/>
          <w:bCs/>
          <w:color w:val="auto"/>
          <w:sz w:val="72"/>
          <w:szCs w:val="144"/>
          <w:lang w:eastAsia="zh-CN"/>
        </w:rPr>
        <w:t xml:space="preserve"> </w:t>
      </w:r>
      <w:r>
        <w:rPr>
          <w:rFonts w:hint="eastAsia"/>
          <w:b/>
          <w:bCs/>
          <w:color w:val="auto"/>
          <w:sz w:val="72"/>
          <w:szCs w:val="144"/>
        </w:rPr>
        <w:t>应</w:t>
      </w:r>
      <w:r>
        <w:rPr>
          <w:rFonts w:hint="eastAsia"/>
          <w:b/>
          <w:bCs/>
          <w:color w:val="auto"/>
          <w:sz w:val="72"/>
          <w:szCs w:val="144"/>
          <w:lang w:eastAsia="zh-CN"/>
        </w:rPr>
        <w:t xml:space="preserve"> </w:t>
      </w:r>
      <w:r>
        <w:rPr>
          <w:rFonts w:hint="eastAsia"/>
          <w:b/>
          <w:bCs/>
          <w:color w:val="auto"/>
          <w:sz w:val="72"/>
          <w:szCs w:val="144"/>
        </w:rPr>
        <w:t>文</w:t>
      </w:r>
      <w:r>
        <w:rPr>
          <w:rFonts w:hint="eastAsia"/>
          <w:b/>
          <w:bCs/>
          <w:color w:val="auto"/>
          <w:sz w:val="72"/>
          <w:szCs w:val="144"/>
          <w:lang w:eastAsia="zh-CN"/>
        </w:rPr>
        <w:t xml:space="preserve"> </w:t>
      </w:r>
      <w:r>
        <w:rPr>
          <w:rFonts w:hint="eastAsia"/>
          <w:b/>
          <w:bCs/>
          <w:color w:val="auto"/>
          <w:sz w:val="72"/>
          <w:szCs w:val="144"/>
        </w:rPr>
        <w:t>件</w:t>
      </w:r>
      <w:bookmarkEnd w:id="1101"/>
      <w:bookmarkEnd w:id="1102"/>
      <w:bookmarkEnd w:id="1103"/>
      <w:bookmarkEnd w:id="1104"/>
    </w:p>
    <w:p>
      <w:pPr>
        <w:jc w:val="center"/>
        <w:rPr>
          <w:color w:val="auto"/>
          <w:sz w:val="32"/>
          <w:szCs w:val="40"/>
        </w:rPr>
      </w:pPr>
      <w:bookmarkStart w:id="1105" w:name="_Toc23604"/>
      <w:bookmarkStart w:id="1106" w:name="_Toc20793"/>
      <w:bookmarkStart w:id="1107" w:name="_Toc15216"/>
      <w:bookmarkStart w:id="1108" w:name="_Toc12537"/>
      <w:r>
        <w:rPr>
          <w:rFonts w:hint="eastAsia"/>
          <w:color w:val="auto"/>
          <w:sz w:val="32"/>
          <w:szCs w:val="40"/>
        </w:rPr>
        <w:t>采购编号：</w:t>
      </w:r>
      <w:bookmarkEnd w:id="1105"/>
      <w:bookmarkEnd w:id="1106"/>
      <w:bookmarkEnd w:id="1107"/>
      <w:bookmarkEnd w:id="1108"/>
    </w:p>
    <w:p>
      <w:pPr>
        <w:rPr>
          <w:rFonts w:ascii="宋体" w:hAnsi="宋体" w:cs="宋体"/>
          <w:color w:val="auto"/>
        </w:rPr>
      </w:pPr>
    </w:p>
    <w:p>
      <w:pPr>
        <w:rPr>
          <w:rFonts w:ascii="宋体" w:hAnsi="宋体" w:cs="宋体"/>
          <w:color w:val="auto"/>
        </w:rPr>
      </w:pPr>
    </w:p>
    <w:p>
      <w:pPr>
        <w:rPr>
          <w:rFonts w:ascii="宋体" w:hAnsi="宋体" w:cs="宋体"/>
          <w:color w:val="auto"/>
          <w:sz w:val="30"/>
        </w:rPr>
      </w:pPr>
    </w:p>
    <w:p>
      <w:pPr>
        <w:rPr>
          <w:rFonts w:ascii="宋体" w:hAnsi="宋体" w:cs="宋体"/>
          <w:color w:val="auto"/>
          <w:sz w:val="30"/>
        </w:rPr>
      </w:pPr>
    </w:p>
    <w:p>
      <w:pPr>
        <w:rPr>
          <w:rFonts w:ascii="宋体" w:hAnsi="宋体" w:cs="宋体"/>
          <w:color w:val="auto"/>
          <w:sz w:val="30"/>
        </w:rPr>
      </w:pPr>
    </w:p>
    <w:p>
      <w:pPr>
        <w:pStyle w:val="2"/>
        <w:ind w:firstLine="210"/>
        <w:rPr>
          <w:rFonts w:ascii="宋体" w:hAnsi="宋体" w:cs="宋体"/>
          <w:color w:val="auto"/>
        </w:rPr>
      </w:pPr>
    </w:p>
    <w:p>
      <w:pPr>
        <w:pStyle w:val="5"/>
        <w:ind w:firstLine="600"/>
        <w:rPr>
          <w:rFonts w:cs="宋体"/>
          <w:color w:val="auto"/>
        </w:rPr>
      </w:pPr>
    </w:p>
    <w:p>
      <w:pPr>
        <w:rPr>
          <w:color w:val="auto"/>
        </w:rPr>
      </w:pPr>
    </w:p>
    <w:p>
      <w:pPr>
        <w:pStyle w:val="5"/>
        <w:ind w:firstLine="600"/>
        <w:rPr>
          <w:rFonts w:cs="宋体"/>
          <w:color w:val="auto"/>
        </w:rPr>
      </w:pPr>
    </w:p>
    <w:p>
      <w:pPr>
        <w:pStyle w:val="2"/>
        <w:ind w:firstLine="210"/>
        <w:rPr>
          <w:rFonts w:ascii="宋体" w:hAnsi="宋体" w:cs="宋体"/>
          <w:color w:val="auto"/>
        </w:rPr>
      </w:pPr>
    </w:p>
    <w:p>
      <w:pPr>
        <w:ind w:firstLine="1478" w:firstLineChars="528"/>
        <w:rPr>
          <w:rFonts w:ascii="宋体" w:hAnsi="宋体" w:cs="宋体"/>
          <w:color w:val="auto"/>
          <w:sz w:val="28"/>
          <w:szCs w:val="28"/>
        </w:rPr>
      </w:pPr>
      <w:bookmarkStart w:id="1109" w:name="_Toc26634"/>
      <w:r>
        <w:rPr>
          <w:rFonts w:hint="eastAsia" w:ascii="宋体" w:hAnsi="宋体" w:cs="宋体"/>
          <w:color w:val="auto"/>
          <w:sz w:val="28"/>
          <w:szCs w:val="28"/>
        </w:rPr>
        <w:t>供</w:t>
      </w:r>
      <w:r>
        <w:rPr>
          <w:rFonts w:hint="eastAsia" w:ascii="宋体" w:hAnsi="宋体" w:cs="宋体"/>
          <w:color w:val="auto"/>
          <w:sz w:val="28"/>
          <w:szCs w:val="28"/>
          <w:lang w:eastAsia="zh-CN"/>
        </w:rPr>
        <w:t xml:space="preserve">  </w:t>
      </w:r>
      <w:r>
        <w:rPr>
          <w:rFonts w:hint="eastAsia" w:ascii="宋体" w:hAnsi="宋体" w:cs="宋体"/>
          <w:color w:val="auto"/>
          <w:sz w:val="28"/>
          <w:szCs w:val="28"/>
        </w:rPr>
        <w:t>应</w:t>
      </w:r>
      <w:r>
        <w:rPr>
          <w:rFonts w:hint="eastAsia" w:ascii="宋体" w:hAnsi="宋体" w:cs="宋体"/>
          <w:color w:val="auto"/>
          <w:sz w:val="28"/>
          <w:szCs w:val="28"/>
          <w:lang w:eastAsia="zh-CN"/>
        </w:rPr>
        <w:t xml:space="preserve">  </w:t>
      </w:r>
      <w:r>
        <w:rPr>
          <w:rFonts w:hint="eastAsia" w:ascii="宋体" w:hAnsi="宋体" w:cs="宋体"/>
          <w:color w:val="auto"/>
          <w:sz w:val="28"/>
          <w:szCs w:val="28"/>
        </w:rPr>
        <w:t>商：</w:t>
      </w:r>
      <w:r>
        <w:rPr>
          <w:rFonts w:hint="eastAsia" w:ascii="宋体" w:hAnsi="宋体" w:cs="宋体"/>
          <w:color w:val="auto"/>
          <w:sz w:val="28"/>
          <w:szCs w:val="28"/>
          <w:u w:val="single"/>
          <w:lang w:eastAsia="zh-CN"/>
        </w:rPr>
        <w:t xml:space="preserve">                    </w:t>
      </w:r>
      <w:r>
        <w:rPr>
          <w:rFonts w:hint="eastAsia" w:ascii="宋体" w:hAnsi="宋体" w:cs="宋体"/>
          <w:color w:val="auto"/>
          <w:sz w:val="28"/>
          <w:szCs w:val="28"/>
        </w:rPr>
        <w:t>（电子签章）</w:t>
      </w:r>
      <w:bookmarkEnd w:id="1109"/>
      <w:bookmarkStart w:id="1110" w:name="_Toc23118"/>
    </w:p>
    <w:p>
      <w:pPr>
        <w:ind w:firstLine="1478" w:firstLineChars="528"/>
        <w:rPr>
          <w:rFonts w:ascii="宋体" w:hAnsi="宋体" w:cs="宋体"/>
          <w:color w:val="auto"/>
          <w:sz w:val="28"/>
          <w:szCs w:val="28"/>
        </w:rPr>
      </w:pPr>
      <w:r>
        <w:rPr>
          <w:rFonts w:hint="eastAsia" w:ascii="宋体" w:hAnsi="宋体" w:cs="宋体"/>
          <w:color w:val="auto"/>
          <w:sz w:val="28"/>
          <w:szCs w:val="28"/>
        </w:rPr>
        <w:t>法定代表人：</w:t>
      </w:r>
      <w:r>
        <w:rPr>
          <w:rFonts w:hint="eastAsia" w:ascii="宋体" w:hAnsi="宋体" w:cs="宋体"/>
          <w:color w:val="auto"/>
          <w:sz w:val="28"/>
          <w:szCs w:val="28"/>
          <w:u w:val="single"/>
          <w:lang w:eastAsia="zh-CN"/>
        </w:rPr>
        <w:t xml:space="preserve">                    </w:t>
      </w:r>
      <w:r>
        <w:rPr>
          <w:rFonts w:hint="eastAsia" w:ascii="宋体" w:hAnsi="宋体" w:cs="宋体"/>
          <w:color w:val="auto"/>
          <w:sz w:val="28"/>
          <w:szCs w:val="28"/>
        </w:rPr>
        <w:t>（电子签章）</w:t>
      </w:r>
      <w:bookmarkEnd w:id="1110"/>
      <w:bookmarkStart w:id="1111" w:name="_Toc12175"/>
    </w:p>
    <w:bookmarkEnd w:id="1111"/>
    <w:p>
      <w:pPr>
        <w:pStyle w:val="38"/>
        <w:spacing w:line="360" w:lineRule="auto"/>
        <w:ind w:firstLine="1478" w:firstLineChars="528"/>
        <w:jc w:val="both"/>
        <w:rPr>
          <w:rFonts w:hAnsi="宋体" w:cs="黑体"/>
          <w:color w:val="auto"/>
          <w:sz w:val="28"/>
          <w:szCs w:val="28"/>
          <w:u w:val="single"/>
        </w:rPr>
      </w:pPr>
      <w:r>
        <w:rPr>
          <w:rFonts w:hint="eastAsia" w:hAnsi="宋体" w:cs="黑体"/>
          <w:color w:val="auto"/>
          <w:sz w:val="28"/>
          <w:szCs w:val="28"/>
        </w:rPr>
        <w:t>日</w:t>
      </w:r>
      <w:r>
        <w:rPr>
          <w:rFonts w:hint="eastAsia" w:hAnsi="宋体" w:cs="黑体"/>
          <w:color w:val="auto"/>
          <w:sz w:val="28"/>
          <w:szCs w:val="28"/>
          <w:lang w:eastAsia="zh-CN"/>
        </w:rPr>
        <w:t xml:space="preserve">      </w:t>
      </w:r>
      <w:r>
        <w:rPr>
          <w:rFonts w:hint="eastAsia" w:hAnsi="宋体" w:cs="黑体"/>
          <w:color w:val="auto"/>
          <w:sz w:val="28"/>
          <w:szCs w:val="28"/>
        </w:rPr>
        <w:t>期：</w:t>
      </w:r>
      <w:r>
        <w:rPr>
          <w:rFonts w:hint="eastAsia" w:hAnsi="宋体" w:cs="黑体"/>
          <w:color w:val="auto"/>
          <w:sz w:val="28"/>
          <w:szCs w:val="28"/>
          <w:u w:val="single"/>
          <w:lang w:eastAsia="zh-CN"/>
        </w:rPr>
        <w:t xml:space="preserve">      </w:t>
      </w:r>
      <w:r>
        <w:rPr>
          <w:rFonts w:hint="eastAsia" w:hAnsi="宋体" w:cs="黑体"/>
          <w:color w:val="auto"/>
          <w:sz w:val="28"/>
          <w:szCs w:val="28"/>
        </w:rPr>
        <w:t>年</w:t>
      </w:r>
      <w:r>
        <w:rPr>
          <w:rFonts w:hint="eastAsia" w:hAnsi="宋体" w:cs="黑体"/>
          <w:color w:val="auto"/>
          <w:sz w:val="28"/>
          <w:szCs w:val="28"/>
          <w:u w:val="single"/>
          <w:lang w:eastAsia="zh-CN"/>
        </w:rPr>
        <w:t xml:space="preserve">     </w:t>
      </w:r>
      <w:r>
        <w:rPr>
          <w:rFonts w:hint="eastAsia" w:hAnsi="宋体" w:cs="黑体"/>
          <w:color w:val="auto"/>
          <w:sz w:val="28"/>
          <w:szCs w:val="28"/>
        </w:rPr>
        <w:t>月</w:t>
      </w:r>
      <w:r>
        <w:rPr>
          <w:rFonts w:hint="eastAsia" w:hAnsi="宋体" w:cs="黑体"/>
          <w:color w:val="auto"/>
          <w:sz w:val="28"/>
          <w:szCs w:val="28"/>
          <w:u w:val="single"/>
          <w:lang w:eastAsia="zh-CN"/>
        </w:rPr>
        <w:t xml:space="preserve">     </w:t>
      </w:r>
      <w:r>
        <w:rPr>
          <w:rFonts w:hint="eastAsia" w:hAnsi="宋体" w:cs="黑体"/>
          <w:color w:val="auto"/>
          <w:sz w:val="28"/>
          <w:szCs w:val="28"/>
        </w:rPr>
        <w:t>日</w:t>
      </w:r>
    </w:p>
    <w:p>
      <w:pPr>
        <w:spacing w:line="360" w:lineRule="auto"/>
        <w:ind w:firstLine="723" w:firstLineChars="200"/>
        <w:rPr>
          <w:rFonts w:ascii="宋体" w:hAnsi="宋体" w:cs="Arial Unicode MS"/>
          <w:b/>
          <w:color w:val="auto"/>
          <w:sz w:val="28"/>
          <w:szCs w:val="28"/>
        </w:rPr>
      </w:pPr>
      <w:r>
        <w:rPr>
          <w:rFonts w:ascii="宋体" w:hAnsi="宋体" w:cs="Arial Unicode MS"/>
          <w:b/>
          <w:color w:val="auto"/>
          <w:sz w:val="36"/>
          <w:szCs w:val="36"/>
        </w:rPr>
        <w:br w:type="page"/>
      </w:r>
    </w:p>
    <w:p>
      <w:pPr>
        <w:spacing w:line="360" w:lineRule="auto"/>
        <w:ind w:left="-2"/>
        <w:jc w:val="center"/>
        <w:rPr>
          <w:rFonts w:ascii="宋体" w:hAnsi="宋体" w:cs="Arial Unicode MS"/>
          <w:b/>
          <w:color w:val="auto"/>
          <w:sz w:val="28"/>
          <w:szCs w:val="28"/>
        </w:rPr>
      </w:pPr>
      <w:r>
        <w:rPr>
          <w:rFonts w:hint="eastAsia" w:ascii="宋体" w:hAnsi="宋体" w:cs="Arial Unicode MS"/>
          <w:b/>
          <w:color w:val="auto"/>
          <w:sz w:val="28"/>
          <w:szCs w:val="28"/>
        </w:rPr>
        <w:t>目</w:t>
      </w:r>
      <w:r>
        <w:rPr>
          <w:rFonts w:hint="eastAsia" w:ascii="宋体" w:hAnsi="宋体" w:cs="Arial Unicode MS"/>
          <w:b/>
          <w:color w:val="auto"/>
          <w:sz w:val="28"/>
          <w:szCs w:val="28"/>
          <w:lang w:eastAsia="zh-CN"/>
        </w:rPr>
        <w:t xml:space="preserve">  </w:t>
      </w:r>
      <w:r>
        <w:rPr>
          <w:rFonts w:hint="eastAsia" w:ascii="宋体" w:hAnsi="宋体" w:cs="Arial Unicode MS"/>
          <w:b/>
          <w:color w:val="auto"/>
          <w:sz w:val="28"/>
          <w:szCs w:val="28"/>
        </w:rPr>
        <w:t>录</w:t>
      </w:r>
    </w:p>
    <w:p>
      <w:pPr>
        <w:spacing w:line="360" w:lineRule="auto"/>
        <w:ind w:left="88" w:leftChars="42" w:firstLine="972" w:firstLineChars="461"/>
        <w:rPr>
          <w:rFonts w:ascii="宋体" w:hAnsi="宋体" w:cs="Arial Unicode MS"/>
          <w:b/>
          <w:color w:val="auto"/>
          <w:szCs w:val="21"/>
        </w:rPr>
      </w:pPr>
    </w:p>
    <w:p>
      <w:pPr>
        <w:autoSpaceDE w:val="0"/>
        <w:autoSpaceDN w:val="0"/>
        <w:adjustRightInd w:val="0"/>
        <w:spacing w:line="360" w:lineRule="auto"/>
        <w:ind w:firstLine="907" w:firstLineChars="378"/>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一、磋商函及磋商函附录</w:t>
      </w:r>
    </w:p>
    <w:p>
      <w:pPr>
        <w:autoSpaceDE w:val="0"/>
        <w:autoSpaceDN w:val="0"/>
        <w:adjustRightInd w:val="0"/>
        <w:spacing w:line="360" w:lineRule="auto"/>
        <w:ind w:firstLine="907" w:firstLineChars="378"/>
        <w:rPr>
          <w:rFonts w:cs="仿宋_GB2312" w:asciiTheme="minorEastAsia" w:hAnsiTheme="minorEastAsia" w:eastAsiaTheme="minorEastAsia"/>
          <w:bCs/>
          <w:color w:val="auto"/>
          <w:kern w:val="0"/>
          <w:sz w:val="24"/>
          <w:szCs w:val="24"/>
        </w:rPr>
      </w:pPr>
      <w:r>
        <w:rPr>
          <w:rFonts w:hint="eastAsia" w:cs="仿宋_GB2312" w:asciiTheme="minorEastAsia" w:hAnsiTheme="minorEastAsia" w:eastAsiaTheme="minorEastAsia"/>
          <w:color w:val="auto"/>
          <w:kern w:val="0"/>
          <w:sz w:val="24"/>
          <w:szCs w:val="24"/>
        </w:rPr>
        <w:t>二、</w:t>
      </w:r>
      <w:r>
        <w:rPr>
          <w:rFonts w:hint="eastAsia" w:cs="仿宋_GB2312" w:asciiTheme="minorEastAsia" w:hAnsiTheme="minorEastAsia" w:eastAsiaTheme="minorEastAsia"/>
          <w:bCs/>
          <w:color w:val="auto"/>
          <w:kern w:val="0"/>
          <w:sz w:val="24"/>
          <w:szCs w:val="24"/>
        </w:rPr>
        <w:t>法定代表人身份证明</w:t>
      </w:r>
    </w:p>
    <w:p>
      <w:pPr>
        <w:autoSpaceDE w:val="0"/>
        <w:autoSpaceDN w:val="0"/>
        <w:adjustRightInd w:val="0"/>
        <w:spacing w:line="360" w:lineRule="auto"/>
        <w:ind w:firstLine="907" w:firstLineChars="378"/>
        <w:rPr>
          <w:rFonts w:cs="仿宋_GB2312" w:asciiTheme="minorEastAsia" w:hAnsiTheme="minorEastAsia" w:eastAsiaTheme="minorEastAsia"/>
          <w:bCs/>
          <w:color w:val="auto"/>
          <w:kern w:val="0"/>
          <w:sz w:val="24"/>
          <w:szCs w:val="24"/>
        </w:rPr>
      </w:pPr>
      <w:r>
        <w:rPr>
          <w:rFonts w:hint="eastAsia" w:cs="仿宋_GB2312" w:asciiTheme="minorEastAsia" w:hAnsiTheme="minorEastAsia" w:eastAsiaTheme="minorEastAsia"/>
          <w:bCs/>
          <w:color w:val="auto"/>
          <w:kern w:val="0"/>
          <w:sz w:val="24"/>
          <w:szCs w:val="24"/>
        </w:rPr>
        <w:t>三、法定代表人授权委托书</w:t>
      </w:r>
    </w:p>
    <w:p>
      <w:pPr>
        <w:autoSpaceDE w:val="0"/>
        <w:autoSpaceDN w:val="0"/>
        <w:adjustRightInd w:val="0"/>
        <w:spacing w:line="360" w:lineRule="auto"/>
        <w:ind w:firstLine="907" w:firstLineChars="378"/>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bCs/>
          <w:color w:val="auto"/>
          <w:kern w:val="0"/>
          <w:sz w:val="24"/>
          <w:szCs w:val="24"/>
        </w:rPr>
        <w:t>四、</w:t>
      </w:r>
      <w:r>
        <w:rPr>
          <w:rFonts w:hint="eastAsia" w:cs="仿宋_GB2312" w:asciiTheme="minorEastAsia" w:hAnsiTheme="minorEastAsia" w:eastAsiaTheme="minorEastAsia"/>
          <w:color w:val="auto"/>
          <w:kern w:val="0"/>
          <w:sz w:val="24"/>
          <w:szCs w:val="24"/>
        </w:rPr>
        <w:t>资格审查资料</w:t>
      </w:r>
    </w:p>
    <w:p>
      <w:pPr>
        <w:autoSpaceDE w:val="0"/>
        <w:autoSpaceDN w:val="0"/>
        <w:adjustRightInd w:val="0"/>
        <w:spacing w:line="360" w:lineRule="auto"/>
        <w:ind w:firstLine="907" w:firstLineChars="378"/>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五、供应商2021年1月以来承担过的类似项目</w:t>
      </w:r>
    </w:p>
    <w:p>
      <w:pPr>
        <w:autoSpaceDE w:val="0"/>
        <w:autoSpaceDN w:val="0"/>
        <w:adjustRightInd w:val="0"/>
        <w:spacing w:line="360" w:lineRule="auto"/>
        <w:ind w:firstLine="907" w:firstLineChars="378"/>
        <w:rPr>
          <w:rFonts w:hint="eastAsia" w:cs="仿宋_GB2312" w:asciiTheme="minorEastAsia" w:hAnsiTheme="minorEastAsia" w:eastAsiaTheme="minorEastAsia"/>
          <w:color w:val="auto"/>
          <w:kern w:val="0"/>
          <w:sz w:val="24"/>
          <w:szCs w:val="24"/>
          <w:lang w:eastAsia="zh-CN"/>
        </w:rPr>
      </w:pPr>
      <w:r>
        <w:rPr>
          <w:rFonts w:hint="eastAsia" w:cs="仿宋_GB2312" w:asciiTheme="minorEastAsia" w:hAnsiTheme="minorEastAsia" w:eastAsiaTheme="minorEastAsia"/>
          <w:color w:val="auto"/>
          <w:kern w:val="0"/>
          <w:sz w:val="24"/>
          <w:szCs w:val="24"/>
        </w:rPr>
        <w:t>六、拟投入本项目主要管理人员组成情况表</w:t>
      </w:r>
      <w:r>
        <w:rPr>
          <w:rFonts w:hint="eastAsia" w:cs="仿宋_GB2312" w:asciiTheme="minorEastAsia" w:hAnsiTheme="minorEastAsia" w:eastAsiaTheme="minorEastAsia"/>
          <w:color w:val="auto"/>
          <w:kern w:val="0"/>
          <w:sz w:val="24"/>
          <w:szCs w:val="24"/>
          <w:lang w:eastAsia="zh-CN"/>
        </w:rPr>
        <w:t xml:space="preserve"> </w:t>
      </w:r>
    </w:p>
    <w:p>
      <w:pPr>
        <w:autoSpaceDE w:val="0"/>
        <w:autoSpaceDN w:val="0"/>
        <w:adjustRightInd w:val="0"/>
        <w:spacing w:line="360" w:lineRule="auto"/>
        <w:ind w:firstLine="907" w:firstLineChars="378"/>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七、</w:t>
      </w:r>
      <w:r>
        <w:rPr>
          <w:rFonts w:hint="eastAsia" w:cs="仿宋_GB2312" w:asciiTheme="minorEastAsia" w:hAnsiTheme="minorEastAsia" w:eastAsiaTheme="minorEastAsia"/>
          <w:color w:val="auto"/>
          <w:kern w:val="0"/>
          <w:sz w:val="24"/>
          <w:szCs w:val="24"/>
          <w:lang w:eastAsia="zh-CN"/>
        </w:rPr>
        <w:t>服务</w:t>
      </w:r>
      <w:r>
        <w:rPr>
          <w:rFonts w:hint="eastAsia" w:cs="仿宋_GB2312" w:asciiTheme="minorEastAsia" w:hAnsiTheme="minorEastAsia" w:eastAsiaTheme="minorEastAsia"/>
          <w:color w:val="auto"/>
          <w:kern w:val="0"/>
          <w:sz w:val="24"/>
          <w:szCs w:val="24"/>
        </w:rPr>
        <w:t>方案</w:t>
      </w:r>
    </w:p>
    <w:p>
      <w:pPr>
        <w:autoSpaceDE w:val="0"/>
        <w:autoSpaceDN w:val="0"/>
        <w:adjustRightInd w:val="0"/>
        <w:spacing w:line="360" w:lineRule="auto"/>
        <w:ind w:firstLine="907" w:firstLineChars="378"/>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八、反商业贿赂承诺书</w:t>
      </w:r>
    </w:p>
    <w:p>
      <w:pPr>
        <w:autoSpaceDE w:val="0"/>
        <w:autoSpaceDN w:val="0"/>
        <w:adjustRightInd w:val="0"/>
        <w:spacing w:line="360" w:lineRule="auto"/>
        <w:ind w:firstLine="907" w:firstLineChars="378"/>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九、其他材料</w:t>
      </w:r>
    </w:p>
    <w:p>
      <w:pPr>
        <w:pStyle w:val="8"/>
        <w:jc w:val="center"/>
        <w:rPr>
          <w:rFonts w:ascii="宋体" w:hAnsi="宋体"/>
          <w:color w:val="auto"/>
        </w:rPr>
      </w:pPr>
      <w:r>
        <w:rPr>
          <w:rFonts w:ascii="宋体" w:hAnsi="宋体"/>
          <w:color w:val="auto"/>
          <w:sz w:val="36"/>
          <w:szCs w:val="36"/>
        </w:rPr>
        <w:br w:type="page"/>
      </w:r>
      <w:bookmarkStart w:id="1112" w:name="_Toc356423316"/>
      <w:bookmarkStart w:id="1113" w:name="_Toc356422740"/>
      <w:bookmarkStart w:id="1114" w:name="_Toc356423315"/>
      <w:bookmarkStart w:id="1115" w:name="_Toc354685149"/>
      <w:bookmarkStart w:id="1116" w:name="_Toc356422999"/>
      <w:bookmarkStart w:id="1117" w:name="_Toc7569"/>
      <w:bookmarkStart w:id="1118" w:name="_Toc354736614"/>
      <w:bookmarkStart w:id="1119" w:name="_Toc2460"/>
      <w:bookmarkStart w:id="1120" w:name="_Toc22520"/>
      <w:r>
        <w:rPr>
          <w:rFonts w:hint="eastAsia" w:ascii="宋体" w:hAnsi="宋体"/>
          <w:color w:val="auto"/>
        </w:rPr>
        <w:t>一、磋商函</w:t>
      </w:r>
      <w:bookmarkEnd w:id="1112"/>
      <w:bookmarkEnd w:id="1113"/>
      <w:bookmarkEnd w:id="1114"/>
      <w:bookmarkEnd w:id="1115"/>
      <w:bookmarkEnd w:id="1116"/>
      <w:bookmarkEnd w:id="1117"/>
      <w:bookmarkEnd w:id="1118"/>
      <w:r>
        <w:rPr>
          <w:rFonts w:hint="eastAsia" w:ascii="宋体" w:hAnsi="宋体"/>
          <w:color w:val="auto"/>
        </w:rPr>
        <w:t>及磋商函附录</w:t>
      </w:r>
      <w:bookmarkEnd w:id="1119"/>
      <w:bookmarkEnd w:id="1120"/>
    </w:p>
    <w:p>
      <w:pPr>
        <w:pStyle w:val="12"/>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（一）磋商函</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single"/>
        </w:rPr>
        <w:t>（采购人名称）</w:t>
      </w:r>
      <w:r>
        <w:rPr>
          <w:rFonts w:hint="eastAsia" w:asciiTheme="minorEastAsia" w:hAnsiTheme="minorEastAsia" w:eastAsiaTheme="minorEastAsia" w:cstheme="minorEastAsia"/>
          <w:color w:val="auto"/>
          <w:sz w:val="24"/>
          <w:u w:val="single"/>
          <w:lang w:eastAsia="zh-CN"/>
        </w:rPr>
        <w:t xml:space="preserve">    </w:t>
      </w:r>
      <w:r>
        <w:rPr>
          <w:rFonts w:hint="eastAsia" w:asciiTheme="minorEastAsia" w:hAnsiTheme="minorEastAsia" w:eastAsiaTheme="minorEastAsia" w:cstheme="minorEastAsia"/>
          <w:color w:val="auto"/>
          <w:sz w:val="24"/>
        </w:rPr>
        <w:t>：</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1．我方在充分研究</w:t>
      </w:r>
      <w:r>
        <w:rPr>
          <w:rFonts w:hint="eastAsia" w:asciiTheme="minorEastAsia" w:hAnsiTheme="minorEastAsia" w:eastAsiaTheme="minorEastAsia" w:cstheme="minorEastAsia"/>
          <w:color w:val="auto"/>
          <w:sz w:val="24"/>
          <w:u w:val="single"/>
          <w:lang w:eastAsia="zh-CN"/>
        </w:rPr>
        <w:t xml:space="preserve">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u w:val="single"/>
        </w:rPr>
        <w:t>（项目名称）</w:t>
      </w:r>
      <w:r>
        <w:rPr>
          <w:rFonts w:hint="eastAsia" w:asciiTheme="minorEastAsia" w:hAnsiTheme="minorEastAsia" w:eastAsiaTheme="minorEastAsia" w:cstheme="minorEastAsia"/>
          <w:color w:val="auto"/>
          <w:sz w:val="24"/>
          <w:u w:val="single"/>
          <w:lang w:eastAsia="zh-CN"/>
        </w:rPr>
        <w:t xml:space="preserve">  </w:t>
      </w:r>
      <w:r>
        <w:rPr>
          <w:rFonts w:hint="eastAsia" w:asciiTheme="minorEastAsia" w:hAnsiTheme="minorEastAsia" w:eastAsiaTheme="minorEastAsia" w:cstheme="minorEastAsia"/>
          <w:color w:val="auto"/>
          <w:sz w:val="24"/>
        </w:rPr>
        <w:t>磋商文件的全部内容，愿意以磋商函附录中的投标报价，合同履行期限</w:t>
      </w:r>
      <w:r>
        <w:rPr>
          <w:rFonts w:hint="eastAsia" w:asciiTheme="minorEastAsia" w:hAnsiTheme="minorEastAsia" w:eastAsiaTheme="minorEastAsia" w:cstheme="minorEastAsia"/>
          <w:color w:val="auto"/>
          <w:sz w:val="24"/>
          <w:u w:val="single"/>
          <w:lang w:eastAsia="zh-CN"/>
        </w:rPr>
        <w:t xml:space="preserve">          </w:t>
      </w:r>
      <w:r>
        <w:rPr>
          <w:rFonts w:hint="eastAsia" w:asciiTheme="minorEastAsia" w:hAnsiTheme="minorEastAsia" w:eastAsiaTheme="minorEastAsia" w:cstheme="minorEastAsia"/>
          <w:color w:val="auto"/>
          <w:sz w:val="24"/>
        </w:rPr>
        <w:t>，按合同约定实施和完成服务项目。</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2．我方承诺在磋商有效期内（60日历天）内不修改、撤销响应文件。</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3．如我方中标：</w:t>
      </w:r>
    </w:p>
    <w:p>
      <w:pPr>
        <w:spacing w:line="360" w:lineRule="auto"/>
        <w:ind w:firstLine="820" w:firstLineChars="34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（1）我方承诺在收到中标通知书后，在中标通知书规定的期限内与你方签订合同。</w:t>
      </w:r>
    </w:p>
    <w:p>
      <w:pPr>
        <w:spacing w:line="360" w:lineRule="auto"/>
        <w:ind w:firstLine="820" w:firstLineChars="34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（2）随同本磋商函递交的磋商函附录属于合同文件的组成部分。</w:t>
      </w:r>
    </w:p>
    <w:p>
      <w:pPr>
        <w:spacing w:line="360" w:lineRule="auto"/>
        <w:ind w:firstLine="820" w:firstLineChars="34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（3）我方承诺按照磋商文件规定向你方递交履约担保，并按照磋商文件</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“合同条款及格式”规定的权利义务履行合同。</w:t>
      </w:r>
    </w:p>
    <w:p>
      <w:pPr>
        <w:spacing w:line="360" w:lineRule="auto"/>
        <w:ind w:firstLine="820" w:firstLineChars="34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（4）我方承诺响应竞争性磋商文件要求，严格按照竞争性磋商文件相关约定进行服务、满足采购人进度要求并按时完成全部服务项目。</w:t>
      </w:r>
    </w:p>
    <w:p>
      <w:pPr>
        <w:spacing w:line="360" w:lineRule="auto"/>
        <w:ind w:firstLine="820" w:firstLineChars="34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（5）我方承诺在人员、设备、资金等方面具有相应的服务能力，有能力提供本次采购项目及所要求的服务。</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4．我方在此声明，所递交的响应文件及有关资料内容完整、真实和准确。</w:t>
      </w:r>
    </w:p>
    <w:p>
      <w:pPr>
        <w:spacing w:line="360" w:lineRule="auto"/>
        <w:ind w:firstLine="48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u w:val="single"/>
          <w:lang w:eastAsia="zh-CN"/>
        </w:rPr>
        <w:t xml:space="preserve">    </w:t>
      </w:r>
      <w:r>
        <w:rPr>
          <w:rFonts w:hint="eastAsia" w:asciiTheme="minorEastAsia" w:hAnsiTheme="minorEastAsia" w:eastAsiaTheme="minorEastAsia" w:cstheme="minorEastAsia"/>
          <w:color w:val="auto"/>
          <w:sz w:val="24"/>
          <w:u w:val="single"/>
        </w:rPr>
        <w:t>（其他补充说明）</w:t>
      </w:r>
      <w:r>
        <w:rPr>
          <w:rFonts w:hint="eastAsia" w:asciiTheme="minorEastAsia" w:hAnsiTheme="minorEastAsia" w:eastAsiaTheme="minorEastAsia" w:cstheme="minorEastAsia"/>
          <w:color w:val="auto"/>
          <w:sz w:val="24"/>
          <w:u w:val="single"/>
          <w:lang w:eastAsia="zh-CN"/>
        </w:rPr>
        <w:t xml:space="preserve">      </w:t>
      </w:r>
      <w:r>
        <w:rPr>
          <w:rFonts w:hint="eastAsia" w:asciiTheme="minorEastAsia" w:hAnsiTheme="minorEastAsia" w:eastAsiaTheme="minorEastAsia" w:cstheme="minorEastAsia"/>
          <w:color w:val="auto"/>
          <w:sz w:val="24"/>
        </w:rPr>
        <w:t>。</w:t>
      </w:r>
    </w:p>
    <w:p>
      <w:pPr>
        <w:spacing w:line="400" w:lineRule="exact"/>
        <w:rPr>
          <w:rFonts w:asciiTheme="minorEastAsia" w:hAnsiTheme="minorEastAsia" w:eastAsiaTheme="minorEastAsia" w:cstheme="minorEastAsia"/>
          <w:color w:val="auto"/>
          <w:sz w:val="24"/>
        </w:rPr>
      </w:pPr>
    </w:p>
    <w:p>
      <w:pPr>
        <w:pStyle w:val="2"/>
        <w:ind w:firstLine="210"/>
        <w:rPr>
          <w:color w:val="auto"/>
        </w:rPr>
      </w:pPr>
    </w:p>
    <w:p>
      <w:pPr>
        <w:pStyle w:val="2"/>
        <w:ind w:firstLine="210"/>
        <w:rPr>
          <w:color w:val="auto"/>
        </w:rPr>
      </w:pPr>
    </w:p>
    <w:p>
      <w:pPr>
        <w:spacing w:line="360" w:lineRule="auto"/>
        <w:ind w:firstLine="4200" w:firstLineChars="17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应</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商：</w:t>
      </w:r>
      <w:r>
        <w:rPr>
          <w:rFonts w:hint="eastAsia" w:asciiTheme="minorEastAsia" w:hAnsiTheme="minorEastAsia" w:eastAsiaTheme="minorEastAsia" w:cstheme="minorEastAsia"/>
          <w:color w:val="auto"/>
          <w:sz w:val="24"/>
          <w:u w:val="single"/>
          <w:lang w:eastAsia="zh-CN"/>
        </w:rPr>
        <w:t xml:space="preserve">                     </w:t>
      </w:r>
      <w:r>
        <w:rPr>
          <w:rFonts w:hint="eastAsia" w:asciiTheme="minorEastAsia" w:hAnsiTheme="minorEastAsia" w:eastAsiaTheme="minorEastAsia" w:cstheme="minorEastAsia"/>
          <w:color w:val="auto"/>
          <w:sz w:val="24"/>
        </w:rPr>
        <w:t>（电子签章）</w:t>
      </w:r>
    </w:p>
    <w:p>
      <w:pPr>
        <w:spacing w:line="360" w:lineRule="auto"/>
        <w:ind w:firstLine="4200" w:firstLineChars="17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r>
        <w:rPr>
          <w:rFonts w:hint="eastAsia" w:asciiTheme="minorEastAsia" w:hAnsiTheme="minorEastAsia" w:eastAsiaTheme="minorEastAsia" w:cstheme="minorEastAsia"/>
          <w:color w:val="auto"/>
          <w:sz w:val="24"/>
          <w:u w:val="single"/>
          <w:lang w:eastAsia="zh-CN"/>
        </w:rPr>
        <w:t xml:space="preserve">                  </w:t>
      </w:r>
      <w:r>
        <w:rPr>
          <w:rFonts w:hint="eastAsia" w:asciiTheme="minorEastAsia" w:hAnsiTheme="minorEastAsia" w:eastAsiaTheme="minorEastAsia" w:cstheme="minorEastAsia"/>
          <w:color w:val="auto"/>
          <w:sz w:val="24"/>
        </w:rPr>
        <w:t>（电子签章）</w:t>
      </w:r>
    </w:p>
    <w:p>
      <w:pPr>
        <w:spacing w:line="360" w:lineRule="auto"/>
        <w:ind w:firstLine="4200" w:firstLineChars="1750"/>
        <w:rPr>
          <w:rFonts w:hint="eastAsia" w:asciiTheme="minorEastAsia" w:hAnsiTheme="minorEastAsia" w:eastAsiaTheme="minorEastAsia" w:cstheme="minorEastAsia"/>
          <w:color w:val="auto"/>
          <w:sz w:val="24"/>
          <w:u w:val="single"/>
          <w:lang w:eastAsia="zh-CN"/>
        </w:rPr>
      </w:pPr>
      <w:r>
        <w:rPr>
          <w:rFonts w:hint="eastAsia" w:asciiTheme="minorEastAsia" w:hAnsiTheme="minorEastAsia" w:eastAsiaTheme="minorEastAsia" w:cstheme="minorEastAsia"/>
          <w:color w:val="auto"/>
          <w:sz w:val="24"/>
        </w:rPr>
        <w:t>地</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址：</w:t>
      </w:r>
      <w:r>
        <w:rPr>
          <w:rFonts w:hint="eastAsia" w:asciiTheme="minorEastAsia" w:hAnsiTheme="minorEastAsia" w:eastAsiaTheme="minorEastAsia" w:cstheme="minorEastAsia"/>
          <w:color w:val="auto"/>
          <w:sz w:val="24"/>
          <w:u w:val="single"/>
          <w:lang w:eastAsia="zh-CN"/>
        </w:rPr>
        <w:t xml:space="preserve">                            </w:t>
      </w:r>
    </w:p>
    <w:p>
      <w:pPr>
        <w:spacing w:line="360" w:lineRule="auto"/>
        <w:ind w:firstLine="4200" w:firstLineChars="175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网</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址：</w:t>
      </w:r>
      <w:r>
        <w:rPr>
          <w:rFonts w:hint="eastAsia" w:asciiTheme="minorEastAsia" w:hAnsiTheme="minorEastAsia" w:eastAsiaTheme="minorEastAsia" w:cstheme="minorEastAsia"/>
          <w:color w:val="auto"/>
          <w:sz w:val="24"/>
          <w:u w:val="single"/>
          <w:lang w:eastAsia="zh-CN"/>
        </w:rPr>
        <w:t xml:space="preserve">                            </w:t>
      </w:r>
    </w:p>
    <w:p>
      <w:pPr>
        <w:spacing w:line="360" w:lineRule="auto"/>
        <w:ind w:firstLine="4200" w:firstLineChars="175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电</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话：</w:t>
      </w:r>
      <w:r>
        <w:rPr>
          <w:rFonts w:hint="eastAsia" w:asciiTheme="minorEastAsia" w:hAnsiTheme="minorEastAsia" w:eastAsiaTheme="minorEastAsia" w:cstheme="minorEastAsia"/>
          <w:color w:val="auto"/>
          <w:sz w:val="24"/>
          <w:u w:val="single"/>
          <w:lang w:eastAsia="zh-CN"/>
        </w:rPr>
        <w:t xml:space="preserve">                            </w:t>
      </w:r>
    </w:p>
    <w:p>
      <w:pPr>
        <w:spacing w:line="360" w:lineRule="auto"/>
        <w:ind w:firstLine="4200" w:firstLineChars="175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传</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真：</w:t>
      </w:r>
      <w:r>
        <w:rPr>
          <w:rFonts w:hint="eastAsia" w:asciiTheme="minorEastAsia" w:hAnsiTheme="minorEastAsia" w:eastAsiaTheme="minorEastAsia" w:cstheme="minorEastAsia"/>
          <w:color w:val="auto"/>
          <w:sz w:val="24"/>
          <w:u w:val="single"/>
          <w:lang w:eastAsia="zh-CN"/>
        </w:rPr>
        <w:t xml:space="preserve">                            </w:t>
      </w:r>
    </w:p>
    <w:p>
      <w:pPr>
        <w:spacing w:line="360" w:lineRule="auto"/>
        <w:ind w:firstLine="4200" w:firstLineChars="175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邮政编码：</w:t>
      </w:r>
      <w:r>
        <w:rPr>
          <w:rFonts w:hint="eastAsia" w:asciiTheme="minorEastAsia" w:hAnsiTheme="minorEastAsia" w:eastAsiaTheme="minorEastAsia" w:cstheme="minorEastAsia"/>
          <w:color w:val="auto"/>
          <w:sz w:val="24"/>
          <w:u w:val="single"/>
          <w:lang w:eastAsia="zh-CN"/>
        </w:rPr>
        <w:t xml:space="preserve">                            </w:t>
      </w:r>
    </w:p>
    <w:p>
      <w:pPr>
        <w:spacing w:line="360" w:lineRule="auto"/>
        <w:ind w:firstLine="4200" w:firstLineChars="1750"/>
        <w:jc w:val="left"/>
        <w:rPr>
          <w:rFonts w:ascii="宋体" w:hAnsi="宋体"/>
          <w:color w:val="auto"/>
          <w:szCs w:val="21"/>
        </w:rPr>
      </w:pP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rPr>
        <w:t>期：</w:t>
      </w:r>
      <w:r>
        <w:rPr>
          <w:rFonts w:hint="eastAsia" w:asciiTheme="minorEastAsia" w:hAnsiTheme="minorEastAsia" w:eastAsiaTheme="minorEastAsia" w:cstheme="minorEastAsia"/>
          <w:color w:val="auto"/>
          <w:sz w:val="24"/>
          <w:u w:val="single"/>
          <w:lang w:eastAsia="zh-CN"/>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lang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lang w:eastAsia="zh-CN"/>
        </w:rPr>
        <w:t xml:space="preserve">    </w:t>
      </w:r>
      <w:r>
        <w:rPr>
          <w:rFonts w:hint="eastAsia" w:asciiTheme="minorEastAsia" w:hAnsiTheme="minorEastAsia" w:eastAsiaTheme="minorEastAsia" w:cstheme="minorEastAsia"/>
          <w:color w:val="auto"/>
          <w:sz w:val="24"/>
        </w:rPr>
        <w:t>日</w:t>
      </w:r>
      <w:r>
        <w:rPr>
          <w:rFonts w:ascii="宋体" w:hAnsi="宋体"/>
          <w:color w:val="auto"/>
          <w:szCs w:val="21"/>
        </w:rPr>
        <w:br w:type="page"/>
      </w:r>
    </w:p>
    <w:p>
      <w:pPr>
        <w:pStyle w:val="12"/>
        <w:spacing w:line="360" w:lineRule="auto"/>
        <w:jc w:val="center"/>
        <w:rPr>
          <w:rFonts w:asciiTheme="minorEastAsia" w:hAnsiTheme="minorEastAsia" w:eastAsiaTheme="minorEastAsia" w:cstheme="minorEastAsia"/>
          <w:color w:val="auto"/>
        </w:rPr>
      </w:pPr>
      <w:bookmarkStart w:id="1121" w:name="_Toc356423317"/>
      <w:bookmarkStart w:id="1122" w:name="_Toc6170"/>
      <w:r>
        <w:rPr>
          <w:rFonts w:hint="eastAsia" w:asciiTheme="minorEastAsia" w:hAnsiTheme="minorEastAsia" w:eastAsiaTheme="minorEastAsia" w:cstheme="minorEastAsia"/>
          <w:color w:val="auto"/>
        </w:rPr>
        <w:t>（二）磋商函附录</w:t>
      </w:r>
      <w:bookmarkEnd w:id="1121"/>
      <w:bookmarkEnd w:id="1122"/>
      <w:r>
        <w:rPr>
          <w:rFonts w:hint="eastAsia" w:asciiTheme="minorEastAsia" w:hAnsiTheme="minorEastAsia" w:eastAsiaTheme="minorEastAsia" w:cstheme="minorEastAsia"/>
          <w:color w:val="auto"/>
        </w:rPr>
        <w:t>（首次报价）</w:t>
      </w:r>
    </w:p>
    <w:tbl>
      <w:tblPr>
        <w:tblStyle w:val="22"/>
        <w:tblW w:w="88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33"/>
        <w:gridCol w:w="68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33" w:type="dxa"/>
            <w:vAlign w:val="center"/>
          </w:tcPr>
          <w:p>
            <w:pPr>
              <w:spacing w:line="400" w:lineRule="exact"/>
              <w:jc w:val="center"/>
              <w:rPr>
                <w:rFonts w:ascii="宋体" w:hAnsi="宋体"/>
                <w:color w:val="auto"/>
                <w:sz w:val="24"/>
                <w:szCs w:val="24"/>
              </w:rPr>
            </w:pPr>
            <w:r>
              <w:rPr>
                <w:rFonts w:hint="eastAsia" w:ascii="宋体" w:hAnsi="宋体"/>
                <w:color w:val="auto"/>
                <w:sz w:val="24"/>
                <w:szCs w:val="24"/>
              </w:rPr>
              <w:t>项目名称</w:t>
            </w:r>
          </w:p>
        </w:tc>
        <w:tc>
          <w:tcPr>
            <w:tcW w:w="6832" w:type="dxa"/>
            <w:vAlign w:val="center"/>
          </w:tcPr>
          <w:p>
            <w:pPr>
              <w:spacing w:line="400" w:lineRule="exac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33" w:type="dxa"/>
            <w:vAlign w:val="center"/>
          </w:tcPr>
          <w:p>
            <w:pPr>
              <w:spacing w:line="400" w:lineRule="exact"/>
              <w:jc w:val="center"/>
              <w:rPr>
                <w:rFonts w:ascii="宋体" w:hAnsi="宋体"/>
                <w:color w:val="auto"/>
                <w:sz w:val="24"/>
                <w:szCs w:val="24"/>
              </w:rPr>
            </w:pPr>
            <w:r>
              <w:rPr>
                <w:rFonts w:hint="eastAsia" w:ascii="宋体" w:hAnsi="宋体"/>
                <w:color w:val="auto"/>
                <w:sz w:val="24"/>
                <w:szCs w:val="24"/>
              </w:rPr>
              <w:t>供应商名称</w:t>
            </w:r>
          </w:p>
        </w:tc>
        <w:tc>
          <w:tcPr>
            <w:tcW w:w="6832" w:type="dxa"/>
            <w:vAlign w:val="center"/>
          </w:tcPr>
          <w:p>
            <w:pPr>
              <w:widowControl/>
              <w:spacing w:line="360" w:lineRule="auto"/>
              <w:jc w:val="left"/>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63" w:hRule="atLeast"/>
          <w:jc w:val="center"/>
        </w:trPr>
        <w:tc>
          <w:tcPr>
            <w:tcW w:w="2033" w:type="dxa"/>
            <w:vAlign w:val="center"/>
          </w:tcPr>
          <w:p>
            <w:pPr>
              <w:spacing w:line="400" w:lineRule="exact"/>
              <w:jc w:val="center"/>
              <w:rPr>
                <w:rFonts w:ascii="宋体" w:hAnsi="宋体"/>
                <w:bCs/>
                <w:color w:val="auto"/>
                <w:sz w:val="24"/>
                <w:szCs w:val="24"/>
              </w:rPr>
            </w:pPr>
            <w:r>
              <w:rPr>
                <w:rFonts w:hint="eastAsia" w:ascii="宋体" w:hAnsi="宋体"/>
                <w:bCs/>
                <w:color w:val="auto"/>
                <w:sz w:val="24"/>
                <w:szCs w:val="24"/>
              </w:rPr>
              <w:t>投标报价</w:t>
            </w:r>
          </w:p>
        </w:tc>
        <w:tc>
          <w:tcPr>
            <w:tcW w:w="6832" w:type="dxa"/>
            <w:vAlign w:val="center"/>
          </w:tcPr>
          <w:p>
            <w:pPr>
              <w:spacing w:line="520" w:lineRule="exact"/>
              <w:jc w:val="left"/>
              <w:rPr>
                <w:rFonts w:ascii="宋体" w:hAnsi="宋体"/>
                <w:color w:val="auto"/>
                <w:sz w:val="24"/>
                <w:szCs w:val="24"/>
              </w:rPr>
            </w:pPr>
            <w:r>
              <w:rPr>
                <w:rFonts w:hint="eastAsia" w:ascii="宋体" w:hAnsi="宋体"/>
                <w:color w:val="auto"/>
                <w:sz w:val="24"/>
                <w:szCs w:val="24"/>
              </w:rPr>
              <w:t>投标总价：（大写）</w:t>
            </w:r>
            <w:r>
              <w:rPr>
                <w:rFonts w:hint="eastAsia" w:ascii="宋体" w:hAnsi="宋体"/>
                <w:color w:val="auto"/>
                <w:sz w:val="24"/>
                <w:szCs w:val="24"/>
                <w:u w:val="single"/>
                <w:lang w:eastAsia="zh-CN"/>
              </w:rPr>
              <w:t xml:space="preserve">             </w:t>
            </w:r>
            <w:r>
              <w:rPr>
                <w:rFonts w:hint="eastAsia" w:ascii="宋体" w:hAnsi="宋体"/>
                <w:color w:val="auto"/>
                <w:sz w:val="24"/>
                <w:szCs w:val="24"/>
              </w:rPr>
              <w:t>元，（小写）</w:t>
            </w:r>
            <w:r>
              <w:rPr>
                <w:rFonts w:hint="eastAsia" w:ascii="宋体" w:hAnsi="宋体"/>
                <w:color w:val="auto"/>
                <w:sz w:val="24"/>
                <w:szCs w:val="24"/>
                <w:u w:val="single"/>
                <w:lang w:eastAsia="zh-CN"/>
              </w:rPr>
              <w:t xml:space="preserve">       </w:t>
            </w:r>
            <w:r>
              <w:rPr>
                <w:rFonts w:hint="eastAsia" w:ascii="宋体" w:hAnsi="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33" w:type="dxa"/>
            <w:vAlign w:val="center"/>
          </w:tcPr>
          <w:p>
            <w:pPr>
              <w:spacing w:line="400" w:lineRule="exact"/>
              <w:jc w:val="center"/>
              <w:rPr>
                <w:rFonts w:ascii="宋体" w:hAnsi="宋体"/>
                <w:bCs/>
                <w:color w:val="auto"/>
                <w:sz w:val="24"/>
                <w:szCs w:val="24"/>
              </w:rPr>
            </w:pPr>
            <w:r>
              <w:rPr>
                <w:rFonts w:hint="eastAsia" w:ascii="宋体" w:hAnsi="宋体"/>
                <w:bCs/>
                <w:color w:val="auto"/>
                <w:sz w:val="24"/>
                <w:szCs w:val="24"/>
              </w:rPr>
              <w:t>服务期限</w:t>
            </w:r>
          </w:p>
        </w:tc>
        <w:tc>
          <w:tcPr>
            <w:tcW w:w="6832" w:type="dxa"/>
            <w:vAlign w:val="center"/>
          </w:tcPr>
          <w:p>
            <w:pPr>
              <w:spacing w:line="400" w:lineRule="exac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33" w:type="dxa"/>
            <w:vAlign w:val="center"/>
          </w:tcPr>
          <w:p>
            <w:pPr>
              <w:spacing w:line="400" w:lineRule="exact"/>
              <w:jc w:val="center"/>
              <w:rPr>
                <w:rFonts w:ascii="宋体" w:hAnsi="宋体"/>
                <w:color w:val="auto"/>
                <w:sz w:val="24"/>
                <w:szCs w:val="24"/>
              </w:rPr>
            </w:pPr>
            <w:r>
              <w:rPr>
                <w:rFonts w:hint="eastAsia" w:ascii="宋体" w:hAnsi="宋体" w:cs="宋体"/>
                <w:color w:val="auto"/>
                <w:kern w:val="0"/>
                <w:sz w:val="24"/>
                <w:szCs w:val="24"/>
              </w:rPr>
              <w:t>服务质量</w:t>
            </w:r>
          </w:p>
        </w:tc>
        <w:tc>
          <w:tcPr>
            <w:tcW w:w="6832" w:type="dxa"/>
            <w:vAlign w:val="center"/>
          </w:tcPr>
          <w:p>
            <w:pPr>
              <w:spacing w:line="400" w:lineRule="exac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33" w:type="dxa"/>
            <w:vAlign w:val="center"/>
          </w:tcPr>
          <w:p>
            <w:pPr>
              <w:spacing w:line="400" w:lineRule="exact"/>
              <w:jc w:val="center"/>
              <w:rPr>
                <w:rFonts w:ascii="宋体" w:hAnsi="宋体"/>
                <w:color w:val="auto"/>
                <w:sz w:val="24"/>
                <w:szCs w:val="24"/>
                <w:highlight w:val="green"/>
              </w:rPr>
            </w:pPr>
            <w:r>
              <w:rPr>
                <w:rFonts w:hint="eastAsia" w:ascii="宋体" w:hAnsi="宋体" w:cs="宋体"/>
                <w:color w:val="auto"/>
                <w:kern w:val="0"/>
                <w:sz w:val="24"/>
                <w:szCs w:val="24"/>
              </w:rPr>
              <w:t>投标有效期</w:t>
            </w:r>
          </w:p>
        </w:tc>
        <w:tc>
          <w:tcPr>
            <w:tcW w:w="6832" w:type="dxa"/>
            <w:vAlign w:val="center"/>
          </w:tcPr>
          <w:p>
            <w:pPr>
              <w:spacing w:line="400" w:lineRule="exact"/>
              <w:jc w:val="center"/>
              <w:rPr>
                <w:rFonts w:ascii="宋体" w:hAnsi="宋体"/>
                <w:color w:val="auto"/>
                <w:sz w:val="24"/>
                <w:szCs w:val="24"/>
                <w:highlight w:val="gree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33" w:type="dxa"/>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需要说明的问题</w:t>
            </w:r>
          </w:p>
        </w:tc>
        <w:tc>
          <w:tcPr>
            <w:tcW w:w="6832" w:type="dxa"/>
            <w:vAlign w:val="center"/>
          </w:tcPr>
          <w:p>
            <w:pPr>
              <w:spacing w:line="400" w:lineRule="exact"/>
              <w:jc w:val="center"/>
              <w:rPr>
                <w:rFonts w:ascii="宋体" w:hAnsi="宋体"/>
                <w:color w:val="auto"/>
                <w:sz w:val="24"/>
                <w:szCs w:val="24"/>
                <w:highlight w:val="green"/>
              </w:rPr>
            </w:pPr>
          </w:p>
        </w:tc>
      </w:tr>
    </w:tbl>
    <w:p>
      <w:pPr>
        <w:spacing w:line="400" w:lineRule="exact"/>
        <w:rPr>
          <w:rFonts w:ascii="宋体" w:hAnsi="宋体"/>
          <w:color w:val="auto"/>
          <w:szCs w:val="21"/>
        </w:rPr>
      </w:pPr>
    </w:p>
    <w:p>
      <w:pPr>
        <w:spacing w:line="400" w:lineRule="exact"/>
        <w:rPr>
          <w:rFonts w:ascii="宋体" w:hAnsi="宋体"/>
          <w:color w:val="auto"/>
          <w:szCs w:val="21"/>
        </w:rPr>
      </w:pPr>
    </w:p>
    <w:p>
      <w:pPr>
        <w:spacing w:line="400" w:lineRule="exact"/>
        <w:rPr>
          <w:rFonts w:ascii="宋体" w:hAnsi="宋体"/>
          <w:color w:val="auto"/>
          <w:szCs w:val="21"/>
        </w:rPr>
      </w:pPr>
    </w:p>
    <w:p>
      <w:pPr>
        <w:pStyle w:val="20"/>
        <w:spacing w:line="360" w:lineRule="auto"/>
        <w:ind w:firstLine="4080" w:firstLineChars="1700"/>
        <w:rPr>
          <w:rFonts w:hint="eastAsia" w:ascii="宋体" w:hAnsi="宋体" w:cs="宋体"/>
          <w:color w:val="auto"/>
        </w:rPr>
      </w:pPr>
      <w:bookmarkStart w:id="1123" w:name="_Toc213751179"/>
      <w:bookmarkStart w:id="1124" w:name="_Toc12118376"/>
      <w:bookmarkStart w:id="1125" w:name="_Toc75917310"/>
      <w:bookmarkStart w:id="1126" w:name="_Toc46738293"/>
      <w:bookmarkStart w:id="1127" w:name="_Toc213838331"/>
      <w:bookmarkStart w:id="1128" w:name="_Toc214105753"/>
      <w:bookmarkStart w:id="1129" w:name="_Toc46738159"/>
      <w:bookmarkStart w:id="1130" w:name="_Toc46738420"/>
      <w:r>
        <w:rPr>
          <w:rFonts w:hint="eastAsia" w:ascii="宋体" w:hAnsi="宋体" w:cs="宋体"/>
          <w:color w:val="auto"/>
        </w:rPr>
        <w:t>供应商：（电子签章）</w:t>
      </w:r>
    </w:p>
    <w:p>
      <w:pPr>
        <w:pStyle w:val="20"/>
        <w:spacing w:line="360" w:lineRule="auto"/>
        <w:ind w:firstLine="4080" w:firstLineChars="1700"/>
        <w:rPr>
          <w:rFonts w:hint="eastAsia" w:ascii="宋体" w:hAnsi="宋体" w:cs="宋体"/>
          <w:color w:val="auto"/>
        </w:rPr>
      </w:pPr>
      <w:r>
        <w:rPr>
          <w:rFonts w:hint="eastAsia" w:ascii="宋体" w:hAnsi="宋体" w:cs="宋体"/>
          <w:color w:val="auto"/>
        </w:rPr>
        <w:t>法定代表人：（电子签章）</w:t>
      </w:r>
    </w:p>
    <w:p>
      <w:pPr>
        <w:pStyle w:val="20"/>
        <w:spacing w:line="360" w:lineRule="auto"/>
        <w:ind w:firstLine="4080" w:firstLineChars="1700"/>
        <w:rPr>
          <w:rFonts w:hint="eastAsia" w:ascii="宋体" w:hAnsi="宋体" w:cs="宋体"/>
          <w:color w:val="auto"/>
        </w:rPr>
      </w:pPr>
      <w:r>
        <w:rPr>
          <w:rFonts w:hint="eastAsia" w:ascii="宋体" w:hAnsi="宋体" w:cs="宋体"/>
          <w:color w:val="auto"/>
        </w:rPr>
        <w:t>日</w:t>
      </w:r>
      <w:r>
        <w:rPr>
          <w:rFonts w:hint="eastAsia" w:ascii="宋体" w:hAnsi="宋体" w:cs="宋体"/>
          <w:color w:val="auto"/>
          <w:lang w:eastAsia="zh-CN"/>
        </w:rPr>
        <w:t xml:space="preserve">   </w:t>
      </w:r>
      <w:r>
        <w:rPr>
          <w:rFonts w:hint="eastAsia" w:ascii="宋体" w:hAnsi="宋体" w:cs="宋体"/>
          <w:color w:val="auto"/>
        </w:rPr>
        <w:t>期：</w:t>
      </w:r>
      <w:r>
        <w:rPr>
          <w:rFonts w:hint="eastAsia" w:ascii="宋体" w:hAnsi="宋体" w:cs="宋体"/>
          <w:color w:val="auto"/>
          <w:lang w:eastAsia="zh-CN"/>
        </w:rPr>
        <w:t xml:space="preserve">    </w:t>
      </w:r>
      <w:r>
        <w:rPr>
          <w:rFonts w:hint="eastAsia" w:ascii="宋体" w:hAnsi="宋体" w:cs="宋体"/>
          <w:color w:val="auto"/>
        </w:rPr>
        <w:t>年</w:t>
      </w:r>
      <w:r>
        <w:rPr>
          <w:rFonts w:hint="eastAsia" w:ascii="宋体" w:hAnsi="宋体" w:cs="宋体"/>
          <w:color w:val="auto"/>
          <w:lang w:eastAsia="zh-CN"/>
        </w:rPr>
        <w:t xml:space="preserve">    </w:t>
      </w:r>
      <w:r>
        <w:rPr>
          <w:rFonts w:hint="eastAsia" w:ascii="宋体" w:hAnsi="宋体" w:cs="宋体"/>
          <w:color w:val="auto"/>
        </w:rPr>
        <w:t>月</w:t>
      </w:r>
      <w:r>
        <w:rPr>
          <w:rFonts w:hint="eastAsia" w:ascii="宋体" w:hAnsi="宋体" w:cs="宋体"/>
          <w:color w:val="auto"/>
          <w:lang w:eastAsia="zh-CN"/>
        </w:rPr>
        <w:t xml:space="preserve">    </w:t>
      </w:r>
      <w:r>
        <w:rPr>
          <w:rFonts w:hint="eastAsia" w:ascii="宋体" w:hAnsi="宋体" w:cs="宋体"/>
          <w:color w:val="auto"/>
        </w:rPr>
        <w:t>日</w:t>
      </w:r>
    </w:p>
    <w:p>
      <w:pPr>
        <w:spacing w:line="360" w:lineRule="auto"/>
        <w:jc w:val="center"/>
        <w:rPr>
          <w:rFonts w:ascii="宋体" w:hAnsi="宋体" w:cs="Arial Unicode MS"/>
          <w:bCs/>
          <w:color w:val="auto"/>
          <w:szCs w:val="21"/>
        </w:rPr>
      </w:pPr>
    </w:p>
    <w:p>
      <w:pPr>
        <w:spacing w:line="400" w:lineRule="exact"/>
        <w:ind w:right="701" w:rightChars="334"/>
        <w:rPr>
          <w:rFonts w:ascii="宋体" w:hAnsi="宋体"/>
          <w:color w:val="auto"/>
          <w:szCs w:val="21"/>
        </w:rPr>
      </w:pPr>
      <w:r>
        <w:rPr>
          <w:rFonts w:ascii="宋体" w:hAnsi="宋体"/>
          <w:b/>
          <w:color w:val="auto"/>
          <w:sz w:val="24"/>
        </w:rPr>
        <w:br w:type="page"/>
      </w:r>
    </w:p>
    <w:p>
      <w:pPr>
        <w:pStyle w:val="8"/>
        <w:jc w:val="center"/>
        <w:rPr>
          <w:rFonts w:ascii="宋体" w:hAnsi="宋体"/>
          <w:color w:val="auto"/>
        </w:rPr>
      </w:pPr>
      <w:bookmarkStart w:id="1131" w:name="_Toc356423318"/>
      <w:bookmarkStart w:id="1132" w:name="_Toc23361"/>
      <w:bookmarkStart w:id="1133" w:name="_Toc2112"/>
      <w:bookmarkStart w:id="1134" w:name="_Toc27538"/>
      <w:r>
        <w:rPr>
          <w:rFonts w:hint="eastAsia" w:ascii="宋体" w:hAnsi="宋体"/>
          <w:color w:val="auto"/>
        </w:rPr>
        <w:t>二、法定代表人身份证明</w:t>
      </w:r>
      <w:bookmarkEnd w:id="1131"/>
      <w:bookmarkEnd w:id="1132"/>
      <w:bookmarkEnd w:id="1133"/>
      <w:bookmarkEnd w:id="1134"/>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eastAsia="zh-CN"/>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单位性质：</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eastAsia="zh-CN"/>
        </w:rPr>
        <w:t xml:space="preserve">  </w:t>
      </w:r>
      <w:r>
        <w:rPr>
          <w:rFonts w:hint="eastAsia" w:ascii="宋体" w:hAnsi="宋体" w:eastAsia="宋体" w:cs="宋体"/>
          <w:color w:val="auto"/>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eastAsia="zh-CN"/>
        </w:rPr>
        <w:t xml:space="preserve">  </w:t>
      </w:r>
      <w:r>
        <w:rPr>
          <w:rFonts w:hint="eastAsia" w:ascii="宋体" w:hAnsi="宋体" w:eastAsia="宋体" w:cs="宋体"/>
          <w:color w:val="auto"/>
          <w:kern w:val="0"/>
          <w:sz w:val="24"/>
          <w:szCs w:val="24"/>
        </w:rPr>
        <w:t>址：</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eastAsia="zh-CN"/>
        </w:rPr>
        <w:t xml:space="preserve">  </w:t>
      </w:r>
      <w:r>
        <w:rPr>
          <w:rFonts w:hint="eastAsia" w:ascii="宋体" w:hAnsi="宋体" w:eastAsia="宋体" w:cs="宋体"/>
          <w:color w:val="auto"/>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rPr>
        <w:t>日</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eastAsia="zh-CN"/>
        </w:rPr>
        <w:t xml:space="preserve">  </w:t>
      </w:r>
      <w:r>
        <w:rPr>
          <w:rFonts w:hint="eastAsia" w:ascii="宋体" w:hAnsi="宋体" w:eastAsia="宋体" w:cs="宋体"/>
          <w:color w:val="auto"/>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rPr>
        <w:t>性别：</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rPr>
        <w:t>年龄：</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rPr>
        <w:t>职务：</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rPr>
        <w:t>系</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u w:val="single"/>
        </w:rPr>
        <w:t>（供应商名称）</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rPr>
        <w:t>的法定代表人。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rPr>
      </w:pP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rPr>
      </w:pPr>
    </w:p>
    <w:p>
      <w:pPr>
        <w:pStyle w:val="20"/>
        <w:spacing w:line="360" w:lineRule="auto"/>
        <w:ind w:firstLine="4080" w:firstLineChars="1700"/>
        <w:rPr>
          <w:rFonts w:hint="eastAsia" w:ascii="宋体" w:hAnsi="宋体" w:eastAsia="宋体" w:cs="宋体"/>
          <w:color w:val="auto"/>
          <w:sz w:val="24"/>
          <w:szCs w:val="24"/>
        </w:rPr>
      </w:pPr>
      <w:r>
        <w:rPr>
          <w:rFonts w:hint="eastAsia" w:ascii="宋体" w:hAnsi="宋体" w:eastAsia="宋体" w:cs="宋体"/>
          <w:color w:val="auto"/>
          <w:sz w:val="24"/>
          <w:szCs w:val="24"/>
        </w:rPr>
        <w:t>供应商：（电子签章）</w:t>
      </w:r>
    </w:p>
    <w:p>
      <w:pPr>
        <w:pStyle w:val="20"/>
        <w:spacing w:line="360" w:lineRule="auto"/>
        <w:ind w:firstLine="4080" w:firstLineChars="1700"/>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日</w:t>
      </w:r>
    </w:p>
    <w:p>
      <w:pPr>
        <w:keepNext/>
        <w:keepLines/>
        <w:spacing w:line="416" w:lineRule="auto"/>
        <w:jc w:val="left"/>
        <w:rPr>
          <w:rFonts w:ascii="宋体" w:hAnsi="宋体"/>
          <w:color w:val="auto"/>
          <w:szCs w:val="21"/>
        </w:rPr>
      </w:pPr>
      <w:r>
        <w:rPr>
          <w:rFonts w:ascii="宋体" w:hAnsi="宋体"/>
          <w:color w:val="auto"/>
          <w:szCs w:val="21"/>
        </w:rPr>
        <w:br w:type="page"/>
      </w:r>
      <w:bookmarkEnd w:id="1123"/>
      <w:bookmarkEnd w:id="1124"/>
      <w:bookmarkEnd w:id="1125"/>
      <w:bookmarkEnd w:id="1126"/>
      <w:bookmarkEnd w:id="1127"/>
      <w:bookmarkEnd w:id="1128"/>
      <w:bookmarkEnd w:id="1129"/>
      <w:bookmarkEnd w:id="1130"/>
      <w:bookmarkStart w:id="1135" w:name="_Toc356423319"/>
      <w:bookmarkStart w:id="1136" w:name="_Toc354003526"/>
    </w:p>
    <w:bookmarkEnd w:id="1135"/>
    <w:bookmarkEnd w:id="1136"/>
    <w:p>
      <w:pPr>
        <w:pStyle w:val="8"/>
        <w:jc w:val="center"/>
        <w:rPr>
          <w:rFonts w:ascii="宋体" w:hAnsi="宋体"/>
          <w:color w:val="auto"/>
        </w:rPr>
      </w:pPr>
      <w:bookmarkStart w:id="1137" w:name="_Toc25626"/>
      <w:bookmarkStart w:id="1138" w:name="_Toc28242"/>
      <w:bookmarkStart w:id="1139" w:name="_Toc29597"/>
      <w:bookmarkStart w:id="1140" w:name="_Toc26339"/>
      <w:bookmarkStart w:id="1141" w:name="_Toc3912"/>
      <w:bookmarkStart w:id="1142" w:name="_Toc7030"/>
      <w:bookmarkStart w:id="1143" w:name="_Toc356423321"/>
      <w:r>
        <w:rPr>
          <w:rFonts w:hint="eastAsia" w:ascii="宋体" w:hAnsi="宋体"/>
          <w:color w:val="auto"/>
        </w:rPr>
        <w:t>三、法定代表人授权委托书</w:t>
      </w:r>
      <w:bookmarkEnd w:id="1137"/>
      <w:bookmarkEnd w:id="1138"/>
      <w:bookmarkEnd w:id="1139"/>
      <w:bookmarkEnd w:id="1140"/>
      <w:bookmarkEnd w:id="114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cs="宋体"/>
          <w:color w:val="auto"/>
          <w:sz w:val="24"/>
          <w:szCs w:val="24"/>
          <w:u w:val="single"/>
          <w:lang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（姓名）系</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（供应商名称）的法定代表人，现委托（姓名）为我方代理人。代理人根据授权，以我方名义签署、澄清、说明、补正、递交、撤回、修改</w:t>
      </w:r>
      <w:r>
        <w:rPr>
          <w:rFonts w:hint="eastAsia" w:ascii="宋体" w:hAnsi="宋体" w:cs="宋体"/>
          <w:color w:val="auto"/>
          <w:sz w:val="24"/>
          <w:szCs w:val="24"/>
          <w:u w:val="single"/>
          <w:lang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（项目名称）响应文件、签订合同和处理有关事宜，其法律后果由我方承担。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委托期限：</w:t>
      </w:r>
      <w:r>
        <w:rPr>
          <w:rFonts w:hint="eastAsia" w:ascii="宋体" w:hAnsi="宋体" w:cs="宋体"/>
          <w:color w:val="auto"/>
          <w:sz w:val="24"/>
          <w:szCs w:val="24"/>
          <w:u w:val="single"/>
          <w:lang w:eastAsia="zh-CN"/>
        </w:rPr>
        <w:t xml:space="preserve">                           </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bookmarkStart w:id="1144" w:name="_Toc16621"/>
      <w:bookmarkStart w:id="1145" w:name="_Toc1307"/>
      <w:r>
        <w:rPr>
          <w:rFonts w:hint="eastAsia" w:ascii="宋体" w:hAnsi="宋体" w:eastAsia="宋体" w:cs="宋体"/>
          <w:color w:val="auto"/>
          <w:sz w:val="24"/>
          <w:szCs w:val="24"/>
        </w:rPr>
        <w:t>附：法定代表人、委托代理人身份证扫描件</w:t>
      </w:r>
      <w:bookmarkEnd w:id="1144"/>
      <w:bookmarkEnd w:id="1145"/>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569" w:firstLineChars="1904"/>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应</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商：</w:t>
      </w:r>
      <w:r>
        <w:rPr>
          <w:rFonts w:hint="eastAsia" w:ascii="宋体" w:hAnsi="宋体" w:cs="宋体"/>
          <w:color w:val="auto"/>
          <w:sz w:val="24"/>
          <w:szCs w:val="24"/>
          <w:u w:val="single"/>
          <w:lang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电子签章</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569" w:firstLineChars="1904"/>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cs="宋体"/>
          <w:color w:val="auto"/>
          <w:sz w:val="24"/>
          <w:szCs w:val="24"/>
          <w:u w:val="single"/>
          <w:lang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电子签章</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569" w:firstLineChars="1904"/>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身份证号码：</w:t>
      </w:r>
      <w:r>
        <w:rPr>
          <w:rFonts w:hint="eastAsia" w:ascii="宋体" w:hAnsi="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569" w:firstLineChars="1904"/>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cs="宋体"/>
          <w:color w:val="auto"/>
          <w:sz w:val="24"/>
          <w:szCs w:val="24"/>
          <w:u w:val="single"/>
          <w:lang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 xml:space="preserve">   </w:t>
      </w:r>
      <w:r>
        <w:rPr>
          <w:rFonts w:hint="eastAsia" w:ascii="宋体" w:hAnsi="宋体" w:eastAsia="宋体" w:cs="宋体"/>
          <w:color w:val="auto"/>
          <w:sz w:val="24"/>
          <w:szCs w:val="24"/>
        </w:rPr>
        <w:t>（签字或盖章）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569" w:firstLineChars="1904"/>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569" w:firstLineChars="1904"/>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cs="宋体"/>
          <w:color w:val="auto"/>
          <w:sz w:val="24"/>
          <w:szCs w:val="24"/>
          <w:lang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cs="宋体"/>
          <w:color w:val="auto"/>
          <w:sz w:val="24"/>
          <w:szCs w:val="24"/>
          <w:u w:val="single"/>
          <w:lang w:eastAsia="zh-CN"/>
        </w:rPr>
        <w:t xml:space="preserve">     </w:t>
      </w:r>
      <w:r>
        <w:rPr>
          <w:rFonts w:hint="eastAsia" w:ascii="宋体" w:hAnsi="宋体" w:eastAsia="宋体" w:cs="宋体"/>
          <w:color w:val="auto"/>
          <w:sz w:val="24"/>
          <w:szCs w:val="24"/>
        </w:rPr>
        <w:t>年</w:t>
      </w:r>
      <w:r>
        <w:rPr>
          <w:rFonts w:hint="eastAsia" w:ascii="宋体" w:hAnsi="宋体" w:cs="宋体"/>
          <w:color w:val="auto"/>
          <w:sz w:val="24"/>
          <w:szCs w:val="24"/>
          <w:u w:val="single"/>
          <w:lang w:eastAsia="zh-CN"/>
        </w:rPr>
        <w:t xml:space="preserve">     </w:t>
      </w:r>
      <w:r>
        <w:rPr>
          <w:rFonts w:hint="eastAsia" w:ascii="宋体" w:hAnsi="宋体" w:eastAsia="宋体" w:cs="宋体"/>
          <w:color w:val="auto"/>
          <w:sz w:val="24"/>
          <w:szCs w:val="24"/>
        </w:rPr>
        <w:t>月</w:t>
      </w:r>
      <w:r>
        <w:rPr>
          <w:rFonts w:hint="eastAsia" w:ascii="宋体" w:hAnsi="宋体" w:cs="宋体"/>
          <w:color w:val="auto"/>
          <w:sz w:val="24"/>
          <w:szCs w:val="24"/>
          <w:u w:val="single"/>
          <w:lang w:eastAsia="zh-CN"/>
        </w:rPr>
        <w:t xml:space="preserve">     </w:t>
      </w:r>
      <w:r>
        <w:rPr>
          <w:rFonts w:hint="eastAsia" w:ascii="宋体" w:hAnsi="宋体" w:eastAsia="宋体" w:cs="宋体"/>
          <w:color w:val="auto"/>
          <w:sz w:val="24"/>
          <w:szCs w:val="24"/>
        </w:rPr>
        <w:t>日</w:t>
      </w:r>
    </w:p>
    <w:p>
      <w:pPr>
        <w:jc w:val="left"/>
        <w:rPr>
          <w:rFonts w:ascii="宋体" w:hAnsi="宋体"/>
          <w:color w:val="auto"/>
        </w:rPr>
      </w:pPr>
      <w:r>
        <w:rPr>
          <w:rFonts w:hint="eastAsia" w:ascii="宋体" w:hAnsi="宋体"/>
          <w:color w:val="auto"/>
        </w:rPr>
        <w:br w:type="page"/>
      </w:r>
    </w:p>
    <w:p>
      <w:pPr>
        <w:pStyle w:val="8"/>
        <w:jc w:val="center"/>
        <w:rPr>
          <w:rFonts w:ascii="宋体" w:hAnsi="宋体"/>
          <w:color w:val="auto"/>
        </w:rPr>
      </w:pPr>
      <w:bookmarkStart w:id="1146" w:name="_Toc16172"/>
      <w:bookmarkStart w:id="1147" w:name="_Toc10435"/>
      <w:r>
        <w:rPr>
          <w:rFonts w:hint="eastAsia" w:ascii="宋体" w:hAnsi="宋体"/>
          <w:color w:val="auto"/>
        </w:rPr>
        <w:t>四、</w:t>
      </w:r>
      <w:bookmarkEnd w:id="1142"/>
      <w:bookmarkEnd w:id="1143"/>
      <w:bookmarkStart w:id="1148" w:name="_Toc281574059"/>
      <w:bookmarkStart w:id="1149" w:name="_Toc259707344"/>
      <w:bookmarkStart w:id="1150" w:name="_Toc191983703"/>
      <w:r>
        <w:rPr>
          <w:rFonts w:hint="eastAsia" w:ascii="宋体" w:hAnsi="宋体"/>
          <w:color w:val="auto"/>
        </w:rPr>
        <w:t>资格审查资料</w:t>
      </w:r>
      <w:bookmarkEnd w:id="1146"/>
      <w:bookmarkEnd w:id="1147"/>
    </w:p>
    <w:bookmarkEnd w:id="1148"/>
    <w:bookmarkEnd w:id="1149"/>
    <w:bookmarkEnd w:id="1150"/>
    <w:p>
      <w:pPr>
        <w:numPr>
          <w:ilvl w:val="0"/>
          <w:numId w:val="3"/>
        </w:numPr>
        <w:autoSpaceDE w:val="0"/>
        <w:autoSpaceDN w:val="0"/>
        <w:adjustRightInd w:val="0"/>
        <w:spacing w:line="360" w:lineRule="auto"/>
        <w:jc w:val="left"/>
        <w:rPr>
          <w:rFonts w:ascii="宋体" w:hAnsi="宋体" w:cs="宋体"/>
          <w:color w:val="auto"/>
          <w:kern w:val="0"/>
          <w:sz w:val="28"/>
          <w:szCs w:val="28"/>
        </w:rPr>
      </w:pPr>
      <w:r>
        <w:rPr>
          <w:rFonts w:hint="eastAsia" w:ascii="宋体" w:hAnsi="宋体" w:cs="宋体"/>
          <w:color w:val="auto"/>
          <w:kern w:val="0"/>
          <w:sz w:val="28"/>
          <w:szCs w:val="28"/>
        </w:rPr>
        <w:t>供应商基本情况表（以下格式仅供参考）</w:t>
      </w:r>
    </w:p>
    <w:tbl>
      <w:tblPr>
        <w:tblStyle w:val="22"/>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331"/>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供应商名称</w:t>
            </w:r>
          </w:p>
        </w:tc>
        <w:tc>
          <w:tcPr>
            <w:tcW w:w="7761" w:type="dxa"/>
            <w:gridSpan w:val="7"/>
            <w:vAlign w:val="center"/>
          </w:tcPr>
          <w:p>
            <w:pPr>
              <w:autoSpaceDE w:val="0"/>
              <w:autoSpaceDN w:val="0"/>
              <w:adjustRightInd w:val="0"/>
              <w:spacing w:line="360" w:lineRule="auto"/>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注册地址</w:t>
            </w:r>
          </w:p>
        </w:tc>
        <w:tc>
          <w:tcPr>
            <w:tcW w:w="3768" w:type="dxa"/>
            <w:gridSpan w:val="3"/>
            <w:vAlign w:val="center"/>
          </w:tcPr>
          <w:p>
            <w:pPr>
              <w:autoSpaceDE w:val="0"/>
              <w:autoSpaceDN w:val="0"/>
              <w:adjustRightInd w:val="0"/>
              <w:spacing w:line="360" w:lineRule="auto"/>
              <w:jc w:val="center"/>
              <w:rPr>
                <w:rFonts w:ascii="宋体" w:hAnsi="宋体" w:cs="宋体"/>
                <w:color w:val="auto"/>
                <w:kern w:val="0"/>
                <w:sz w:val="24"/>
              </w:rPr>
            </w:pPr>
          </w:p>
        </w:tc>
        <w:tc>
          <w:tcPr>
            <w:tcW w:w="1331" w:type="dxa"/>
            <w:gridSpan w:val="2"/>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邮政编码</w:t>
            </w:r>
          </w:p>
        </w:tc>
        <w:tc>
          <w:tcPr>
            <w:tcW w:w="2662" w:type="dxa"/>
            <w:gridSpan w:val="2"/>
            <w:vAlign w:val="center"/>
          </w:tcPr>
          <w:p>
            <w:pPr>
              <w:autoSpaceDE w:val="0"/>
              <w:autoSpaceDN w:val="0"/>
              <w:adjustRightInd w:val="0"/>
              <w:spacing w:line="360" w:lineRule="auto"/>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Merge w:val="restart"/>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联系方式</w:t>
            </w:r>
          </w:p>
        </w:tc>
        <w:tc>
          <w:tcPr>
            <w:tcW w:w="1107"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联系人</w:t>
            </w:r>
          </w:p>
        </w:tc>
        <w:tc>
          <w:tcPr>
            <w:tcW w:w="2661" w:type="dxa"/>
            <w:gridSpan w:val="2"/>
            <w:vAlign w:val="center"/>
          </w:tcPr>
          <w:p>
            <w:pPr>
              <w:autoSpaceDE w:val="0"/>
              <w:autoSpaceDN w:val="0"/>
              <w:adjustRightInd w:val="0"/>
              <w:spacing w:line="360" w:lineRule="auto"/>
              <w:jc w:val="center"/>
              <w:rPr>
                <w:rFonts w:ascii="宋体" w:hAnsi="宋体" w:cs="宋体"/>
                <w:color w:val="auto"/>
                <w:kern w:val="0"/>
                <w:sz w:val="24"/>
              </w:rPr>
            </w:pPr>
          </w:p>
        </w:tc>
        <w:tc>
          <w:tcPr>
            <w:tcW w:w="1331" w:type="dxa"/>
            <w:gridSpan w:val="2"/>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电</w:t>
            </w:r>
            <w:r>
              <w:rPr>
                <w:rFonts w:hint="eastAsia" w:ascii="宋体" w:hAnsi="宋体" w:cs="宋体"/>
                <w:color w:val="auto"/>
                <w:kern w:val="0"/>
                <w:szCs w:val="21"/>
                <w:lang w:eastAsia="zh-CN"/>
              </w:rPr>
              <w:t xml:space="preserve"> </w:t>
            </w:r>
            <w:r>
              <w:rPr>
                <w:rFonts w:hint="eastAsia" w:ascii="宋体" w:hAnsi="宋体" w:cs="宋体"/>
                <w:color w:val="auto"/>
                <w:kern w:val="0"/>
                <w:szCs w:val="21"/>
              </w:rPr>
              <w:t>话</w:t>
            </w:r>
          </w:p>
        </w:tc>
        <w:tc>
          <w:tcPr>
            <w:tcW w:w="2662" w:type="dxa"/>
            <w:gridSpan w:val="2"/>
            <w:vAlign w:val="center"/>
          </w:tcPr>
          <w:p>
            <w:pPr>
              <w:autoSpaceDE w:val="0"/>
              <w:autoSpaceDN w:val="0"/>
              <w:adjustRightInd w:val="0"/>
              <w:spacing w:line="360" w:lineRule="auto"/>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552" w:type="dxa"/>
            <w:vMerge w:val="continue"/>
            <w:vAlign w:val="center"/>
          </w:tcPr>
          <w:p>
            <w:pPr>
              <w:autoSpaceDE w:val="0"/>
              <w:autoSpaceDN w:val="0"/>
              <w:adjustRightInd w:val="0"/>
              <w:spacing w:line="360" w:lineRule="auto"/>
              <w:jc w:val="center"/>
              <w:rPr>
                <w:rFonts w:ascii="宋体" w:hAnsi="宋体" w:cs="宋体"/>
                <w:color w:val="auto"/>
                <w:kern w:val="0"/>
                <w:sz w:val="24"/>
              </w:rPr>
            </w:pPr>
          </w:p>
        </w:tc>
        <w:tc>
          <w:tcPr>
            <w:tcW w:w="1107"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传</w:t>
            </w:r>
            <w:r>
              <w:rPr>
                <w:rFonts w:hint="eastAsia" w:ascii="宋体" w:hAnsi="宋体" w:cs="宋体"/>
                <w:color w:val="auto"/>
                <w:kern w:val="0"/>
                <w:szCs w:val="21"/>
                <w:lang w:eastAsia="zh-CN"/>
              </w:rPr>
              <w:t xml:space="preserve">  </w:t>
            </w:r>
            <w:r>
              <w:rPr>
                <w:rFonts w:hint="eastAsia" w:ascii="宋体" w:hAnsi="宋体" w:cs="宋体"/>
                <w:color w:val="auto"/>
                <w:kern w:val="0"/>
                <w:szCs w:val="21"/>
              </w:rPr>
              <w:t>真</w:t>
            </w:r>
          </w:p>
        </w:tc>
        <w:tc>
          <w:tcPr>
            <w:tcW w:w="2661" w:type="dxa"/>
            <w:gridSpan w:val="2"/>
            <w:vAlign w:val="center"/>
          </w:tcPr>
          <w:p>
            <w:pPr>
              <w:autoSpaceDE w:val="0"/>
              <w:autoSpaceDN w:val="0"/>
              <w:adjustRightInd w:val="0"/>
              <w:spacing w:line="360" w:lineRule="auto"/>
              <w:jc w:val="center"/>
              <w:rPr>
                <w:rFonts w:ascii="宋体" w:hAnsi="宋体" w:cs="宋体"/>
                <w:color w:val="auto"/>
                <w:kern w:val="0"/>
                <w:sz w:val="24"/>
              </w:rPr>
            </w:pPr>
          </w:p>
        </w:tc>
        <w:tc>
          <w:tcPr>
            <w:tcW w:w="1331" w:type="dxa"/>
            <w:gridSpan w:val="2"/>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网</w:t>
            </w:r>
            <w:r>
              <w:rPr>
                <w:rFonts w:hint="eastAsia" w:ascii="宋体" w:hAnsi="宋体" w:cs="宋体"/>
                <w:color w:val="auto"/>
                <w:kern w:val="0"/>
                <w:szCs w:val="21"/>
                <w:lang w:eastAsia="zh-CN"/>
              </w:rPr>
              <w:t xml:space="preserve"> </w:t>
            </w:r>
            <w:r>
              <w:rPr>
                <w:rFonts w:hint="eastAsia" w:ascii="宋体" w:hAnsi="宋体" w:cs="宋体"/>
                <w:color w:val="auto"/>
                <w:kern w:val="0"/>
                <w:szCs w:val="21"/>
              </w:rPr>
              <w:t>址</w:t>
            </w:r>
          </w:p>
        </w:tc>
        <w:tc>
          <w:tcPr>
            <w:tcW w:w="2662" w:type="dxa"/>
            <w:gridSpan w:val="2"/>
            <w:vAlign w:val="center"/>
          </w:tcPr>
          <w:p>
            <w:pPr>
              <w:autoSpaceDE w:val="0"/>
              <w:autoSpaceDN w:val="0"/>
              <w:adjustRightInd w:val="0"/>
              <w:spacing w:line="360" w:lineRule="auto"/>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组织结构</w:t>
            </w:r>
          </w:p>
        </w:tc>
        <w:tc>
          <w:tcPr>
            <w:tcW w:w="7761" w:type="dxa"/>
            <w:gridSpan w:val="7"/>
            <w:vAlign w:val="center"/>
          </w:tcPr>
          <w:p>
            <w:pPr>
              <w:autoSpaceDE w:val="0"/>
              <w:autoSpaceDN w:val="0"/>
              <w:adjustRightInd w:val="0"/>
              <w:spacing w:line="360" w:lineRule="auto"/>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法定代表人</w:t>
            </w:r>
          </w:p>
        </w:tc>
        <w:tc>
          <w:tcPr>
            <w:tcW w:w="1107"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姓名</w:t>
            </w:r>
          </w:p>
        </w:tc>
        <w:tc>
          <w:tcPr>
            <w:tcW w:w="1330" w:type="dxa"/>
            <w:vAlign w:val="center"/>
          </w:tcPr>
          <w:p>
            <w:pPr>
              <w:autoSpaceDE w:val="0"/>
              <w:autoSpaceDN w:val="0"/>
              <w:adjustRightInd w:val="0"/>
              <w:spacing w:line="360" w:lineRule="auto"/>
              <w:jc w:val="center"/>
              <w:rPr>
                <w:rFonts w:ascii="宋体" w:hAnsi="宋体" w:cs="宋体"/>
                <w:color w:val="auto"/>
                <w:kern w:val="0"/>
                <w:sz w:val="24"/>
              </w:rPr>
            </w:pPr>
          </w:p>
        </w:tc>
        <w:tc>
          <w:tcPr>
            <w:tcW w:w="1331"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技术职称</w:t>
            </w:r>
          </w:p>
        </w:tc>
        <w:tc>
          <w:tcPr>
            <w:tcW w:w="1331" w:type="dxa"/>
            <w:gridSpan w:val="2"/>
            <w:vAlign w:val="center"/>
          </w:tcPr>
          <w:p>
            <w:pPr>
              <w:autoSpaceDE w:val="0"/>
              <w:autoSpaceDN w:val="0"/>
              <w:adjustRightInd w:val="0"/>
              <w:spacing w:line="360" w:lineRule="auto"/>
              <w:jc w:val="center"/>
              <w:rPr>
                <w:rFonts w:ascii="宋体" w:hAnsi="宋体" w:cs="宋体"/>
                <w:color w:val="auto"/>
                <w:kern w:val="0"/>
                <w:sz w:val="24"/>
              </w:rPr>
            </w:pPr>
          </w:p>
        </w:tc>
        <w:tc>
          <w:tcPr>
            <w:tcW w:w="1331"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电话</w:t>
            </w:r>
          </w:p>
        </w:tc>
        <w:tc>
          <w:tcPr>
            <w:tcW w:w="1331" w:type="dxa"/>
            <w:vAlign w:val="center"/>
          </w:tcPr>
          <w:p>
            <w:pPr>
              <w:autoSpaceDE w:val="0"/>
              <w:autoSpaceDN w:val="0"/>
              <w:adjustRightInd w:val="0"/>
              <w:spacing w:line="360" w:lineRule="auto"/>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技术负责人</w:t>
            </w:r>
          </w:p>
        </w:tc>
        <w:tc>
          <w:tcPr>
            <w:tcW w:w="1107"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姓名</w:t>
            </w:r>
          </w:p>
        </w:tc>
        <w:tc>
          <w:tcPr>
            <w:tcW w:w="1330" w:type="dxa"/>
            <w:vAlign w:val="center"/>
          </w:tcPr>
          <w:p>
            <w:pPr>
              <w:autoSpaceDE w:val="0"/>
              <w:autoSpaceDN w:val="0"/>
              <w:adjustRightInd w:val="0"/>
              <w:spacing w:line="360" w:lineRule="auto"/>
              <w:jc w:val="center"/>
              <w:rPr>
                <w:rFonts w:ascii="宋体" w:hAnsi="宋体" w:cs="宋体"/>
                <w:color w:val="auto"/>
                <w:kern w:val="0"/>
                <w:sz w:val="24"/>
              </w:rPr>
            </w:pPr>
          </w:p>
        </w:tc>
        <w:tc>
          <w:tcPr>
            <w:tcW w:w="1331"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技术职称</w:t>
            </w:r>
          </w:p>
        </w:tc>
        <w:tc>
          <w:tcPr>
            <w:tcW w:w="1331" w:type="dxa"/>
            <w:gridSpan w:val="2"/>
            <w:vAlign w:val="center"/>
          </w:tcPr>
          <w:p>
            <w:pPr>
              <w:autoSpaceDE w:val="0"/>
              <w:autoSpaceDN w:val="0"/>
              <w:adjustRightInd w:val="0"/>
              <w:spacing w:line="360" w:lineRule="auto"/>
              <w:jc w:val="center"/>
              <w:rPr>
                <w:rFonts w:ascii="宋体" w:hAnsi="宋体" w:cs="宋体"/>
                <w:color w:val="auto"/>
                <w:kern w:val="0"/>
                <w:sz w:val="24"/>
              </w:rPr>
            </w:pPr>
          </w:p>
        </w:tc>
        <w:tc>
          <w:tcPr>
            <w:tcW w:w="1331"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电话</w:t>
            </w:r>
          </w:p>
        </w:tc>
        <w:tc>
          <w:tcPr>
            <w:tcW w:w="1331" w:type="dxa"/>
            <w:vAlign w:val="center"/>
          </w:tcPr>
          <w:p>
            <w:pPr>
              <w:autoSpaceDE w:val="0"/>
              <w:autoSpaceDN w:val="0"/>
              <w:adjustRightInd w:val="0"/>
              <w:spacing w:line="360" w:lineRule="auto"/>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成立时间</w:t>
            </w:r>
          </w:p>
        </w:tc>
        <w:tc>
          <w:tcPr>
            <w:tcW w:w="3768" w:type="dxa"/>
            <w:gridSpan w:val="3"/>
            <w:vAlign w:val="center"/>
          </w:tcPr>
          <w:p>
            <w:pPr>
              <w:autoSpaceDE w:val="0"/>
              <w:autoSpaceDN w:val="0"/>
              <w:adjustRightInd w:val="0"/>
              <w:spacing w:line="360" w:lineRule="auto"/>
              <w:jc w:val="center"/>
              <w:rPr>
                <w:rFonts w:ascii="宋体" w:hAnsi="宋体" w:cs="宋体"/>
                <w:color w:val="auto"/>
                <w:kern w:val="0"/>
                <w:sz w:val="24"/>
              </w:rPr>
            </w:pPr>
          </w:p>
        </w:tc>
        <w:tc>
          <w:tcPr>
            <w:tcW w:w="3993" w:type="dxa"/>
            <w:gridSpan w:val="4"/>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企业资质等级</w:t>
            </w:r>
          </w:p>
        </w:tc>
        <w:tc>
          <w:tcPr>
            <w:tcW w:w="3768" w:type="dxa"/>
            <w:gridSpan w:val="3"/>
            <w:vAlign w:val="center"/>
          </w:tcPr>
          <w:p>
            <w:pPr>
              <w:autoSpaceDE w:val="0"/>
              <w:autoSpaceDN w:val="0"/>
              <w:adjustRightInd w:val="0"/>
              <w:spacing w:line="360" w:lineRule="auto"/>
              <w:jc w:val="center"/>
              <w:rPr>
                <w:rFonts w:ascii="宋体" w:hAnsi="宋体" w:cs="宋体"/>
                <w:color w:val="auto"/>
                <w:kern w:val="0"/>
                <w:sz w:val="24"/>
              </w:rPr>
            </w:pPr>
          </w:p>
        </w:tc>
        <w:tc>
          <w:tcPr>
            <w:tcW w:w="1106" w:type="dxa"/>
            <w:vMerge w:val="restart"/>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其中</w:t>
            </w:r>
          </w:p>
        </w:tc>
        <w:tc>
          <w:tcPr>
            <w:tcW w:w="1556" w:type="dxa"/>
            <w:gridSpan w:val="2"/>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项目经理</w:t>
            </w:r>
          </w:p>
        </w:tc>
        <w:tc>
          <w:tcPr>
            <w:tcW w:w="1331" w:type="dxa"/>
            <w:vAlign w:val="center"/>
          </w:tcPr>
          <w:p>
            <w:pPr>
              <w:autoSpaceDE w:val="0"/>
              <w:autoSpaceDN w:val="0"/>
              <w:adjustRightInd w:val="0"/>
              <w:spacing w:line="360" w:lineRule="auto"/>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营业执照号</w:t>
            </w:r>
          </w:p>
        </w:tc>
        <w:tc>
          <w:tcPr>
            <w:tcW w:w="3768" w:type="dxa"/>
            <w:gridSpan w:val="3"/>
            <w:vAlign w:val="center"/>
          </w:tcPr>
          <w:p>
            <w:pPr>
              <w:autoSpaceDE w:val="0"/>
              <w:autoSpaceDN w:val="0"/>
              <w:adjustRightInd w:val="0"/>
              <w:spacing w:line="360" w:lineRule="auto"/>
              <w:jc w:val="center"/>
              <w:rPr>
                <w:rFonts w:ascii="宋体" w:hAnsi="宋体" w:cs="宋体"/>
                <w:color w:val="auto"/>
                <w:kern w:val="0"/>
                <w:sz w:val="24"/>
              </w:rPr>
            </w:pPr>
          </w:p>
        </w:tc>
        <w:tc>
          <w:tcPr>
            <w:tcW w:w="1106" w:type="dxa"/>
            <w:vMerge w:val="continue"/>
            <w:vAlign w:val="center"/>
          </w:tcPr>
          <w:p>
            <w:pPr>
              <w:autoSpaceDE w:val="0"/>
              <w:autoSpaceDN w:val="0"/>
              <w:adjustRightInd w:val="0"/>
              <w:spacing w:line="360" w:lineRule="auto"/>
              <w:jc w:val="center"/>
              <w:rPr>
                <w:rFonts w:ascii="宋体" w:hAnsi="宋体" w:cs="宋体"/>
                <w:color w:val="auto"/>
                <w:kern w:val="0"/>
                <w:sz w:val="24"/>
              </w:rPr>
            </w:pPr>
          </w:p>
        </w:tc>
        <w:tc>
          <w:tcPr>
            <w:tcW w:w="1556" w:type="dxa"/>
            <w:gridSpan w:val="2"/>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高级职称人员</w:t>
            </w:r>
          </w:p>
        </w:tc>
        <w:tc>
          <w:tcPr>
            <w:tcW w:w="1331" w:type="dxa"/>
            <w:vAlign w:val="center"/>
          </w:tcPr>
          <w:p>
            <w:pPr>
              <w:autoSpaceDE w:val="0"/>
              <w:autoSpaceDN w:val="0"/>
              <w:adjustRightInd w:val="0"/>
              <w:spacing w:line="360" w:lineRule="auto"/>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注册资金</w:t>
            </w:r>
          </w:p>
        </w:tc>
        <w:tc>
          <w:tcPr>
            <w:tcW w:w="3768" w:type="dxa"/>
            <w:gridSpan w:val="3"/>
            <w:vAlign w:val="center"/>
          </w:tcPr>
          <w:p>
            <w:pPr>
              <w:autoSpaceDE w:val="0"/>
              <w:autoSpaceDN w:val="0"/>
              <w:adjustRightInd w:val="0"/>
              <w:spacing w:line="360" w:lineRule="auto"/>
              <w:jc w:val="center"/>
              <w:rPr>
                <w:rFonts w:ascii="宋体" w:hAnsi="宋体" w:cs="宋体"/>
                <w:color w:val="auto"/>
                <w:kern w:val="0"/>
                <w:sz w:val="24"/>
              </w:rPr>
            </w:pPr>
          </w:p>
        </w:tc>
        <w:tc>
          <w:tcPr>
            <w:tcW w:w="1106" w:type="dxa"/>
            <w:vMerge w:val="continue"/>
            <w:vAlign w:val="center"/>
          </w:tcPr>
          <w:p>
            <w:pPr>
              <w:autoSpaceDE w:val="0"/>
              <w:autoSpaceDN w:val="0"/>
              <w:adjustRightInd w:val="0"/>
              <w:spacing w:line="360" w:lineRule="auto"/>
              <w:jc w:val="center"/>
              <w:rPr>
                <w:rFonts w:ascii="宋体" w:hAnsi="宋体" w:cs="宋体"/>
                <w:color w:val="auto"/>
                <w:kern w:val="0"/>
                <w:sz w:val="24"/>
              </w:rPr>
            </w:pPr>
          </w:p>
        </w:tc>
        <w:tc>
          <w:tcPr>
            <w:tcW w:w="1556" w:type="dxa"/>
            <w:gridSpan w:val="2"/>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中级职称人员</w:t>
            </w:r>
          </w:p>
        </w:tc>
        <w:tc>
          <w:tcPr>
            <w:tcW w:w="1331" w:type="dxa"/>
            <w:vAlign w:val="center"/>
          </w:tcPr>
          <w:p>
            <w:pPr>
              <w:autoSpaceDE w:val="0"/>
              <w:autoSpaceDN w:val="0"/>
              <w:adjustRightInd w:val="0"/>
              <w:spacing w:line="360" w:lineRule="auto"/>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开户银行</w:t>
            </w:r>
          </w:p>
        </w:tc>
        <w:tc>
          <w:tcPr>
            <w:tcW w:w="3768" w:type="dxa"/>
            <w:gridSpan w:val="3"/>
            <w:vAlign w:val="center"/>
          </w:tcPr>
          <w:p>
            <w:pPr>
              <w:autoSpaceDE w:val="0"/>
              <w:autoSpaceDN w:val="0"/>
              <w:adjustRightInd w:val="0"/>
              <w:spacing w:line="360" w:lineRule="auto"/>
              <w:jc w:val="center"/>
              <w:rPr>
                <w:rFonts w:ascii="宋体" w:hAnsi="宋体" w:cs="宋体"/>
                <w:color w:val="auto"/>
                <w:kern w:val="0"/>
                <w:sz w:val="24"/>
              </w:rPr>
            </w:pPr>
          </w:p>
        </w:tc>
        <w:tc>
          <w:tcPr>
            <w:tcW w:w="1106" w:type="dxa"/>
            <w:vMerge w:val="continue"/>
            <w:vAlign w:val="center"/>
          </w:tcPr>
          <w:p>
            <w:pPr>
              <w:autoSpaceDE w:val="0"/>
              <w:autoSpaceDN w:val="0"/>
              <w:adjustRightInd w:val="0"/>
              <w:spacing w:line="360" w:lineRule="auto"/>
              <w:jc w:val="center"/>
              <w:rPr>
                <w:rFonts w:ascii="宋体" w:hAnsi="宋体" w:cs="宋体"/>
                <w:color w:val="auto"/>
                <w:kern w:val="0"/>
                <w:sz w:val="24"/>
              </w:rPr>
            </w:pPr>
          </w:p>
        </w:tc>
        <w:tc>
          <w:tcPr>
            <w:tcW w:w="1556" w:type="dxa"/>
            <w:gridSpan w:val="2"/>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初级职称人员</w:t>
            </w:r>
          </w:p>
        </w:tc>
        <w:tc>
          <w:tcPr>
            <w:tcW w:w="1331" w:type="dxa"/>
            <w:vAlign w:val="center"/>
          </w:tcPr>
          <w:p>
            <w:pPr>
              <w:autoSpaceDE w:val="0"/>
              <w:autoSpaceDN w:val="0"/>
              <w:adjustRightInd w:val="0"/>
              <w:spacing w:line="360" w:lineRule="auto"/>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账号</w:t>
            </w:r>
          </w:p>
        </w:tc>
        <w:tc>
          <w:tcPr>
            <w:tcW w:w="3768" w:type="dxa"/>
            <w:gridSpan w:val="3"/>
            <w:vAlign w:val="center"/>
          </w:tcPr>
          <w:p>
            <w:pPr>
              <w:autoSpaceDE w:val="0"/>
              <w:autoSpaceDN w:val="0"/>
              <w:adjustRightInd w:val="0"/>
              <w:spacing w:line="360" w:lineRule="auto"/>
              <w:jc w:val="center"/>
              <w:rPr>
                <w:rFonts w:ascii="宋体" w:hAnsi="宋体" w:cs="宋体"/>
                <w:color w:val="auto"/>
                <w:kern w:val="0"/>
                <w:sz w:val="24"/>
              </w:rPr>
            </w:pPr>
          </w:p>
        </w:tc>
        <w:tc>
          <w:tcPr>
            <w:tcW w:w="1106" w:type="dxa"/>
            <w:vMerge w:val="continue"/>
            <w:vAlign w:val="center"/>
          </w:tcPr>
          <w:p>
            <w:pPr>
              <w:autoSpaceDE w:val="0"/>
              <w:autoSpaceDN w:val="0"/>
              <w:adjustRightInd w:val="0"/>
              <w:spacing w:line="360" w:lineRule="auto"/>
              <w:jc w:val="center"/>
              <w:rPr>
                <w:rFonts w:ascii="宋体" w:hAnsi="宋体" w:cs="宋体"/>
                <w:color w:val="auto"/>
                <w:kern w:val="0"/>
                <w:sz w:val="24"/>
              </w:rPr>
            </w:pPr>
          </w:p>
        </w:tc>
        <w:tc>
          <w:tcPr>
            <w:tcW w:w="1556" w:type="dxa"/>
            <w:gridSpan w:val="2"/>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技</w:t>
            </w:r>
            <w:r>
              <w:rPr>
                <w:rFonts w:hint="eastAsia" w:ascii="宋体" w:hAnsi="宋体" w:cs="宋体"/>
                <w:color w:val="auto"/>
                <w:kern w:val="0"/>
                <w:szCs w:val="21"/>
                <w:lang w:eastAsia="zh-CN"/>
              </w:rPr>
              <w:t xml:space="preserve"> </w:t>
            </w:r>
            <w:r>
              <w:rPr>
                <w:rFonts w:hint="eastAsia" w:ascii="宋体" w:hAnsi="宋体" w:cs="宋体"/>
                <w:color w:val="auto"/>
                <w:kern w:val="0"/>
                <w:szCs w:val="21"/>
              </w:rPr>
              <w:t>工</w:t>
            </w:r>
          </w:p>
        </w:tc>
        <w:tc>
          <w:tcPr>
            <w:tcW w:w="1331" w:type="dxa"/>
            <w:vAlign w:val="center"/>
          </w:tcPr>
          <w:p>
            <w:pPr>
              <w:autoSpaceDE w:val="0"/>
              <w:autoSpaceDN w:val="0"/>
              <w:adjustRightInd w:val="0"/>
              <w:spacing w:line="360" w:lineRule="auto"/>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1552"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经营范围</w:t>
            </w:r>
          </w:p>
        </w:tc>
        <w:tc>
          <w:tcPr>
            <w:tcW w:w="7761" w:type="dxa"/>
            <w:gridSpan w:val="7"/>
            <w:vAlign w:val="center"/>
          </w:tcPr>
          <w:p>
            <w:pPr>
              <w:autoSpaceDE w:val="0"/>
              <w:autoSpaceDN w:val="0"/>
              <w:adjustRightInd w:val="0"/>
              <w:spacing w:line="360" w:lineRule="auto"/>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52" w:type="dxa"/>
            <w:vAlign w:val="center"/>
          </w:tcPr>
          <w:p>
            <w:pPr>
              <w:autoSpaceDE w:val="0"/>
              <w:autoSpaceDN w:val="0"/>
              <w:adjustRightInd w:val="0"/>
              <w:spacing w:line="360" w:lineRule="auto"/>
              <w:jc w:val="center"/>
              <w:rPr>
                <w:rFonts w:ascii="宋体" w:hAnsi="宋体" w:cs="宋体"/>
                <w:color w:val="auto"/>
                <w:kern w:val="0"/>
                <w:sz w:val="24"/>
              </w:rPr>
            </w:pPr>
            <w:r>
              <w:rPr>
                <w:rFonts w:hint="eastAsia" w:ascii="宋体" w:hAnsi="宋体" w:cs="宋体"/>
                <w:color w:val="auto"/>
                <w:kern w:val="0"/>
                <w:szCs w:val="21"/>
              </w:rPr>
              <w:t>备注</w:t>
            </w:r>
          </w:p>
        </w:tc>
        <w:tc>
          <w:tcPr>
            <w:tcW w:w="7761" w:type="dxa"/>
            <w:gridSpan w:val="7"/>
            <w:vAlign w:val="center"/>
          </w:tcPr>
          <w:p>
            <w:pPr>
              <w:autoSpaceDE w:val="0"/>
              <w:autoSpaceDN w:val="0"/>
              <w:adjustRightInd w:val="0"/>
              <w:spacing w:line="360" w:lineRule="auto"/>
              <w:jc w:val="center"/>
              <w:rPr>
                <w:rFonts w:ascii="宋体" w:hAnsi="宋体" w:cs="宋体"/>
                <w:color w:val="auto"/>
                <w:kern w:val="0"/>
                <w:sz w:val="24"/>
              </w:rPr>
            </w:pPr>
          </w:p>
        </w:tc>
      </w:tr>
    </w:tbl>
    <w:p>
      <w:pPr>
        <w:rPr>
          <w:rFonts w:ascii="宋体" w:hAnsi="宋体" w:cs="Arial Unicode MS"/>
          <w:color w:val="auto"/>
          <w:sz w:val="24"/>
          <w:szCs w:val="24"/>
        </w:rPr>
      </w:pPr>
      <w:r>
        <w:rPr>
          <w:rFonts w:hint="eastAsia" w:ascii="宋体" w:hAnsi="宋体" w:cs="Arial Unicode MS"/>
          <w:color w:val="auto"/>
          <w:sz w:val="24"/>
          <w:szCs w:val="24"/>
        </w:rPr>
        <w:br w:type="page"/>
      </w:r>
    </w:p>
    <w:p>
      <w:pPr>
        <w:keepNext w:val="0"/>
        <w:keepLines w:val="0"/>
        <w:pageBreakBefore w:val="0"/>
        <w:widowControl w:val="0"/>
        <w:kinsoku/>
        <w:wordWrap/>
        <w:overflowPunct/>
        <w:topLinePunct w:val="0"/>
        <w:autoSpaceDE/>
        <w:autoSpaceDN/>
        <w:bidi w:val="0"/>
        <w:adjustRightInd/>
        <w:snapToGrid/>
        <w:spacing w:before="156" w:beforeLines="50" w:after="156" w:afterLines="50"/>
        <w:jc w:val="center"/>
        <w:textAlignment w:val="auto"/>
        <w:rPr>
          <w:color w:val="auto"/>
          <w:sz w:val="28"/>
          <w:szCs w:val="32"/>
        </w:rPr>
      </w:pPr>
      <w:bookmarkStart w:id="1151" w:name="_Toc1166"/>
      <w:bookmarkStart w:id="1152" w:name="_Toc27233"/>
      <w:bookmarkStart w:id="1153" w:name="_Toc19571"/>
      <w:bookmarkStart w:id="1154" w:name="_Toc1312"/>
      <w:bookmarkStart w:id="1155" w:name="_Toc6429"/>
      <w:bookmarkStart w:id="1156" w:name="_Toc14502"/>
      <w:r>
        <w:rPr>
          <w:rFonts w:hint="eastAsia"/>
          <w:color w:val="auto"/>
          <w:sz w:val="28"/>
          <w:szCs w:val="32"/>
        </w:rPr>
        <w:t>（二）资格证明材料</w:t>
      </w:r>
      <w:bookmarkEnd w:id="1151"/>
      <w:bookmarkEnd w:id="1152"/>
      <w:bookmarkEnd w:id="1153"/>
      <w:bookmarkEnd w:id="1154"/>
      <w:bookmarkEnd w:id="1155"/>
      <w:bookmarkEnd w:id="1156"/>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color w:val="auto"/>
          <w:kern w:val="0"/>
          <w:sz w:val="24"/>
          <w:szCs w:val="24"/>
        </w:rPr>
      </w:pPr>
      <w:r>
        <w:rPr>
          <w:rFonts w:hint="eastAsia" w:ascii="宋体" w:hAnsi="宋体" w:cs="宋体"/>
          <w:color w:val="auto"/>
          <w:kern w:val="2"/>
          <w:sz w:val="24"/>
          <w:szCs w:val="24"/>
          <w:lang w:val="en-US" w:eastAsia="zh-CN" w:bidi="ar-SA"/>
        </w:rPr>
        <w:t>1</w:t>
      </w:r>
      <w:r>
        <w:rPr>
          <w:rFonts w:ascii="宋体" w:hAnsi="宋体" w:eastAsia="宋体" w:cs="宋体"/>
          <w:color w:val="auto"/>
          <w:kern w:val="2"/>
          <w:sz w:val="24"/>
          <w:szCs w:val="24"/>
          <w:lang w:val="en-US" w:eastAsia="zh-CN" w:bidi="ar-SA"/>
        </w:rPr>
        <w:t>、</w:t>
      </w:r>
      <w:r>
        <w:rPr>
          <w:rFonts w:hint="eastAsia" w:ascii="宋体" w:hAnsi="宋体" w:cs="宋体"/>
          <w:color w:val="auto"/>
          <w:kern w:val="0"/>
          <w:sz w:val="24"/>
          <w:szCs w:val="24"/>
        </w:rPr>
        <w:t>提供满足《中华人民共和国政府采购法》第二十二条规定相关材料扫描件；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（1）具有独立承担民事责任的能力；（提供营业执照等相关证明材料）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（2）具有良好的商业信誉和健全的财务会计制度；（</w:t>
      </w:r>
      <w:r>
        <w:rPr>
          <w:rFonts w:hint="eastAsia" w:ascii="宋体" w:hAnsi="宋体" w:eastAsia="宋体" w:cs="宋体"/>
          <w:color w:val="auto"/>
          <w:sz w:val="24"/>
          <w:szCs w:val="24"/>
          <w:lang w:val="en-US" w:eastAsia="zh-CN"/>
        </w:rPr>
        <w:t>提供202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年度财务审计报告（成立年限不足的以实际年限为准，可提供基本账户开户银行出具的资信证明）</w:t>
      </w:r>
      <w:r>
        <w:rPr>
          <w:rFonts w:hint="eastAsia" w:ascii="宋体" w:hAnsi="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（3）具有履行合同所必需的设备和专业技术能力；（</w:t>
      </w:r>
      <w:r>
        <w:rPr>
          <w:rFonts w:hint="eastAsia" w:ascii="宋体" w:hAnsi="宋体" w:eastAsia="宋体" w:cs="宋体"/>
          <w:color w:val="auto"/>
          <w:sz w:val="24"/>
          <w:szCs w:val="24"/>
          <w:lang w:val="en-US" w:eastAsia="zh-CN"/>
        </w:rPr>
        <w:t>提供承诺书或相关证明材料，格式自拟</w:t>
      </w:r>
      <w:r>
        <w:rPr>
          <w:rFonts w:hint="eastAsia" w:ascii="宋体" w:hAnsi="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（4）有依法缴纳税收和社会保障资金的良好记录；（</w:t>
      </w:r>
      <w:r>
        <w:rPr>
          <w:rFonts w:hint="eastAsia" w:ascii="宋体" w:hAnsi="宋体" w:eastAsia="宋体" w:cs="宋体"/>
          <w:color w:val="auto"/>
          <w:sz w:val="24"/>
          <w:szCs w:val="24"/>
          <w:lang w:val="en-US" w:eastAsia="zh-CN"/>
        </w:rPr>
        <w:t>提供202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年1月1日以来任意</w:t>
      </w:r>
      <w:r>
        <w:rPr>
          <w:rFonts w:hint="eastAsia" w:ascii="宋体" w:hAnsi="宋体" w:eastAsia="宋体" w:cs="宋体"/>
          <w:color w:val="auto"/>
          <w:sz w:val="24"/>
          <w:szCs w:val="24"/>
          <w:highlight w:val="none"/>
          <w:lang w:val="en-US" w:eastAsia="zh-CN"/>
        </w:rPr>
        <w:t>一个月</w:t>
      </w:r>
      <w:r>
        <w:rPr>
          <w:rFonts w:hint="eastAsia" w:ascii="宋体" w:hAnsi="宋体" w:eastAsia="宋体" w:cs="宋体"/>
          <w:color w:val="auto"/>
          <w:sz w:val="24"/>
          <w:szCs w:val="24"/>
          <w:lang w:val="en-US" w:eastAsia="zh-CN"/>
        </w:rPr>
        <w:t>的缴纳纳税与社保相关证明材料</w:t>
      </w:r>
      <w:r>
        <w:rPr>
          <w:rFonts w:hint="eastAsia" w:ascii="宋体" w:hAnsi="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（5）参加政府采购活动前三年内，在经营活动中没有重大违法记录；（提供无违法记录书面声明函，格式自拟）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（6）法律、行政法规规定的其他条件。</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、本项目的特定资格要求：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.1供应商须具</w:t>
      </w:r>
      <w:r>
        <w:rPr>
          <w:rFonts w:hint="eastAsia" w:ascii="宋体" w:hAnsi="宋体" w:cs="宋体"/>
          <w:color w:val="auto"/>
          <w:sz w:val="24"/>
          <w:szCs w:val="24"/>
          <w:lang w:val="en-US" w:eastAsia="zh-CN"/>
        </w:rPr>
        <w:t>有中华人民共和国保险许可证</w:t>
      </w:r>
      <w:r>
        <w:rPr>
          <w:rFonts w:hint="eastAsia" w:ascii="宋体" w:hAnsi="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.2信誉要求：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根据财政部《关于在政府采购活动中查询及使用信用记录有关问题的通知》（财库〔2016〕125号）规定，列入“中国执行信息公开网”网站的“失信被执行人”、“信用中国”网站的“重大税收违法失信主体”、“中国政府采购网”网站的“政府采购严重违法失信行为记录名单”的投标人，将拒绝参与本次政府采购活动。【采购人或采购代理机构在开标当天将对所有参与本项目投标的投标人信用情况进行查询（失信被执行人、重大税收违法失信主体、政府采购严重违法失信行为记录名单）、查询记录打印留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.3其他要求：单位负责人为同一人或者存在控股、管理关系的不同单位，不得参加同一招标项目投标（提供“国家企业信用信息公示系统”中公示的公司信息、股东或投资人信息截图）。</w:t>
      </w:r>
    </w:p>
    <w:p>
      <w:pPr>
        <w:spacing w:line="460" w:lineRule="exact"/>
        <w:rPr>
          <w:rFonts w:ascii="宋体" w:hAnsi="宋体"/>
          <w:color w:val="auto"/>
        </w:rPr>
      </w:pPr>
      <w:r>
        <w:rPr>
          <w:rFonts w:ascii="宋体" w:hAnsi="宋体" w:cs="Arial Unicode MS"/>
          <w:b/>
          <w:color w:val="auto"/>
          <w:szCs w:val="21"/>
        </w:rPr>
        <w:br w:type="page"/>
      </w:r>
    </w:p>
    <w:p>
      <w:pPr>
        <w:pStyle w:val="8"/>
        <w:jc w:val="center"/>
        <w:rPr>
          <w:rFonts w:ascii="宋体" w:hAnsi="宋体"/>
          <w:color w:val="auto"/>
          <w:szCs w:val="24"/>
        </w:rPr>
      </w:pPr>
      <w:bookmarkStart w:id="1157" w:name="_Toc16450"/>
      <w:bookmarkStart w:id="1158" w:name="_Toc4541"/>
      <w:bookmarkStart w:id="1159" w:name="_Toc770"/>
      <w:bookmarkStart w:id="1160" w:name="_Toc356423322"/>
      <w:r>
        <w:rPr>
          <w:rFonts w:hint="eastAsia" w:ascii="宋体" w:hAnsi="宋体"/>
          <w:color w:val="auto"/>
          <w:szCs w:val="24"/>
        </w:rPr>
        <w:t>五、供应商2021年1月以来承担过的类似项目</w:t>
      </w:r>
      <w:bookmarkEnd w:id="1157"/>
      <w:bookmarkEnd w:id="1158"/>
    </w:p>
    <w:tbl>
      <w:tblPr>
        <w:tblStyle w:val="22"/>
        <w:tblW w:w="8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669"/>
        <w:gridCol w:w="1240"/>
        <w:gridCol w:w="1240"/>
        <w:gridCol w:w="1240"/>
        <w:gridCol w:w="1241"/>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10" w:type="dxa"/>
            <w:vAlign w:val="center"/>
          </w:tcPr>
          <w:p>
            <w:pPr>
              <w:jc w:val="center"/>
              <w:rPr>
                <w:color w:val="auto"/>
              </w:rPr>
            </w:pPr>
            <w:r>
              <w:rPr>
                <w:rFonts w:hint="eastAsia" w:cs="宋体"/>
                <w:color w:val="auto"/>
              </w:rPr>
              <w:t>序号</w:t>
            </w:r>
          </w:p>
        </w:tc>
        <w:tc>
          <w:tcPr>
            <w:tcW w:w="1669" w:type="dxa"/>
            <w:vAlign w:val="center"/>
          </w:tcPr>
          <w:p>
            <w:pPr>
              <w:jc w:val="center"/>
              <w:rPr>
                <w:color w:val="auto"/>
              </w:rPr>
            </w:pPr>
            <w:r>
              <w:rPr>
                <w:rFonts w:hint="eastAsia" w:cs="宋体"/>
                <w:color w:val="auto"/>
              </w:rPr>
              <w:t>项目名称</w:t>
            </w:r>
          </w:p>
        </w:tc>
        <w:tc>
          <w:tcPr>
            <w:tcW w:w="1240" w:type="dxa"/>
            <w:vAlign w:val="center"/>
          </w:tcPr>
          <w:p>
            <w:pPr>
              <w:jc w:val="center"/>
              <w:rPr>
                <w:color w:val="auto"/>
              </w:rPr>
            </w:pPr>
            <w:r>
              <w:rPr>
                <w:rFonts w:hint="eastAsia" w:cs="宋体"/>
                <w:color w:val="auto"/>
              </w:rPr>
              <w:t>业主单位</w:t>
            </w:r>
          </w:p>
        </w:tc>
        <w:tc>
          <w:tcPr>
            <w:tcW w:w="1240" w:type="dxa"/>
            <w:vAlign w:val="center"/>
          </w:tcPr>
          <w:p>
            <w:pPr>
              <w:jc w:val="center"/>
              <w:rPr>
                <w:color w:val="auto"/>
              </w:rPr>
            </w:pPr>
            <w:r>
              <w:rPr>
                <w:rFonts w:hint="eastAsia" w:cs="宋体"/>
                <w:color w:val="auto"/>
              </w:rPr>
              <w:t>金额</w:t>
            </w:r>
          </w:p>
        </w:tc>
        <w:tc>
          <w:tcPr>
            <w:tcW w:w="1240" w:type="dxa"/>
            <w:vAlign w:val="center"/>
          </w:tcPr>
          <w:p>
            <w:pPr>
              <w:jc w:val="center"/>
              <w:rPr>
                <w:color w:val="auto"/>
              </w:rPr>
            </w:pPr>
            <w:r>
              <w:rPr>
                <w:rFonts w:hint="eastAsia" w:cs="宋体"/>
                <w:color w:val="auto"/>
              </w:rPr>
              <w:t>合同签订时间</w:t>
            </w:r>
          </w:p>
        </w:tc>
        <w:tc>
          <w:tcPr>
            <w:tcW w:w="1241" w:type="dxa"/>
            <w:vAlign w:val="center"/>
          </w:tcPr>
          <w:p>
            <w:pPr>
              <w:jc w:val="center"/>
              <w:rPr>
                <w:color w:val="auto"/>
              </w:rPr>
            </w:pPr>
            <w:r>
              <w:rPr>
                <w:rFonts w:hint="eastAsia" w:cs="宋体"/>
                <w:color w:val="auto"/>
              </w:rPr>
              <w:t>联系人</w:t>
            </w:r>
          </w:p>
        </w:tc>
        <w:tc>
          <w:tcPr>
            <w:tcW w:w="1240" w:type="dxa"/>
            <w:vAlign w:val="center"/>
          </w:tcPr>
          <w:p>
            <w:pPr>
              <w:jc w:val="center"/>
              <w:rPr>
                <w:color w:val="auto"/>
              </w:rPr>
            </w:pPr>
            <w:r>
              <w:rPr>
                <w:rFonts w:hint="eastAsia" w:cs="宋体"/>
                <w:color w:val="auto"/>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10" w:type="dxa"/>
            <w:vAlign w:val="center"/>
          </w:tcPr>
          <w:p>
            <w:pPr>
              <w:rPr>
                <w:color w:val="auto"/>
                <w:sz w:val="24"/>
                <w:szCs w:val="24"/>
              </w:rPr>
            </w:pPr>
          </w:p>
        </w:tc>
        <w:tc>
          <w:tcPr>
            <w:tcW w:w="1669"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1" w:type="dxa"/>
            <w:vAlign w:val="center"/>
          </w:tcPr>
          <w:p>
            <w:pPr>
              <w:rPr>
                <w:color w:val="auto"/>
                <w:sz w:val="24"/>
                <w:szCs w:val="24"/>
              </w:rPr>
            </w:pPr>
          </w:p>
        </w:tc>
        <w:tc>
          <w:tcPr>
            <w:tcW w:w="1240" w:type="dxa"/>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10" w:type="dxa"/>
            <w:vAlign w:val="center"/>
          </w:tcPr>
          <w:p>
            <w:pPr>
              <w:rPr>
                <w:color w:val="auto"/>
                <w:sz w:val="24"/>
                <w:szCs w:val="24"/>
              </w:rPr>
            </w:pPr>
          </w:p>
        </w:tc>
        <w:tc>
          <w:tcPr>
            <w:tcW w:w="1669"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1" w:type="dxa"/>
            <w:vAlign w:val="center"/>
          </w:tcPr>
          <w:p>
            <w:pPr>
              <w:rPr>
                <w:color w:val="auto"/>
                <w:sz w:val="24"/>
                <w:szCs w:val="24"/>
              </w:rPr>
            </w:pPr>
          </w:p>
        </w:tc>
        <w:tc>
          <w:tcPr>
            <w:tcW w:w="1240" w:type="dxa"/>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10" w:type="dxa"/>
            <w:vAlign w:val="center"/>
          </w:tcPr>
          <w:p>
            <w:pPr>
              <w:rPr>
                <w:color w:val="auto"/>
                <w:sz w:val="24"/>
                <w:szCs w:val="24"/>
              </w:rPr>
            </w:pPr>
          </w:p>
        </w:tc>
        <w:tc>
          <w:tcPr>
            <w:tcW w:w="1669"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1" w:type="dxa"/>
            <w:vAlign w:val="center"/>
          </w:tcPr>
          <w:p>
            <w:pPr>
              <w:rPr>
                <w:color w:val="auto"/>
                <w:sz w:val="24"/>
                <w:szCs w:val="24"/>
              </w:rPr>
            </w:pPr>
          </w:p>
        </w:tc>
        <w:tc>
          <w:tcPr>
            <w:tcW w:w="1240" w:type="dxa"/>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10" w:type="dxa"/>
            <w:vAlign w:val="center"/>
          </w:tcPr>
          <w:p>
            <w:pPr>
              <w:rPr>
                <w:color w:val="auto"/>
                <w:sz w:val="24"/>
                <w:szCs w:val="24"/>
              </w:rPr>
            </w:pPr>
          </w:p>
        </w:tc>
        <w:tc>
          <w:tcPr>
            <w:tcW w:w="1669"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1" w:type="dxa"/>
            <w:vAlign w:val="center"/>
          </w:tcPr>
          <w:p>
            <w:pPr>
              <w:rPr>
                <w:color w:val="auto"/>
                <w:sz w:val="24"/>
                <w:szCs w:val="24"/>
              </w:rPr>
            </w:pPr>
          </w:p>
        </w:tc>
        <w:tc>
          <w:tcPr>
            <w:tcW w:w="1240" w:type="dxa"/>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10" w:type="dxa"/>
            <w:vAlign w:val="center"/>
          </w:tcPr>
          <w:p>
            <w:pPr>
              <w:rPr>
                <w:color w:val="auto"/>
                <w:sz w:val="24"/>
                <w:szCs w:val="24"/>
              </w:rPr>
            </w:pPr>
          </w:p>
        </w:tc>
        <w:tc>
          <w:tcPr>
            <w:tcW w:w="1669"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1" w:type="dxa"/>
            <w:vAlign w:val="center"/>
          </w:tcPr>
          <w:p>
            <w:pPr>
              <w:rPr>
                <w:color w:val="auto"/>
                <w:sz w:val="24"/>
                <w:szCs w:val="24"/>
              </w:rPr>
            </w:pPr>
          </w:p>
        </w:tc>
        <w:tc>
          <w:tcPr>
            <w:tcW w:w="1240" w:type="dxa"/>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10" w:type="dxa"/>
            <w:vAlign w:val="center"/>
          </w:tcPr>
          <w:p>
            <w:pPr>
              <w:rPr>
                <w:color w:val="auto"/>
                <w:sz w:val="24"/>
                <w:szCs w:val="24"/>
              </w:rPr>
            </w:pPr>
          </w:p>
        </w:tc>
        <w:tc>
          <w:tcPr>
            <w:tcW w:w="1669"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1" w:type="dxa"/>
            <w:vAlign w:val="center"/>
          </w:tcPr>
          <w:p>
            <w:pPr>
              <w:rPr>
                <w:color w:val="auto"/>
                <w:sz w:val="24"/>
                <w:szCs w:val="24"/>
              </w:rPr>
            </w:pPr>
          </w:p>
        </w:tc>
        <w:tc>
          <w:tcPr>
            <w:tcW w:w="1240" w:type="dxa"/>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10" w:type="dxa"/>
            <w:vAlign w:val="center"/>
          </w:tcPr>
          <w:p>
            <w:pPr>
              <w:rPr>
                <w:color w:val="auto"/>
                <w:sz w:val="24"/>
                <w:szCs w:val="24"/>
              </w:rPr>
            </w:pPr>
          </w:p>
        </w:tc>
        <w:tc>
          <w:tcPr>
            <w:tcW w:w="1669"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1" w:type="dxa"/>
            <w:vAlign w:val="center"/>
          </w:tcPr>
          <w:p>
            <w:pPr>
              <w:rPr>
                <w:color w:val="auto"/>
                <w:sz w:val="24"/>
                <w:szCs w:val="24"/>
              </w:rPr>
            </w:pPr>
          </w:p>
        </w:tc>
        <w:tc>
          <w:tcPr>
            <w:tcW w:w="1240" w:type="dxa"/>
            <w:vAlign w:val="center"/>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10" w:type="dxa"/>
            <w:vAlign w:val="center"/>
          </w:tcPr>
          <w:p>
            <w:pPr>
              <w:rPr>
                <w:color w:val="auto"/>
                <w:sz w:val="24"/>
                <w:szCs w:val="24"/>
              </w:rPr>
            </w:pPr>
          </w:p>
        </w:tc>
        <w:tc>
          <w:tcPr>
            <w:tcW w:w="1669"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0" w:type="dxa"/>
            <w:vAlign w:val="center"/>
          </w:tcPr>
          <w:p>
            <w:pPr>
              <w:rPr>
                <w:color w:val="auto"/>
                <w:sz w:val="24"/>
                <w:szCs w:val="24"/>
              </w:rPr>
            </w:pPr>
          </w:p>
        </w:tc>
        <w:tc>
          <w:tcPr>
            <w:tcW w:w="1241" w:type="dxa"/>
            <w:vAlign w:val="center"/>
          </w:tcPr>
          <w:p>
            <w:pPr>
              <w:rPr>
                <w:color w:val="auto"/>
                <w:sz w:val="24"/>
                <w:szCs w:val="24"/>
              </w:rPr>
            </w:pPr>
          </w:p>
        </w:tc>
        <w:tc>
          <w:tcPr>
            <w:tcW w:w="1240" w:type="dxa"/>
            <w:vAlign w:val="center"/>
          </w:tcPr>
          <w:p>
            <w:pPr>
              <w:rPr>
                <w:color w:val="auto"/>
                <w:sz w:val="24"/>
                <w:szCs w:val="24"/>
              </w:rPr>
            </w:pPr>
          </w:p>
        </w:tc>
      </w:tr>
    </w:tbl>
    <w:p>
      <w:pPr>
        <w:rPr>
          <w:rFonts w:ascii="宋体" w:hAnsi="宋体"/>
          <w:color w:val="auto"/>
          <w:szCs w:val="24"/>
        </w:rPr>
      </w:pPr>
    </w:p>
    <w:p>
      <w:pPr>
        <w:rPr>
          <w:rFonts w:ascii="宋体" w:hAnsi="宋体"/>
          <w:color w:val="auto"/>
          <w:szCs w:val="24"/>
        </w:rPr>
      </w:pPr>
    </w:p>
    <w:p>
      <w:pPr>
        <w:rPr>
          <w:rFonts w:ascii="宋体" w:hAnsi="宋体"/>
          <w:color w:val="auto"/>
          <w:szCs w:val="24"/>
        </w:rPr>
      </w:pPr>
    </w:p>
    <w:p>
      <w:pPr>
        <w:pStyle w:val="20"/>
        <w:spacing w:line="360" w:lineRule="auto"/>
        <w:ind w:firstLine="4080" w:firstLineChars="1700"/>
        <w:rPr>
          <w:rFonts w:hint="eastAsia" w:ascii="宋体" w:hAnsi="宋体" w:cs="宋体"/>
          <w:color w:val="auto"/>
        </w:rPr>
      </w:pPr>
      <w:r>
        <w:rPr>
          <w:rFonts w:hint="eastAsia" w:ascii="宋体" w:hAnsi="宋体" w:cs="宋体"/>
          <w:color w:val="auto"/>
        </w:rPr>
        <w:t>供应商(电子签章)：</w:t>
      </w:r>
    </w:p>
    <w:p>
      <w:pPr>
        <w:pStyle w:val="20"/>
        <w:spacing w:line="360" w:lineRule="auto"/>
        <w:ind w:firstLine="4080" w:firstLineChars="1700"/>
        <w:rPr>
          <w:rFonts w:hint="eastAsia" w:ascii="宋体" w:hAnsi="宋体" w:cs="宋体"/>
          <w:color w:val="auto"/>
        </w:rPr>
      </w:pPr>
      <w:r>
        <w:rPr>
          <w:rFonts w:hint="eastAsia" w:ascii="宋体" w:hAnsi="宋体" w:cs="宋体"/>
          <w:color w:val="auto"/>
        </w:rPr>
        <w:t>法定代表人(电子签章)：</w:t>
      </w:r>
    </w:p>
    <w:p>
      <w:pPr>
        <w:pStyle w:val="20"/>
        <w:spacing w:line="360" w:lineRule="auto"/>
        <w:ind w:firstLine="4080" w:firstLineChars="1700"/>
        <w:rPr>
          <w:rFonts w:hint="eastAsia" w:ascii="宋体" w:hAnsi="宋体" w:cs="宋体"/>
          <w:color w:val="auto"/>
        </w:rPr>
      </w:pPr>
      <w:r>
        <w:rPr>
          <w:rFonts w:hint="eastAsia" w:ascii="宋体" w:hAnsi="宋体" w:cs="宋体"/>
          <w:color w:val="auto"/>
        </w:rPr>
        <w:t>日</w:t>
      </w:r>
      <w:r>
        <w:rPr>
          <w:rFonts w:hint="eastAsia" w:ascii="宋体" w:hAnsi="宋体" w:cs="宋体"/>
          <w:color w:val="auto"/>
          <w:lang w:eastAsia="zh-CN"/>
        </w:rPr>
        <w:t xml:space="preserve">  </w:t>
      </w:r>
      <w:r>
        <w:rPr>
          <w:rFonts w:hint="eastAsia" w:ascii="宋体" w:hAnsi="宋体" w:cs="宋体"/>
          <w:color w:val="auto"/>
        </w:rPr>
        <w:t>期：</w:t>
      </w:r>
      <w:r>
        <w:rPr>
          <w:rFonts w:hint="eastAsia" w:ascii="宋体" w:hAnsi="宋体" w:cs="宋体"/>
          <w:color w:val="auto"/>
          <w:lang w:eastAsia="zh-CN"/>
        </w:rPr>
        <w:t xml:space="preserve">    </w:t>
      </w:r>
      <w:r>
        <w:rPr>
          <w:rFonts w:hint="eastAsia" w:ascii="宋体" w:hAnsi="宋体" w:cs="宋体"/>
          <w:color w:val="auto"/>
        </w:rPr>
        <w:t>年</w:t>
      </w:r>
      <w:r>
        <w:rPr>
          <w:rFonts w:hint="eastAsia" w:ascii="宋体" w:hAnsi="宋体" w:cs="宋体"/>
          <w:color w:val="auto"/>
          <w:lang w:eastAsia="zh-CN"/>
        </w:rPr>
        <w:t xml:space="preserve">   </w:t>
      </w:r>
      <w:r>
        <w:rPr>
          <w:rFonts w:hint="eastAsia" w:ascii="宋体" w:hAnsi="宋体" w:cs="宋体"/>
          <w:color w:val="auto"/>
        </w:rPr>
        <w:t>月</w:t>
      </w:r>
      <w:r>
        <w:rPr>
          <w:rFonts w:hint="eastAsia" w:ascii="宋体" w:hAnsi="宋体" w:cs="宋体"/>
          <w:color w:val="auto"/>
          <w:lang w:eastAsia="zh-CN"/>
        </w:rPr>
        <w:t xml:space="preserve">    </w:t>
      </w:r>
      <w:r>
        <w:rPr>
          <w:rFonts w:hint="eastAsia" w:ascii="宋体" w:hAnsi="宋体" w:cs="宋体"/>
          <w:color w:val="auto"/>
        </w:rPr>
        <w:t>日</w:t>
      </w:r>
    </w:p>
    <w:p>
      <w:pPr>
        <w:rPr>
          <w:rFonts w:ascii="宋体" w:hAnsi="宋体"/>
          <w:color w:val="auto"/>
          <w:szCs w:val="24"/>
        </w:rPr>
      </w:pPr>
      <w:r>
        <w:rPr>
          <w:rFonts w:hint="eastAsia" w:ascii="宋体" w:hAnsi="宋体"/>
          <w:color w:val="auto"/>
          <w:szCs w:val="24"/>
        </w:rPr>
        <w:br w:type="page"/>
      </w:r>
    </w:p>
    <w:bookmarkEnd w:id="1159"/>
    <w:bookmarkEnd w:id="1160"/>
    <w:p>
      <w:pPr>
        <w:spacing w:line="400" w:lineRule="exact"/>
        <w:jc w:val="center"/>
        <w:outlineLvl w:val="1"/>
        <w:rPr>
          <w:rFonts w:hint="eastAsia" w:ascii="宋体" w:hAnsi="宋体" w:eastAsia="宋体"/>
          <w:b/>
          <w:bCs/>
          <w:color w:val="auto"/>
          <w:kern w:val="0"/>
          <w:sz w:val="24"/>
          <w:szCs w:val="24"/>
          <w:lang w:eastAsia="zh-CN"/>
        </w:rPr>
      </w:pPr>
      <w:bookmarkStart w:id="1161" w:name="_Toc7567"/>
      <w:bookmarkStart w:id="1162" w:name="_Toc11152"/>
      <w:bookmarkStart w:id="1163" w:name="_Toc12214"/>
      <w:r>
        <w:rPr>
          <w:rFonts w:hint="eastAsia" w:ascii="宋体" w:hAnsi="宋体"/>
          <w:b/>
          <w:bCs/>
          <w:color w:val="auto"/>
          <w:kern w:val="0"/>
          <w:sz w:val="24"/>
          <w:szCs w:val="24"/>
        </w:rPr>
        <w:t>六、</w:t>
      </w:r>
      <w:bookmarkEnd w:id="1161"/>
      <w:r>
        <w:rPr>
          <w:rFonts w:hint="eastAsia" w:ascii="宋体" w:hAnsi="宋体"/>
          <w:b/>
          <w:bCs/>
          <w:color w:val="auto"/>
          <w:kern w:val="0"/>
          <w:sz w:val="24"/>
          <w:szCs w:val="24"/>
        </w:rPr>
        <w:t>拟投入本项目主要管理人员组成情况表</w:t>
      </w:r>
      <w:bookmarkEnd w:id="1162"/>
      <w:bookmarkEnd w:id="1163"/>
      <w:r>
        <w:rPr>
          <w:rFonts w:hint="eastAsia" w:ascii="宋体" w:hAnsi="宋体"/>
          <w:b/>
          <w:bCs/>
          <w:color w:val="auto"/>
          <w:kern w:val="0"/>
          <w:sz w:val="24"/>
          <w:szCs w:val="24"/>
          <w:lang w:eastAsia="zh-CN"/>
        </w:rPr>
        <w:t xml:space="preserve"> </w:t>
      </w:r>
    </w:p>
    <w:p>
      <w:pPr>
        <w:tabs>
          <w:tab w:val="left" w:pos="0"/>
        </w:tabs>
        <w:spacing w:line="400" w:lineRule="exact"/>
        <w:jc w:val="center"/>
        <w:rPr>
          <w:rFonts w:ascii="宋体" w:hAnsi="宋体"/>
          <w:b/>
          <w:bCs/>
          <w:color w:val="auto"/>
          <w:kern w:val="0"/>
          <w:sz w:val="24"/>
          <w:szCs w:val="24"/>
        </w:rPr>
      </w:pPr>
      <w:r>
        <w:rPr>
          <w:rFonts w:hint="eastAsia" w:ascii="宋体" w:hAnsi="宋体"/>
          <w:b/>
          <w:bCs/>
          <w:color w:val="auto"/>
          <w:kern w:val="0"/>
          <w:sz w:val="24"/>
          <w:szCs w:val="24"/>
        </w:rPr>
        <w:t>6.1人员配备表</w:t>
      </w:r>
    </w:p>
    <w:tbl>
      <w:tblPr>
        <w:tblStyle w:val="22"/>
        <w:tblW w:w="780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0"/>
        <w:gridCol w:w="1380"/>
        <w:gridCol w:w="1181"/>
        <w:gridCol w:w="1150"/>
        <w:gridCol w:w="875"/>
        <w:gridCol w:w="1313"/>
        <w:gridCol w:w="10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820" w:type="dxa"/>
            <w:vAlign w:val="center"/>
          </w:tcPr>
          <w:p>
            <w:pPr>
              <w:spacing w:line="400" w:lineRule="exact"/>
              <w:jc w:val="center"/>
              <w:rPr>
                <w:rFonts w:ascii="宋体" w:hAnsi="宋体"/>
                <w:color w:val="auto"/>
                <w:szCs w:val="21"/>
              </w:rPr>
            </w:pPr>
            <w:r>
              <w:rPr>
                <w:rFonts w:hint="eastAsia" w:ascii="宋体" w:hAnsi="宋体"/>
                <w:color w:val="auto"/>
                <w:szCs w:val="21"/>
              </w:rPr>
              <w:t>序号</w:t>
            </w:r>
          </w:p>
        </w:tc>
        <w:tc>
          <w:tcPr>
            <w:tcW w:w="1380" w:type="dxa"/>
            <w:vAlign w:val="center"/>
          </w:tcPr>
          <w:p>
            <w:pPr>
              <w:spacing w:line="400" w:lineRule="exact"/>
              <w:jc w:val="center"/>
              <w:rPr>
                <w:rFonts w:ascii="宋体" w:hAnsi="宋体"/>
                <w:color w:val="auto"/>
                <w:szCs w:val="21"/>
              </w:rPr>
            </w:pPr>
            <w:r>
              <w:rPr>
                <w:rFonts w:hint="eastAsia" w:ascii="宋体" w:hAnsi="宋体"/>
                <w:color w:val="auto"/>
                <w:szCs w:val="21"/>
              </w:rPr>
              <w:t>在本项目拟任职务</w:t>
            </w:r>
          </w:p>
        </w:tc>
        <w:tc>
          <w:tcPr>
            <w:tcW w:w="1181" w:type="dxa"/>
            <w:vAlign w:val="center"/>
          </w:tcPr>
          <w:p>
            <w:pPr>
              <w:spacing w:line="400" w:lineRule="exact"/>
              <w:jc w:val="center"/>
              <w:rPr>
                <w:rFonts w:ascii="宋体" w:hAnsi="宋体"/>
                <w:color w:val="auto"/>
                <w:szCs w:val="21"/>
              </w:rPr>
            </w:pPr>
            <w:r>
              <w:rPr>
                <w:rFonts w:hint="eastAsia" w:ascii="宋体" w:hAnsi="宋体"/>
                <w:color w:val="auto"/>
                <w:szCs w:val="21"/>
              </w:rPr>
              <w:t>姓名</w:t>
            </w:r>
          </w:p>
        </w:tc>
        <w:tc>
          <w:tcPr>
            <w:tcW w:w="1150" w:type="dxa"/>
            <w:vAlign w:val="center"/>
          </w:tcPr>
          <w:p>
            <w:pPr>
              <w:spacing w:line="400" w:lineRule="exact"/>
              <w:jc w:val="center"/>
              <w:rPr>
                <w:rFonts w:ascii="宋体" w:hAnsi="宋体"/>
                <w:color w:val="auto"/>
                <w:szCs w:val="21"/>
              </w:rPr>
            </w:pPr>
            <w:r>
              <w:rPr>
                <w:rFonts w:hint="eastAsia" w:ascii="宋体" w:hAnsi="宋体"/>
                <w:color w:val="auto"/>
                <w:szCs w:val="21"/>
              </w:rPr>
              <w:t>性别</w:t>
            </w:r>
          </w:p>
        </w:tc>
        <w:tc>
          <w:tcPr>
            <w:tcW w:w="875" w:type="dxa"/>
            <w:tcBorders>
              <w:right w:val="single" w:color="auto" w:sz="4" w:space="0"/>
            </w:tcBorders>
            <w:vAlign w:val="center"/>
          </w:tcPr>
          <w:p>
            <w:pPr>
              <w:spacing w:line="400" w:lineRule="exact"/>
              <w:jc w:val="center"/>
              <w:rPr>
                <w:rFonts w:ascii="宋体" w:hAnsi="宋体"/>
                <w:color w:val="auto"/>
                <w:szCs w:val="21"/>
              </w:rPr>
            </w:pPr>
            <w:r>
              <w:rPr>
                <w:rFonts w:hint="eastAsia" w:ascii="宋体" w:hAnsi="宋体"/>
                <w:color w:val="auto"/>
                <w:szCs w:val="21"/>
              </w:rPr>
              <w:t>年龄</w:t>
            </w:r>
          </w:p>
        </w:tc>
        <w:tc>
          <w:tcPr>
            <w:tcW w:w="1313" w:type="dxa"/>
            <w:tcBorders>
              <w:left w:val="single" w:color="auto" w:sz="4" w:space="0"/>
            </w:tcBorders>
            <w:vAlign w:val="center"/>
          </w:tcPr>
          <w:p>
            <w:pPr>
              <w:spacing w:line="400" w:lineRule="exact"/>
              <w:jc w:val="center"/>
              <w:rPr>
                <w:rFonts w:ascii="宋体" w:hAnsi="宋体"/>
                <w:color w:val="auto"/>
                <w:szCs w:val="21"/>
              </w:rPr>
            </w:pPr>
            <w:r>
              <w:rPr>
                <w:rFonts w:hint="eastAsia" w:ascii="宋体" w:hAnsi="宋体"/>
                <w:color w:val="auto"/>
                <w:szCs w:val="21"/>
              </w:rPr>
              <w:t>工作经验</w:t>
            </w:r>
          </w:p>
        </w:tc>
        <w:tc>
          <w:tcPr>
            <w:tcW w:w="1086" w:type="dxa"/>
            <w:vAlign w:val="center"/>
          </w:tcPr>
          <w:p>
            <w:pPr>
              <w:spacing w:line="40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820" w:type="dxa"/>
            <w:vAlign w:val="center"/>
          </w:tcPr>
          <w:p>
            <w:pPr>
              <w:spacing w:line="400" w:lineRule="exact"/>
              <w:jc w:val="center"/>
              <w:rPr>
                <w:rFonts w:ascii="宋体" w:hAnsi="宋体"/>
                <w:color w:val="auto"/>
                <w:szCs w:val="21"/>
              </w:rPr>
            </w:pPr>
          </w:p>
        </w:tc>
        <w:tc>
          <w:tcPr>
            <w:tcW w:w="1380" w:type="dxa"/>
            <w:vAlign w:val="center"/>
          </w:tcPr>
          <w:p>
            <w:pPr>
              <w:spacing w:line="400" w:lineRule="exact"/>
              <w:jc w:val="center"/>
              <w:rPr>
                <w:rFonts w:ascii="宋体" w:hAnsi="宋体"/>
                <w:color w:val="auto"/>
                <w:szCs w:val="21"/>
              </w:rPr>
            </w:pPr>
          </w:p>
        </w:tc>
        <w:tc>
          <w:tcPr>
            <w:tcW w:w="1181" w:type="dxa"/>
            <w:vAlign w:val="center"/>
          </w:tcPr>
          <w:p>
            <w:pPr>
              <w:spacing w:line="400" w:lineRule="exact"/>
              <w:jc w:val="center"/>
              <w:rPr>
                <w:rFonts w:ascii="宋体" w:hAnsi="宋体"/>
                <w:color w:val="auto"/>
                <w:szCs w:val="21"/>
              </w:rPr>
            </w:pPr>
          </w:p>
        </w:tc>
        <w:tc>
          <w:tcPr>
            <w:tcW w:w="1150" w:type="dxa"/>
            <w:vAlign w:val="center"/>
          </w:tcPr>
          <w:p>
            <w:pPr>
              <w:spacing w:line="400" w:lineRule="exact"/>
              <w:jc w:val="center"/>
              <w:rPr>
                <w:rFonts w:ascii="宋体" w:hAnsi="宋体"/>
                <w:color w:val="auto"/>
                <w:szCs w:val="21"/>
              </w:rPr>
            </w:pPr>
          </w:p>
        </w:tc>
        <w:tc>
          <w:tcPr>
            <w:tcW w:w="875" w:type="dxa"/>
            <w:tcBorders>
              <w:right w:val="single" w:color="auto" w:sz="4" w:space="0"/>
            </w:tcBorders>
            <w:vAlign w:val="center"/>
          </w:tcPr>
          <w:p>
            <w:pPr>
              <w:spacing w:line="400" w:lineRule="exact"/>
              <w:jc w:val="center"/>
              <w:rPr>
                <w:rFonts w:ascii="宋体" w:hAnsi="宋体"/>
                <w:color w:val="auto"/>
                <w:szCs w:val="21"/>
              </w:rPr>
            </w:pPr>
          </w:p>
        </w:tc>
        <w:tc>
          <w:tcPr>
            <w:tcW w:w="1313" w:type="dxa"/>
            <w:tcBorders>
              <w:left w:val="single" w:color="auto" w:sz="4" w:space="0"/>
            </w:tcBorders>
            <w:vAlign w:val="center"/>
          </w:tcPr>
          <w:p>
            <w:pPr>
              <w:spacing w:line="400" w:lineRule="exact"/>
              <w:jc w:val="center"/>
              <w:rPr>
                <w:rFonts w:ascii="宋体" w:hAnsi="宋体"/>
                <w:color w:val="auto"/>
                <w:szCs w:val="21"/>
              </w:rPr>
            </w:pPr>
          </w:p>
        </w:tc>
        <w:tc>
          <w:tcPr>
            <w:tcW w:w="1086"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820" w:type="dxa"/>
            <w:vAlign w:val="center"/>
          </w:tcPr>
          <w:p>
            <w:pPr>
              <w:spacing w:line="400" w:lineRule="exact"/>
              <w:jc w:val="center"/>
              <w:rPr>
                <w:rFonts w:ascii="宋体" w:hAnsi="宋体"/>
                <w:color w:val="auto"/>
                <w:szCs w:val="21"/>
              </w:rPr>
            </w:pPr>
          </w:p>
        </w:tc>
        <w:tc>
          <w:tcPr>
            <w:tcW w:w="1380" w:type="dxa"/>
            <w:vAlign w:val="center"/>
          </w:tcPr>
          <w:p>
            <w:pPr>
              <w:spacing w:line="400" w:lineRule="exact"/>
              <w:jc w:val="center"/>
              <w:rPr>
                <w:rFonts w:ascii="宋体" w:hAnsi="宋体"/>
                <w:color w:val="auto"/>
                <w:szCs w:val="21"/>
              </w:rPr>
            </w:pPr>
          </w:p>
        </w:tc>
        <w:tc>
          <w:tcPr>
            <w:tcW w:w="1181" w:type="dxa"/>
            <w:vAlign w:val="center"/>
          </w:tcPr>
          <w:p>
            <w:pPr>
              <w:spacing w:line="400" w:lineRule="exact"/>
              <w:jc w:val="center"/>
              <w:rPr>
                <w:rFonts w:ascii="宋体" w:hAnsi="宋体"/>
                <w:color w:val="auto"/>
                <w:szCs w:val="21"/>
              </w:rPr>
            </w:pPr>
          </w:p>
        </w:tc>
        <w:tc>
          <w:tcPr>
            <w:tcW w:w="1150" w:type="dxa"/>
            <w:vAlign w:val="center"/>
          </w:tcPr>
          <w:p>
            <w:pPr>
              <w:spacing w:line="400" w:lineRule="exact"/>
              <w:jc w:val="center"/>
              <w:rPr>
                <w:rFonts w:ascii="宋体" w:hAnsi="宋体"/>
                <w:color w:val="auto"/>
                <w:szCs w:val="21"/>
              </w:rPr>
            </w:pPr>
          </w:p>
        </w:tc>
        <w:tc>
          <w:tcPr>
            <w:tcW w:w="875" w:type="dxa"/>
            <w:tcBorders>
              <w:right w:val="single" w:color="auto" w:sz="4" w:space="0"/>
            </w:tcBorders>
            <w:vAlign w:val="center"/>
          </w:tcPr>
          <w:p>
            <w:pPr>
              <w:spacing w:line="400" w:lineRule="exact"/>
              <w:jc w:val="center"/>
              <w:rPr>
                <w:rFonts w:ascii="宋体" w:hAnsi="宋体"/>
                <w:color w:val="auto"/>
                <w:szCs w:val="21"/>
              </w:rPr>
            </w:pPr>
          </w:p>
        </w:tc>
        <w:tc>
          <w:tcPr>
            <w:tcW w:w="1313" w:type="dxa"/>
            <w:tcBorders>
              <w:left w:val="single" w:color="auto" w:sz="4" w:space="0"/>
            </w:tcBorders>
            <w:vAlign w:val="center"/>
          </w:tcPr>
          <w:p>
            <w:pPr>
              <w:spacing w:line="400" w:lineRule="exact"/>
              <w:jc w:val="center"/>
              <w:rPr>
                <w:rFonts w:ascii="宋体" w:hAnsi="宋体"/>
                <w:color w:val="auto"/>
                <w:szCs w:val="21"/>
              </w:rPr>
            </w:pPr>
          </w:p>
        </w:tc>
        <w:tc>
          <w:tcPr>
            <w:tcW w:w="1086"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820" w:type="dxa"/>
            <w:vAlign w:val="center"/>
          </w:tcPr>
          <w:p>
            <w:pPr>
              <w:spacing w:line="400" w:lineRule="exact"/>
              <w:jc w:val="center"/>
              <w:rPr>
                <w:rFonts w:ascii="宋体" w:hAnsi="宋体"/>
                <w:color w:val="auto"/>
                <w:szCs w:val="21"/>
              </w:rPr>
            </w:pPr>
          </w:p>
        </w:tc>
        <w:tc>
          <w:tcPr>
            <w:tcW w:w="1380" w:type="dxa"/>
            <w:vAlign w:val="center"/>
          </w:tcPr>
          <w:p>
            <w:pPr>
              <w:spacing w:line="400" w:lineRule="exact"/>
              <w:jc w:val="center"/>
              <w:rPr>
                <w:rFonts w:ascii="宋体" w:hAnsi="宋体"/>
                <w:color w:val="auto"/>
                <w:szCs w:val="21"/>
              </w:rPr>
            </w:pPr>
          </w:p>
        </w:tc>
        <w:tc>
          <w:tcPr>
            <w:tcW w:w="1181" w:type="dxa"/>
            <w:vAlign w:val="center"/>
          </w:tcPr>
          <w:p>
            <w:pPr>
              <w:spacing w:line="400" w:lineRule="exact"/>
              <w:jc w:val="center"/>
              <w:rPr>
                <w:rFonts w:ascii="宋体" w:hAnsi="宋体"/>
                <w:color w:val="auto"/>
                <w:szCs w:val="21"/>
              </w:rPr>
            </w:pPr>
          </w:p>
        </w:tc>
        <w:tc>
          <w:tcPr>
            <w:tcW w:w="1150" w:type="dxa"/>
            <w:vAlign w:val="center"/>
          </w:tcPr>
          <w:p>
            <w:pPr>
              <w:spacing w:line="400" w:lineRule="exact"/>
              <w:jc w:val="center"/>
              <w:rPr>
                <w:rFonts w:ascii="宋体" w:hAnsi="宋体"/>
                <w:color w:val="auto"/>
                <w:szCs w:val="21"/>
              </w:rPr>
            </w:pPr>
          </w:p>
        </w:tc>
        <w:tc>
          <w:tcPr>
            <w:tcW w:w="875" w:type="dxa"/>
            <w:tcBorders>
              <w:right w:val="single" w:color="auto" w:sz="4" w:space="0"/>
            </w:tcBorders>
            <w:vAlign w:val="center"/>
          </w:tcPr>
          <w:p>
            <w:pPr>
              <w:spacing w:line="400" w:lineRule="exact"/>
              <w:jc w:val="center"/>
              <w:rPr>
                <w:rFonts w:ascii="宋体" w:hAnsi="宋体"/>
                <w:color w:val="auto"/>
                <w:szCs w:val="21"/>
              </w:rPr>
            </w:pPr>
          </w:p>
        </w:tc>
        <w:tc>
          <w:tcPr>
            <w:tcW w:w="1313" w:type="dxa"/>
            <w:tcBorders>
              <w:left w:val="single" w:color="auto" w:sz="4" w:space="0"/>
            </w:tcBorders>
            <w:vAlign w:val="center"/>
          </w:tcPr>
          <w:p>
            <w:pPr>
              <w:spacing w:line="400" w:lineRule="exact"/>
              <w:jc w:val="center"/>
              <w:rPr>
                <w:rFonts w:ascii="宋体" w:hAnsi="宋体"/>
                <w:color w:val="auto"/>
                <w:szCs w:val="21"/>
              </w:rPr>
            </w:pPr>
          </w:p>
        </w:tc>
        <w:tc>
          <w:tcPr>
            <w:tcW w:w="1086"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820" w:type="dxa"/>
            <w:vAlign w:val="center"/>
          </w:tcPr>
          <w:p>
            <w:pPr>
              <w:spacing w:line="400" w:lineRule="exact"/>
              <w:jc w:val="center"/>
              <w:rPr>
                <w:rFonts w:ascii="宋体" w:hAnsi="宋体"/>
                <w:color w:val="auto"/>
                <w:szCs w:val="21"/>
              </w:rPr>
            </w:pPr>
          </w:p>
        </w:tc>
        <w:tc>
          <w:tcPr>
            <w:tcW w:w="1380" w:type="dxa"/>
            <w:vAlign w:val="center"/>
          </w:tcPr>
          <w:p>
            <w:pPr>
              <w:spacing w:line="400" w:lineRule="exact"/>
              <w:jc w:val="center"/>
              <w:rPr>
                <w:rFonts w:ascii="宋体" w:hAnsi="宋体"/>
                <w:color w:val="auto"/>
                <w:szCs w:val="21"/>
              </w:rPr>
            </w:pPr>
          </w:p>
        </w:tc>
        <w:tc>
          <w:tcPr>
            <w:tcW w:w="1181" w:type="dxa"/>
            <w:vAlign w:val="center"/>
          </w:tcPr>
          <w:p>
            <w:pPr>
              <w:spacing w:line="400" w:lineRule="exact"/>
              <w:jc w:val="center"/>
              <w:rPr>
                <w:rFonts w:ascii="宋体" w:hAnsi="宋体"/>
                <w:color w:val="auto"/>
                <w:szCs w:val="21"/>
              </w:rPr>
            </w:pPr>
          </w:p>
        </w:tc>
        <w:tc>
          <w:tcPr>
            <w:tcW w:w="1150" w:type="dxa"/>
            <w:vAlign w:val="center"/>
          </w:tcPr>
          <w:p>
            <w:pPr>
              <w:spacing w:line="400" w:lineRule="exact"/>
              <w:jc w:val="center"/>
              <w:rPr>
                <w:rFonts w:ascii="宋体" w:hAnsi="宋体"/>
                <w:color w:val="auto"/>
                <w:szCs w:val="21"/>
              </w:rPr>
            </w:pPr>
          </w:p>
        </w:tc>
        <w:tc>
          <w:tcPr>
            <w:tcW w:w="875" w:type="dxa"/>
            <w:tcBorders>
              <w:right w:val="single" w:color="auto" w:sz="4" w:space="0"/>
            </w:tcBorders>
            <w:vAlign w:val="center"/>
          </w:tcPr>
          <w:p>
            <w:pPr>
              <w:spacing w:line="400" w:lineRule="exact"/>
              <w:jc w:val="center"/>
              <w:rPr>
                <w:rFonts w:ascii="宋体" w:hAnsi="宋体"/>
                <w:color w:val="auto"/>
                <w:szCs w:val="21"/>
              </w:rPr>
            </w:pPr>
          </w:p>
        </w:tc>
        <w:tc>
          <w:tcPr>
            <w:tcW w:w="1313" w:type="dxa"/>
            <w:tcBorders>
              <w:left w:val="single" w:color="auto" w:sz="4" w:space="0"/>
            </w:tcBorders>
            <w:vAlign w:val="center"/>
          </w:tcPr>
          <w:p>
            <w:pPr>
              <w:spacing w:line="400" w:lineRule="exact"/>
              <w:jc w:val="center"/>
              <w:rPr>
                <w:rFonts w:ascii="宋体" w:hAnsi="宋体"/>
                <w:color w:val="auto"/>
                <w:szCs w:val="21"/>
              </w:rPr>
            </w:pPr>
          </w:p>
        </w:tc>
        <w:tc>
          <w:tcPr>
            <w:tcW w:w="1086"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820" w:type="dxa"/>
            <w:vAlign w:val="center"/>
          </w:tcPr>
          <w:p>
            <w:pPr>
              <w:spacing w:line="400" w:lineRule="exact"/>
              <w:jc w:val="center"/>
              <w:rPr>
                <w:rFonts w:ascii="宋体" w:hAnsi="宋体"/>
                <w:color w:val="auto"/>
                <w:szCs w:val="21"/>
              </w:rPr>
            </w:pPr>
          </w:p>
        </w:tc>
        <w:tc>
          <w:tcPr>
            <w:tcW w:w="1380" w:type="dxa"/>
            <w:vAlign w:val="center"/>
          </w:tcPr>
          <w:p>
            <w:pPr>
              <w:spacing w:line="400" w:lineRule="exact"/>
              <w:jc w:val="center"/>
              <w:rPr>
                <w:rFonts w:ascii="宋体" w:hAnsi="宋体"/>
                <w:color w:val="auto"/>
                <w:szCs w:val="21"/>
              </w:rPr>
            </w:pPr>
          </w:p>
        </w:tc>
        <w:tc>
          <w:tcPr>
            <w:tcW w:w="1181" w:type="dxa"/>
            <w:vAlign w:val="center"/>
          </w:tcPr>
          <w:p>
            <w:pPr>
              <w:spacing w:line="400" w:lineRule="exact"/>
              <w:jc w:val="center"/>
              <w:rPr>
                <w:rFonts w:ascii="宋体" w:hAnsi="宋体"/>
                <w:color w:val="auto"/>
                <w:szCs w:val="21"/>
              </w:rPr>
            </w:pPr>
          </w:p>
        </w:tc>
        <w:tc>
          <w:tcPr>
            <w:tcW w:w="1150" w:type="dxa"/>
            <w:vAlign w:val="center"/>
          </w:tcPr>
          <w:p>
            <w:pPr>
              <w:spacing w:line="400" w:lineRule="exact"/>
              <w:jc w:val="center"/>
              <w:rPr>
                <w:rFonts w:ascii="宋体" w:hAnsi="宋体"/>
                <w:color w:val="auto"/>
                <w:szCs w:val="21"/>
              </w:rPr>
            </w:pPr>
          </w:p>
        </w:tc>
        <w:tc>
          <w:tcPr>
            <w:tcW w:w="875" w:type="dxa"/>
            <w:tcBorders>
              <w:right w:val="single" w:color="auto" w:sz="4" w:space="0"/>
            </w:tcBorders>
            <w:vAlign w:val="center"/>
          </w:tcPr>
          <w:p>
            <w:pPr>
              <w:spacing w:line="400" w:lineRule="exact"/>
              <w:jc w:val="center"/>
              <w:rPr>
                <w:rFonts w:ascii="宋体" w:hAnsi="宋体"/>
                <w:color w:val="auto"/>
                <w:szCs w:val="21"/>
              </w:rPr>
            </w:pPr>
          </w:p>
        </w:tc>
        <w:tc>
          <w:tcPr>
            <w:tcW w:w="1313" w:type="dxa"/>
            <w:tcBorders>
              <w:left w:val="single" w:color="auto" w:sz="4" w:space="0"/>
            </w:tcBorders>
            <w:vAlign w:val="center"/>
          </w:tcPr>
          <w:p>
            <w:pPr>
              <w:spacing w:line="400" w:lineRule="exact"/>
              <w:jc w:val="center"/>
              <w:rPr>
                <w:rFonts w:ascii="宋体" w:hAnsi="宋体"/>
                <w:color w:val="auto"/>
                <w:szCs w:val="21"/>
              </w:rPr>
            </w:pPr>
          </w:p>
        </w:tc>
        <w:tc>
          <w:tcPr>
            <w:tcW w:w="1086"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820" w:type="dxa"/>
            <w:vAlign w:val="center"/>
          </w:tcPr>
          <w:p>
            <w:pPr>
              <w:spacing w:line="400" w:lineRule="exact"/>
              <w:jc w:val="center"/>
              <w:rPr>
                <w:rFonts w:ascii="宋体" w:hAnsi="宋体"/>
                <w:color w:val="auto"/>
                <w:szCs w:val="21"/>
              </w:rPr>
            </w:pPr>
          </w:p>
        </w:tc>
        <w:tc>
          <w:tcPr>
            <w:tcW w:w="1380" w:type="dxa"/>
            <w:vAlign w:val="center"/>
          </w:tcPr>
          <w:p>
            <w:pPr>
              <w:spacing w:line="400" w:lineRule="exact"/>
              <w:jc w:val="center"/>
              <w:rPr>
                <w:rFonts w:ascii="宋体" w:hAnsi="宋体"/>
                <w:color w:val="auto"/>
                <w:szCs w:val="21"/>
              </w:rPr>
            </w:pPr>
          </w:p>
        </w:tc>
        <w:tc>
          <w:tcPr>
            <w:tcW w:w="1181" w:type="dxa"/>
            <w:vAlign w:val="center"/>
          </w:tcPr>
          <w:p>
            <w:pPr>
              <w:spacing w:line="400" w:lineRule="exact"/>
              <w:jc w:val="center"/>
              <w:rPr>
                <w:rFonts w:ascii="宋体" w:hAnsi="宋体"/>
                <w:color w:val="auto"/>
                <w:szCs w:val="21"/>
              </w:rPr>
            </w:pPr>
          </w:p>
        </w:tc>
        <w:tc>
          <w:tcPr>
            <w:tcW w:w="1150" w:type="dxa"/>
            <w:vAlign w:val="center"/>
          </w:tcPr>
          <w:p>
            <w:pPr>
              <w:spacing w:line="400" w:lineRule="exact"/>
              <w:jc w:val="center"/>
              <w:rPr>
                <w:rFonts w:ascii="宋体" w:hAnsi="宋体"/>
                <w:color w:val="auto"/>
                <w:szCs w:val="21"/>
              </w:rPr>
            </w:pPr>
          </w:p>
        </w:tc>
        <w:tc>
          <w:tcPr>
            <w:tcW w:w="875" w:type="dxa"/>
            <w:tcBorders>
              <w:right w:val="single" w:color="auto" w:sz="4" w:space="0"/>
            </w:tcBorders>
            <w:vAlign w:val="center"/>
          </w:tcPr>
          <w:p>
            <w:pPr>
              <w:spacing w:line="400" w:lineRule="exact"/>
              <w:jc w:val="center"/>
              <w:rPr>
                <w:rFonts w:ascii="宋体" w:hAnsi="宋体"/>
                <w:color w:val="auto"/>
                <w:szCs w:val="21"/>
              </w:rPr>
            </w:pPr>
          </w:p>
        </w:tc>
        <w:tc>
          <w:tcPr>
            <w:tcW w:w="1313" w:type="dxa"/>
            <w:tcBorders>
              <w:left w:val="single" w:color="auto" w:sz="4" w:space="0"/>
            </w:tcBorders>
            <w:vAlign w:val="center"/>
          </w:tcPr>
          <w:p>
            <w:pPr>
              <w:spacing w:line="400" w:lineRule="exact"/>
              <w:jc w:val="center"/>
              <w:rPr>
                <w:rFonts w:ascii="宋体" w:hAnsi="宋体"/>
                <w:color w:val="auto"/>
                <w:szCs w:val="21"/>
              </w:rPr>
            </w:pPr>
          </w:p>
        </w:tc>
        <w:tc>
          <w:tcPr>
            <w:tcW w:w="1086"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820" w:type="dxa"/>
            <w:vAlign w:val="center"/>
          </w:tcPr>
          <w:p>
            <w:pPr>
              <w:spacing w:line="400" w:lineRule="exact"/>
              <w:jc w:val="center"/>
              <w:rPr>
                <w:rFonts w:ascii="宋体" w:hAnsi="宋体"/>
                <w:color w:val="auto"/>
                <w:szCs w:val="21"/>
              </w:rPr>
            </w:pPr>
          </w:p>
        </w:tc>
        <w:tc>
          <w:tcPr>
            <w:tcW w:w="1380" w:type="dxa"/>
            <w:vAlign w:val="center"/>
          </w:tcPr>
          <w:p>
            <w:pPr>
              <w:spacing w:line="400" w:lineRule="exact"/>
              <w:jc w:val="center"/>
              <w:rPr>
                <w:rFonts w:ascii="宋体" w:hAnsi="宋体"/>
                <w:color w:val="auto"/>
                <w:szCs w:val="21"/>
              </w:rPr>
            </w:pPr>
          </w:p>
        </w:tc>
        <w:tc>
          <w:tcPr>
            <w:tcW w:w="1181" w:type="dxa"/>
            <w:vAlign w:val="center"/>
          </w:tcPr>
          <w:p>
            <w:pPr>
              <w:spacing w:line="400" w:lineRule="exact"/>
              <w:jc w:val="center"/>
              <w:rPr>
                <w:rFonts w:ascii="宋体" w:hAnsi="宋体"/>
                <w:color w:val="auto"/>
                <w:szCs w:val="21"/>
              </w:rPr>
            </w:pPr>
          </w:p>
        </w:tc>
        <w:tc>
          <w:tcPr>
            <w:tcW w:w="1150" w:type="dxa"/>
            <w:vAlign w:val="center"/>
          </w:tcPr>
          <w:p>
            <w:pPr>
              <w:spacing w:line="400" w:lineRule="exact"/>
              <w:jc w:val="center"/>
              <w:rPr>
                <w:rFonts w:ascii="宋体" w:hAnsi="宋体"/>
                <w:color w:val="auto"/>
                <w:szCs w:val="21"/>
              </w:rPr>
            </w:pPr>
          </w:p>
        </w:tc>
        <w:tc>
          <w:tcPr>
            <w:tcW w:w="875" w:type="dxa"/>
            <w:tcBorders>
              <w:right w:val="single" w:color="auto" w:sz="4" w:space="0"/>
            </w:tcBorders>
            <w:vAlign w:val="center"/>
          </w:tcPr>
          <w:p>
            <w:pPr>
              <w:spacing w:line="400" w:lineRule="exact"/>
              <w:jc w:val="center"/>
              <w:rPr>
                <w:rFonts w:ascii="宋体" w:hAnsi="宋体"/>
                <w:color w:val="auto"/>
                <w:szCs w:val="21"/>
              </w:rPr>
            </w:pPr>
          </w:p>
        </w:tc>
        <w:tc>
          <w:tcPr>
            <w:tcW w:w="1313" w:type="dxa"/>
            <w:tcBorders>
              <w:left w:val="single" w:color="auto" w:sz="4" w:space="0"/>
            </w:tcBorders>
            <w:vAlign w:val="center"/>
          </w:tcPr>
          <w:p>
            <w:pPr>
              <w:spacing w:line="400" w:lineRule="exact"/>
              <w:jc w:val="center"/>
              <w:rPr>
                <w:rFonts w:ascii="宋体" w:hAnsi="宋体"/>
                <w:color w:val="auto"/>
                <w:szCs w:val="21"/>
              </w:rPr>
            </w:pPr>
          </w:p>
        </w:tc>
        <w:tc>
          <w:tcPr>
            <w:tcW w:w="1086"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820" w:type="dxa"/>
            <w:vAlign w:val="center"/>
          </w:tcPr>
          <w:p>
            <w:pPr>
              <w:spacing w:line="400" w:lineRule="exact"/>
              <w:jc w:val="center"/>
              <w:rPr>
                <w:rFonts w:ascii="宋体" w:hAnsi="宋体"/>
                <w:color w:val="auto"/>
                <w:szCs w:val="21"/>
              </w:rPr>
            </w:pPr>
          </w:p>
        </w:tc>
        <w:tc>
          <w:tcPr>
            <w:tcW w:w="1380" w:type="dxa"/>
            <w:vAlign w:val="center"/>
          </w:tcPr>
          <w:p>
            <w:pPr>
              <w:spacing w:line="400" w:lineRule="exact"/>
              <w:jc w:val="center"/>
              <w:rPr>
                <w:rFonts w:ascii="宋体" w:hAnsi="宋体"/>
                <w:color w:val="auto"/>
                <w:szCs w:val="21"/>
              </w:rPr>
            </w:pPr>
          </w:p>
        </w:tc>
        <w:tc>
          <w:tcPr>
            <w:tcW w:w="1181" w:type="dxa"/>
            <w:vAlign w:val="center"/>
          </w:tcPr>
          <w:p>
            <w:pPr>
              <w:spacing w:line="400" w:lineRule="exact"/>
              <w:jc w:val="center"/>
              <w:rPr>
                <w:rFonts w:ascii="宋体" w:hAnsi="宋体"/>
                <w:color w:val="auto"/>
                <w:szCs w:val="21"/>
              </w:rPr>
            </w:pPr>
          </w:p>
        </w:tc>
        <w:tc>
          <w:tcPr>
            <w:tcW w:w="1150" w:type="dxa"/>
            <w:vAlign w:val="center"/>
          </w:tcPr>
          <w:p>
            <w:pPr>
              <w:spacing w:line="400" w:lineRule="exact"/>
              <w:jc w:val="center"/>
              <w:rPr>
                <w:rFonts w:ascii="宋体" w:hAnsi="宋体"/>
                <w:color w:val="auto"/>
                <w:szCs w:val="21"/>
              </w:rPr>
            </w:pPr>
          </w:p>
        </w:tc>
        <w:tc>
          <w:tcPr>
            <w:tcW w:w="875" w:type="dxa"/>
            <w:tcBorders>
              <w:right w:val="single" w:color="auto" w:sz="4" w:space="0"/>
            </w:tcBorders>
            <w:vAlign w:val="center"/>
          </w:tcPr>
          <w:p>
            <w:pPr>
              <w:spacing w:line="400" w:lineRule="exact"/>
              <w:jc w:val="center"/>
              <w:rPr>
                <w:rFonts w:ascii="宋体" w:hAnsi="宋体"/>
                <w:color w:val="auto"/>
                <w:szCs w:val="21"/>
              </w:rPr>
            </w:pPr>
          </w:p>
        </w:tc>
        <w:tc>
          <w:tcPr>
            <w:tcW w:w="1313" w:type="dxa"/>
            <w:tcBorders>
              <w:left w:val="single" w:color="auto" w:sz="4" w:space="0"/>
            </w:tcBorders>
            <w:vAlign w:val="center"/>
          </w:tcPr>
          <w:p>
            <w:pPr>
              <w:spacing w:line="400" w:lineRule="exact"/>
              <w:jc w:val="center"/>
              <w:rPr>
                <w:rFonts w:ascii="宋体" w:hAnsi="宋体"/>
                <w:color w:val="auto"/>
                <w:szCs w:val="21"/>
              </w:rPr>
            </w:pPr>
          </w:p>
        </w:tc>
        <w:tc>
          <w:tcPr>
            <w:tcW w:w="1086"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820" w:type="dxa"/>
            <w:vAlign w:val="center"/>
          </w:tcPr>
          <w:p>
            <w:pPr>
              <w:spacing w:line="400" w:lineRule="exact"/>
              <w:jc w:val="center"/>
              <w:rPr>
                <w:rFonts w:ascii="宋体" w:hAnsi="宋体"/>
                <w:color w:val="auto"/>
                <w:szCs w:val="21"/>
              </w:rPr>
            </w:pPr>
          </w:p>
        </w:tc>
        <w:tc>
          <w:tcPr>
            <w:tcW w:w="1380" w:type="dxa"/>
            <w:vAlign w:val="center"/>
          </w:tcPr>
          <w:p>
            <w:pPr>
              <w:spacing w:line="400" w:lineRule="exact"/>
              <w:jc w:val="center"/>
              <w:rPr>
                <w:rFonts w:ascii="宋体" w:hAnsi="宋体"/>
                <w:color w:val="auto"/>
                <w:szCs w:val="21"/>
              </w:rPr>
            </w:pPr>
          </w:p>
        </w:tc>
        <w:tc>
          <w:tcPr>
            <w:tcW w:w="1181" w:type="dxa"/>
            <w:vAlign w:val="center"/>
          </w:tcPr>
          <w:p>
            <w:pPr>
              <w:spacing w:line="400" w:lineRule="exact"/>
              <w:jc w:val="center"/>
              <w:rPr>
                <w:rFonts w:ascii="宋体" w:hAnsi="宋体"/>
                <w:color w:val="auto"/>
                <w:szCs w:val="21"/>
              </w:rPr>
            </w:pPr>
          </w:p>
        </w:tc>
        <w:tc>
          <w:tcPr>
            <w:tcW w:w="1150" w:type="dxa"/>
            <w:vAlign w:val="center"/>
          </w:tcPr>
          <w:p>
            <w:pPr>
              <w:spacing w:line="400" w:lineRule="exact"/>
              <w:jc w:val="center"/>
              <w:rPr>
                <w:rFonts w:ascii="宋体" w:hAnsi="宋体"/>
                <w:color w:val="auto"/>
                <w:szCs w:val="21"/>
              </w:rPr>
            </w:pPr>
          </w:p>
        </w:tc>
        <w:tc>
          <w:tcPr>
            <w:tcW w:w="875" w:type="dxa"/>
            <w:tcBorders>
              <w:right w:val="single" w:color="auto" w:sz="4" w:space="0"/>
            </w:tcBorders>
            <w:vAlign w:val="center"/>
          </w:tcPr>
          <w:p>
            <w:pPr>
              <w:spacing w:line="400" w:lineRule="exact"/>
              <w:jc w:val="center"/>
              <w:rPr>
                <w:rFonts w:ascii="宋体" w:hAnsi="宋体"/>
                <w:color w:val="auto"/>
                <w:szCs w:val="21"/>
              </w:rPr>
            </w:pPr>
          </w:p>
        </w:tc>
        <w:tc>
          <w:tcPr>
            <w:tcW w:w="1313" w:type="dxa"/>
            <w:tcBorders>
              <w:left w:val="single" w:color="auto" w:sz="4" w:space="0"/>
            </w:tcBorders>
            <w:vAlign w:val="center"/>
          </w:tcPr>
          <w:p>
            <w:pPr>
              <w:spacing w:line="400" w:lineRule="exact"/>
              <w:jc w:val="center"/>
              <w:rPr>
                <w:rFonts w:ascii="宋体" w:hAnsi="宋体"/>
                <w:color w:val="auto"/>
                <w:szCs w:val="21"/>
              </w:rPr>
            </w:pPr>
          </w:p>
        </w:tc>
        <w:tc>
          <w:tcPr>
            <w:tcW w:w="1086"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820" w:type="dxa"/>
            <w:vAlign w:val="center"/>
          </w:tcPr>
          <w:p>
            <w:pPr>
              <w:spacing w:line="400" w:lineRule="exact"/>
              <w:jc w:val="center"/>
              <w:rPr>
                <w:rFonts w:ascii="宋体" w:hAnsi="宋体"/>
                <w:color w:val="auto"/>
                <w:szCs w:val="21"/>
              </w:rPr>
            </w:pPr>
          </w:p>
        </w:tc>
        <w:tc>
          <w:tcPr>
            <w:tcW w:w="1380" w:type="dxa"/>
            <w:vAlign w:val="center"/>
          </w:tcPr>
          <w:p>
            <w:pPr>
              <w:spacing w:line="400" w:lineRule="exact"/>
              <w:jc w:val="center"/>
              <w:rPr>
                <w:rFonts w:ascii="宋体" w:hAnsi="宋体"/>
                <w:color w:val="auto"/>
                <w:szCs w:val="21"/>
              </w:rPr>
            </w:pPr>
          </w:p>
        </w:tc>
        <w:tc>
          <w:tcPr>
            <w:tcW w:w="1181" w:type="dxa"/>
            <w:vAlign w:val="center"/>
          </w:tcPr>
          <w:p>
            <w:pPr>
              <w:spacing w:line="400" w:lineRule="exact"/>
              <w:jc w:val="center"/>
              <w:rPr>
                <w:rFonts w:ascii="宋体" w:hAnsi="宋体"/>
                <w:color w:val="auto"/>
                <w:szCs w:val="21"/>
              </w:rPr>
            </w:pPr>
          </w:p>
        </w:tc>
        <w:tc>
          <w:tcPr>
            <w:tcW w:w="1150" w:type="dxa"/>
            <w:vAlign w:val="center"/>
          </w:tcPr>
          <w:p>
            <w:pPr>
              <w:spacing w:line="400" w:lineRule="exact"/>
              <w:jc w:val="center"/>
              <w:rPr>
                <w:rFonts w:ascii="宋体" w:hAnsi="宋体"/>
                <w:color w:val="auto"/>
                <w:szCs w:val="21"/>
              </w:rPr>
            </w:pPr>
          </w:p>
        </w:tc>
        <w:tc>
          <w:tcPr>
            <w:tcW w:w="875" w:type="dxa"/>
            <w:tcBorders>
              <w:right w:val="single" w:color="auto" w:sz="4" w:space="0"/>
            </w:tcBorders>
            <w:vAlign w:val="center"/>
          </w:tcPr>
          <w:p>
            <w:pPr>
              <w:spacing w:line="400" w:lineRule="exact"/>
              <w:jc w:val="center"/>
              <w:rPr>
                <w:rFonts w:ascii="宋体" w:hAnsi="宋体"/>
                <w:color w:val="auto"/>
                <w:szCs w:val="21"/>
              </w:rPr>
            </w:pPr>
          </w:p>
        </w:tc>
        <w:tc>
          <w:tcPr>
            <w:tcW w:w="1313" w:type="dxa"/>
            <w:tcBorders>
              <w:left w:val="single" w:color="auto" w:sz="4" w:space="0"/>
            </w:tcBorders>
            <w:vAlign w:val="center"/>
          </w:tcPr>
          <w:p>
            <w:pPr>
              <w:spacing w:line="400" w:lineRule="exact"/>
              <w:jc w:val="center"/>
              <w:rPr>
                <w:rFonts w:ascii="宋体" w:hAnsi="宋体"/>
                <w:color w:val="auto"/>
                <w:szCs w:val="21"/>
              </w:rPr>
            </w:pPr>
          </w:p>
        </w:tc>
        <w:tc>
          <w:tcPr>
            <w:tcW w:w="1086" w:type="dxa"/>
            <w:vAlign w:val="center"/>
          </w:tcPr>
          <w:p>
            <w:pPr>
              <w:spacing w:line="400" w:lineRule="exact"/>
              <w:jc w:val="center"/>
              <w:rPr>
                <w:rFonts w:ascii="宋体" w:hAnsi="宋体"/>
                <w:color w:val="auto"/>
                <w:szCs w:val="21"/>
              </w:rPr>
            </w:pPr>
          </w:p>
        </w:tc>
      </w:tr>
    </w:tbl>
    <w:p>
      <w:pPr>
        <w:spacing w:line="400" w:lineRule="exact"/>
        <w:ind w:firstLine="630" w:firstLineChars="300"/>
        <w:rPr>
          <w:rFonts w:ascii="宋体" w:hAnsi="宋体"/>
          <w:color w:val="auto"/>
          <w:szCs w:val="21"/>
        </w:rPr>
      </w:pPr>
      <w:r>
        <w:rPr>
          <w:rFonts w:hint="eastAsia" w:ascii="宋体" w:hAnsi="宋体"/>
          <w:color w:val="auto"/>
          <w:szCs w:val="21"/>
        </w:rPr>
        <w:t>附以上人员证书或身份证复印件。</w:t>
      </w:r>
    </w:p>
    <w:p>
      <w:pPr>
        <w:spacing w:line="400" w:lineRule="exact"/>
        <w:rPr>
          <w:rFonts w:ascii="宋体" w:hAnsi="宋体"/>
          <w:color w:val="auto"/>
          <w:szCs w:val="21"/>
        </w:rPr>
      </w:pPr>
    </w:p>
    <w:p>
      <w:pPr>
        <w:pStyle w:val="20"/>
        <w:spacing w:line="360" w:lineRule="auto"/>
        <w:ind w:firstLine="4080" w:firstLineChars="1700"/>
        <w:rPr>
          <w:rFonts w:hint="eastAsia" w:ascii="宋体" w:hAnsi="宋体" w:cs="宋体"/>
          <w:color w:val="auto"/>
        </w:rPr>
      </w:pPr>
      <w:r>
        <w:rPr>
          <w:rFonts w:hint="eastAsia" w:ascii="宋体" w:hAnsi="宋体" w:cs="宋体"/>
          <w:color w:val="auto"/>
        </w:rPr>
        <w:t>供应商(电子签章)：</w:t>
      </w:r>
    </w:p>
    <w:p>
      <w:pPr>
        <w:pStyle w:val="20"/>
        <w:spacing w:line="360" w:lineRule="auto"/>
        <w:ind w:firstLine="4080" w:firstLineChars="1700"/>
        <w:rPr>
          <w:rFonts w:hint="eastAsia" w:ascii="宋体" w:hAnsi="宋体" w:cs="宋体"/>
          <w:color w:val="auto"/>
        </w:rPr>
      </w:pPr>
      <w:r>
        <w:rPr>
          <w:rFonts w:hint="eastAsia" w:ascii="宋体" w:hAnsi="宋体" w:cs="宋体"/>
          <w:color w:val="auto"/>
        </w:rPr>
        <w:t>法定代表人(电子签章)：</w:t>
      </w:r>
    </w:p>
    <w:p>
      <w:pPr>
        <w:pStyle w:val="20"/>
        <w:spacing w:line="360" w:lineRule="auto"/>
        <w:ind w:firstLine="4080" w:firstLineChars="1700"/>
        <w:rPr>
          <w:rFonts w:hint="eastAsia" w:ascii="宋体" w:hAnsi="宋体" w:cs="宋体"/>
          <w:color w:val="auto"/>
        </w:rPr>
      </w:pPr>
      <w:r>
        <w:rPr>
          <w:rFonts w:hint="eastAsia" w:ascii="宋体" w:hAnsi="宋体" w:cs="宋体"/>
          <w:color w:val="auto"/>
        </w:rPr>
        <w:t>日</w:t>
      </w:r>
      <w:r>
        <w:rPr>
          <w:rFonts w:hint="eastAsia" w:ascii="宋体" w:hAnsi="宋体" w:cs="宋体"/>
          <w:color w:val="auto"/>
          <w:lang w:eastAsia="zh-CN"/>
        </w:rPr>
        <w:t xml:space="preserve">  </w:t>
      </w:r>
      <w:r>
        <w:rPr>
          <w:rFonts w:hint="eastAsia" w:ascii="宋体" w:hAnsi="宋体" w:cs="宋体"/>
          <w:color w:val="auto"/>
        </w:rPr>
        <w:t>期：</w:t>
      </w:r>
      <w:r>
        <w:rPr>
          <w:rFonts w:hint="eastAsia" w:ascii="宋体" w:hAnsi="宋体" w:cs="宋体"/>
          <w:color w:val="auto"/>
          <w:lang w:eastAsia="zh-CN"/>
        </w:rPr>
        <w:t xml:space="preserve">    </w:t>
      </w:r>
      <w:r>
        <w:rPr>
          <w:rFonts w:hint="eastAsia" w:ascii="宋体" w:hAnsi="宋体" w:cs="宋体"/>
          <w:color w:val="auto"/>
        </w:rPr>
        <w:t>年</w:t>
      </w:r>
      <w:r>
        <w:rPr>
          <w:rFonts w:hint="eastAsia" w:ascii="宋体" w:hAnsi="宋体" w:cs="宋体"/>
          <w:color w:val="auto"/>
          <w:lang w:eastAsia="zh-CN"/>
        </w:rPr>
        <w:t xml:space="preserve">   </w:t>
      </w:r>
      <w:r>
        <w:rPr>
          <w:rFonts w:hint="eastAsia" w:ascii="宋体" w:hAnsi="宋体" w:cs="宋体"/>
          <w:color w:val="auto"/>
        </w:rPr>
        <w:t>月</w:t>
      </w:r>
      <w:r>
        <w:rPr>
          <w:rFonts w:hint="eastAsia" w:ascii="宋体" w:hAnsi="宋体" w:cs="宋体"/>
          <w:color w:val="auto"/>
          <w:lang w:eastAsia="zh-CN"/>
        </w:rPr>
        <w:t xml:space="preserve">    </w:t>
      </w:r>
      <w:r>
        <w:rPr>
          <w:rFonts w:hint="eastAsia" w:ascii="宋体" w:hAnsi="宋体" w:cs="宋体"/>
          <w:color w:val="auto"/>
        </w:rPr>
        <w:t>日</w:t>
      </w:r>
    </w:p>
    <w:p>
      <w:pPr>
        <w:rPr>
          <w:rFonts w:ascii="宋体" w:hAnsi="宋体"/>
          <w:b/>
          <w:bCs/>
          <w:color w:val="auto"/>
          <w:kern w:val="0"/>
          <w:sz w:val="24"/>
          <w:szCs w:val="24"/>
        </w:rPr>
      </w:pPr>
      <w:bookmarkStart w:id="1164" w:name="_Toc29659"/>
      <w:r>
        <w:rPr>
          <w:rFonts w:hint="eastAsia" w:ascii="宋体" w:hAnsi="宋体"/>
          <w:b/>
          <w:bCs/>
          <w:color w:val="auto"/>
          <w:kern w:val="0"/>
          <w:sz w:val="24"/>
          <w:szCs w:val="24"/>
        </w:rPr>
        <w:br w:type="page"/>
      </w:r>
    </w:p>
    <w:p>
      <w:pPr>
        <w:spacing w:before="312" w:beforeLines="100" w:after="312" w:afterLines="100" w:line="400" w:lineRule="exact"/>
        <w:jc w:val="center"/>
        <w:rPr>
          <w:rFonts w:ascii="宋体" w:hAnsi="宋体"/>
          <w:b/>
          <w:bCs/>
          <w:color w:val="auto"/>
          <w:kern w:val="0"/>
          <w:sz w:val="24"/>
          <w:szCs w:val="24"/>
        </w:rPr>
      </w:pPr>
      <w:r>
        <w:rPr>
          <w:rFonts w:hint="eastAsia" w:ascii="宋体" w:hAnsi="宋体"/>
          <w:b/>
          <w:bCs/>
          <w:color w:val="auto"/>
          <w:kern w:val="0"/>
          <w:sz w:val="24"/>
          <w:szCs w:val="24"/>
        </w:rPr>
        <w:t>6.2拟投入本项目的主要设备配备表</w:t>
      </w:r>
    </w:p>
    <w:tbl>
      <w:tblPr>
        <w:tblStyle w:val="22"/>
        <w:tblW w:w="89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5"/>
        <w:gridCol w:w="1275"/>
        <w:gridCol w:w="1088"/>
        <w:gridCol w:w="1387"/>
        <w:gridCol w:w="1176"/>
        <w:gridCol w:w="1718"/>
        <w:gridCol w:w="159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685" w:type="dxa"/>
            <w:vAlign w:val="center"/>
          </w:tcPr>
          <w:p>
            <w:pPr>
              <w:spacing w:line="400" w:lineRule="exact"/>
              <w:jc w:val="center"/>
              <w:rPr>
                <w:rFonts w:ascii="宋体" w:hAnsi="宋体"/>
                <w:color w:val="auto"/>
                <w:szCs w:val="21"/>
              </w:rPr>
            </w:pPr>
            <w:r>
              <w:rPr>
                <w:rFonts w:hint="eastAsia" w:ascii="宋体" w:hAnsi="宋体"/>
                <w:color w:val="auto"/>
                <w:szCs w:val="21"/>
              </w:rPr>
              <w:t>序号</w:t>
            </w:r>
          </w:p>
        </w:tc>
        <w:tc>
          <w:tcPr>
            <w:tcW w:w="1275" w:type="dxa"/>
            <w:vAlign w:val="center"/>
          </w:tcPr>
          <w:p>
            <w:pPr>
              <w:spacing w:line="400" w:lineRule="exact"/>
              <w:jc w:val="center"/>
              <w:rPr>
                <w:rFonts w:ascii="宋体" w:hAnsi="宋体"/>
                <w:color w:val="auto"/>
                <w:szCs w:val="21"/>
              </w:rPr>
            </w:pPr>
            <w:r>
              <w:rPr>
                <w:rFonts w:hint="eastAsia" w:ascii="宋体" w:hAnsi="宋体"/>
                <w:color w:val="auto"/>
                <w:szCs w:val="21"/>
              </w:rPr>
              <w:t>设备名称</w:t>
            </w:r>
          </w:p>
        </w:tc>
        <w:tc>
          <w:tcPr>
            <w:tcW w:w="1088" w:type="dxa"/>
            <w:tcBorders>
              <w:right w:val="single" w:color="auto" w:sz="4" w:space="0"/>
            </w:tcBorders>
            <w:vAlign w:val="center"/>
          </w:tcPr>
          <w:p>
            <w:pPr>
              <w:spacing w:line="400" w:lineRule="exact"/>
              <w:jc w:val="center"/>
              <w:rPr>
                <w:rFonts w:ascii="宋体" w:hAnsi="宋体"/>
                <w:color w:val="auto"/>
                <w:szCs w:val="21"/>
              </w:rPr>
            </w:pPr>
            <w:r>
              <w:rPr>
                <w:rFonts w:hint="eastAsia" w:ascii="宋体" w:hAnsi="宋体"/>
                <w:color w:val="auto"/>
                <w:szCs w:val="21"/>
              </w:rPr>
              <w:t>型号</w:t>
            </w:r>
          </w:p>
        </w:tc>
        <w:tc>
          <w:tcPr>
            <w:tcW w:w="1387" w:type="dxa"/>
            <w:tcBorders>
              <w:left w:val="single" w:color="auto" w:sz="4" w:space="0"/>
              <w:right w:val="single" w:color="auto" w:sz="4" w:space="0"/>
            </w:tcBorders>
            <w:vAlign w:val="center"/>
          </w:tcPr>
          <w:p>
            <w:pPr>
              <w:spacing w:line="400" w:lineRule="exact"/>
              <w:jc w:val="center"/>
              <w:rPr>
                <w:rFonts w:ascii="宋体" w:hAnsi="宋体"/>
                <w:color w:val="auto"/>
                <w:szCs w:val="21"/>
              </w:rPr>
            </w:pPr>
            <w:r>
              <w:rPr>
                <w:rFonts w:hint="eastAsia" w:ascii="宋体" w:hAnsi="宋体"/>
                <w:color w:val="auto"/>
                <w:szCs w:val="21"/>
              </w:rPr>
              <w:t>数量</w:t>
            </w:r>
          </w:p>
        </w:tc>
        <w:tc>
          <w:tcPr>
            <w:tcW w:w="1176" w:type="dxa"/>
            <w:tcBorders>
              <w:left w:val="single" w:color="auto" w:sz="4" w:space="0"/>
            </w:tcBorders>
            <w:vAlign w:val="center"/>
          </w:tcPr>
          <w:p>
            <w:pPr>
              <w:spacing w:line="400" w:lineRule="exact"/>
              <w:jc w:val="center"/>
              <w:rPr>
                <w:rFonts w:ascii="宋体" w:hAnsi="宋体"/>
                <w:color w:val="auto"/>
                <w:szCs w:val="21"/>
              </w:rPr>
            </w:pPr>
            <w:r>
              <w:rPr>
                <w:rFonts w:hint="eastAsia" w:ascii="宋体" w:hAnsi="宋体"/>
                <w:color w:val="auto"/>
                <w:szCs w:val="21"/>
              </w:rPr>
              <w:t>用途</w:t>
            </w:r>
          </w:p>
        </w:tc>
        <w:tc>
          <w:tcPr>
            <w:tcW w:w="1718" w:type="dxa"/>
            <w:vAlign w:val="center"/>
          </w:tcPr>
          <w:p>
            <w:pPr>
              <w:spacing w:line="400" w:lineRule="exact"/>
              <w:jc w:val="center"/>
              <w:rPr>
                <w:rFonts w:ascii="宋体" w:hAnsi="宋体"/>
                <w:color w:val="auto"/>
                <w:szCs w:val="21"/>
              </w:rPr>
            </w:pPr>
            <w:r>
              <w:rPr>
                <w:rFonts w:hint="eastAsia" w:ascii="宋体" w:hAnsi="宋体"/>
                <w:color w:val="auto"/>
                <w:szCs w:val="21"/>
              </w:rPr>
              <w:t>使用年限</w:t>
            </w:r>
          </w:p>
        </w:tc>
        <w:tc>
          <w:tcPr>
            <w:tcW w:w="1595" w:type="dxa"/>
            <w:vAlign w:val="center"/>
          </w:tcPr>
          <w:p>
            <w:pPr>
              <w:spacing w:line="40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685" w:type="dxa"/>
            <w:vAlign w:val="center"/>
          </w:tcPr>
          <w:p>
            <w:pPr>
              <w:spacing w:line="400" w:lineRule="exact"/>
              <w:jc w:val="center"/>
              <w:rPr>
                <w:rFonts w:ascii="宋体" w:hAnsi="宋体"/>
                <w:color w:val="auto"/>
                <w:szCs w:val="21"/>
              </w:rPr>
            </w:pPr>
          </w:p>
        </w:tc>
        <w:tc>
          <w:tcPr>
            <w:tcW w:w="1275" w:type="dxa"/>
            <w:vAlign w:val="center"/>
          </w:tcPr>
          <w:p>
            <w:pPr>
              <w:spacing w:line="400" w:lineRule="exact"/>
              <w:jc w:val="center"/>
              <w:rPr>
                <w:rFonts w:ascii="宋体" w:hAnsi="宋体"/>
                <w:color w:val="auto"/>
                <w:szCs w:val="21"/>
              </w:rPr>
            </w:pPr>
          </w:p>
        </w:tc>
        <w:tc>
          <w:tcPr>
            <w:tcW w:w="1088" w:type="dxa"/>
            <w:tcBorders>
              <w:right w:val="single" w:color="auto" w:sz="4" w:space="0"/>
            </w:tcBorders>
            <w:vAlign w:val="center"/>
          </w:tcPr>
          <w:p>
            <w:pPr>
              <w:spacing w:line="400" w:lineRule="exact"/>
              <w:jc w:val="center"/>
              <w:rPr>
                <w:rFonts w:ascii="宋体" w:hAnsi="宋体"/>
                <w:color w:val="auto"/>
                <w:szCs w:val="21"/>
              </w:rPr>
            </w:pPr>
          </w:p>
        </w:tc>
        <w:tc>
          <w:tcPr>
            <w:tcW w:w="1387" w:type="dxa"/>
            <w:tcBorders>
              <w:left w:val="single" w:color="auto" w:sz="4" w:space="0"/>
              <w:right w:val="single" w:color="auto" w:sz="4" w:space="0"/>
            </w:tcBorders>
            <w:vAlign w:val="center"/>
          </w:tcPr>
          <w:p>
            <w:pPr>
              <w:spacing w:line="400" w:lineRule="exact"/>
              <w:jc w:val="center"/>
              <w:rPr>
                <w:rFonts w:ascii="宋体" w:hAnsi="宋体"/>
                <w:color w:val="auto"/>
                <w:szCs w:val="21"/>
              </w:rPr>
            </w:pPr>
          </w:p>
        </w:tc>
        <w:tc>
          <w:tcPr>
            <w:tcW w:w="1176" w:type="dxa"/>
            <w:tcBorders>
              <w:left w:val="single" w:color="auto" w:sz="4" w:space="0"/>
            </w:tcBorders>
            <w:vAlign w:val="center"/>
          </w:tcPr>
          <w:p>
            <w:pPr>
              <w:spacing w:line="400" w:lineRule="exact"/>
              <w:jc w:val="center"/>
              <w:rPr>
                <w:rFonts w:ascii="宋体" w:hAnsi="宋体"/>
                <w:color w:val="auto"/>
                <w:szCs w:val="21"/>
              </w:rPr>
            </w:pPr>
          </w:p>
        </w:tc>
        <w:tc>
          <w:tcPr>
            <w:tcW w:w="1718" w:type="dxa"/>
            <w:vAlign w:val="center"/>
          </w:tcPr>
          <w:p>
            <w:pPr>
              <w:spacing w:line="400" w:lineRule="exact"/>
              <w:jc w:val="center"/>
              <w:rPr>
                <w:rFonts w:ascii="宋体" w:hAnsi="宋体"/>
                <w:color w:val="auto"/>
                <w:szCs w:val="21"/>
              </w:rPr>
            </w:pPr>
          </w:p>
        </w:tc>
        <w:tc>
          <w:tcPr>
            <w:tcW w:w="1595"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685" w:type="dxa"/>
            <w:vAlign w:val="center"/>
          </w:tcPr>
          <w:p>
            <w:pPr>
              <w:spacing w:line="400" w:lineRule="exact"/>
              <w:jc w:val="center"/>
              <w:rPr>
                <w:rFonts w:ascii="宋体" w:hAnsi="宋体"/>
                <w:color w:val="auto"/>
                <w:szCs w:val="21"/>
              </w:rPr>
            </w:pPr>
          </w:p>
        </w:tc>
        <w:tc>
          <w:tcPr>
            <w:tcW w:w="1275" w:type="dxa"/>
            <w:vAlign w:val="center"/>
          </w:tcPr>
          <w:p>
            <w:pPr>
              <w:spacing w:line="400" w:lineRule="exact"/>
              <w:jc w:val="center"/>
              <w:rPr>
                <w:rFonts w:ascii="宋体" w:hAnsi="宋体"/>
                <w:color w:val="auto"/>
                <w:szCs w:val="21"/>
              </w:rPr>
            </w:pPr>
          </w:p>
        </w:tc>
        <w:tc>
          <w:tcPr>
            <w:tcW w:w="1088" w:type="dxa"/>
            <w:tcBorders>
              <w:right w:val="single" w:color="auto" w:sz="4" w:space="0"/>
            </w:tcBorders>
            <w:vAlign w:val="center"/>
          </w:tcPr>
          <w:p>
            <w:pPr>
              <w:spacing w:line="400" w:lineRule="exact"/>
              <w:jc w:val="center"/>
              <w:rPr>
                <w:rFonts w:ascii="宋体" w:hAnsi="宋体"/>
                <w:color w:val="auto"/>
                <w:szCs w:val="21"/>
              </w:rPr>
            </w:pPr>
          </w:p>
        </w:tc>
        <w:tc>
          <w:tcPr>
            <w:tcW w:w="1387" w:type="dxa"/>
            <w:tcBorders>
              <w:left w:val="single" w:color="auto" w:sz="4" w:space="0"/>
              <w:right w:val="single" w:color="auto" w:sz="4" w:space="0"/>
            </w:tcBorders>
            <w:vAlign w:val="center"/>
          </w:tcPr>
          <w:p>
            <w:pPr>
              <w:spacing w:line="400" w:lineRule="exact"/>
              <w:jc w:val="center"/>
              <w:rPr>
                <w:rFonts w:ascii="宋体" w:hAnsi="宋体"/>
                <w:color w:val="auto"/>
                <w:szCs w:val="21"/>
              </w:rPr>
            </w:pPr>
          </w:p>
        </w:tc>
        <w:tc>
          <w:tcPr>
            <w:tcW w:w="1176" w:type="dxa"/>
            <w:tcBorders>
              <w:left w:val="single" w:color="auto" w:sz="4" w:space="0"/>
            </w:tcBorders>
            <w:vAlign w:val="center"/>
          </w:tcPr>
          <w:p>
            <w:pPr>
              <w:spacing w:line="400" w:lineRule="exact"/>
              <w:jc w:val="center"/>
              <w:rPr>
                <w:rFonts w:ascii="宋体" w:hAnsi="宋体"/>
                <w:color w:val="auto"/>
                <w:szCs w:val="21"/>
              </w:rPr>
            </w:pPr>
          </w:p>
        </w:tc>
        <w:tc>
          <w:tcPr>
            <w:tcW w:w="1718" w:type="dxa"/>
            <w:vAlign w:val="center"/>
          </w:tcPr>
          <w:p>
            <w:pPr>
              <w:spacing w:line="400" w:lineRule="exact"/>
              <w:jc w:val="center"/>
              <w:rPr>
                <w:rFonts w:ascii="宋体" w:hAnsi="宋体"/>
                <w:color w:val="auto"/>
                <w:szCs w:val="21"/>
              </w:rPr>
            </w:pPr>
          </w:p>
        </w:tc>
        <w:tc>
          <w:tcPr>
            <w:tcW w:w="1595"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685" w:type="dxa"/>
            <w:vAlign w:val="center"/>
          </w:tcPr>
          <w:p>
            <w:pPr>
              <w:spacing w:line="400" w:lineRule="exact"/>
              <w:jc w:val="center"/>
              <w:rPr>
                <w:rFonts w:ascii="宋体" w:hAnsi="宋体"/>
                <w:color w:val="auto"/>
                <w:szCs w:val="21"/>
              </w:rPr>
            </w:pPr>
          </w:p>
        </w:tc>
        <w:tc>
          <w:tcPr>
            <w:tcW w:w="1275" w:type="dxa"/>
            <w:vAlign w:val="center"/>
          </w:tcPr>
          <w:p>
            <w:pPr>
              <w:spacing w:line="400" w:lineRule="exact"/>
              <w:jc w:val="center"/>
              <w:rPr>
                <w:rFonts w:ascii="宋体" w:hAnsi="宋体"/>
                <w:color w:val="auto"/>
                <w:szCs w:val="21"/>
              </w:rPr>
            </w:pPr>
          </w:p>
        </w:tc>
        <w:tc>
          <w:tcPr>
            <w:tcW w:w="1088" w:type="dxa"/>
            <w:tcBorders>
              <w:right w:val="single" w:color="auto" w:sz="4" w:space="0"/>
            </w:tcBorders>
            <w:vAlign w:val="center"/>
          </w:tcPr>
          <w:p>
            <w:pPr>
              <w:spacing w:line="400" w:lineRule="exact"/>
              <w:jc w:val="center"/>
              <w:rPr>
                <w:rFonts w:ascii="宋体" w:hAnsi="宋体"/>
                <w:color w:val="auto"/>
                <w:szCs w:val="21"/>
              </w:rPr>
            </w:pPr>
          </w:p>
        </w:tc>
        <w:tc>
          <w:tcPr>
            <w:tcW w:w="1387" w:type="dxa"/>
            <w:tcBorders>
              <w:left w:val="single" w:color="auto" w:sz="4" w:space="0"/>
              <w:right w:val="single" w:color="auto" w:sz="4" w:space="0"/>
            </w:tcBorders>
            <w:vAlign w:val="center"/>
          </w:tcPr>
          <w:p>
            <w:pPr>
              <w:spacing w:line="400" w:lineRule="exact"/>
              <w:jc w:val="center"/>
              <w:rPr>
                <w:rFonts w:ascii="宋体" w:hAnsi="宋体"/>
                <w:color w:val="auto"/>
                <w:szCs w:val="21"/>
              </w:rPr>
            </w:pPr>
          </w:p>
        </w:tc>
        <w:tc>
          <w:tcPr>
            <w:tcW w:w="1176" w:type="dxa"/>
            <w:tcBorders>
              <w:left w:val="single" w:color="auto" w:sz="4" w:space="0"/>
            </w:tcBorders>
            <w:vAlign w:val="center"/>
          </w:tcPr>
          <w:p>
            <w:pPr>
              <w:spacing w:line="400" w:lineRule="exact"/>
              <w:jc w:val="center"/>
              <w:rPr>
                <w:rFonts w:ascii="宋体" w:hAnsi="宋体"/>
                <w:color w:val="auto"/>
                <w:szCs w:val="21"/>
              </w:rPr>
            </w:pPr>
          </w:p>
        </w:tc>
        <w:tc>
          <w:tcPr>
            <w:tcW w:w="1718" w:type="dxa"/>
            <w:vAlign w:val="center"/>
          </w:tcPr>
          <w:p>
            <w:pPr>
              <w:spacing w:line="400" w:lineRule="exact"/>
              <w:jc w:val="center"/>
              <w:rPr>
                <w:rFonts w:ascii="宋体" w:hAnsi="宋体"/>
                <w:color w:val="auto"/>
                <w:szCs w:val="21"/>
              </w:rPr>
            </w:pPr>
          </w:p>
        </w:tc>
        <w:tc>
          <w:tcPr>
            <w:tcW w:w="1595"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685" w:type="dxa"/>
            <w:vAlign w:val="center"/>
          </w:tcPr>
          <w:p>
            <w:pPr>
              <w:spacing w:line="400" w:lineRule="exact"/>
              <w:jc w:val="center"/>
              <w:rPr>
                <w:rFonts w:ascii="宋体" w:hAnsi="宋体"/>
                <w:color w:val="auto"/>
                <w:szCs w:val="21"/>
              </w:rPr>
            </w:pPr>
          </w:p>
        </w:tc>
        <w:tc>
          <w:tcPr>
            <w:tcW w:w="1275" w:type="dxa"/>
            <w:vAlign w:val="center"/>
          </w:tcPr>
          <w:p>
            <w:pPr>
              <w:spacing w:line="400" w:lineRule="exact"/>
              <w:jc w:val="center"/>
              <w:rPr>
                <w:rFonts w:ascii="宋体" w:hAnsi="宋体"/>
                <w:color w:val="auto"/>
                <w:szCs w:val="21"/>
              </w:rPr>
            </w:pPr>
          </w:p>
        </w:tc>
        <w:tc>
          <w:tcPr>
            <w:tcW w:w="1088" w:type="dxa"/>
            <w:tcBorders>
              <w:right w:val="single" w:color="auto" w:sz="4" w:space="0"/>
            </w:tcBorders>
            <w:vAlign w:val="center"/>
          </w:tcPr>
          <w:p>
            <w:pPr>
              <w:spacing w:line="400" w:lineRule="exact"/>
              <w:jc w:val="center"/>
              <w:rPr>
                <w:rFonts w:ascii="宋体" w:hAnsi="宋体"/>
                <w:color w:val="auto"/>
                <w:szCs w:val="21"/>
              </w:rPr>
            </w:pPr>
          </w:p>
        </w:tc>
        <w:tc>
          <w:tcPr>
            <w:tcW w:w="1387" w:type="dxa"/>
            <w:tcBorders>
              <w:left w:val="single" w:color="auto" w:sz="4" w:space="0"/>
              <w:right w:val="single" w:color="auto" w:sz="4" w:space="0"/>
            </w:tcBorders>
            <w:vAlign w:val="center"/>
          </w:tcPr>
          <w:p>
            <w:pPr>
              <w:spacing w:line="400" w:lineRule="exact"/>
              <w:jc w:val="center"/>
              <w:rPr>
                <w:rFonts w:ascii="宋体" w:hAnsi="宋体"/>
                <w:color w:val="auto"/>
                <w:szCs w:val="21"/>
              </w:rPr>
            </w:pPr>
          </w:p>
        </w:tc>
        <w:tc>
          <w:tcPr>
            <w:tcW w:w="1176" w:type="dxa"/>
            <w:tcBorders>
              <w:left w:val="single" w:color="auto" w:sz="4" w:space="0"/>
            </w:tcBorders>
            <w:vAlign w:val="center"/>
          </w:tcPr>
          <w:p>
            <w:pPr>
              <w:spacing w:line="400" w:lineRule="exact"/>
              <w:jc w:val="center"/>
              <w:rPr>
                <w:rFonts w:ascii="宋体" w:hAnsi="宋体"/>
                <w:color w:val="auto"/>
                <w:szCs w:val="21"/>
              </w:rPr>
            </w:pPr>
          </w:p>
        </w:tc>
        <w:tc>
          <w:tcPr>
            <w:tcW w:w="1718" w:type="dxa"/>
            <w:vAlign w:val="center"/>
          </w:tcPr>
          <w:p>
            <w:pPr>
              <w:spacing w:line="400" w:lineRule="exact"/>
              <w:jc w:val="center"/>
              <w:rPr>
                <w:rFonts w:ascii="宋体" w:hAnsi="宋体"/>
                <w:color w:val="auto"/>
                <w:szCs w:val="21"/>
              </w:rPr>
            </w:pPr>
          </w:p>
        </w:tc>
        <w:tc>
          <w:tcPr>
            <w:tcW w:w="1595"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685" w:type="dxa"/>
            <w:vAlign w:val="center"/>
          </w:tcPr>
          <w:p>
            <w:pPr>
              <w:spacing w:line="400" w:lineRule="exact"/>
              <w:jc w:val="center"/>
              <w:rPr>
                <w:rFonts w:ascii="宋体" w:hAnsi="宋体"/>
                <w:color w:val="auto"/>
                <w:szCs w:val="21"/>
              </w:rPr>
            </w:pPr>
            <w:r>
              <w:rPr>
                <w:rFonts w:hint="eastAsia" w:ascii="宋体" w:hAnsi="宋体"/>
                <w:color w:val="auto"/>
                <w:szCs w:val="21"/>
              </w:rPr>
              <w:t>…</w:t>
            </w:r>
          </w:p>
        </w:tc>
        <w:tc>
          <w:tcPr>
            <w:tcW w:w="1275" w:type="dxa"/>
            <w:vAlign w:val="center"/>
          </w:tcPr>
          <w:p>
            <w:pPr>
              <w:spacing w:line="400" w:lineRule="exact"/>
              <w:jc w:val="center"/>
              <w:rPr>
                <w:rFonts w:ascii="宋体" w:hAnsi="宋体"/>
                <w:color w:val="auto"/>
                <w:szCs w:val="21"/>
              </w:rPr>
            </w:pPr>
          </w:p>
        </w:tc>
        <w:tc>
          <w:tcPr>
            <w:tcW w:w="1088" w:type="dxa"/>
            <w:tcBorders>
              <w:right w:val="single" w:color="auto" w:sz="4" w:space="0"/>
            </w:tcBorders>
            <w:vAlign w:val="center"/>
          </w:tcPr>
          <w:p>
            <w:pPr>
              <w:spacing w:line="400" w:lineRule="exact"/>
              <w:jc w:val="center"/>
              <w:rPr>
                <w:rFonts w:ascii="宋体" w:hAnsi="宋体"/>
                <w:color w:val="auto"/>
                <w:szCs w:val="21"/>
              </w:rPr>
            </w:pPr>
          </w:p>
        </w:tc>
        <w:tc>
          <w:tcPr>
            <w:tcW w:w="1387" w:type="dxa"/>
            <w:tcBorders>
              <w:left w:val="single" w:color="auto" w:sz="4" w:space="0"/>
              <w:right w:val="single" w:color="auto" w:sz="4" w:space="0"/>
            </w:tcBorders>
            <w:vAlign w:val="center"/>
          </w:tcPr>
          <w:p>
            <w:pPr>
              <w:spacing w:line="400" w:lineRule="exact"/>
              <w:jc w:val="center"/>
              <w:rPr>
                <w:rFonts w:ascii="宋体" w:hAnsi="宋体"/>
                <w:color w:val="auto"/>
                <w:szCs w:val="21"/>
              </w:rPr>
            </w:pPr>
          </w:p>
        </w:tc>
        <w:tc>
          <w:tcPr>
            <w:tcW w:w="1176" w:type="dxa"/>
            <w:tcBorders>
              <w:left w:val="single" w:color="auto" w:sz="4" w:space="0"/>
            </w:tcBorders>
            <w:vAlign w:val="center"/>
          </w:tcPr>
          <w:p>
            <w:pPr>
              <w:spacing w:line="400" w:lineRule="exact"/>
              <w:jc w:val="center"/>
              <w:rPr>
                <w:rFonts w:ascii="宋体" w:hAnsi="宋体"/>
                <w:color w:val="auto"/>
                <w:szCs w:val="21"/>
              </w:rPr>
            </w:pPr>
          </w:p>
        </w:tc>
        <w:tc>
          <w:tcPr>
            <w:tcW w:w="1718" w:type="dxa"/>
            <w:vAlign w:val="center"/>
          </w:tcPr>
          <w:p>
            <w:pPr>
              <w:spacing w:line="400" w:lineRule="exact"/>
              <w:jc w:val="center"/>
              <w:rPr>
                <w:rFonts w:ascii="宋体" w:hAnsi="宋体"/>
                <w:color w:val="auto"/>
                <w:szCs w:val="21"/>
              </w:rPr>
            </w:pPr>
          </w:p>
        </w:tc>
        <w:tc>
          <w:tcPr>
            <w:tcW w:w="1595"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685" w:type="dxa"/>
            <w:vAlign w:val="center"/>
          </w:tcPr>
          <w:p>
            <w:pPr>
              <w:spacing w:line="400" w:lineRule="exact"/>
              <w:jc w:val="center"/>
              <w:rPr>
                <w:rFonts w:ascii="宋体" w:hAnsi="宋体"/>
                <w:color w:val="auto"/>
                <w:szCs w:val="21"/>
              </w:rPr>
            </w:pPr>
          </w:p>
        </w:tc>
        <w:tc>
          <w:tcPr>
            <w:tcW w:w="1275" w:type="dxa"/>
            <w:vAlign w:val="center"/>
          </w:tcPr>
          <w:p>
            <w:pPr>
              <w:spacing w:line="400" w:lineRule="exact"/>
              <w:jc w:val="center"/>
              <w:rPr>
                <w:rFonts w:ascii="宋体" w:hAnsi="宋体"/>
                <w:color w:val="auto"/>
                <w:szCs w:val="21"/>
              </w:rPr>
            </w:pPr>
          </w:p>
        </w:tc>
        <w:tc>
          <w:tcPr>
            <w:tcW w:w="1088" w:type="dxa"/>
            <w:tcBorders>
              <w:right w:val="single" w:color="auto" w:sz="4" w:space="0"/>
            </w:tcBorders>
            <w:vAlign w:val="center"/>
          </w:tcPr>
          <w:p>
            <w:pPr>
              <w:spacing w:line="400" w:lineRule="exact"/>
              <w:jc w:val="center"/>
              <w:rPr>
                <w:rFonts w:ascii="宋体" w:hAnsi="宋体"/>
                <w:color w:val="auto"/>
                <w:szCs w:val="21"/>
              </w:rPr>
            </w:pPr>
          </w:p>
        </w:tc>
        <w:tc>
          <w:tcPr>
            <w:tcW w:w="1387" w:type="dxa"/>
            <w:tcBorders>
              <w:left w:val="single" w:color="auto" w:sz="4" w:space="0"/>
              <w:right w:val="single" w:color="auto" w:sz="4" w:space="0"/>
            </w:tcBorders>
            <w:vAlign w:val="center"/>
          </w:tcPr>
          <w:p>
            <w:pPr>
              <w:spacing w:line="400" w:lineRule="exact"/>
              <w:jc w:val="center"/>
              <w:rPr>
                <w:rFonts w:ascii="宋体" w:hAnsi="宋体"/>
                <w:color w:val="auto"/>
                <w:szCs w:val="21"/>
              </w:rPr>
            </w:pPr>
          </w:p>
        </w:tc>
        <w:tc>
          <w:tcPr>
            <w:tcW w:w="1176" w:type="dxa"/>
            <w:tcBorders>
              <w:left w:val="single" w:color="auto" w:sz="4" w:space="0"/>
            </w:tcBorders>
            <w:vAlign w:val="center"/>
          </w:tcPr>
          <w:p>
            <w:pPr>
              <w:spacing w:line="400" w:lineRule="exact"/>
              <w:jc w:val="center"/>
              <w:rPr>
                <w:rFonts w:ascii="宋体" w:hAnsi="宋体"/>
                <w:color w:val="auto"/>
                <w:szCs w:val="21"/>
              </w:rPr>
            </w:pPr>
          </w:p>
        </w:tc>
        <w:tc>
          <w:tcPr>
            <w:tcW w:w="1718" w:type="dxa"/>
            <w:vAlign w:val="center"/>
          </w:tcPr>
          <w:p>
            <w:pPr>
              <w:spacing w:line="400" w:lineRule="exact"/>
              <w:jc w:val="center"/>
              <w:rPr>
                <w:rFonts w:ascii="宋体" w:hAnsi="宋体"/>
                <w:color w:val="auto"/>
                <w:szCs w:val="21"/>
              </w:rPr>
            </w:pPr>
          </w:p>
        </w:tc>
        <w:tc>
          <w:tcPr>
            <w:tcW w:w="1595"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685" w:type="dxa"/>
            <w:vAlign w:val="center"/>
          </w:tcPr>
          <w:p>
            <w:pPr>
              <w:spacing w:line="400" w:lineRule="exact"/>
              <w:jc w:val="center"/>
              <w:rPr>
                <w:rFonts w:ascii="宋体" w:hAnsi="宋体"/>
                <w:color w:val="auto"/>
                <w:szCs w:val="21"/>
              </w:rPr>
            </w:pPr>
          </w:p>
        </w:tc>
        <w:tc>
          <w:tcPr>
            <w:tcW w:w="1275" w:type="dxa"/>
            <w:vAlign w:val="center"/>
          </w:tcPr>
          <w:p>
            <w:pPr>
              <w:spacing w:line="400" w:lineRule="exact"/>
              <w:jc w:val="center"/>
              <w:rPr>
                <w:rFonts w:ascii="宋体" w:hAnsi="宋体"/>
                <w:color w:val="auto"/>
                <w:szCs w:val="21"/>
              </w:rPr>
            </w:pPr>
          </w:p>
        </w:tc>
        <w:tc>
          <w:tcPr>
            <w:tcW w:w="1088" w:type="dxa"/>
            <w:tcBorders>
              <w:right w:val="single" w:color="auto" w:sz="4" w:space="0"/>
            </w:tcBorders>
            <w:vAlign w:val="center"/>
          </w:tcPr>
          <w:p>
            <w:pPr>
              <w:spacing w:line="400" w:lineRule="exact"/>
              <w:jc w:val="center"/>
              <w:rPr>
                <w:rFonts w:ascii="宋体" w:hAnsi="宋体"/>
                <w:color w:val="auto"/>
                <w:szCs w:val="21"/>
              </w:rPr>
            </w:pPr>
          </w:p>
        </w:tc>
        <w:tc>
          <w:tcPr>
            <w:tcW w:w="1387" w:type="dxa"/>
            <w:tcBorders>
              <w:left w:val="single" w:color="auto" w:sz="4" w:space="0"/>
              <w:right w:val="single" w:color="auto" w:sz="4" w:space="0"/>
            </w:tcBorders>
            <w:vAlign w:val="center"/>
          </w:tcPr>
          <w:p>
            <w:pPr>
              <w:spacing w:line="400" w:lineRule="exact"/>
              <w:jc w:val="center"/>
              <w:rPr>
                <w:rFonts w:ascii="宋体" w:hAnsi="宋体"/>
                <w:color w:val="auto"/>
                <w:szCs w:val="21"/>
              </w:rPr>
            </w:pPr>
          </w:p>
        </w:tc>
        <w:tc>
          <w:tcPr>
            <w:tcW w:w="1176" w:type="dxa"/>
            <w:tcBorders>
              <w:left w:val="single" w:color="auto" w:sz="4" w:space="0"/>
            </w:tcBorders>
            <w:vAlign w:val="center"/>
          </w:tcPr>
          <w:p>
            <w:pPr>
              <w:spacing w:line="400" w:lineRule="exact"/>
              <w:jc w:val="center"/>
              <w:rPr>
                <w:rFonts w:ascii="宋体" w:hAnsi="宋体"/>
                <w:color w:val="auto"/>
                <w:szCs w:val="21"/>
              </w:rPr>
            </w:pPr>
          </w:p>
        </w:tc>
        <w:tc>
          <w:tcPr>
            <w:tcW w:w="1718" w:type="dxa"/>
            <w:vAlign w:val="center"/>
          </w:tcPr>
          <w:p>
            <w:pPr>
              <w:spacing w:line="400" w:lineRule="exact"/>
              <w:jc w:val="center"/>
              <w:rPr>
                <w:rFonts w:ascii="宋体" w:hAnsi="宋体"/>
                <w:color w:val="auto"/>
                <w:szCs w:val="21"/>
              </w:rPr>
            </w:pPr>
          </w:p>
        </w:tc>
        <w:tc>
          <w:tcPr>
            <w:tcW w:w="1595"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685" w:type="dxa"/>
            <w:vAlign w:val="center"/>
          </w:tcPr>
          <w:p>
            <w:pPr>
              <w:spacing w:line="400" w:lineRule="exact"/>
              <w:jc w:val="center"/>
              <w:rPr>
                <w:rFonts w:ascii="宋体" w:hAnsi="宋体"/>
                <w:color w:val="auto"/>
                <w:szCs w:val="21"/>
              </w:rPr>
            </w:pPr>
          </w:p>
        </w:tc>
        <w:tc>
          <w:tcPr>
            <w:tcW w:w="1275" w:type="dxa"/>
            <w:vAlign w:val="center"/>
          </w:tcPr>
          <w:p>
            <w:pPr>
              <w:spacing w:line="400" w:lineRule="exact"/>
              <w:jc w:val="center"/>
              <w:rPr>
                <w:rFonts w:ascii="宋体" w:hAnsi="宋体"/>
                <w:color w:val="auto"/>
                <w:szCs w:val="21"/>
              </w:rPr>
            </w:pPr>
          </w:p>
        </w:tc>
        <w:tc>
          <w:tcPr>
            <w:tcW w:w="1088" w:type="dxa"/>
            <w:tcBorders>
              <w:right w:val="single" w:color="auto" w:sz="4" w:space="0"/>
            </w:tcBorders>
            <w:vAlign w:val="center"/>
          </w:tcPr>
          <w:p>
            <w:pPr>
              <w:spacing w:line="400" w:lineRule="exact"/>
              <w:jc w:val="center"/>
              <w:rPr>
                <w:rFonts w:ascii="宋体" w:hAnsi="宋体"/>
                <w:color w:val="auto"/>
                <w:szCs w:val="21"/>
              </w:rPr>
            </w:pPr>
          </w:p>
        </w:tc>
        <w:tc>
          <w:tcPr>
            <w:tcW w:w="1387" w:type="dxa"/>
            <w:tcBorders>
              <w:left w:val="single" w:color="auto" w:sz="4" w:space="0"/>
              <w:right w:val="single" w:color="auto" w:sz="4" w:space="0"/>
            </w:tcBorders>
            <w:vAlign w:val="center"/>
          </w:tcPr>
          <w:p>
            <w:pPr>
              <w:spacing w:line="400" w:lineRule="exact"/>
              <w:jc w:val="center"/>
              <w:rPr>
                <w:rFonts w:ascii="宋体" w:hAnsi="宋体"/>
                <w:color w:val="auto"/>
                <w:szCs w:val="21"/>
              </w:rPr>
            </w:pPr>
          </w:p>
        </w:tc>
        <w:tc>
          <w:tcPr>
            <w:tcW w:w="1176" w:type="dxa"/>
            <w:tcBorders>
              <w:left w:val="single" w:color="auto" w:sz="4" w:space="0"/>
            </w:tcBorders>
            <w:vAlign w:val="center"/>
          </w:tcPr>
          <w:p>
            <w:pPr>
              <w:spacing w:line="400" w:lineRule="exact"/>
              <w:jc w:val="center"/>
              <w:rPr>
                <w:rFonts w:ascii="宋体" w:hAnsi="宋体"/>
                <w:color w:val="auto"/>
                <w:szCs w:val="21"/>
              </w:rPr>
            </w:pPr>
          </w:p>
        </w:tc>
        <w:tc>
          <w:tcPr>
            <w:tcW w:w="1718" w:type="dxa"/>
            <w:vAlign w:val="center"/>
          </w:tcPr>
          <w:p>
            <w:pPr>
              <w:spacing w:line="400" w:lineRule="exact"/>
              <w:jc w:val="center"/>
              <w:rPr>
                <w:rFonts w:ascii="宋体" w:hAnsi="宋体"/>
                <w:color w:val="auto"/>
                <w:szCs w:val="21"/>
              </w:rPr>
            </w:pPr>
          </w:p>
        </w:tc>
        <w:tc>
          <w:tcPr>
            <w:tcW w:w="1595"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685" w:type="dxa"/>
            <w:vAlign w:val="center"/>
          </w:tcPr>
          <w:p>
            <w:pPr>
              <w:spacing w:line="400" w:lineRule="exact"/>
              <w:jc w:val="center"/>
              <w:rPr>
                <w:rFonts w:ascii="宋体" w:hAnsi="宋体"/>
                <w:color w:val="auto"/>
                <w:szCs w:val="21"/>
              </w:rPr>
            </w:pPr>
          </w:p>
        </w:tc>
        <w:tc>
          <w:tcPr>
            <w:tcW w:w="1275" w:type="dxa"/>
            <w:vAlign w:val="center"/>
          </w:tcPr>
          <w:p>
            <w:pPr>
              <w:spacing w:line="400" w:lineRule="exact"/>
              <w:jc w:val="center"/>
              <w:rPr>
                <w:rFonts w:ascii="宋体" w:hAnsi="宋体"/>
                <w:color w:val="auto"/>
                <w:szCs w:val="21"/>
              </w:rPr>
            </w:pPr>
          </w:p>
        </w:tc>
        <w:tc>
          <w:tcPr>
            <w:tcW w:w="1088" w:type="dxa"/>
            <w:tcBorders>
              <w:right w:val="single" w:color="auto" w:sz="4" w:space="0"/>
            </w:tcBorders>
            <w:vAlign w:val="center"/>
          </w:tcPr>
          <w:p>
            <w:pPr>
              <w:spacing w:line="400" w:lineRule="exact"/>
              <w:jc w:val="center"/>
              <w:rPr>
                <w:rFonts w:ascii="宋体" w:hAnsi="宋体"/>
                <w:color w:val="auto"/>
                <w:szCs w:val="21"/>
              </w:rPr>
            </w:pPr>
          </w:p>
        </w:tc>
        <w:tc>
          <w:tcPr>
            <w:tcW w:w="1387" w:type="dxa"/>
            <w:tcBorders>
              <w:left w:val="single" w:color="auto" w:sz="4" w:space="0"/>
              <w:right w:val="single" w:color="auto" w:sz="4" w:space="0"/>
            </w:tcBorders>
            <w:vAlign w:val="center"/>
          </w:tcPr>
          <w:p>
            <w:pPr>
              <w:spacing w:line="400" w:lineRule="exact"/>
              <w:jc w:val="center"/>
              <w:rPr>
                <w:rFonts w:ascii="宋体" w:hAnsi="宋体"/>
                <w:color w:val="auto"/>
                <w:szCs w:val="21"/>
              </w:rPr>
            </w:pPr>
          </w:p>
        </w:tc>
        <w:tc>
          <w:tcPr>
            <w:tcW w:w="1176" w:type="dxa"/>
            <w:tcBorders>
              <w:left w:val="single" w:color="auto" w:sz="4" w:space="0"/>
            </w:tcBorders>
            <w:vAlign w:val="center"/>
          </w:tcPr>
          <w:p>
            <w:pPr>
              <w:spacing w:line="400" w:lineRule="exact"/>
              <w:jc w:val="center"/>
              <w:rPr>
                <w:rFonts w:ascii="宋体" w:hAnsi="宋体"/>
                <w:color w:val="auto"/>
                <w:szCs w:val="21"/>
              </w:rPr>
            </w:pPr>
          </w:p>
        </w:tc>
        <w:tc>
          <w:tcPr>
            <w:tcW w:w="1718" w:type="dxa"/>
            <w:vAlign w:val="center"/>
          </w:tcPr>
          <w:p>
            <w:pPr>
              <w:spacing w:line="400" w:lineRule="exact"/>
              <w:jc w:val="center"/>
              <w:rPr>
                <w:rFonts w:ascii="宋体" w:hAnsi="宋体"/>
                <w:color w:val="auto"/>
                <w:szCs w:val="21"/>
              </w:rPr>
            </w:pPr>
          </w:p>
        </w:tc>
        <w:tc>
          <w:tcPr>
            <w:tcW w:w="1595" w:type="dxa"/>
            <w:vAlign w:val="center"/>
          </w:tcPr>
          <w:p>
            <w:pPr>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685" w:type="dxa"/>
            <w:vAlign w:val="center"/>
          </w:tcPr>
          <w:p>
            <w:pPr>
              <w:spacing w:line="400" w:lineRule="exact"/>
              <w:jc w:val="center"/>
              <w:rPr>
                <w:rFonts w:ascii="宋体" w:hAnsi="宋体"/>
                <w:color w:val="auto"/>
                <w:szCs w:val="21"/>
              </w:rPr>
            </w:pPr>
          </w:p>
        </w:tc>
        <w:tc>
          <w:tcPr>
            <w:tcW w:w="1275" w:type="dxa"/>
            <w:vAlign w:val="center"/>
          </w:tcPr>
          <w:p>
            <w:pPr>
              <w:spacing w:line="400" w:lineRule="exact"/>
              <w:jc w:val="center"/>
              <w:rPr>
                <w:rFonts w:ascii="宋体" w:hAnsi="宋体"/>
                <w:color w:val="auto"/>
                <w:szCs w:val="21"/>
              </w:rPr>
            </w:pPr>
          </w:p>
        </w:tc>
        <w:tc>
          <w:tcPr>
            <w:tcW w:w="1088" w:type="dxa"/>
            <w:tcBorders>
              <w:right w:val="single" w:color="auto" w:sz="4" w:space="0"/>
            </w:tcBorders>
            <w:vAlign w:val="center"/>
          </w:tcPr>
          <w:p>
            <w:pPr>
              <w:spacing w:line="400" w:lineRule="exact"/>
              <w:jc w:val="center"/>
              <w:rPr>
                <w:rFonts w:ascii="宋体" w:hAnsi="宋体"/>
                <w:color w:val="auto"/>
                <w:szCs w:val="21"/>
              </w:rPr>
            </w:pPr>
          </w:p>
        </w:tc>
        <w:tc>
          <w:tcPr>
            <w:tcW w:w="1387" w:type="dxa"/>
            <w:tcBorders>
              <w:left w:val="single" w:color="auto" w:sz="4" w:space="0"/>
              <w:right w:val="single" w:color="auto" w:sz="4" w:space="0"/>
            </w:tcBorders>
            <w:vAlign w:val="center"/>
          </w:tcPr>
          <w:p>
            <w:pPr>
              <w:spacing w:line="400" w:lineRule="exact"/>
              <w:jc w:val="center"/>
              <w:rPr>
                <w:rFonts w:ascii="宋体" w:hAnsi="宋体"/>
                <w:color w:val="auto"/>
                <w:szCs w:val="21"/>
              </w:rPr>
            </w:pPr>
          </w:p>
        </w:tc>
        <w:tc>
          <w:tcPr>
            <w:tcW w:w="1176" w:type="dxa"/>
            <w:tcBorders>
              <w:left w:val="single" w:color="auto" w:sz="4" w:space="0"/>
            </w:tcBorders>
            <w:vAlign w:val="center"/>
          </w:tcPr>
          <w:p>
            <w:pPr>
              <w:spacing w:line="400" w:lineRule="exact"/>
              <w:jc w:val="center"/>
              <w:rPr>
                <w:rFonts w:ascii="宋体" w:hAnsi="宋体"/>
                <w:color w:val="auto"/>
                <w:szCs w:val="21"/>
              </w:rPr>
            </w:pPr>
          </w:p>
        </w:tc>
        <w:tc>
          <w:tcPr>
            <w:tcW w:w="1718" w:type="dxa"/>
            <w:vAlign w:val="center"/>
          </w:tcPr>
          <w:p>
            <w:pPr>
              <w:spacing w:line="400" w:lineRule="exact"/>
              <w:jc w:val="center"/>
              <w:rPr>
                <w:rFonts w:ascii="宋体" w:hAnsi="宋体"/>
                <w:color w:val="auto"/>
                <w:szCs w:val="21"/>
              </w:rPr>
            </w:pPr>
          </w:p>
        </w:tc>
        <w:tc>
          <w:tcPr>
            <w:tcW w:w="1595" w:type="dxa"/>
            <w:vAlign w:val="center"/>
          </w:tcPr>
          <w:p>
            <w:pPr>
              <w:spacing w:line="400" w:lineRule="exact"/>
              <w:jc w:val="center"/>
              <w:rPr>
                <w:rFonts w:ascii="宋体" w:hAnsi="宋体"/>
                <w:color w:val="auto"/>
                <w:szCs w:val="21"/>
              </w:rPr>
            </w:pPr>
          </w:p>
        </w:tc>
      </w:tr>
    </w:tbl>
    <w:p>
      <w:pPr>
        <w:spacing w:line="400" w:lineRule="exact"/>
        <w:rPr>
          <w:rFonts w:hint="eastAsia" w:ascii="宋体" w:hAnsi="宋体" w:eastAsia="宋体"/>
          <w:color w:val="auto"/>
          <w:szCs w:val="21"/>
          <w:lang w:eastAsia="zh-CN"/>
        </w:rPr>
      </w:pPr>
      <w:r>
        <w:rPr>
          <w:rFonts w:hint="eastAsia" w:ascii="宋体" w:hAnsi="宋体"/>
          <w:color w:val="auto"/>
          <w:szCs w:val="21"/>
          <w:lang w:eastAsia="zh-CN"/>
        </w:rPr>
        <w:t xml:space="preserve">     </w:t>
      </w:r>
    </w:p>
    <w:p>
      <w:pPr>
        <w:pStyle w:val="20"/>
        <w:spacing w:line="360" w:lineRule="auto"/>
        <w:ind w:firstLine="4080" w:firstLineChars="1700"/>
        <w:rPr>
          <w:rFonts w:hint="eastAsia" w:ascii="宋体" w:hAnsi="宋体" w:cs="宋体"/>
          <w:color w:val="auto"/>
        </w:rPr>
      </w:pPr>
      <w:r>
        <w:rPr>
          <w:rFonts w:hint="eastAsia" w:ascii="宋体" w:hAnsi="宋体" w:cs="宋体"/>
          <w:color w:val="auto"/>
        </w:rPr>
        <w:t>供应商(电子签章)：</w:t>
      </w:r>
    </w:p>
    <w:p>
      <w:pPr>
        <w:pStyle w:val="20"/>
        <w:spacing w:line="360" w:lineRule="auto"/>
        <w:ind w:firstLine="4080" w:firstLineChars="1700"/>
        <w:rPr>
          <w:rFonts w:hint="eastAsia" w:ascii="宋体" w:hAnsi="宋体" w:cs="宋体"/>
          <w:color w:val="auto"/>
        </w:rPr>
      </w:pPr>
      <w:r>
        <w:rPr>
          <w:rFonts w:hint="eastAsia" w:ascii="宋体" w:hAnsi="宋体" w:cs="宋体"/>
          <w:color w:val="auto"/>
        </w:rPr>
        <w:t>法定代表人(电子签章)：</w:t>
      </w:r>
    </w:p>
    <w:p>
      <w:pPr>
        <w:pStyle w:val="20"/>
        <w:spacing w:line="360" w:lineRule="auto"/>
        <w:ind w:firstLine="4080" w:firstLineChars="1700"/>
        <w:rPr>
          <w:rFonts w:hint="eastAsia" w:ascii="宋体" w:hAnsi="宋体" w:cs="宋体"/>
          <w:color w:val="auto"/>
        </w:rPr>
      </w:pPr>
      <w:r>
        <w:rPr>
          <w:rFonts w:hint="eastAsia" w:ascii="宋体" w:hAnsi="宋体" w:cs="宋体"/>
          <w:color w:val="auto"/>
        </w:rPr>
        <w:t>日</w:t>
      </w:r>
      <w:r>
        <w:rPr>
          <w:rFonts w:hint="eastAsia" w:ascii="宋体" w:hAnsi="宋体" w:cs="宋体"/>
          <w:color w:val="auto"/>
          <w:lang w:eastAsia="zh-CN"/>
        </w:rPr>
        <w:t xml:space="preserve">  </w:t>
      </w:r>
      <w:r>
        <w:rPr>
          <w:rFonts w:hint="eastAsia" w:ascii="宋体" w:hAnsi="宋体" w:cs="宋体"/>
          <w:color w:val="auto"/>
        </w:rPr>
        <w:t>期：</w:t>
      </w:r>
      <w:r>
        <w:rPr>
          <w:rFonts w:hint="eastAsia" w:ascii="宋体" w:hAnsi="宋体" w:cs="宋体"/>
          <w:color w:val="auto"/>
          <w:lang w:eastAsia="zh-CN"/>
        </w:rPr>
        <w:t xml:space="preserve">    </w:t>
      </w:r>
      <w:r>
        <w:rPr>
          <w:rFonts w:hint="eastAsia" w:ascii="宋体" w:hAnsi="宋体" w:cs="宋体"/>
          <w:color w:val="auto"/>
        </w:rPr>
        <w:t>年</w:t>
      </w:r>
      <w:r>
        <w:rPr>
          <w:rFonts w:hint="eastAsia" w:ascii="宋体" w:hAnsi="宋体" w:cs="宋体"/>
          <w:color w:val="auto"/>
          <w:lang w:eastAsia="zh-CN"/>
        </w:rPr>
        <w:t xml:space="preserve">   </w:t>
      </w:r>
      <w:r>
        <w:rPr>
          <w:rFonts w:hint="eastAsia" w:ascii="宋体" w:hAnsi="宋体" w:cs="宋体"/>
          <w:color w:val="auto"/>
        </w:rPr>
        <w:t>月</w:t>
      </w:r>
      <w:r>
        <w:rPr>
          <w:rFonts w:hint="eastAsia" w:ascii="宋体" w:hAnsi="宋体" w:cs="宋体"/>
          <w:color w:val="auto"/>
          <w:lang w:eastAsia="zh-CN"/>
        </w:rPr>
        <w:t xml:space="preserve">    </w:t>
      </w:r>
      <w:r>
        <w:rPr>
          <w:rFonts w:hint="eastAsia" w:ascii="宋体" w:hAnsi="宋体" w:cs="宋体"/>
          <w:color w:val="auto"/>
        </w:rPr>
        <w:t>日</w:t>
      </w:r>
    </w:p>
    <w:p>
      <w:pPr>
        <w:rPr>
          <w:rFonts w:ascii="宋体" w:hAnsi="宋体"/>
          <w:b/>
          <w:bCs/>
          <w:color w:val="auto"/>
          <w:kern w:val="0"/>
          <w:sz w:val="24"/>
          <w:szCs w:val="24"/>
        </w:rPr>
      </w:pPr>
      <w:r>
        <w:rPr>
          <w:rFonts w:hint="eastAsia" w:ascii="宋体" w:hAnsi="宋体"/>
          <w:b/>
          <w:bCs/>
          <w:color w:val="auto"/>
          <w:kern w:val="0"/>
          <w:sz w:val="24"/>
          <w:szCs w:val="24"/>
        </w:rPr>
        <w:br w:type="page"/>
      </w:r>
    </w:p>
    <w:bookmarkEnd w:id="1164"/>
    <w:p>
      <w:pPr>
        <w:spacing w:line="400" w:lineRule="exact"/>
        <w:jc w:val="center"/>
        <w:outlineLvl w:val="1"/>
        <w:rPr>
          <w:rFonts w:ascii="宋体" w:hAnsi="宋体"/>
          <w:b/>
          <w:bCs/>
          <w:color w:val="auto"/>
          <w:kern w:val="0"/>
          <w:sz w:val="24"/>
          <w:szCs w:val="24"/>
        </w:rPr>
      </w:pPr>
      <w:bookmarkStart w:id="1165" w:name="_Toc20364"/>
      <w:bookmarkStart w:id="1166" w:name="_Toc28070"/>
      <w:bookmarkStart w:id="1167" w:name="_Toc4215"/>
      <w:bookmarkStart w:id="1168" w:name="_Toc2715"/>
      <w:bookmarkStart w:id="1169" w:name="_Toc28840"/>
      <w:bookmarkStart w:id="1170" w:name="_Toc10576"/>
      <w:r>
        <w:rPr>
          <w:rFonts w:hint="eastAsia" w:ascii="宋体" w:hAnsi="宋体"/>
          <w:b/>
          <w:bCs/>
          <w:color w:val="auto"/>
          <w:kern w:val="0"/>
          <w:sz w:val="24"/>
          <w:szCs w:val="24"/>
        </w:rPr>
        <w:t>七、</w:t>
      </w:r>
      <w:bookmarkEnd w:id="1165"/>
      <w:r>
        <w:rPr>
          <w:rFonts w:hint="eastAsia" w:ascii="宋体" w:hAnsi="宋体"/>
          <w:b/>
          <w:bCs/>
          <w:color w:val="auto"/>
          <w:kern w:val="0"/>
          <w:sz w:val="24"/>
          <w:szCs w:val="24"/>
          <w:lang w:eastAsia="zh-CN"/>
        </w:rPr>
        <w:t>技术部分</w:t>
      </w:r>
      <w:bookmarkEnd w:id="1166"/>
    </w:p>
    <w:p>
      <w:pPr>
        <w:pStyle w:val="2"/>
        <w:ind w:firstLine="0" w:firstLineChars="0"/>
        <w:jc w:val="center"/>
        <w:rPr>
          <w:color w:val="auto"/>
          <w:sz w:val="24"/>
          <w:szCs w:val="32"/>
        </w:rPr>
      </w:pPr>
    </w:p>
    <w:p>
      <w:pPr>
        <w:pStyle w:val="2"/>
        <w:ind w:firstLine="0" w:firstLineChars="0"/>
        <w:jc w:val="center"/>
        <w:rPr>
          <w:color w:val="auto"/>
          <w:sz w:val="24"/>
          <w:szCs w:val="32"/>
        </w:rPr>
      </w:pPr>
    </w:p>
    <w:p>
      <w:pPr>
        <w:pStyle w:val="2"/>
        <w:ind w:firstLine="0" w:firstLineChars="0"/>
        <w:jc w:val="center"/>
        <w:rPr>
          <w:color w:val="auto"/>
          <w:sz w:val="24"/>
          <w:szCs w:val="32"/>
        </w:rPr>
      </w:pPr>
      <w:r>
        <w:rPr>
          <w:rFonts w:hint="eastAsia"/>
          <w:color w:val="auto"/>
          <w:sz w:val="24"/>
          <w:szCs w:val="32"/>
        </w:rPr>
        <w:t>（</w:t>
      </w:r>
      <w:r>
        <w:rPr>
          <w:rFonts w:hint="eastAsia"/>
          <w:color w:val="auto"/>
          <w:sz w:val="24"/>
          <w:szCs w:val="32"/>
          <w:lang w:eastAsia="zh-CN"/>
        </w:rPr>
        <w:t>服务方案</w:t>
      </w:r>
      <w:r>
        <w:rPr>
          <w:rFonts w:hint="eastAsia"/>
          <w:color w:val="auto"/>
          <w:sz w:val="24"/>
          <w:szCs w:val="32"/>
        </w:rPr>
        <w:t>）</w:t>
      </w:r>
    </w:p>
    <w:p>
      <w:pPr>
        <w:rPr>
          <w:rFonts w:ascii="宋体" w:hAnsi="宋体"/>
          <w:b/>
          <w:bCs/>
          <w:color w:val="auto"/>
          <w:kern w:val="0"/>
          <w:sz w:val="24"/>
          <w:szCs w:val="24"/>
        </w:rPr>
      </w:pPr>
      <w:r>
        <w:rPr>
          <w:rFonts w:hint="eastAsia" w:ascii="宋体" w:hAnsi="宋体"/>
          <w:b/>
          <w:bCs/>
          <w:color w:val="auto"/>
          <w:kern w:val="0"/>
          <w:sz w:val="24"/>
          <w:szCs w:val="24"/>
        </w:rPr>
        <w:br w:type="page"/>
      </w:r>
    </w:p>
    <w:bookmarkEnd w:id="1167"/>
    <w:bookmarkEnd w:id="1168"/>
    <w:bookmarkEnd w:id="1169"/>
    <w:bookmarkEnd w:id="1170"/>
    <w:p>
      <w:pPr>
        <w:spacing w:line="400" w:lineRule="exact"/>
        <w:jc w:val="center"/>
        <w:outlineLvl w:val="1"/>
        <w:rPr>
          <w:rFonts w:ascii="宋体" w:hAnsi="宋体"/>
          <w:b/>
          <w:bCs/>
          <w:color w:val="auto"/>
          <w:kern w:val="0"/>
          <w:sz w:val="24"/>
          <w:szCs w:val="24"/>
        </w:rPr>
      </w:pPr>
      <w:bookmarkStart w:id="1171" w:name="_Toc27732"/>
      <w:bookmarkStart w:id="1172" w:name="_Toc754"/>
      <w:bookmarkStart w:id="1173" w:name="_Toc7424"/>
      <w:bookmarkStart w:id="1174" w:name="_Toc29496"/>
      <w:bookmarkStart w:id="1175" w:name="_Toc2957"/>
      <w:bookmarkStart w:id="1176" w:name="_Toc13869"/>
      <w:r>
        <w:rPr>
          <w:rFonts w:hint="eastAsia" w:ascii="宋体" w:hAnsi="宋体"/>
          <w:b/>
          <w:bCs/>
          <w:color w:val="auto"/>
          <w:kern w:val="0"/>
          <w:sz w:val="24"/>
          <w:szCs w:val="24"/>
        </w:rPr>
        <w:t>八、反商业贿赂承诺书</w:t>
      </w:r>
      <w:bookmarkEnd w:id="1171"/>
      <w:bookmarkEnd w:id="1172"/>
      <w:bookmarkEnd w:id="1173"/>
      <w:bookmarkEnd w:id="1174"/>
      <w:bookmarkEnd w:id="1175"/>
    </w:p>
    <w:p>
      <w:pPr>
        <w:spacing w:line="360" w:lineRule="auto"/>
        <w:rPr>
          <w:rFonts w:ascii="宋体" w:hAnsi="宋体" w:cs="宋体"/>
          <w:color w:val="auto"/>
          <w:sz w:val="24"/>
        </w:rPr>
      </w:pPr>
      <w:r>
        <w:rPr>
          <w:rFonts w:hint="eastAsia" w:ascii="宋体" w:hAnsi="宋体" w:cs="宋体"/>
          <w:color w:val="auto"/>
          <w:sz w:val="24"/>
        </w:rPr>
        <w:t>我公司承诺：</w:t>
      </w:r>
    </w:p>
    <w:p>
      <w:pPr>
        <w:spacing w:line="360" w:lineRule="auto"/>
        <w:ind w:firstLine="555"/>
        <w:rPr>
          <w:rFonts w:ascii="宋体" w:hAnsi="宋体" w:cs="宋体"/>
          <w:color w:val="auto"/>
          <w:sz w:val="24"/>
        </w:rPr>
      </w:pPr>
      <w:r>
        <w:rPr>
          <w:rFonts w:hint="eastAsia" w:ascii="宋体" w:hAnsi="宋体" w:cs="宋体"/>
          <w:color w:val="auto"/>
          <w:sz w:val="24"/>
        </w:rPr>
        <w:t>在</w:t>
      </w:r>
      <w:r>
        <w:rPr>
          <w:rFonts w:hint="eastAsia" w:ascii="宋体" w:hAnsi="宋体" w:cs="宋体"/>
          <w:color w:val="auto"/>
          <w:sz w:val="24"/>
          <w:u w:val="single"/>
          <w:lang w:eastAsia="zh-CN"/>
        </w:rPr>
        <w:t xml:space="preserve">         </w:t>
      </w:r>
      <w:r>
        <w:rPr>
          <w:rFonts w:hint="eastAsia" w:ascii="宋体" w:hAnsi="宋体" w:cs="宋体"/>
          <w:color w:val="auto"/>
          <w:sz w:val="24"/>
          <w:u w:val="single"/>
        </w:rPr>
        <w:t>（项目名称）</w:t>
      </w:r>
      <w:r>
        <w:rPr>
          <w:rFonts w:hint="eastAsia" w:ascii="宋体" w:hAnsi="宋体" w:cs="宋体"/>
          <w:color w:val="auto"/>
          <w:sz w:val="24"/>
          <w:u w:val="single"/>
          <w:lang w:eastAsia="zh-CN"/>
        </w:rPr>
        <w:t xml:space="preserve">         </w:t>
      </w:r>
      <w:r>
        <w:rPr>
          <w:rFonts w:hint="eastAsia" w:ascii="宋体" w:hAnsi="宋体" w:cs="宋体"/>
          <w:color w:val="auto"/>
          <w:sz w:val="24"/>
        </w:rPr>
        <w:t>招标活动中，我公司保证做到：</w:t>
      </w:r>
    </w:p>
    <w:p>
      <w:pPr>
        <w:keepNext w:val="0"/>
        <w:keepLines w:val="0"/>
        <w:pageBreakBefore w:val="0"/>
        <w:widowControl w:val="0"/>
        <w:kinsoku/>
        <w:wordWrap/>
        <w:overflowPunct/>
        <w:topLinePunct w:val="0"/>
        <w:autoSpaceDE/>
        <w:autoSpaceDN/>
        <w:bidi w:val="0"/>
        <w:adjustRightInd/>
        <w:snapToGrid/>
        <w:spacing w:line="360" w:lineRule="auto"/>
        <w:ind w:firstLine="556"/>
        <w:textAlignment w:val="auto"/>
        <w:outlineLvl w:val="9"/>
        <w:rPr>
          <w:rFonts w:ascii="宋体" w:hAnsi="宋体" w:cs="宋体"/>
          <w:color w:val="auto"/>
          <w:sz w:val="24"/>
        </w:rPr>
      </w:pPr>
      <w:bookmarkStart w:id="1177" w:name="_Toc6939"/>
      <w:r>
        <w:rPr>
          <w:rFonts w:hint="eastAsia" w:ascii="宋体" w:hAnsi="宋体" w:cs="宋体"/>
          <w:color w:val="auto"/>
          <w:sz w:val="24"/>
        </w:rPr>
        <w:t>一、公平竞争参见本次招标活动。</w:t>
      </w:r>
      <w:bookmarkEnd w:id="1177"/>
    </w:p>
    <w:p>
      <w:pPr>
        <w:spacing w:line="360" w:lineRule="auto"/>
        <w:ind w:firstLine="555"/>
        <w:rPr>
          <w:rFonts w:ascii="宋体" w:hAnsi="宋体" w:cs="宋体"/>
          <w:color w:val="auto"/>
          <w:sz w:val="24"/>
        </w:rPr>
      </w:pPr>
      <w:r>
        <w:rPr>
          <w:rFonts w:hint="eastAsia" w:ascii="宋体" w:hAnsi="宋体" w:cs="宋体"/>
          <w:color w:val="auto"/>
          <w:sz w:val="24"/>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pPr>
        <w:spacing w:line="360" w:lineRule="auto"/>
        <w:ind w:firstLine="555"/>
        <w:rPr>
          <w:rFonts w:ascii="宋体" w:hAnsi="宋体" w:cs="宋体"/>
          <w:color w:val="auto"/>
          <w:sz w:val="24"/>
        </w:rPr>
      </w:pPr>
      <w:r>
        <w:rPr>
          <w:rFonts w:hint="eastAsia" w:ascii="宋体" w:hAnsi="宋体" w:cs="宋体"/>
          <w:color w:val="auto"/>
          <w:sz w:val="24"/>
        </w:rPr>
        <w:t>三、若出现上述行为，我公司及参与投标的工作人员愿意接受按照国家法律法规等有关规定给予的处罚。</w:t>
      </w:r>
    </w:p>
    <w:p>
      <w:pPr>
        <w:spacing w:line="360" w:lineRule="auto"/>
        <w:ind w:firstLine="555"/>
        <w:rPr>
          <w:rFonts w:ascii="宋体" w:hAnsi="宋体" w:cs="宋体"/>
          <w:color w:val="auto"/>
          <w:sz w:val="24"/>
        </w:rPr>
      </w:pPr>
    </w:p>
    <w:p>
      <w:pPr>
        <w:pStyle w:val="20"/>
        <w:spacing w:line="360" w:lineRule="auto"/>
        <w:ind w:firstLine="4080" w:firstLineChars="1700"/>
        <w:rPr>
          <w:rFonts w:hint="eastAsia" w:ascii="宋体" w:hAnsi="宋体" w:cs="宋体"/>
          <w:color w:val="auto"/>
        </w:rPr>
      </w:pPr>
      <w:r>
        <w:rPr>
          <w:rFonts w:hint="eastAsia" w:ascii="宋体" w:hAnsi="宋体" w:cs="宋体"/>
          <w:color w:val="auto"/>
        </w:rPr>
        <w:t>供应商：（电子签章）</w:t>
      </w:r>
    </w:p>
    <w:p>
      <w:pPr>
        <w:pStyle w:val="20"/>
        <w:spacing w:line="360" w:lineRule="auto"/>
        <w:ind w:firstLine="4080" w:firstLineChars="1700"/>
        <w:rPr>
          <w:rFonts w:hint="eastAsia" w:ascii="宋体" w:hAnsi="宋体" w:cs="宋体"/>
          <w:color w:val="auto"/>
        </w:rPr>
      </w:pPr>
      <w:r>
        <w:rPr>
          <w:rFonts w:hint="eastAsia" w:ascii="宋体" w:hAnsi="宋体" w:cs="宋体"/>
          <w:color w:val="auto"/>
        </w:rPr>
        <w:t>法定代表人：（电子签章）</w:t>
      </w:r>
    </w:p>
    <w:p>
      <w:pPr>
        <w:pStyle w:val="20"/>
        <w:spacing w:line="360" w:lineRule="auto"/>
        <w:ind w:firstLine="4080" w:firstLineChars="1700"/>
        <w:rPr>
          <w:rFonts w:hint="eastAsia" w:ascii="宋体" w:hAnsi="宋体" w:cs="宋体"/>
          <w:color w:val="auto"/>
        </w:rPr>
      </w:pPr>
      <w:r>
        <w:rPr>
          <w:rFonts w:hint="eastAsia" w:ascii="宋体" w:hAnsi="宋体" w:cs="宋体"/>
          <w:color w:val="auto"/>
        </w:rPr>
        <w:t>日</w:t>
      </w:r>
      <w:r>
        <w:rPr>
          <w:rFonts w:hint="eastAsia" w:ascii="宋体" w:hAnsi="宋体" w:cs="宋体"/>
          <w:color w:val="auto"/>
          <w:lang w:eastAsia="zh-CN"/>
        </w:rPr>
        <w:t xml:space="preserve"> </w:t>
      </w:r>
      <w:r>
        <w:rPr>
          <w:rFonts w:hint="eastAsia" w:ascii="宋体" w:hAnsi="宋体" w:cs="宋体"/>
          <w:color w:val="auto"/>
          <w:lang w:val="en-US" w:eastAsia="zh-CN"/>
        </w:rPr>
        <w:t xml:space="preserve"> </w:t>
      </w:r>
      <w:r>
        <w:rPr>
          <w:rFonts w:hint="eastAsia" w:ascii="宋体" w:hAnsi="宋体" w:cs="宋体"/>
          <w:color w:val="auto"/>
        </w:rPr>
        <w:t>期：</w:t>
      </w:r>
      <w:r>
        <w:rPr>
          <w:rFonts w:hint="eastAsia" w:ascii="宋体" w:hAnsi="宋体" w:cs="宋体"/>
          <w:color w:val="auto"/>
          <w:lang w:eastAsia="zh-CN"/>
        </w:rPr>
        <w:t xml:space="preserve"> </w:t>
      </w:r>
      <w:r>
        <w:rPr>
          <w:rFonts w:hint="eastAsia" w:ascii="宋体" w:hAnsi="宋体" w:cs="宋体"/>
          <w:color w:val="auto"/>
          <w:lang w:val="en-US" w:eastAsia="zh-CN"/>
        </w:rPr>
        <w:t xml:space="preserve">  </w:t>
      </w:r>
      <w:r>
        <w:rPr>
          <w:rFonts w:hint="eastAsia" w:ascii="宋体" w:hAnsi="宋体" w:cs="宋体"/>
          <w:color w:val="auto"/>
        </w:rPr>
        <w:t>年</w:t>
      </w:r>
      <w:r>
        <w:rPr>
          <w:rFonts w:hint="eastAsia" w:ascii="宋体" w:hAnsi="宋体" w:cs="宋体"/>
          <w:color w:val="auto"/>
          <w:lang w:eastAsia="zh-CN"/>
        </w:rPr>
        <w:t xml:space="preserve"> </w:t>
      </w:r>
      <w:r>
        <w:rPr>
          <w:rFonts w:hint="eastAsia" w:ascii="宋体" w:hAnsi="宋体" w:cs="宋体"/>
          <w:color w:val="auto"/>
        </w:rPr>
        <w:t>月</w:t>
      </w:r>
      <w:r>
        <w:rPr>
          <w:rFonts w:hint="eastAsia" w:ascii="宋体" w:hAnsi="宋体" w:cs="宋体"/>
          <w:color w:val="auto"/>
          <w:lang w:eastAsia="zh-CN"/>
        </w:rPr>
        <w:t xml:space="preserve"> </w:t>
      </w:r>
      <w:r>
        <w:rPr>
          <w:rFonts w:hint="eastAsia" w:ascii="宋体" w:hAnsi="宋体" w:cs="宋体"/>
          <w:color w:val="auto"/>
        </w:rPr>
        <w:t>日</w:t>
      </w:r>
    </w:p>
    <w:p>
      <w:pPr>
        <w:rPr>
          <w:rFonts w:ascii="宋体" w:hAnsi="宋体" w:cs="Arial"/>
          <w:b/>
          <w:bCs/>
          <w:color w:val="auto"/>
          <w:sz w:val="28"/>
          <w:szCs w:val="28"/>
        </w:rPr>
      </w:pPr>
    </w:p>
    <w:p>
      <w:pPr>
        <w:rPr>
          <w:rFonts w:ascii="宋体" w:hAnsi="宋体" w:cs="Arial"/>
          <w:color w:val="auto"/>
          <w:sz w:val="24"/>
          <w:szCs w:val="24"/>
        </w:rPr>
      </w:pPr>
      <w:bookmarkStart w:id="1178" w:name="_Toc6799"/>
      <w:bookmarkStart w:id="1179" w:name="_Toc7067"/>
      <w:bookmarkStart w:id="1180" w:name="_Toc10940"/>
      <w:r>
        <w:rPr>
          <w:rFonts w:hint="eastAsia" w:ascii="宋体" w:hAnsi="宋体" w:cs="Arial"/>
          <w:color w:val="auto"/>
          <w:sz w:val="24"/>
          <w:szCs w:val="24"/>
        </w:rPr>
        <w:br w:type="page"/>
      </w:r>
    </w:p>
    <w:p>
      <w:pPr>
        <w:spacing w:line="400" w:lineRule="exact"/>
        <w:jc w:val="center"/>
        <w:outlineLvl w:val="1"/>
        <w:rPr>
          <w:rFonts w:ascii="宋体" w:hAnsi="宋体"/>
          <w:b/>
          <w:bCs/>
          <w:color w:val="auto"/>
          <w:kern w:val="0"/>
          <w:sz w:val="24"/>
          <w:szCs w:val="24"/>
        </w:rPr>
      </w:pPr>
      <w:bookmarkStart w:id="1181" w:name="_Toc28326"/>
      <w:bookmarkStart w:id="1182" w:name="_Toc27999"/>
      <w:r>
        <w:rPr>
          <w:rFonts w:hint="eastAsia" w:ascii="宋体" w:hAnsi="宋体"/>
          <w:b/>
          <w:bCs/>
          <w:color w:val="auto"/>
          <w:kern w:val="0"/>
          <w:sz w:val="24"/>
          <w:szCs w:val="24"/>
        </w:rPr>
        <w:t>九、其他材料</w:t>
      </w:r>
      <w:bookmarkEnd w:id="1181"/>
      <w:bookmarkEnd w:id="1182"/>
    </w:p>
    <w:p>
      <w:pPr>
        <w:adjustRightInd w:val="0"/>
        <w:snapToGrid w:val="0"/>
        <w:spacing w:line="360" w:lineRule="auto"/>
        <w:ind w:right="40" w:rightChars="19"/>
        <w:jc w:val="center"/>
        <w:rPr>
          <w:rFonts w:ascii="宋体" w:hAnsi="宋体" w:cs="Arial"/>
          <w:color w:val="auto"/>
          <w:sz w:val="24"/>
          <w:szCs w:val="24"/>
        </w:rPr>
      </w:pPr>
      <w:r>
        <w:rPr>
          <w:rFonts w:hint="eastAsia" w:ascii="宋体" w:hAnsi="宋体" w:cs="Arial"/>
          <w:color w:val="auto"/>
          <w:sz w:val="24"/>
          <w:szCs w:val="24"/>
        </w:rPr>
        <w:t>1、承诺书</w:t>
      </w:r>
      <w:bookmarkEnd w:id="1176"/>
      <w:bookmarkEnd w:id="1178"/>
      <w:bookmarkEnd w:id="1179"/>
      <w:bookmarkEnd w:id="1180"/>
    </w:p>
    <w:p>
      <w:pPr>
        <w:spacing w:line="560" w:lineRule="exact"/>
        <w:ind w:firstLine="480"/>
        <w:rPr>
          <w:rFonts w:ascii="宋体" w:hAnsi="宋体" w:cs="宋体"/>
          <w:color w:val="auto"/>
          <w:kern w:val="0"/>
          <w:sz w:val="24"/>
        </w:rPr>
      </w:pPr>
      <w:bookmarkStart w:id="1183" w:name="_Toc17909"/>
      <w:bookmarkStart w:id="1184" w:name="_Toc4383"/>
      <w:bookmarkStart w:id="1185" w:name="_Toc22451"/>
      <w:bookmarkStart w:id="1186" w:name="_Toc19815"/>
      <w:r>
        <w:rPr>
          <w:rFonts w:hint="eastAsia" w:ascii="宋体" w:hAnsi="宋体" w:cs="宋体"/>
          <w:color w:val="auto"/>
          <w:kern w:val="0"/>
          <w:sz w:val="24"/>
        </w:rPr>
        <w:t>我方参加本次投标特郑重作出如下承诺：</w:t>
      </w:r>
    </w:p>
    <w:p>
      <w:pPr>
        <w:spacing w:line="560" w:lineRule="exact"/>
        <w:ind w:left="1" w:firstLine="480" w:firstLineChars="200"/>
        <w:rPr>
          <w:rFonts w:ascii="宋体" w:hAnsi="宋体" w:cs="宋体"/>
          <w:color w:val="auto"/>
          <w:kern w:val="0"/>
          <w:sz w:val="24"/>
        </w:rPr>
      </w:pPr>
      <w:r>
        <w:rPr>
          <w:rFonts w:hint="eastAsia" w:ascii="宋体" w:hAnsi="宋体" w:cs="宋体"/>
          <w:color w:val="auto"/>
          <w:kern w:val="0"/>
          <w:sz w:val="24"/>
        </w:rPr>
        <w:t>我们在贵公司组织的（项目名称：</w:t>
      </w:r>
      <w:r>
        <w:rPr>
          <w:rFonts w:hint="eastAsia" w:ascii="宋体" w:hAnsi="宋体" w:cs="宋体"/>
          <w:color w:val="auto"/>
          <w:kern w:val="0"/>
          <w:sz w:val="24"/>
          <w:u w:val="single"/>
          <w:lang w:eastAsia="zh-CN"/>
        </w:rPr>
        <w:t xml:space="preserve">     </w:t>
      </w:r>
      <w:r>
        <w:rPr>
          <w:rFonts w:hint="eastAsia" w:ascii="宋体" w:hAnsi="宋体" w:cs="宋体"/>
          <w:color w:val="auto"/>
          <w:kern w:val="0"/>
          <w:sz w:val="24"/>
        </w:rPr>
        <w:t>，采购编号：</w:t>
      </w:r>
      <w:r>
        <w:rPr>
          <w:rFonts w:hint="eastAsia" w:ascii="宋体" w:hAnsi="宋体" w:cs="宋体"/>
          <w:color w:val="auto"/>
          <w:kern w:val="0"/>
          <w:sz w:val="24"/>
          <w:u w:val="single"/>
          <w:lang w:eastAsia="zh-CN"/>
        </w:rPr>
        <w:t xml:space="preserve">     </w:t>
      </w:r>
      <w:r>
        <w:rPr>
          <w:rFonts w:hint="eastAsia" w:ascii="宋体" w:hAnsi="宋体" w:cs="宋体"/>
          <w:color w:val="auto"/>
          <w:kern w:val="0"/>
          <w:sz w:val="24"/>
        </w:rPr>
        <w:t>）招标中若获中标，我们保证在中标公告发布后2个工作日内，按</w:t>
      </w:r>
      <w:r>
        <w:rPr>
          <w:rFonts w:hint="eastAsia" w:ascii="宋体" w:hAnsi="宋体" w:cs="宋体"/>
          <w:color w:val="auto"/>
          <w:kern w:val="0"/>
          <w:sz w:val="24"/>
          <w:lang w:eastAsia="zh-CN"/>
        </w:rPr>
        <w:t>磋商</w:t>
      </w:r>
      <w:r>
        <w:rPr>
          <w:rFonts w:hint="eastAsia" w:ascii="宋体" w:hAnsi="宋体" w:cs="宋体"/>
          <w:color w:val="auto"/>
          <w:kern w:val="0"/>
          <w:sz w:val="24"/>
        </w:rPr>
        <w:t>文件的规定，以支票、银行转账、汇票或现金，向贵公司一次性支付招标代理服务费用；同时，严格按照竞争性磋商文件要求和采购人签订合同，并将合同纸质版和电子版递交采购代理机构一份备案。</w:t>
      </w:r>
    </w:p>
    <w:p>
      <w:pPr>
        <w:spacing w:line="560" w:lineRule="exact"/>
        <w:ind w:left="1" w:firstLine="480" w:firstLineChars="200"/>
        <w:rPr>
          <w:rFonts w:ascii="宋体" w:hAnsi="宋体" w:cs="宋体"/>
          <w:color w:val="auto"/>
          <w:kern w:val="0"/>
          <w:sz w:val="24"/>
        </w:rPr>
      </w:pPr>
      <w:r>
        <w:rPr>
          <w:rFonts w:hint="eastAsia" w:ascii="宋体" w:hAnsi="宋体" w:cs="宋体"/>
          <w:color w:val="auto"/>
          <w:kern w:val="0"/>
          <w:sz w:val="24"/>
        </w:rPr>
        <w:t>若发现我方违反以上约定，自愿承担一切法律责任，由此产生的一切法律后果和责任由我公司承担。我公司声明放弃对此提出任何异议和追索的权利。</w:t>
      </w:r>
    </w:p>
    <w:p>
      <w:pPr>
        <w:spacing w:line="560" w:lineRule="exact"/>
        <w:ind w:left="1" w:firstLine="480" w:firstLineChars="200"/>
        <w:rPr>
          <w:rFonts w:ascii="宋体" w:hAnsi="宋体" w:cs="宋体"/>
          <w:color w:val="auto"/>
          <w:kern w:val="0"/>
          <w:sz w:val="24"/>
        </w:rPr>
      </w:pPr>
      <w:r>
        <w:rPr>
          <w:rFonts w:hint="eastAsia" w:ascii="宋体" w:hAnsi="宋体" w:cs="宋体"/>
          <w:color w:val="auto"/>
          <w:kern w:val="0"/>
          <w:sz w:val="24"/>
        </w:rPr>
        <w:t>特此声明。</w:t>
      </w:r>
    </w:p>
    <w:p>
      <w:pPr>
        <w:pStyle w:val="20"/>
        <w:spacing w:line="360" w:lineRule="auto"/>
        <w:ind w:firstLine="4080" w:firstLineChars="1700"/>
        <w:rPr>
          <w:rFonts w:ascii="宋体" w:hAnsi="宋体" w:cs="宋体"/>
          <w:color w:val="auto"/>
        </w:rPr>
      </w:pPr>
    </w:p>
    <w:p>
      <w:pPr>
        <w:pStyle w:val="20"/>
        <w:spacing w:line="360" w:lineRule="auto"/>
        <w:ind w:firstLine="4080" w:firstLineChars="1700"/>
        <w:rPr>
          <w:rFonts w:ascii="宋体" w:hAnsi="宋体" w:cs="宋体"/>
          <w:color w:val="auto"/>
        </w:rPr>
      </w:pPr>
    </w:p>
    <w:p>
      <w:pPr>
        <w:pStyle w:val="20"/>
        <w:spacing w:line="360" w:lineRule="auto"/>
        <w:ind w:firstLine="4080" w:firstLineChars="1700"/>
        <w:rPr>
          <w:rFonts w:hint="eastAsia" w:ascii="宋体" w:hAnsi="宋体" w:eastAsia="宋体" w:cs="宋体"/>
          <w:color w:val="auto"/>
          <w:lang w:eastAsia="zh-CN"/>
        </w:rPr>
      </w:pPr>
      <w:r>
        <w:rPr>
          <w:rFonts w:hint="eastAsia" w:ascii="宋体" w:hAnsi="宋体" w:cs="宋体"/>
          <w:color w:val="auto"/>
        </w:rPr>
        <w:t>供应商：（电子签章）</w:t>
      </w:r>
      <w:r>
        <w:rPr>
          <w:rFonts w:hint="eastAsia" w:ascii="宋体" w:hAnsi="宋体" w:cs="宋体"/>
          <w:color w:val="auto"/>
          <w:lang w:eastAsia="zh-CN"/>
        </w:rPr>
        <w:t xml:space="preserve">     </w:t>
      </w:r>
    </w:p>
    <w:p>
      <w:pPr>
        <w:pStyle w:val="20"/>
        <w:spacing w:line="360" w:lineRule="auto"/>
        <w:ind w:firstLine="4080" w:firstLineChars="1700"/>
        <w:rPr>
          <w:rFonts w:hint="eastAsia" w:ascii="宋体" w:hAnsi="宋体" w:cs="宋体"/>
          <w:color w:val="auto"/>
        </w:rPr>
      </w:pPr>
      <w:r>
        <w:rPr>
          <w:rFonts w:hint="eastAsia" w:ascii="宋体" w:hAnsi="宋体" w:cs="宋体"/>
          <w:color w:val="auto"/>
        </w:rPr>
        <w:t>法定代表人：（</w:t>
      </w:r>
      <w:r>
        <w:rPr>
          <w:rFonts w:hint="eastAsia" w:asciiTheme="minorEastAsia" w:hAnsiTheme="minorEastAsia" w:eastAsiaTheme="minorEastAsia" w:cstheme="minorEastAsia"/>
          <w:color w:val="auto"/>
        </w:rPr>
        <w:t>电子签章</w:t>
      </w:r>
      <w:r>
        <w:rPr>
          <w:rFonts w:hint="eastAsia" w:ascii="宋体" w:hAnsi="宋体" w:cs="宋体"/>
          <w:color w:val="auto"/>
        </w:rPr>
        <w:t>）</w:t>
      </w:r>
    </w:p>
    <w:p>
      <w:pPr>
        <w:pStyle w:val="20"/>
        <w:spacing w:line="360" w:lineRule="auto"/>
        <w:ind w:firstLine="4080" w:firstLineChars="1700"/>
        <w:rPr>
          <w:rFonts w:ascii="宋体" w:hAnsi="宋体" w:cs="宋体"/>
          <w:color w:val="auto"/>
          <w:szCs w:val="21"/>
        </w:rPr>
      </w:pPr>
      <w:r>
        <w:rPr>
          <w:rFonts w:hint="eastAsia" w:ascii="宋体" w:hAnsi="宋体" w:cs="宋体"/>
          <w:color w:val="auto"/>
          <w:szCs w:val="21"/>
        </w:rPr>
        <w:t>日</w:t>
      </w:r>
      <w:r>
        <w:rPr>
          <w:rFonts w:hint="eastAsia" w:ascii="宋体" w:hAnsi="宋体" w:cs="宋体"/>
          <w:color w:val="auto"/>
          <w:szCs w:val="21"/>
          <w:lang w:eastAsia="zh-CN"/>
        </w:rPr>
        <w:t xml:space="preserve">  </w:t>
      </w:r>
      <w:r>
        <w:rPr>
          <w:rFonts w:hint="eastAsia" w:ascii="宋体" w:hAnsi="宋体" w:cs="宋体"/>
          <w:color w:val="auto"/>
          <w:szCs w:val="21"/>
        </w:rPr>
        <w:t>期：</w:t>
      </w:r>
      <w:r>
        <w:rPr>
          <w:rFonts w:hint="eastAsia" w:ascii="宋体" w:hAnsi="宋体" w:cs="宋体"/>
          <w:color w:val="auto"/>
          <w:szCs w:val="21"/>
          <w:lang w:eastAsia="zh-CN"/>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w:t>
      </w:r>
      <w:r>
        <w:rPr>
          <w:rFonts w:hint="eastAsia" w:ascii="宋体" w:hAnsi="宋体" w:cs="宋体"/>
          <w:color w:val="auto"/>
          <w:szCs w:val="21"/>
        </w:rPr>
        <w:t>年</w:t>
      </w:r>
      <w:r>
        <w:rPr>
          <w:rFonts w:hint="eastAsia" w:ascii="宋体" w:hAnsi="宋体" w:cs="宋体"/>
          <w:color w:val="auto"/>
          <w:szCs w:val="21"/>
          <w:lang w:eastAsia="zh-CN"/>
        </w:rPr>
        <w:t xml:space="preserve">   </w:t>
      </w:r>
      <w:r>
        <w:rPr>
          <w:rFonts w:hint="eastAsia" w:ascii="宋体" w:hAnsi="宋体" w:cs="宋体"/>
          <w:color w:val="auto"/>
          <w:szCs w:val="21"/>
        </w:rPr>
        <w:t>月</w:t>
      </w:r>
      <w:r>
        <w:rPr>
          <w:rFonts w:hint="eastAsia" w:ascii="宋体" w:hAnsi="宋体" w:cs="宋体"/>
          <w:color w:val="auto"/>
          <w:szCs w:val="21"/>
          <w:lang w:eastAsia="zh-CN"/>
        </w:rPr>
        <w:t xml:space="preserve">   </w:t>
      </w:r>
      <w:r>
        <w:rPr>
          <w:rFonts w:hint="eastAsia" w:ascii="宋体" w:hAnsi="宋体" w:cs="宋体"/>
          <w:color w:val="auto"/>
          <w:szCs w:val="21"/>
        </w:rPr>
        <w:t>日</w:t>
      </w:r>
    </w:p>
    <w:p>
      <w:pPr>
        <w:rPr>
          <w:rFonts w:ascii="宋体" w:hAnsi="宋体" w:cs="Arial"/>
          <w:color w:val="auto"/>
          <w:sz w:val="24"/>
          <w:szCs w:val="24"/>
        </w:rPr>
      </w:pPr>
      <w:r>
        <w:rPr>
          <w:rFonts w:hint="eastAsia" w:ascii="宋体" w:hAnsi="宋体" w:cs="Arial"/>
          <w:color w:val="auto"/>
          <w:sz w:val="24"/>
          <w:szCs w:val="24"/>
        </w:rPr>
        <w:br w:type="page"/>
      </w:r>
    </w:p>
    <w:p>
      <w:pPr>
        <w:adjustRightInd w:val="0"/>
        <w:snapToGrid w:val="0"/>
        <w:spacing w:line="360" w:lineRule="auto"/>
        <w:ind w:right="40" w:rightChars="19"/>
        <w:jc w:val="center"/>
        <w:rPr>
          <w:rFonts w:ascii="宋体" w:hAnsi="宋体" w:cs="Arial"/>
          <w:color w:val="auto"/>
          <w:sz w:val="24"/>
          <w:szCs w:val="24"/>
        </w:rPr>
      </w:pPr>
      <w:r>
        <w:rPr>
          <w:rFonts w:hint="eastAsia" w:ascii="宋体" w:hAnsi="宋体" w:cs="Arial"/>
          <w:color w:val="auto"/>
          <w:sz w:val="24"/>
          <w:szCs w:val="24"/>
        </w:rPr>
        <w:t>2、承诺书</w:t>
      </w:r>
      <w:bookmarkEnd w:id="1183"/>
      <w:bookmarkEnd w:id="1184"/>
      <w:bookmarkEnd w:id="1185"/>
      <w:bookmarkEnd w:id="1186"/>
    </w:p>
    <w:p>
      <w:pPr>
        <w:spacing w:line="560" w:lineRule="exact"/>
        <w:ind w:left="1" w:firstLine="480" w:firstLineChars="200"/>
        <w:rPr>
          <w:rFonts w:ascii="宋体" w:hAnsi="宋体" w:cs="宋体"/>
          <w:color w:val="auto"/>
          <w:kern w:val="0"/>
          <w:sz w:val="24"/>
        </w:rPr>
      </w:pPr>
      <w:r>
        <w:rPr>
          <w:rFonts w:hint="eastAsia" w:ascii="宋体" w:hAnsi="宋体" w:cs="宋体"/>
          <w:color w:val="auto"/>
          <w:kern w:val="0"/>
          <w:sz w:val="24"/>
        </w:rPr>
        <w:t>我方参加本次投标特郑重作出如下承诺：</w:t>
      </w:r>
    </w:p>
    <w:p>
      <w:pPr>
        <w:spacing w:line="560" w:lineRule="exact"/>
        <w:ind w:left="1" w:firstLine="480" w:firstLineChars="200"/>
        <w:rPr>
          <w:rFonts w:ascii="宋体" w:hAnsi="宋体" w:cs="宋体"/>
          <w:color w:val="auto"/>
          <w:kern w:val="0"/>
          <w:sz w:val="24"/>
        </w:rPr>
      </w:pPr>
      <w:r>
        <w:rPr>
          <w:rFonts w:hint="eastAsia" w:ascii="宋体" w:hAnsi="宋体" w:cs="宋体"/>
          <w:color w:val="auto"/>
          <w:kern w:val="0"/>
          <w:sz w:val="24"/>
        </w:rPr>
        <w:t>我方具有能独立承担民事责任，具有载有统一社会信用代码的营业执照，有能力提供本次采购项目及所要求的服务；</w:t>
      </w:r>
    </w:p>
    <w:p>
      <w:pPr>
        <w:spacing w:line="560" w:lineRule="exact"/>
        <w:ind w:left="1" w:firstLine="480" w:firstLineChars="200"/>
        <w:rPr>
          <w:rFonts w:ascii="宋体" w:hAnsi="宋体" w:cs="宋体"/>
          <w:color w:val="auto"/>
          <w:kern w:val="0"/>
          <w:sz w:val="24"/>
        </w:rPr>
      </w:pPr>
      <w:r>
        <w:rPr>
          <w:rFonts w:hint="eastAsia" w:ascii="宋体" w:hAnsi="宋体" w:cs="宋体"/>
          <w:color w:val="auto"/>
          <w:kern w:val="0"/>
          <w:sz w:val="24"/>
        </w:rPr>
        <w:t>若发现我方违反以上约定，自愿承担一切法律责任，由此产生的一切法律后果和责任由我公司承担。</w:t>
      </w:r>
    </w:p>
    <w:p>
      <w:pPr>
        <w:spacing w:line="560" w:lineRule="exact"/>
        <w:ind w:left="1" w:firstLine="480" w:firstLineChars="200"/>
        <w:rPr>
          <w:rFonts w:hint="eastAsia" w:ascii="宋体" w:hAnsi="宋体" w:eastAsia="宋体" w:cs="宋体"/>
          <w:color w:val="auto"/>
          <w:kern w:val="0"/>
          <w:sz w:val="24"/>
          <w:lang w:eastAsia="zh-CN"/>
        </w:rPr>
      </w:pPr>
      <w:r>
        <w:rPr>
          <w:rFonts w:hint="eastAsia" w:ascii="宋体" w:hAnsi="宋体" w:cs="宋体"/>
          <w:color w:val="auto"/>
          <w:kern w:val="0"/>
          <w:sz w:val="24"/>
        </w:rPr>
        <w:t>特此声明。</w:t>
      </w:r>
      <w:r>
        <w:rPr>
          <w:rFonts w:hint="eastAsia" w:ascii="宋体" w:hAnsi="宋体" w:cs="宋体"/>
          <w:color w:val="auto"/>
          <w:lang w:eastAsia="zh-CN"/>
        </w:rPr>
        <w:t xml:space="preserve"> </w:t>
      </w:r>
    </w:p>
    <w:p>
      <w:pPr>
        <w:spacing w:line="440" w:lineRule="exact"/>
        <w:ind w:left="2625" w:leftChars="1250"/>
        <w:rPr>
          <w:rFonts w:ascii="宋体" w:hAnsi="宋体"/>
          <w:color w:val="auto"/>
          <w:szCs w:val="21"/>
        </w:rPr>
      </w:pPr>
    </w:p>
    <w:p>
      <w:pPr>
        <w:pStyle w:val="20"/>
        <w:keepNext w:val="0"/>
        <w:keepLines w:val="0"/>
        <w:pageBreakBefore w:val="0"/>
        <w:kinsoku/>
        <w:wordWrap/>
        <w:overflowPunct/>
        <w:topLinePunct w:val="0"/>
        <w:autoSpaceDE/>
        <w:autoSpaceDN/>
        <w:bidi w:val="0"/>
        <w:spacing w:line="360" w:lineRule="auto"/>
        <w:ind w:firstLine="4080" w:firstLineChars="1700"/>
        <w:textAlignment w:val="auto"/>
        <w:rPr>
          <w:rFonts w:hint="eastAsia" w:ascii="宋体" w:hAnsi="宋体" w:eastAsia="宋体" w:cs="宋体"/>
          <w:color w:val="auto"/>
          <w:lang w:eastAsia="zh-CN"/>
        </w:rPr>
      </w:pPr>
      <w:bookmarkStart w:id="1187" w:name="_Toc7191"/>
      <w:r>
        <w:rPr>
          <w:rFonts w:hint="eastAsia" w:ascii="宋体" w:hAnsi="宋体" w:cs="宋体"/>
          <w:color w:val="auto"/>
        </w:rPr>
        <w:t>供应商：（电子签章）</w:t>
      </w:r>
      <w:r>
        <w:rPr>
          <w:rFonts w:hint="eastAsia" w:ascii="宋体" w:hAnsi="宋体" w:cs="宋体"/>
          <w:color w:val="auto"/>
          <w:lang w:eastAsia="zh-CN"/>
        </w:rPr>
        <w:t xml:space="preserve">     </w:t>
      </w:r>
    </w:p>
    <w:p>
      <w:pPr>
        <w:pStyle w:val="20"/>
        <w:keepNext w:val="0"/>
        <w:keepLines w:val="0"/>
        <w:pageBreakBefore w:val="0"/>
        <w:kinsoku/>
        <w:wordWrap/>
        <w:overflowPunct/>
        <w:topLinePunct w:val="0"/>
        <w:autoSpaceDE/>
        <w:autoSpaceDN/>
        <w:bidi w:val="0"/>
        <w:spacing w:line="360" w:lineRule="auto"/>
        <w:ind w:firstLine="4080" w:firstLineChars="1700"/>
        <w:textAlignment w:val="auto"/>
        <w:rPr>
          <w:rFonts w:hint="eastAsia" w:ascii="宋体" w:hAnsi="宋体" w:cs="宋体"/>
          <w:color w:val="auto"/>
        </w:rPr>
      </w:pPr>
      <w:r>
        <w:rPr>
          <w:rFonts w:hint="eastAsia" w:ascii="宋体" w:hAnsi="宋体" w:cs="宋体"/>
          <w:color w:val="auto"/>
        </w:rPr>
        <w:t>法定代表人：（</w:t>
      </w:r>
      <w:r>
        <w:rPr>
          <w:rFonts w:hint="eastAsia" w:asciiTheme="minorEastAsia" w:hAnsiTheme="minorEastAsia" w:eastAsiaTheme="minorEastAsia" w:cstheme="minorEastAsia"/>
          <w:color w:val="auto"/>
        </w:rPr>
        <w:t>电子签章</w:t>
      </w:r>
      <w:r>
        <w:rPr>
          <w:rFonts w:hint="eastAsia" w:ascii="宋体" w:hAnsi="宋体" w:cs="宋体"/>
          <w:color w:val="auto"/>
        </w:rPr>
        <w:t>）</w:t>
      </w:r>
    </w:p>
    <w:p>
      <w:pPr>
        <w:pStyle w:val="20"/>
        <w:keepNext w:val="0"/>
        <w:keepLines w:val="0"/>
        <w:pageBreakBefore w:val="0"/>
        <w:kinsoku/>
        <w:wordWrap/>
        <w:overflowPunct/>
        <w:topLinePunct w:val="0"/>
        <w:autoSpaceDE/>
        <w:autoSpaceDN/>
        <w:bidi w:val="0"/>
        <w:spacing w:line="360" w:lineRule="auto"/>
        <w:ind w:firstLine="4080" w:firstLineChars="1700"/>
        <w:textAlignment w:val="auto"/>
        <w:rPr>
          <w:rFonts w:ascii="宋体" w:hAnsi="宋体" w:cs="宋体"/>
          <w:color w:val="auto"/>
          <w:szCs w:val="21"/>
        </w:rPr>
      </w:pPr>
      <w:r>
        <w:rPr>
          <w:rFonts w:hint="eastAsia" w:ascii="宋体" w:hAnsi="宋体" w:cs="宋体"/>
          <w:color w:val="auto"/>
          <w:szCs w:val="21"/>
        </w:rPr>
        <w:t>日</w:t>
      </w:r>
      <w:r>
        <w:rPr>
          <w:rFonts w:hint="eastAsia" w:ascii="宋体" w:hAnsi="宋体" w:cs="宋体"/>
          <w:color w:val="auto"/>
          <w:szCs w:val="21"/>
          <w:lang w:eastAsia="zh-CN"/>
        </w:rPr>
        <w:t xml:space="preserve">  </w:t>
      </w:r>
      <w:r>
        <w:rPr>
          <w:rFonts w:hint="eastAsia" w:ascii="宋体" w:hAnsi="宋体" w:cs="宋体"/>
          <w:color w:val="auto"/>
          <w:szCs w:val="21"/>
        </w:rPr>
        <w:t>期：</w:t>
      </w:r>
      <w:r>
        <w:rPr>
          <w:rFonts w:hint="eastAsia" w:ascii="宋体" w:hAnsi="宋体" w:cs="宋体"/>
          <w:color w:val="auto"/>
          <w:szCs w:val="21"/>
          <w:lang w:eastAsia="zh-CN"/>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w:t>
      </w:r>
      <w:r>
        <w:rPr>
          <w:rFonts w:hint="eastAsia" w:ascii="宋体" w:hAnsi="宋体" w:cs="宋体"/>
          <w:color w:val="auto"/>
          <w:szCs w:val="21"/>
        </w:rPr>
        <w:t>年</w:t>
      </w:r>
      <w:r>
        <w:rPr>
          <w:rFonts w:hint="eastAsia" w:ascii="宋体" w:hAnsi="宋体" w:cs="宋体"/>
          <w:color w:val="auto"/>
          <w:szCs w:val="21"/>
          <w:lang w:eastAsia="zh-CN"/>
        </w:rPr>
        <w:t xml:space="preserve">   </w:t>
      </w:r>
      <w:r>
        <w:rPr>
          <w:rFonts w:hint="eastAsia" w:ascii="宋体" w:hAnsi="宋体" w:cs="宋体"/>
          <w:color w:val="auto"/>
          <w:szCs w:val="21"/>
        </w:rPr>
        <w:t>月</w:t>
      </w:r>
      <w:r>
        <w:rPr>
          <w:rFonts w:hint="eastAsia" w:ascii="宋体" w:hAnsi="宋体" w:cs="宋体"/>
          <w:color w:val="auto"/>
          <w:szCs w:val="21"/>
          <w:lang w:eastAsia="zh-CN"/>
        </w:rPr>
        <w:t xml:space="preserve">   </w:t>
      </w:r>
      <w:r>
        <w:rPr>
          <w:rFonts w:hint="eastAsia" w:ascii="宋体" w:hAnsi="宋体" w:cs="宋体"/>
          <w:color w:val="auto"/>
          <w:szCs w:val="21"/>
        </w:rPr>
        <w:t>日</w:t>
      </w:r>
    </w:p>
    <w:p>
      <w:pPr>
        <w:rPr>
          <w:rFonts w:ascii="宋体" w:hAnsi="宋体" w:cs="Arial"/>
          <w:b/>
          <w:bCs/>
          <w:color w:val="auto"/>
          <w:sz w:val="28"/>
          <w:szCs w:val="28"/>
        </w:rPr>
      </w:pPr>
      <w:r>
        <w:rPr>
          <w:rFonts w:hint="eastAsia" w:ascii="宋体" w:hAnsi="宋体" w:cs="Arial"/>
          <w:b/>
          <w:bCs/>
          <w:color w:val="auto"/>
          <w:sz w:val="28"/>
          <w:szCs w:val="28"/>
        </w:rPr>
        <w:br w:type="page"/>
      </w:r>
    </w:p>
    <w:p>
      <w:pPr>
        <w:adjustRightInd w:val="0"/>
        <w:snapToGrid w:val="0"/>
        <w:spacing w:line="360" w:lineRule="auto"/>
        <w:ind w:right="40" w:rightChars="19"/>
        <w:jc w:val="center"/>
        <w:rPr>
          <w:rFonts w:ascii="宋体" w:hAnsi="宋体" w:cs="Arial"/>
          <w:color w:val="auto"/>
          <w:sz w:val="24"/>
          <w:szCs w:val="24"/>
        </w:rPr>
      </w:pPr>
      <w:bookmarkStart w:id="1188" w:name="_Toc5117"/>
      <w:bookmarkStart w:id="1189" w:name="_Toc15206"/>
      <w:bookmarkStart w:id="1190" w:name="_Toc12244"/>
      <w:r>
        <w:rPr>
          <w:rFonts w:hint="eastAsia" w:ascii="宋体" w:hAnsi="宋体" w:cs="Arial"/>
          <w:color w:val="auto"/>
          <w:sz w:val="24"/>
          <w:szCs w:val="24"/>
        </w:rPr>
        <w:t>3、中小企业证明</w:t>
      </w:r>
      <w:bookmarkEnd w:id="1187"/>
      <w:bookmarkEnd w:id="1188"/>
      <w:bookmarkEnd w:id="1189"/>
      <w:bookmarkEnd w:id="1190"/>
    </w:p>
    <w:p>
      <w:pPr>
        <w:jc w:val="center"/>
        <w:rPr>
          <w:color w:val="auto"/>
        </w:rPr>
      </w:pPr>
      <w:bookmarkStart w:id="1191" w:name="_Toc22325"/>
      <w:bookmarkStart w:id="1192" w:name="_Toc5922"/>
      <w:bookmarkStart w:id="1193" w:name="_Toc515"/>
      <w:r>
        <w:rPr>
          <w:rFonts w:hint="eastAsia"/>
          <w:color w:val="auto"/>
        </w:rPr>
        <w:t>中小企业声明函（服务）</w:t>
      </w:r>
      <w:bookmarkEnd w:id="1191"/>
      <w:bookmarkEnd w:id="1192"/>
      <w:bookmarkEnd w:id="1193"/>
    </w:p>
    <w:p>
      <w:pPr>
        <w:pStyle w:val="38"/>
        <w:spacing w:line="360" w:lineRule="auto"/>
        <w:rPr>
          <w:color w:val="auto"/>
        </w:rPr>
      </w:pPr>
    </w:p>
    <w:p>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本公司郑重声明，根据《政府采购促进中小企业发展管理办法》（财库[2020]46号）的规定，本公司参加</w:t>
      </w:r>
      <w:r>
        <w:rPr>
          <w:rFonts w:hint="eastAsia" w:ascii="宋体" w:hAnsi="宋体" w:cs="宋体"/>
          <w:color w:val="auto"/>
          <w:szCs w:val="21"/>
          <w:u w:val="single"/>
          <w:lang w:eastAsia="zh-CN"/>
        </w:rPr>
        <w:t xml:space="preserve">  </w:t>
      </w:r>
      <w:r>
        <w:rPr>
          <w:rFonts w:hint="eastAsia" w:ascii="宋体" w:hAnsi="宋体" w:cs="宋体"/>
          <w:color w:val="auto"/>
          <w:szCs w:val="21"/>
          <w:u w:val="single"/>
        </w:rPr>
        <w:t>（采购人名称）</w:t>
      </w:r>
      <w:r>
        <w:rPr>
          <w:rFonts w:hint="eastAsia" w:ascii="宋体" w:hAnsi="宋体" w:cs="宋体"/>
          <w:color w:val="auto"/>
          <w:szCs w:val="21"/>
          <w:u w:val="single"/>
          <w:lang w:eastAsia="zh-CN"/>
        </w:rPr>
        <w:t xml:space="preserve"> </w:t>
      </w:r>
      <w:r>
        <w:rPr>
          <w:rFonts w:hint="eastAsia" w:ascii="宋体" w:hAnsi="宋体" w:cs="宋体"/>
          <w:color w:val="auto"/>
          <w:szCs w:val="21"/>
        </w:rPr>
        <w:t>的</w:t>
      </w:r>
      <w:r>
        <w:rPr>
          <w:rFonts w:hint="eastAsia" w:ascii="宋体" w:hAnsi="宋体" w:cs="宋体"/>
          <w:color w:val="auto"/>
          <w:szCs w:val="21"/>
          <w:u w:val="single"/>
          <w:lang w:eastAsia="zh-CN"/>
        </w:rPr>
        <w:t xml:space="preserve">  </w:t>
      </w:r>
      <w:r>
        <w:rPr>
          <w:rFonts w:hint="eastAsia" w:ascii="宋体" w:hAnsi="宋体" w:cs="宋体"/>
          <w:color w:val="auto"/>
          <w:szCs w:val="21"/>
          <w:u w:val="single"/>
        </w:rPr>
        <w:t>（项目名称）</w:t>
      </w:r>
      <w:r>
        <w:rPr>
          <w:rFonts w:hint="eastAsia" w:ascii="宋体" w:hAnsi="宋体" w:cs="宋体"/>
          <w:color w:val="auto"/>
          <w:szCs w:val="21"/>
          <w:u w:val="single"/>
          <w:lang w:eastAsia="zh-CN"/>
        </w:rPr>
        <w:t xml:space="preserve">  </w:t>
      </w:r>
      <w:r>
        <w:rPr>
          <w:rFonts w:hint="eastAsia" w:ascii="宋体" w:hAnsi="宋体" w:cs="宋体"/>
          <w:color w:val="auto"/>
          <w:szCs w:val="21"/>
        </w:rPr>
        <w:t>采购活动，服务全部由符合政策要求的中小企业承接。相关企业的具体情况如下：</w:t>
      </w:r>
    </w:p>
    <w:p>
      <w:pPr>
        <w:adjustRightInd w:val="0"/>
        <w:snapToGrid w:val="0"/>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u w:val="single"/>
          <w:lang w:eastAsia="zh-CN"/>
        </w:rPr>
        <w:t xml:space="preserve">  </w:t>
      </w:r>
      <w:r>
        <w:rPr>
          <w:rFonts w:hint="eastAsia" w:ascii="宋体" w:hAnsi="宋体" w:cs="宋体"/>
          <w:color w:val="auto"/>
          <w:szCs w:val="21"/>
          <w:u w:val="single"/>
        </w:rPr>
        <w:t>（标的名称）</w:t>
      </w:r>
      <w:r>
        <w:rPr>
          <w:rFonts w:hint="eastAsia" w:ascii="宋体" w:hAnsi="宋体" w:cs="宋体"/>
          <w:color w:val="auto"/>
          <w:szCs w:val="21"/>
          <w:u w:val="single"/>
          <w:lang w:eastAsia="zh-CN"/>
        </w:rPr>
        <w:t xml:space="preserve">   </w:t>
      </w:r>
      <w:r>
        <w:rPr>
          <w:rFonts w:hint="eastAsia" w:ascii="宋体" w:hAnsi="宋体" w:cs="宋体"/>
          <w:color w:val="auto"/>
          <w:szCs w:val="21"/>
        </w:rPr>
        <w:t>，属于</w:t>
      </w:r>
      <w:r>
        <w:rPr>
          <w:rFonts w:hint="eastAsia" w:ascii="宋体" w:hAnsi="宋体" w:cs="宋体"/>
          <w:color w:val="auto"/>
          <w:szCs w:val="21"/>
          <w:u w:val="single"/>
          <w:lang w:eastAsia="zh-CN"/>
        </w:rPr>
        <w:t xml:space="preserve">  </w:t>
      </w:r>
      <w:r>
        <w:rPr>
          <w:rFonts w:hint="eastAsia" w:ascii="宋体" w:hAnsi="宋体" w:cs="宋体"/>
          <w:color w:val="auto"/>
          <w:szCs w:val="21"/>
          <w:u w:val="single"/>
        </w:rPr>
        <w:t>（采购文件中明确的所属行业）</w:t>
      </w:r>
      <w:r>
        <w:rPr>
          <w:rFonts w:hint="eastAsia" w:ascii="宋体" w:hAnsi="宋体" w:cs="宋体"/>
          <w:color w:val="auto"/>
          <w:szCs w:val="21"/>
          <w:u w:val="single"/>
          <w:lang w:eastAsia="zh-CN"/>
        </w:rPr>
        <w:t xml:space="preserve">  </w:t>
      </w:r>
      <w:r>
        <w:rPr>
          <w:rFonts w:hint="eastAsia" w:ascii="宋体" w:hAnsi="宋体" w:cs="宋体"/>
          <w:color w:val="auto"/>
          <w:szCs w:val="21"/>
        </w:rPr>
        <w:t>；</w:t>
      </w:r>
      <w:r>
        <w:rPr>
          <w:rFonts w:hint="eastAsia" w:ascii="宋体" w:hAnsi="宋体"/>
          <w:color w:val="auto"/>
          <w:szCs w:val="24"/>
        </w:rPr>
        <w:t>承建（承接）企业为</w:t>
      </w:r>
      <w:r>
        <w:rPr>
          <w:rFonts w:hint="eastAsia" w:ascii="宋体" w:hAnsi="宋体"/>
          <w:color w:val="auto"/>
          <w:szCs w:val="24"/>
          <w:u w:val="single"/>
        </w:rPr>
        <w:t>（企业名称）</w:t>
      </w:r>
      <w:r>
        <w:rPr>
          <w:rFonts w:hint="eastAsia" w:ascii="宋体" w:hAnsi="宋体"/>
          <w:color w:val="auto"/>
          <w:szCs w:val="24"/>
        </w:rPr>
        <w:t>，从业人员</w:t>
      </w:r>
      <w:r>
        <w:rPr>
          <w:rFonts w:hint="eastAsia" w:ascii="宋体" w:hAnsi="宋体"/>
          <w:color w:val="auto"/>
          <w:szCs w:val="24"/>
          <w:u w:val="single"/>
          <w:lang w:eastAsia="zh-CN"/>
        </w:rPr>
        <w:t xml:space="preserve">    </w:t>
      </w:r>
      <w:r>
        <w:rPr>
          <w:rFonts w:hint="eastAsia" w:ascii="宋体" w:hAnsi="宋体"/>
          <w:color w:val="auto"/>
          <w:szCs w:val="24"/>
        </w:rPr>
        <w:t>人，营业收入为</w:t>
      </w:r>
      <w:r>
        <w:rPr>
          <w:rFonts w:hint="eastAsia" w:ascii="宋体" w:hAnsi="宋体"/>
          <w:color w:val="auto"/>
          <w:szCs w:val="24"/>
          <w:u w:val="single"/>
          <w:lang w:eastAsia="zh-CN"/>
        </w:rPr>
        <w:t xml:space="preserve">    </w:t>
      </w:r>
      <w:r>
        <w:rPr>
          <w:rFonts w:hint="eastAsia" w:ascii="宋体" w:hAnsi="宋体"/>
          <w:color w:val="auto"/>
          <w:szCs w:val="24"/>
        </w:rPr>
        <w:t>万元，资产总额为</w:t>
      </w:r>
      <w:r>
        <w:rPr>
          <w:rFonts w:hint="eastAsia" w:ascii="宋体" w:hAnsi="宋体"/>
          <w:color w:val="auto"/>
          <w:szCs w:val="24"/>
          <w:u w:val="single"/>
          <w:lang w:eastAsia="zh-CN"/>
        </w:rPr>
        <w:t xml:space="preserve">    </w:t>
      </w:r>
      <w:r>
        <w:rPr>
          <w:rFonts w:hint="eastAsia" w:ascii="宋体" w:hAnsi="宋体"/>
          <w:color w:val="auto"/>
          <w:szCs w:val="24"/>
        </w:rPr>
        <w:t>万元，属于</w:t>
      </w:r>
      <w:r>
        <w:rPr>
          <w:rFonts w:hint="eastAsia" w:ascii="宋体" w:hAnsi="宋体"/>
          <w:color w:val="auto"/>
          <w:szCs w:val="24"/>
          <w:u w:val="single"/>
        </w:rPr>
        <w:t>（中型企业、小型企业、微型企业）。</w:t>
      </w:r>
      <w:r>
        <w:rPr>
          <w:rFonts w:hint="eastAsia" w:ascii="宋体" w:hAnsi="宋体"/>
          <w:color w:val="auto"/>
          <w:szCs w:val="24"/>
          <w:lang w:eastAsia="zh-CN"/>
        </w:rPr>
        <w:t xml:space="preserve"> </w:t>
      </w:r>
    </w:p>
    <w:p>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lang w:eastAsia="zh-CN"/>
        </w:rPr>
        <w:t xml:space="preserve">  </w:t>
      </w:r>
      <w:r>
        <w:rPr>
          <w:rFonts w:hint="eastAsia" w:ascii="宋体" w:hAnsi="宋体" w:cs="宋体"/>
          <w:color w:val="auto"/>
          <w:szCs w:val="21"/>
          <w:u w:val="single"/>
        </w:rPr>
        <w:t>（标的名称）</w:t>
      </w:r>
      <w:r>
        <w:rPr>
          <w:rFonts w:hint="eastAsia" w:ascii="宋体" w:hAnsi="宋体" w:cs="宋体"/>
          <w:color w:val="auto"/>
          <w:szCs w:val="21"/>
          <w:u w:val="single"/>
          <w:lang w:eastAsia="zh-CN"/>
        </w:rPr>
        <w:t xml:space="preserve">   </w:t>
      </w:r>
      <w:r>
        <w:rPr>
          <w:rFonts w:hint="eastAsia" w:ascii="宋体" w:hAnsi="宋体" w:cs="宋体"/>
          <w:color w:val="auto"/>
          <w:szCs w:val="21"/>
        </w:rPr>
        <w:t>，属于</w:t>
      </w:r>
      <w:r>
        <w:rPr>
          <w:rFonts w:hint="eastAsia" w:ascii="宋体" w:hAnsi="宋体" w:cs="宋体"/>
          <w:color w:val="auto"/>
          <w:szCs w:val="21"/>
          <w:u w:val="single"/>
          <w:lang w:eastAsia="zh-CN"/>
        </w:rPr>
        <w:t xml:space="preserve">  </w:t>
      </w:r>
      <w:r>
        <w:rPr>
          <w:rFonts w:hint="eastAsia" w:ascii="宋体" w:hAnsi="宋体" w:cs="宋体"/>
          <w:color w:val="auto"/>
          <w:szCs w:val="21"/>
          <w:u w:val="single"/>
        </w:rPr>
        <w:t>（采购文件中明确的所属行业）</w:t>
      </w:r>
      <w:r>
        <w:rPr>
          <w:rFonts w:hint="eastAsia" w:ascii="宋体" w:hAnsi="宋体" w:cs="宋体"/>
          <w:color w:val="auto"/>
          <w:szCs w:val="21"/>
          <w:u w:val="single"/>
          <w:lang w:eastAsia="zh-CN"/>
        </w:rPr>
        <w:t xml:space="preserve">  </w:t>
      </w:r>
      <w:r>
        <w:rPr>
          <w:rFonts w:hint="eastAsia" w:ascii="宋体" w:hAnsi="宋体" w:cs="宋体"/>
          <w:color w:val="auto"/>
          <w:szCs w:val="21"/>
        </w:rPr>
        <w:t>；</w:t>
      </w:r>
      <w:r>
        <w:rPr>
          <w:rFonts w:hint="eastAsia" w:ascii="宋体" w:hAnsi="宋体"/>
          <w:color w:val="auto"/>
          <w:szCs w:val="24"/>
        </w:rPr>
        <w:t>承建（承接）企业为</w:t>
      </w:r>
      <w:r>
        <w:rPr>
          <w:rFonts w:hint="eastAsia" w:ascii="宋体" w:hAnsi="宋体"/>
          <w:color w:val="auto"/>
          <w:szCs w:val="24"/>
          <w:u w:val="single"/>
        </w:rPr>
        <w:t>（企业名称）</w:t>
      </w:r>
      <w:r>
        <w:rPr>
          <w:rFonts w:hint="eastAsia" w:ascii="宋体" w:hAnsi="宋体"/>
          <w:color w:val="auto"/>
          <w:szCs w:val="24"/>
        </w:rPr>
        <w:t>，从业人员</w:t>
      </w:r>
      <w:r>
        <w:rPr>
          <w:rFonts w:hint="eastAsia" w:ascii="宋体" w:hAnsi="宋体"/>
          <w:color w:val="auto"/>
          <w:szCs w:val="24"/>
          <w:u w:val="single"/>
          <w:lang w:eastAsia="zh-CN"/>
        </w:rPr>
        <w:t xml:space="preserve">   </w:t>
      </w:r>
      <w:r>
        <w:rPr>
          <w:rFonts w:hint="eastAsia" w:ascii="宋体" w:hAnsi="宋体"/>
          <w:color w:val="auto"/>
          <w:szCs w:val="24"/>
        </w:rPr>
        <w:t>人，营业收入为</w:t>
      </w:r>
      <w:r>
        <w:rPr>
          <w:rFonts w:hint="eastAsia" w:ascii="宋体" w:hAnsi="宋体"/>
          <w:color w:val="auto"/>
          <w:szCs w:val="24"/>
          <w:u w:val="single"/>
          <w:lang w:eastAsia="zh-CN"/>
        </w:rPr>
        <w:t xml:space="preserve">   </w:t>
      </w:r>
      <w:r>
        <w:rPr>
          <w:rFonts w:hint="eastAsia" w:ascii="宋体" w:hAnsi="宋体"/>
          <w:color w:val="auto"/>
          <w:szCs w:val="24"/>
        </w:rPr>
        <w:t>万元，资产总额为</w:t>
      </w:r>
      <w:r>
        <w:rPr>
          <w:rFonts w:hint="eastAsia" w:ascii="宋体" w:hAnsi="宋体"/>
          <w:color w:val="auto"/>
          <w:szCs w:val="24"/>
          <w:u w:val="single"/>
          <w:lang w:eastAsia="zh-CN"/>
        </w:rPr>
        <w:t xml:space="preserve">   </w:t>
      </w:r>
      <w:r>
        <w:rPr>
          <w:rFonts w:hint="eastAsia" w:ascii="宋体" w:hAnsi="宋体"/>
          <w:color w:val="auto"/>
          <w:szCs w:val="24"/>
        </w:rPr>
        <w:t>万元，属于</w:t>
      </w:r>
      <w:r>
        <w:rPr>
          <w:rFonts w:hint="eastAsia" w:ascii="宋体" w:hAnsi="宋体"/>
          <w:color w:val="auto"/>
          <w:szCs w:val="24"/>
          <w:u w:val="single"/>
        </w:rPr>
        <w:t>（中型企业、小型企业、微型企业）。</w:t>
      </w:r>
    </w:p>
    <w:p>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p>
    <w:p>
      <w:pPr>
        <w:pStyle w:val="2"/>
        <w:spacing w:after="0" w:line="360" w:lineRule="auto"/>
        <w:ind w:firstLineChars="200"/>
        <w:rPr>
          <w:rFonts w:ascii="宋体" w:hAnsi="宋体" w:cs="宋体"/>
          <w:color w:val="auto"/>
          <w:szCs w:val="21"/>
        </w:rPr>
      </w:pPr>
      <w:r>
        <w:rPr>
          <w:rFonts w:hint="eastAsia" w:ascii="宋体" w:hAnsi="宋体" w:cs="宋体"/>
          <w:color w:val="auto"/>
          <w:szCs w:val="21"/>
        </w:rPr>
        <w:t>以上企业，不属于大企业的分支机构，不存在控股股东为大企业的情形，也不存在与大企业的负责人为同一人的情形。</w:t>
      </w:r>
    </w:p>
    <w:p>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本企业对上述声明的真实性负责。如有虚假，将依法承担相应责任。</w:t>
      </w:r>
    </w:p>
    <w:p>
      <w:pPr>
        <w:pStyle w:val="2"/>
        <w:ind w:firstLine="210"/>
        <w:rPr>
          <w:color w:val="auto"/>
          <w:szCs w:val="21"/>
        </w:rPr>
      </w:pPr>
    </w:p>
    <w:p>
      <w:pPr>
        <w:adjustRightInd w:val="0"/>
        <w:snapToGrid w:val="0"/>
        <w:spacing w:line="360" w:lineRule="auto"/>
        <w:ind w:firstLine="4620" w:firstLineChars="2200"/>
        <w:rPr>
          <w:rFonts w:ascii="宋体" w:hAnsi="宋体" w:cs="宋体"/>
          <w:color w:val="auto"/>
          <w:szCs w:val="21"/>
        </w:rPr>
      </w:pPr>
      <w:r>
        <w:rPr>
          <w:rFonts w:hint="eastAsia" w:ascii="宋体" w:hAnsi="宋体" w:cs="宋体"/>
          <w:color w:val="auto"/>
          <w:szCs w:val="21"/>
        </w:rPr>
        <w:t>供应商（电子签章）：</w:t>
      </w:r>
    </w:p>
    <w:p>
      <w:pPr>
        <w:adjustRightInd w:val="0"/>
        <w:snapToGrid w:val="0"/>
        <w:spacing w:line="360" w:lineRule="auto"/>
        <w:ind w:firstLine="4620" w:firstLineChars="2200"/>
        <w:rPr>
          <w:rFonts w:ascii="宋体" w:hAnsi="宋体" w:cs="宋体"/>
          <w:color w:val="auto"/>
          <w:szCs w:val="21"/>
        </w:rPr>
      </w:pPr>
      <w:r>
        <w:rPr>
          <w:rFonts w:hint="eastAsia" w:ascii="宋体" w:hAnsi="宋体" w:cs="宋体"/>
          <w:color w:val="auto"/>
          <w:szCs w:val="21"/>
        </w:rPr>
        <w:t>日</w:t>
      </w:r>
      <w:r>
        <w:rPr>
          <w:rFonts w:hint="eastAsia" w:ascii="宋体" w:hAnsi="宋体" w:cs="宋体"/>
          <w:color w:val="auto"/>
          <w:szCs w:val="21"/>
          <w:lang w:eastAsia="zh-CN"/>
        </w:rPr>
        <w:t xml:space="preserve">  </w:t>
      </w:r>
      <w:r>
        <w:rPr>
          <w:rFonts w:hint="eastAsia" w:ascii="宋体" w:hAnsi="宋体" w:cs="宋体"/>
          <w:color w:val="auto"/>
          <w:szCs w:val="21"/>
        </w:rPr>
        <w:t>期：</w:t>
      </w:r>
      <w:r>
        <w:rPr>
          <w:rFonts w:hint="eastAsia" w:ascii="宋体" w:hAnsi="宋体" w:cs="宋体"/>
          <w:color w:val="auto"/>
          <w:szCs w:val="21"/>
          <w:lang w:eastAsia="zh-CN"/>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w:t>
      </w:r>
      <w:r>
        <w:rPr>
          <w:rFonts w:hint="eastAsia" w:ascii="宋体" w:hAnsi="宋体" w:cs="宋体"/>
          <w:color w:val="auto"/>
          <w:szCs w:val="21"/>
        </w:rPr>
        <w:t>年</w:t>
      </w:r>
      <w:r>
        <w:rPr>
          <w:rFonts w:hint="eastAsia" w:ascii="宋体" w:hAnsi="宋体" w:cs="宋体"/>
          <w:color w:val="auto"/>
          <w:szCs w:val="21"/>
          <w:lang w:eastAsia="zh-CN"/>
        </w:rPr>
        <w:t xml:space="preserve">   </w:t>
      </w:r>
      <w:r>
        <w:rPr>
          <w:rFonts w:hint="eastAsia" w:ascii="宋体" w:hAnsi="宋体" w:cs="宋体"/>
          <w:color w:val="auto"/>
          <w:szCs w:val="21"/>
        </w:rPr>
        <w:t>月</w:t>
      </w:r>
      <w:r>
        <w:rPr>
          <w:rFonts w:hint="eastAsia" w:ascii="宋体" w:hAnsi="宋体" w:cs="宋体"/>
          <w:color w:val="auto"/>
          <w:szCs w:val="21"/>
          <w:lang w:eastAsia="zh-CN"/>
        </w:rPr>
        <w:t xml:space="preserve">   </w:t>
      </w:r>
      <w:r>
        <w:rPr>
          <w:rFonts w:hint="eastAsia" w:ascii="宋体" w:hAnsi="宋体" w:cs="宋体"/>
          <w:color w:val="auto"/>
          <w:szCs w:val="21"/>
        </w:rPr>
        <w:t>日</w:t>
      </w:r>
    </w:p>
    <w:p>
      <w:pPr>
        <w:adjustRightInd w:val="0"/>
        <w:snapToGrid w:val="0"/>
        <w:spacing w:line="460" w:lineRule="exact"/>
        <w:ind w:right="38" w:rightChars="18"/>
        <w:jc w:val="left"/>
        <w:rPr>
          <w:rFonts w:ascii="宋体" w:hAnsi="宋体" w:cs="宋体"/>
          <w:color w:val="auto"/>
          <w:szCs w:val="21"/>
        </w:rPr>
      </w:pPr>
      <w:r>
        <w:rPr>
          <w:rFonts w:hint="eastAsia" w:ascii="宋体" w:hAnsi="宋体" w:cs="宋体"/>
          <w:color w:val="auto"/>
          <w:szCs w:val="21"/>
        </w:rPr>
        <w:t>注：从业人员、营业收入、资产总额填报上两年度数据，无上两年度数据的新成立企业可不填报。</w:t>
      </w:r>
    </w:p>
    <w:p>
      <w:pPr>
        <w:pStyle w:val="2"/>
        <w:adjustRightInd w:val="0"/>
        <w:snapToGrid w:val="0"/>
        <w:ind w:firstLine="0" w:firstLineChars="0"/>
        <w:rPr>
          <w:rFonts w:ascii="宋体" w:hAnsi="宋体" w:cs="Arial"/>
          <w:color w:val="auto"/>
          <w:sz w:val="24"/>
        </w:rPr>
      </w:pPr>
    </w:p>
    <w:p>
      <w:pPr>
        <w:spacing w:line="360" w:lineRule="auto"/>
        <w:jc w:val="center"/>
        <w:rPr>
          <w:rFonts w:ascii="宋体" w:hAnsi="宋体"/>
          <w:b/>
          <w:bCs/>
          <w:color w:val="auto"/>
          <w:sz w:val="24"/>
        </w:rPr>
      </w:pPr>
    </w:p>
    <w:p>
      <w:pPr>
        <w:adjustRightInd w:val="0"/>
        <w:snapToGrid w:val="0"/>
        <w:spacing w:line="360" w:lineRule="auto"/>
        <w:ind w:right="40" w:rightChars="19"/>
        <w:jc w:val="center"/>
        <w:rPr>
          <w:rFonts w:hint="eastAsia" w:ascii="宋体" w:hAnsi="宋体" w:cs="Arial"/>
          <w:color w:val="auto"/>
          <w:sz w:val="24"/>
          <w:szCs w:val="24"/>
        </w:rPr>
      </w:pPr>
      <w:r>
        <w:rPr>
          <w:rFonts w:hint="eastAsia" w:ascii="宋体" w:hAnsi="宋体" w:cs="Arial"/>
          <w:color w:val="auto"/>
          <w:sz w:val="24"/>
          <w:szCs w:val="24"/>
        </w:rPr>
        <w:t>4、政府采购政策性规定证明材料（若有）</w:t>
      </w:r>
    </w:p>
    <w:p>
      <w:pPr>
        <w:spacing w:line="460" w:lineRule="exact"/>
        <w:ind w:right="38" w:rightChars="18"/>
        <w:jc w:val="left"/>
        <w:rPr>
          <w:rFonts w:ascii="宋体" w:hAnsi="宋体" w:cs="Arial"/>
          <w:color w:val="auto"/>
          <w:sz w:val="24"/>
        </w:rPr>
      </w:pPr>
    </w:p>
    <w:p>
      <w:pPr>
        <w:spacing w:line="460" w:lineRule="exact"/>
        <w:ind w:right="38" w:rightChars="18"/>
        <w:jc w:val="center"/>
        <w:rPr>
          <w:rFonts w:ascii="宋体" w:hAnsi="宋体" w:cs="Arial"/>
          <w:color w:val="auto"/>
          <w:sz w:val="24"/>
        </w:rPr>
      </w:pPr>
      <w:r>
        <w:rPr>
          <w:rFonts w:hint="eastAsia" w:ascii="宋体" w:hAnsi="宋体" w:cs="Arial"/>
          <w:color w:val="auto"/>
          <w:sz w:val="24"/>
        </w:rPr>
        <w:t>（注：如果供应商无本项资料，本项可删除或不提供）</w:t>
      </w:r>
    </w:p>
    <w:p>
      <w:pPr>
        <w:rPr>
          <w:rFonts w:ascii="宋体" w:hAnsi="宋体" w:cs="Arial"/>
          <w:color w:val="auto"/>
          <w:szCs w:val="21"/>
        </w:rPr>
      </w:pPr>
    </w:p>
    <w:p>
      <w:pPr>
        <w:rPr>
          <w:rFonts w:ascii="宋体" w:hAnsi="宋体" w:cs="Arial"/>
          <w:color w:val="auto"/>
          <w:szCs w:val="21"/>
        </w:rPr>
      </w:pPr>
    </w:p>
    <w:p>
      <w:pPr>
        <w:rPr>
          <w:rFonts w:ascii="宋体" w:hAnsi="宋体" w:cs="Arial"/>
          <w:color w:val="auto"/>
          <w:szCs w:val="21"/>
        </w:rPr>
      </w:pPr>
    </w:p>
    <w:p>
      <w:pPr>
        <w:adjustRightInd w:val="0"/>
        <w:snapToGrid w:val="0"/>
        <w:spacing w:line="360" w:lineRule="auto"/>
        <w:ind w:right="40" w:rightChars="19"/>
        <w:jc w:val="center"/>
        <w:rPr>
          <w:rFonts w:hint="eastAsia" w:ascii="宋体" w:hAnsi="宋体" w:cs="Arial"/>
          <w:color w:val="auto"/>
          <w:sz w:val="24"/>
          <w:szCs w:val="24"/>
        </w:rPr>
      </w:pPr>
      <w:bookmarkStart w:id="1194" w:name="_Toc27778"/>
      <w:r>
        <w:rPr>
          <w:rFonts w:hint="eastAsia" w:ascii="宋体" w:hAnsi="宋体" w:cs="Arial"/>
          <w:color w:val="auto"/>
          <w:sz w:val="24"/>
          <w:szCs w:val="24"/>
        </w:rPr>
        <w:t>5、其他材料（如有）………………</w:t>
      </w:r>
      <w:bookmarkEnd w:id="1194"/>
    </w:p>
    <w:p>
      <w:pPr>
        <w:pStyle w:val="2"/>
        <w:adjustRightInd w:val="0"/>
        <w:snapToGrid w:val="0"/>
        <w:ind w:firstLine="240"/>
        <w:rPr>
          <w:rFonts w:ascii="宋体" w:hAnsi="宋体" w:cs="Arial"/>
          <w:color w:val="auto"/>
          <w:sz w:val="24"/>
        </w:rPr>
      </w:pPr>
    </w:p>
    <w:p>
      <w:pPr>
        <w:rPr>
          <w:color w:val="auto"/>
        </w:rPr>
      </w:pPr>
    </w:p>
    <w:sectPr>
      <w:footerReference r:id="rId7" w:type="first"/>
      <w:footerReference r:id="rId6" w:type="default"/>
      <w:pgSz w:w="11906" w:h="16838"/>
      <w:pgMar w:top="1440" w:right="1440" w:bottom="1440" w:left="144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AMGD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rPr>
        <w:rFonts w:ascii="仿宋" w:hAnsi="仿宋" w:eastAsia="仿宋"/>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39"/>
      <w:lvlText w:val="%1)"/>
      <w:lvlJc w:val="left"/>
      <w:pPr>
        <w:tabs>
          <w:tab w:val="left" w:pos="2281"/>
        </w:tabs>
        <w:ind w:left="2281" w:hanging="420"/>
      </w:pPr>
      <w:rPr>
        <w:rFonts w:hint="eastAsia"/>
        <w:b w:val="0"/>
        <w:i w:val="0"/>
      </w:rPr>
    </w:lvl>
    <w:lvl w:ilvl="1" w:tentative="0">
      <w:start w:val="1"/>
      <w:numFmt w:val="lowerLetter"/>
      <w:lvlText w:val="%2)"/>
      <w:lvlJc w:val="left"/>
      <w:pPr>
        <w:tabs>
          <w:tab w:val="left" w:pos="1861"/>
        </w:tabs>
        <w:ind w:left="1861" w:hanging="420"/>
      </w:pPr>
    </w:lvl>
    <w:lvl w:ilvl="2" w:tentative="0">
      <w:start w:val="1"/>
      <w:numFmt w:val="lowerRoman"/>
      <w:lvlText w:val="%3."/>
      <w:lvlJc w:val="right"/>
      <w:pPr>
        <w:tabs>
          <w:tab w:val="left" w:pos="2281"/>
        </w:tabs>
        <w:ind w:left="2281" w:hanging="420"/>
      </w:pPr>
    </w:lvl>
    <w:lvl w:ilvl="3" w:tentative="0">
      <w:start w:val="1"/>
      <w:numFmt w:val="decimal"/>
      <w:lvlText w:val="%4)"/>
      <w:lvlJc w:val="left"/>
      <w:pPr>
        <w:tabs>
          <w:tab w:val="left" w:pos="2701"/>
        </w:tabs>
        <w:ind w:left="2701" w:hanging="420"/>
      </w:pPr>
      <w:rPr>
        <w:rFonts w:hint="eastAsia"/>
        <w:b w:val="0"/>
        <w:i w:val="0"/>
      </w:rPr>
    </w:lvl>
    <w:lvl w:ilvl="4" w:tentative="0">
      <w:start w:val="1"/>
      <w:numFmt w:val="lowerLetter"/>
      <w:lvlText w:val="%5)"/>
      <w:lvlJc w:val="left"/>
      <w:pPr>
        <w:tabs>
          <w:tab w:val="left" w:pos="3121"/>
        </w:tabs>
        <w:ind w:left="3121" w:hanging="420"/>
      </w:pPr>
    </w:lvl>
    <w:lvl w:ilvl="5" w:tentative="0">
      <w:start w:val="1"/>
      <w:numFmt w:val="lowerRoman"/>
      <w:lvlText w:val="%6."/>
      <w:lvlJc w:val="right"/>
      <w:pPr>
        <w:tabs>
          <w:tab w:val="left" w:pos="3541"/>
        </w:tabs>
        <w:ind w:left="3541" w:hanging="420"/>
      </w:pPr>
    </w:lvl>
    <w:lvl w:ilvl="6" w:tentative="0">
      <w:start w:val="1"/>
      <w:numFmt w:val="decimal"/>
      <w:lvlText w:val="%7."/>
      <w:lvlJc w:val="left"/>
      <w:pPr>
        <w:tabs>
          <w:tab w:val="left" w:pos="3961"/>
        </w:tabs>
        <w:ind w:left="3961" w:hanging="420"/>
      </w:pPr>
    </w:lvl>
    <w:lvl w:ilvl="7" w:tentative="0">
      <w:start w:val="1"/>
      <w:numFmt w:val="lowerLetter"/>
      <w:lvlText w:val="%8)"/>
      <w:lvlJc w:val="left"/>
      <w:pPr>
        <w:tabs>
          <w:tab w:val="left" w:pos="4381"/>
        </w:tabs>
        <w:ind w:left="4381" w:hanging="420"/>
      </w:pPr>
    </w:lvl>
    <w:lvl w:ilvl="8" w:tentative="0">
      <w:start w:val="1"/>
      <w:numFmt w:val="lowerRoman"/>
      <w:lvlText w:val="%9."/>
      <w:lvlJc w:val="right"/>
      <w:pPr>
        <w:tabs>
          <w:tab w:val="left" w:pos="4801"/>
        </w:tabs>
        <w:ind w:left="4801" w:hanging="420"/>
      </w:pPr>
    </w:lvl>
  </w:abstractNum>
  <w:abstractNum w:abstractNumId="1">
    <w:nsid w:val="1C8A7682"/>
    <w:multiLevelType w:val="singleLevel"/>
    <w:tmpl w:val="1C8A7682"/>
    <w:lvl w:ilvl="0" w:tentative="0">
      <w:start w:val="10"/>
      <w:numFmt w:val="decimal"/>
      <w:suff w:val="space"/>
      <w:lvlText w:val="%1."/>
      <w:lvlJc w:val="left"/>
    </w:lvl>
  </w:abstractNum>
  <w:abstractNum w:abstractNumId="2">
    <w:nsid w:val="20341A37"/>
    <w:multiLevelType w:val="multilevel"/>
    <w:tmpl w:val="20341A3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M2Y0MjllOGEzMjczNWM4YzQzYTdiMzM4NjUwZTEifQ=="/>
  </w:docVars>
  <w:rsids>
    <w:rsidRoot w:val="00F96395"/>
    <w:rsid w:val="001B72C4"/>
    <w:rsid w:val="00323938"/>
    <w:rsid w:val="00664089"/>
    <w:rsid w:val="00E82021"/>
    <w:rsid w:val="00EC5D80"/>
    <w:rsid w:val="00F96395"/>
    <w:rsid w:val="01C06695"/>
    <w:rsid w:val="032E2EF6"/>
    <w:rsid w:val="038D51FF"/>
    <w:rsid w:val="0393765A"/>
    <w:rsid w:val="04B60164"/>
    <w:rsid w:val="0557387E"/>
    <w:rsid w:val="058A54E5"/>
    <w:rsid w:val="060D65DD"/>
    <w:rsid w:val="065C73B2"/>
    <w:rsid w:val="072B041E"/>
    <w:rsid w:val="08491FD0"/>
    <w:rsid w:val="08820689"/>
    <w:rsid w:val="08CA615E"/>
    <w:rsid w:val="095D6E9C"/>
    <w:rsid w:val="0AEE2E26"/>
    <w:rsid w:val="0B2F7AEE"/>
    <w:rsid w:val="0C1D1B04"/>
    <w:rsid w:val="0D6053CF"/>
    <w:rsid w:val="0DE620DB"/>
    <w:rsid w:val="0E39045D"/>
    <w:rsid w:val="0EA83239"/>
    <w:rsid w:val="100E4411"/>
    <w:rsid w:val="100F76F7"/>
    <w:rsid w:val="10252FC2"/>
    <w:rsid w:val="113028E2"/>
    <w:rsid w:val="12043FB2"/>
    <w:rsid w:val="12476A4A"/>
    <w:rsid w:val="12C9220F"/>
    <w:rsid w:val="13D66E37"/>
    <w:rsid w:val="140C5DFC"/>
    <w:rsid w:val="14FF3F1F"/>
    <w:rsid w:val="15FE2980"/>
    <w:rsid w:val="179A77A3"/>
    <w:rsid w:val="17D10106"/>
    <w:rsid w:val="18785F3C"/>
    <w:rsid w:val="18894EB2"/>
    <w:rsid w:val="18C030CD"/>
    <w:rsid w:val="193C1FC4"/>
    <w:rsid w:val="1A202C15"/>
    <w:rsid w:val="1A3318B4"/>
    <w:rsid w:val="1A4C76AE"/>
    <w:rsid w:val="1AF75667"/>
    <w:rsid w:val="1B3C158C"/>
    <w:rsid w:val="1C030E57"/>
    <w:rsid w:val="1CC05691"/>
    <w:rsid w:val="1D5F1C7A"/>
    <w:rsid w:val="1D7375E1"/>
    <w:rsid w:val="1DD84D2C"/>
    <w:rsid w:val="1E0F2F88"/>
    <w:rsid w:val="1E165D38"/>
    <w:rsid w:val="1EBA0E90"/>
    <w:rsid w:val="1F455F33"/>
    <w:rsid w:val="1F4F7C68"/>
    <w:rsid w:val="1F5E41C7"/>
    <w:rsid w:val="1FC4658F"/>
    <w:rsid w:val="1FE87F35"/>
    <w:rsid w:val="207F222E"/>
    <w:rsid w:val="21B53E47"/>
    <w:rsid w:val="228246A9"/>
    <w:rsid w:val="22CB0133"/>
    <w:rsid w:val="22FD7EB7"/>
    <w:rsid w:val="23E17485"/>
    <w:rsid w:val="23F23130"/>
    <w:rsid w:val="24BA664F"/>
    <w:rsid w:val="2506249C"/>
    <w:rsid w:val="25571E03"/>
    <w:rsid w:val="255B6AB3"/>
    <w:rsid w:val="25616AB8"/>
    <w:rsid w:val="25733194"/>
    <w:rsid w:val="272241DF"/>
    <w:rsid w:val="27564414"/>
    <w:rsid w:val="28D670BD"/>
    <w:rsid w:val="28FC0D3C"/>
    <w:rsid w:val="29061FAB"/>
    <w:rsid w:val="2A024373"/>
    <w:rsid w:val="2A260BAB"/>
    <w:rsid w:val="2ACF41CB"/>
    <w:rsid w:val="2B556460"/>
    <w:rsid w:val="2BD960AE"/>
    <w:rsid w:val="2C056B5B"/>
    <w:rsid w:val="2C212A1A"/>
    <w:rsid w:val="2C825CBC"/>
    <w:rsid w:val="2C992FCC"/>
    <w:rsid w:val="2CD73969"/>
    <w:rsid w:val="2D7C5D82"/>
    <w:rsid w:val="2FE27199"/>
    <w:rsid w:val="307F3D00"/>
    <w:rsid w:val="30A50819"/>
    <w:rsid w:val="30D53BBD"/>
    <w:rsid w:val="30E26F9F"/>
    <w:rsid w:val="312076B3"/>
    <w:rsid w:val="31B82D84"/>
    <w:rsid w:val="31F70D0A"/>
    <w:rsid w:val="32144D24"/>
    <w:rsid w:val="32AF0D1A"/>
    <w:rsid w:val="32C77F74"/>
    <w:rsid w:val="335C3A73"/>
    <w:rsid w:val="33C365BE"/>
    <w:rsid w:val="33C90654"/>
    <w:rsid w:val="34D649FA"/>
    <w:rsid w:val="35331E04"/>
    <w:rsid w:val="35FE7362"/>
    <w:rsid w:val="364376FA"/>
    <w:rsid w:val="36760A5A"/>
    <w:rsid w:val="372F14FC"/>
    <w:rsid w:val="37965245"/>
    <w:rsid w:val="392174CB"/>
    <w:rsid w:val="397B72CC"/>
    <w:rsid w:val="39B3615E"/>
    <w:rsid w:val="3AE9475B"/>
    <w:rsid w:val="3B7A5A8D"/>
    <w:rsid w:val="3B7C12D1"/>
    <w:rsid w:val="3BA10842"/>
    <w:rsid w:val="3BB5219C"/>
    <w:rsid w:val="3C431F01"/>
    <w:rsid w:val="3C6A5B02"/>
    <w:rsid w:val="3C9D7584"/>
    <w:rsid w:val="3D7C378A"/>
    <w:rsid w:val="3EBE272B"/>
    <w:rsid w:val="3FA256C1"/>
    <w:rsid w:val="41B0123D"/>
    <w:rsid w:val="42FD7C8F"/>
    <w:rsid w:val="431038AE"/>
    <w:rsid w:val="432431A4"/>
    <w:rsid w:val="43626114"/>
    <w:rsid w:val="439D4CF4"/>
    <w:rsid w:val="43BA0A56"/>
    <w:rsid w:val="43C51CC1"/>
    <w:rsid w:val="440C6DA3"/>
    <w:rsid w:val="44CB735A"/>
    <w:rsid w:val="45365FAB"/>
    <w:rsid w:val="453D7559"/>
    <w:rsid w:val="45487015"/>
    <w:rsid w:val="45756A50"/>
    <w:rsid w:val="45BF1A99"/>
    <w:rsid w:val="46701BE0"/>
    <w:rsid w:val="46E648D7"/>
    <w:rsid w:val="47473012"/>
    <w:rsid w:val="47A257C9"/>
    <w:rsid w:val="47BD4F9E"/>
    <w:rsid w:val="47CE30B0"/>
    <w:rsid w:val="482914A5"/>
    <w:rsid w:val="48FE0075"/>
    <w:rsid w:val="49696A8A"/>
    <w:rsid w:val="49710E15"/>
    <w:rsid w:val="49E82221"/>
    <w:rsid w:val="4A82670C"/>
    <w:rsid w:val="4B813D65"/>
    <w:rsid w:val="4C515DD1"/>
    <w:rsid w:val="4C9D7774"/>
    <w:rsid w:val="4D501B98"/>
    <w:rsid w:val="4D7975F8"/>
    <w:rsid w:val="4E0F02B7"/>
    <w:rsid w:val="4E675158"/>
    <w:rsid w:val="4ECB36D4"/>
    <w:rsid w:val="4EE46230"/>
    <w:rsid w:val="4FAE23BF"/>
    <w:rsid w:val="501C14BD"/>
    <w:rsid w:val="52E4674E"/>
    <w:rsid w:val="53676B54"/>
    <w:rsid w:val="53886643"/>
    <w:rsid w:val="53961129"/>
    <w:rsid w:val="54EA2FD7"/>
    <w:rsid w:val="552F35A2"/>
    <w:rsid w:val="56082CED"/>
    <w:rsid w:val="56C464BC"/>
    <w:rsid w:val="56D77DE0"/>
    <w:rsid w:val="57B24135"/>
    <w:rsid w:val="597A1831"/>
    <w:rsid w:val="5A373CB2"/>
    <w:rsid w:val="5B1158D5"/>
    <w:rsid w:val="5B2B5F06"/>
    <w:rsid w:val="5B3A46F1"/>
    <w:rsid w:val="5BFE7BBD"/>
    <w:rsid w:val="5CB41C70"/>
    <w:rsid w:val="5CBC1049"/>
    <w:rsid w:val="5CEE21E8"/>
    <w:rsid w:val="5EC20C2B"/>
    <w:rsid w:val="5EDA0F44"/>
    <w:rsid w:val="5F265DA8"/>
    <w:rsid w:val="5FDC51D6"/>
    <w:rsid w:val="60D84E80"/>
    <w:rsid w:val="615B3091"/>
    <w:rsid w:val="620D2BAD"/>
    <w:rsid w:val="62790F18"/>
    <w:rsid w:val="62F27557"/>
    <w:rsid w:val="64DE67DD"/>
    <w:rsid w:val="65880FFC"/>
    <w:rsid w:val="65903299"/>
    <w:rsid w:val="664C6644"/>
    <w:rsid w:val="668C1229"/>
    <w:rsid w:val="6691363C"/>
    <w:rsid w:val="669E47D6"/>
    <w:rsid w:val="674D7E66"/>
    <w:rsid w:val="681B226A"/>
    <w:rsid w:val="683B74A5"/>
    <w:rsid w:val="692C6A4F"/>
    <w:rsid w:val="6B1911BF"/>
    <w:rsid w:val="6BE82726"/>
    <w:rsid w:val="6E37472E"/>
    <w:rsid w:val="6E4933EF"/>
    <w:rsid w:val="6E87552E"/>
    <w:rsid w:val="6EC26DE0"/>
    <w:rsid w:val="6EEE0B71"/>
    <w:rsid w:val="6EF87904"/>
    <w:rsid w:val="6F993A2D"/>
    <w:rsid w:val="714B496D"/>
    <w:rsid w:val="714F3A8C"/>
    <w:rsid w:val="7187011F"/>
    <w:rsid w:val="71BE68B5"/>
    <w:rsid w:val="71D56C21"/>
    <w:rsid w:val="71F31B1A"/>
    <w:rsid w:val="72A41B1F"/>
    <w:rsid w:val="73174D57"/>
    <w:rsid w:val="73DD1280"/>
    <w:rsid w:val="73E86D31"/>
    <w:rsid w:val="742F5489"/>
    <w:rsid w:val="7459568F"/>
    <w:rsid w:val="745E6FF3"/>
    <w:rsid w:val="746776C0"/>
    <w:rsid w:val="750944CE"/>
    <w:rsid w:val="7544682A"/>
    <w:rsid w:val="75787538"/>
    <w:rsid w:val="76406236"/>
    <w:rsid w:val="76482656"/>
    <w:rsid w:val="782414C6"/>
    <w:rsid w:val="792B3C85"/>
    <w:rsid w:val="79903996"/>
    <w:rsid w:val="79B25879"/>
    <w:rsid w:val="79B46E4F"/>
    <w:rsid w:val="7ADA6F2C"/>
    <w:rsid w:val="7B694A63"/>
    <w:rsid w:val="7B7D6304"/>
    <w:rsid w:val="7B910C26"/>
    <w:rsid w:val="7C105077"/>
    <w:rsid w:val="7CF60184"/>
    <w:rsid w:val="7E3931C4"/>
    <w:rsid w:val="7F6F05D2"/>
    <w:rsid w:val="7FDD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heading 1"/>
    <w:basedOn w:val="1"/>
    <w:next w:val="1"/>
    <w:autoRedefine/>
    <w:qFormat/>
    <w:uiPriority w:val="0"/>
    <w:pPr>
      <w:keepNext/>
      <w:keepLines/>
      <w:spacing w:before="220" w:after="210" w:line="578" w:lineRule="auto"/>
      <w:jc w:val="center"/>
      <w:outlineLvl w:val="0"/>
    </w:pPr>
    <w:rPr>
      <w:bCs/>
      <w:kern w:val="44"/>
      <w:sz w:val="32"/>
      <w:szCs w:val="44"/>
    </w:rPr>
  </w:style>
  <w:style w:type="paragraph" w:styleId="8">
    <w:name w:val="heading 2"/>
    <w:basedOn w:val="1"/>
    <w:next w:val="1"/>
    <w:autoRedefine/>
    <w:qFormat/>
    <w:uiPriority w:val="0"/>
    <w:pPr>
      <w:keepNext/>
      <w:keepLines/>
      <w:spacing w:before="20" w:after="20" w:line="416" w:lineRule="auto"/>
      <w:outlineLvl w:val="1"/>
    </w:pPr>
    <w:rPr>
      <w:rFonts w:ascii="Cambria" w:hAnsi="Cambria"/>
      <w:b/>
      <w:bCs/>
      <w:kern w:val="0"/>
      <w:sz w:val="24"/>
      <w:szCs w:val="32"/>
    </w:rPr>
  </w:style>
  <w:style w:type="paragraph" w:styleId="9">
    <w:name w:val="heading 3"/>
    <w:basedOn w:val="1"/>
    <w:next w:val="1"/>
    <w:autoRedefine/>
    <w:unhideWhenUsed/>
    <w:qFormat/>
    <w:uiPriority w:val="0"/>
    <w:pPr>
      <w:keepNext/>
      <w:keepLines/>
      <w:spacing w:line="440" w:lineRule="exact"/>
      <w:ind w:firstLine="643"/>
      <w:outlineLvl w:val="2"/>
    </w:pPr>
    <w:rPr>
      <w:rFonts w:ascii="Calibri" w:hAnsi="Calibri"/>
      <w:b/>
      <w:sz w:val="24"/>
    </w:rPr>
  </w:style>
  <w:style w:type="paragraph" w:styleId="10">
    <w:name w:val="heading 6"/>
    <w:basedOn w:val="1"/>
    <w:next w:val="1"/>
    <w:autoRedefine/>
    <w:qFormat/>
    <w:uiPriority w:val="1"/>
    <w:pPr>
      <w:spacing w:before="1"/>
      <w:ind w:left="780"/>
      <w:outlineLvl w:val="5"/>
    </w:pPr>
    <w:rPr>
      <w:rFonts w:ascii="宋体" w:hAnsi="宋体" w:cs="宋体"/>
      <w:b/>
      <w:bCs/>
      <w:sz w:val="24"/>
      <w:szCs w:val="24"/>
      <w:lang w:val="zh-CN" w:bidi="zh-CN"/>
    </w:rPr>
  </w:style>
  <w:style w:type="paragraph" w:styleId="11">
    <w:name w:val="heading 7"/>
    <w:basedOn w:val="1"/>
    <w:next w:val="1"/>
    <w:autoRedefine/>
    <w:qFormat/>
    <w:uiPriority w:val="1"/>
    <w:pPr>
      <w:ind w:left="120"/>
      <w:outlineLvl w:val="6"/>
    </w:pPr>
    <w:rPr>
      <w:rFonts w:ascii="宋体" w:hAnsi="宋体" w:cs="宋体"/>
      <w:sz w:val="24"/>
      <w:szCs w:val="24"/>
      <w:lang w:val="zh-CN" w:bidi="zh-CN"/>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5"/>
    <w:autoRedefine/>
    <w:qFormat/>
    <w:uiPriority w:val="0"/>
    <w:pPr>
      <w:ind w:firstLine="420" w:firstLineChars="100"/>
    </w:pPr>
  </w:style>
  <w:style w:type="paragraph" w:styleId="3">
    <w:name w:val="Body Text"/>
    <w:basedOn w:val="1"/>
    <w:next w:val="4"/>
    <w:autoRedefine/>
    <w:qFormat/>
    <w:uiPriority w:val="0"/>
    <w:pPr>
      <w:spacing w:after="120"/>
    </w:pPr>
    <w:rPr>
      <w:szCs w:val="24"/>
    </w:rPr>
  </w:style>
  <w:style w:type="paragraph" w:styleId="4">
    <w:name w:val="Body Text 2"/>
    <w:basedOn w:val="1"/>
    <w:next w:val="3"/>
    <w:autoRedefine/>
    <w:qFormat/>
    <w:uiPriority w:val="0"/>
    <w:pPr>
      <w:spacing w:after="120" w:line="480" w:lineRule="auto"/>
    </w:pPr>
  </w:style>
  <w:style w:type="paragraph" w:styleId="5">
    <w:name w:val="Body Text First Indent 2"/>
    <w:basedOn w:val="6"/>
    <w:next w:val="1"/>
    <w:autoRedefine/>
    <w:semiHidden/>
    <w:unhideWhenUsed/>
    <w:qFormat/>
    <w:uiPriority w:val="99"/>
    <w:pPr>
      <w:ind w:firstLine="420" w:firstLineChars="200"/>
    </w:pPr>
  </w:style>
  <w:style w:type="paragraph" w:styleId="6">
    <w:name w:val="Body Text Indent"/>
    <w:basedOn w:val="1"/>
    <w:next w:val="1"/>
    <w:autoRedefine/>
    <w:qFormat/>
    <w:uiPriority w:val="0"/>
    <w:pPr>
      <w:ind w:firstLine="480"/>
    </w:pPr>
    <w:rPr>
      <w:rFonts w:ascii="宋体" w:hAnsi="宋体"/>
      <w:sz w:val="30"/>
      <w:szCs w:val="24"/>
    </w:rPr>
  </w:style>
  <w:style w:type="paragraph" w:styleId="12">
    <w:name w:val="Body Text 3"/>
    <w:basedOn w:val="1"/>
    <w:autoRedefine/>
    <w:qFormat/>
    <w:uiPriority w:val="0"/>
    <w:rPr>
      <w:sz w:val="24"/>
      <w:szCs w:val="20"/>
    </w:rPr>
  </w:style>
  <w:style w:type="paragraph" w:styleId="13">
    <w:name w:val="List 2"/>
    <w:basedOn w:val="1"/>
    <w:autoRedefine/>
    <w:qFormat/>
    <w:uiPriority w:val="0"/>
    <w:pPr>
      <w:ind w:left="100" w:leftChars="200" w:hanging="200" w:hangingChars="200"/>
    </w:pPr>
  </w:style>
  <w:style w:type="paragraph" w:styleId="14">
    <w:name w:val="toc 3"/>
    <w:basedOn w:val="1"/>
    <w:next w:val="1"/>
    <w:autoRedefine/>
    <w:qFormat/>
    <w:uiPriority w:val="0"/>
    <w:pPr>
      <w:ind w:left="840" w:leftChars="400"/>
    </w:pPr>
  </w:style>
  <w:style w:type="paragraph" w:styleId="15">
    <w:name w:val="Plain Text"/>
    <w:basedOn w:val="1"/>
    <w:autoRedefine/>
    <w:qFormat/>
    <w:uiPriority w:val="0"/>
    <w:pPr>
      <w:spacing w:line="360" w:lineRule="auto"/>
    </w:pPr>
    <w:rPr>
      <w:rFonts w:ascii="宋体" w:hAnsi="Courier New"/>
      <w:spacing w:val="-8"/>
      <w:kern w:val="0"/>
      <w:sz w:val="24"/>
      <w:szCs w:val="20"/>
    </w:rPr>
  </w:style>
  <w:style w:type="paragraph" w:styleId="16">
    <w:name w:val="footer"/>
    <w:basedOn w:val="1"/>
    <w:autoRedefine/>
    <w:unhideWhenUsed/>
    <w:qFormat/>
    <w:uiPriority w:val="0"/>
    <w:pPr>
      <w:tabs>
        <w:tab w:val="center" w:pos="4153"/>
        <w:tab w:val="right" w:pos="8306"/>
      </w:tabs>
      <w:snapToGrid w:val="0"/>
      <w:jc w:val="left"/>
    </w:pPr>
    <w:rPr>
      <w:kern w:val="0"/>
      <w:sz w:val="18"/>
      <w:szCs w:val="18"/>
    </w:rPr>
  </w:style>
  <w:style w:type="paragraph" w:styleId="17">
    <w:name w:val="header"/>
    <w:basedOn w:val="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unhideWhenUsed/>
    <w:qFormat/>
    <w:uiPriority w:val="39"/>
  </w:style>
  <w:style w:type="paragraph" w:styleId="19">
    <w:name w:val="toc 2"/>
    <w:basedOn w:val="1"/>
    <w:next w:val="1"/>
    <w:autoRedefine/>
    <w:unhideWhenUsed/>
    <w:qFormat/>
    <w:uiPriority w:val="39"/>
    <w:pPr>
      <w:ind w:left="420" w:leftChars="200"/>
    </w:pPr>
  </w:style>
  <w:style w:type="paragraph" w:styleId="2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1">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style>
  <w:style w:type="character" w:styleId="26">
    <w:name w:val="FollowedHyperlink"/>
    <w:basedOn w:val="24"/>
    <w:autoRedefine/>
    <w:qFormat/>
    <w:uiPriority w:val="0"/>
    <w:rPr>
      <w:color w:val="800080"/>
      <w:u w:val="none"/>
    </w:rPr>
  </w:style>
  <w:style w:type="character" w:styleId="27">
    <w:name w:val="Emphasis"/>
    <w:basedOn w:val="24"/>
    <w:autoRedefine/>
    <w:qFormat/>
    <w:uiPriority w:val="0"/>
  </w:style>
  <w:style w:type="character" w:styleId="28">
    <w:name w:val="HTML Definition"/>
    <w:basedOn w:val="24"/>
    <w:autoRedefine/>
    <w:qFormat/>
    <w:uiPriority w:val="0"/>
  </w:style>
  <w:style w:type="character" w:styleId="29">
    <w:name w:val="HTML Typewriter"/>
    <w:basedOn w:val="24"/>
    <w:autoRedefine/>
    <w:qFormat/>
    <w:uiPriority w:val="0"/>
    <w:rPr>
      <w:rFonts w:hint="default" w:ascii="monospace" w:hAnsi="monospace" w:eastAsia="monospace" w:cs="monospace"/>
      <w:sz w:val="20"/>
    </w:rPr>
  </w:style>
  <w:style w:type="character" w:styleId="30">
    <w:name w:val="HTML Acronym"/>
    <w:basedOn w:val="24"/>
    <w:autoRedefine/>
    <w:qFormat/>
    <w:uiPriority w:val="0"/>
  </w:style>
  <w:style w:type="character" w:styleId="31">
    <w:name w:val="HTML Variable"/>
    <w:basedOn w:val="24"/>
    <w:autoRedefine/>
    <w:qFormat/>
    <w:uiPriority w:val="0"/>
  </w:style>
  <w:style w:type="character" w:styleId="32">
    <w:name w:val="Hyperlink"/>
    <w:basedOn w:val="24"/>
    <w:autoRedefine/>
    <w:qFormat/>
    <w:uiPriority w:val="0"/>
    <w:rPr>
      <w:color w:val="0000FF"/>
      <w:u w:val="none"/>
    </w:rPr>
  </w:style>
  <w:style w:type="character" w:styleId="33">
    <w:name w:val="HTML Code"/>
    <w:basedOn w:val="24"/>
    <w:autoRedefine/>
    <w:qFormat/>
    <w:uiPriority w:val="0"/>
    <w:rPr>
      <w:rFonts w:ascii="monospace" w:hAnsi="monospace" w:eastAsia="monospace" w:cs="monospace"/>
      <w:sz w:val="20"/>
    </w:rPr>
  </w:style>
  <w:style w:type="character" w:styleId="34">
    <w:name w:val="HTML Cite"/>
    <w:basedOn w:val="24"/>
    <w:autoRedefine/>
    <w:qFormat/>
    <w:uiPriority w:val="0"/>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paragraph" w:styleId="37">
    <w:name w:val="List Paragraph"/>
    <w:basedOn w:val="1"/>
    <w:autoRedefine/>
    <w:qFormat/>
    <w:uiPriority w:val="34"/>
    <w:pPr>
      <w:ind w:firstLine="420" w:firstLineChars="200"/>
    </w:pPr>
    <w:rPr>
      <w:szCs w:val="24"/>
    </w:rPr>
  </w:style>
  <w:style w:type="paragraph" w:customStyle="1" w:styleId="38">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标题3-1"/>
    <w:basedOn w:val="9"/>
    <w:autoRedefine/>
    <w:qFormat/>
    <w:uiPriority w:val="0"/>
    <w:pPr>
      <w:numPr>
        <w:ilvl w:val="0"/>
        <w:numId w:val="1"/>
      </w:numPr>
    </w:pPr>
  </w:style>
  <w:style w:type="paragraph" w:customStyle="1" w:styleId="40">
    <w:name w:val="Table Paragraph"/>
    <w:basedOn w:val="1"/>
    <w:autoRedefine/>
    <w:qFormat/>
    <w:uiPriority w:val="1"/>
    <w:rPr>
      <w:rFonts w:ascii="宋体" w:hAnsi="宋体" w:cs="宋体"/>
      <w:lang w:val="zh-CN" w:bidi="zh-CN"/>
    </w:rPr>
  </w:style>
  <w:style w:type="paragraph" w:customStyle="1" w:styleId="41">
    <w:name w:val="Table Text"/>
    <w:basedOn w:val="1"/>
    <w:autoRedefine/>
    <w:semiHidden/>
    <w:qFormat/>
    <w:uiPriority w:val="0"/>
    <w:rPr>
      <w:rFonts w:ascii="宋体" w:hAnsi="宋体" w:cs="宋体"/>
      <w:sz w:val="24"/>
      <w:szCs w:val="24"/>
      <w:lang w:eastAsia="en-US"/>
    </w:rPr>
  </w:style>
  <w:style w:type="table" w:customStyle="1" w:styleId="42">
    <w:name w:val="Table Normal"/>
    <w:autoRedefine/>
    <w:unhideWhenUsed/>
    <w:qFormat/>
    <w:uiPriority w:val="0"/>
    <w:tblPr>
      <w:tblCellMar>
        <w:top w:w="0" w:type="dxa"/>
        <w:left w:w="0" w:type="dxa"/>
        <w:bottom w:w="0" w:type="dxa"/>
        <w:right w:w="0" w:type="dxa"/>
      </w:tblCellMar>
    </w:tblPr>
  </w:style>
  <w:style w:type="paragraph" w:customStyle="1" w:styleId="43">
    <w:name w:val="样式 标题 2 + Times New Roman 四号 非加粗 段前: 5 磅 段后: 0 磅 行距: 固定值 20..."/>
    <w:basedOn w:val="8"/>
    <w:autoRedefine/>
    <w:qFormat/>
    <w:uiPriority w:val="0"/>
    <w:pPr>
      <w:spacing w:before="100" w:after="0" w:line="400" w:lineRule="exact"/>
    </w:pPr>
    <w:rPr>
      <w:rFonts w:ascii="Times New Roman" w:hAnsi="Times New Roman" w:cs="宋体"/>
      <w:b w:val="0"/>
      <w:bCs w:val="0"/>
      <w:sz w:val="28"/>
      <w:szCs w:val="20"/>
    </w:rPr>
  </w:style>
  <w:style w:type="paragraph" w:customStyle="1" w:styleId="44">
    <w:name w:val="样式 标题 3 + (中文) 黑体 小四 非加粗 段前: 7.8 磅 段后: 0 磅 行距: 固定值 20 磅"/>
    <w:basedOn w:val="9"/>
    <w:autoRedefine/>
    <w:qFormat/>
    <w:uiPriority w:val="0"/>
    <w:pPr>
      <w:spacing w:line="400" w:lineRule="exact"/>
      <w:ind w:firstLine="0"/>
    </w:pPr>
    <w:rPr>
      <w:rFonts w:eastAsia="黑体" w:cs="宋体"/>
      <w:b w:val="0"/>
      <w:szCs w:val="20"/>
    </w:rPr>
  </w:style>
  <w:style w:type="paragraph" w:customStyle="1" w:styleId="45">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46">
    <w:name w:val="WPSOffice手动目录 1"/>
    <w:autoRedefine/>
    <w:qFormat/>
    <w:uiPriority w:val="0"/>
    <w:pPr>
      <w:ind w:leftChars="0"/>
    </w:pPr>
    <w:rPr>
      <w:rFonts w:ascii="Times New Roman" w:hAnsi="Times New Roman" w:eastAsia="宋体" w:cs="Times New Roman"/>
      <w:sz w:val="20"/>
      <w:szCs w:val="20"/>
    </w:rPr>
  </w:style>
  <w:style w:type="paragraph" w:customStyle="1" w:styleId="47">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20636</Words>
  <Characters>22128</Characters>
  <Lines>291</Lines>
  <Paragraphs>81</Paragraphs>
  <TotalTime>22</TotalTime>
  <ScaleCrop>false</ScaleCrop>
  <LinksUpToDate>false</LinksUpToDate>
  <CharactersWithSpaces>23468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2022-08-17T08:27:00Z</dcterms:created>
  <dc:creator>Administrator</dc:creator>
  <cp:lastModifiedBy>黄舟龙 15346560168</cp:lastModifiedBy>
  <cp:lastPrinted>2024-06-11T03:00:00Z</cp:lastPrinted>
  <dcterms:modified xsi:type="dcterms:W3CDTF">2024-06-24T02:51:36Z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51B4308A8D9E46AAA155837800014211_13</vt:lpwstr>
  </property>
</Properties>
</file>