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7029"/>
        </w:tabs>
        <w:kinsoku/>
        <w:overflowPunct/>
        <w:bidi w:val="0"/>
        <w:snapToGrid w:val="0"/>
        <w:spacing w:line="360" w:lineRule="auto"/>
        <w:jc w:val="left"/>
        <w:rPr>
          <w:rFonts w:ascii="宋体" w:hAnsi="宋体"/>
          <w:b/>
          <w:bCs/>
          <w:color w:val="auto"/>
          <w:szCs w:val="30"/>
          <w:highlight w:val="none"/>
        </w:rPr>
      </w:pPr>
      <w:r>
        <w:rPr>
          <w:rFonts w:hint="eastAsia" w:ascii="宋体" w:hAnsi="宋体"/>
          <w:b/>
          <w:bCs/>
          <w:color w:val="auto"/>
          <w:szCs w:val="30"/>
          <w:highlight w:val="none"/>
          <w:lang w:val="en-US" w:eastAsia="zh-CN"/>
        </w:rPr>
        <w:tab/>
      </w:r>
      <w:r>
        <w:rPr>
          <w:rFonts w:hint="eastAsia" w:ascii="宋体" w:hAnsi="宋体"/>
          <w:b/>
          <w:bCs/>
          <w:color w:val="auto"/>
          <w:szCs w:val="30"/>
          <w:highlight w:val="none"/>
          <w:lang w:eastAsia="zh-CN"/>
        </w:rPr>
        <w:t xml:space="preserve">                        </w:t>
      </w:r>
      <w:r>
        <w:rPr>
          <w:rFonts w:hint="eastAsia" w:ascii="宋体" w:hAnsi="宋体"/>
          <w:b/>
          <w:bCs/>
          <w:color w:val="auto"/>
          <w:szCs w:val="30"/>
          <w:highlight w:val="none"/>
        </w:rPr>
        <w:tab/>
      </w:r>
    </w:p>
    <w:p>
      <w:pPr>
        <w:pageBreakBefore w:val="0"/>
        <w:kinsoku/>
        <w:overflowPunct/>
        <w:bidi w:val="0"/>
        <w:snapToGrid w:val="0"/>
        <w:spacing w:before="100" w:beforeAutospacing="1" w:after="100" w:afterAutospacing="1" w:line="360" w:lineRule="auto"/>
        <w:jc w:val="center"/>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eastAsia="zh-CN"/>
        </w:rPr>
        <w:t>中牟县</w:t>
      </w:r>
      <w:r>
        <w:rPr>
          <w:rFonts w:hint="eastAsia" w:ascii="仿宋" w:hAnsi="仿宋" w:eastAsia="仿宋" w:cs="仿宋"/>
          <w:b/>
          <w:bCs/>
          <w:color w:val="auto"/>
          <w:sz w:val="36"/>
          <w:szCs w:val="36"/>
          <w:highlight w:val="none"/>
          <w:lang w:val="en-US" w:eastAsia="zh-CN"/>
        </w:rPr>
        <w:t>大孟街道办事处耿石屯村道路项目</w:t>
      </w:r>
    </w:p>
    <w:p>
      <w:pPr>
        <w:pageBreakBefore w:val="0"/>
        <w:kinsoku/>
        <w:overflowPunct/>
        <w:bidi w:val="0"/>
        <w:snapToGrid w:val="0"/>
        <w:spacing w:before="100" w:beforeAutospacing="1" w:after="100" w:afterAutospacing="1" w:line="360" w:lineRule="auto"/>
        <w:jc w:val="both"/>
        <w:rPr>
          <w:rFonts w:hint="eastAsia" w:ascii="仿宋" w:hAnsi="仿宋" w:eastAsia="仿宋" w:cs="仿宋"/>
          <w:b/>
          <w:bCs/>
          <w:color w:val="auto"/>
          <w:sz w:val="72"/>
          <w:szCs w:val="72"/>
          <w:highlight w:val="none"/>
        </w:rPr>
      </w:pPr>
    </w:p>
    <w:p>
      <w:pPr>
        <w:pageBreakBefore w:val="0"/>
        <w:kinsoku/>
        <w:overflowPunct/>
        <w:bidi w:val="0"/>
        <w:snapToGrid w:val="0"/>
        <w:spacing w:before="100" w:beforeAutospacing="1" w:after="100" w:afterAutospacing="1" w:line="360" w:lineRule="auto"/>
        <w:jc w:val="center"/>
        <w:rPr>
          <w:rFonts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pPr>
        <w:pStyle w:val="16"/>
        <w:pageBreakBefore w:val="0"/>
        <w:kinsoku/>
        <w:overflowPunct/>
        <w:bidi w:val="0"/>
        <w:snapToGrid w:val="0"/>
        <w:spacing w:line="360" w:lineRule="auto"/>
        <w:jc w:val="center"/>
        <w:rPr>
          <w:rFonts w:hint="default" w:eastAsia="仿宋"/>
          <w:b/>
          <w:color w:val="auto"/>
          <w:sz w:val="28"/>
          <w:szCs w:val="28"/>
          <w:highlight w:val="none"/>
          <w:lang w:val="en-US"/>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中牟磋商采购-2023-125</w:t>
      </w:r>
    </w:p>
    <w:p>
      <w:pPr>
        <w:pageBreakBefore w:val="0"/>
        <w:kinsoku/>
        <w:overflowPunct/>
        <w:bidi w:val="0"/>
        <w:snapToGrid w:val="0"/>
        <w:spacing w:line="360" w:lineRule="auto"/>
        <w:ind w:right="-300" w:rightChars="-100"/>
        <w:jc w:val="center"/>
        <w:rPr>
          <w:rFonts w:ascii="仿宋" w:hAnsi="仿宋" w:eastAsia="仿宋" w:cs="仿宋"/>
          <w:bCs/>
          <w:color w:val="auto"/>
          <w:sz w:val="21"/>
          <w:szCs w:val="21"/>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ind w:right="-300" w:rightChars="-100"/>
        <w:rPr>
          <w:rFonts w:ascii="仿宋" w:hAnsi="仿宋" w:eastAsia="仿宋" w:cs="仿宋"/>
          <w:b/>
          <w:color w:val="auto"/>
          <w:szCs w:val="30"/>
          <w:highlight w:val="none"/>
        </w:rPr>
      </w:pPr>
    </w:p>
    <w:p>
      <w:pPr>
        <w:pageBreakBefore w:val="0"/>
        <w:kinsoku/>
        <w:overflowPunct/>
        <w:bidi w:val="0"/>
        <w:snapToGrid w:val="0"/>
        <w:spacing w:line="360" w:lineRule="auto"/>
        <w:ind w:right="-300" w:rightChars="-100"/>
        <w:rPr>
          <w:rFonts w:ascii="仿宋" w:hAnsi="仿宋" w:eastAsia="仿宋" w:cs="仿宋"/>
          <w:b/>
          <w:color w:val="auto"/>
          <w:szCs w:val="30"/>
          <w:highlight w:val="none"/>
        </w:rPr>
      </w:pPr>
    </w:p>
    <w:p>
      <w:pPr>
        <w:pageBreakBefore w:val="0"/>
        <w:kinsoku/>
        <w:overflowPunct/>
        <w:bidi w:val="0"/>
        <w:snapToGrid w:val="0"/>
        <w:spacing w:line="360" w:lineRule="auto"/>
        <w:ind w:right="-300" w:rightChars="-100"/>
        <w:rPr>
          <w:rFonts w:ascii="仿宋" w:hAnsi="仿宋" w:eastAsia="仿宋" w:cs="仿宋"/>
          <w:b/>
          <w:color w:val="auto"/>
          <w:szCs w:val="30"/>
          <w:highlight w:val="none"/>
        </w:rPr>
      </w:pPr>
    </w:p>
    <w:p>
      <w:pPr>
        <w:pageBreakBefore w:val="0"/>
        <w:tabs>
          <w:tab w:val="left" w:pos="6446"/>
        </w:tabs>
        <w:kinsoku/>
        <w:overflowPunct/>
        <w:bidi w:val="0"/>
        <w:snapToGrid w:val="0"/>
        <w:spacing w:line="360" w:lineRule="auto"/>
        <w:ind w:right="-300" w:rightChars="-100"/>
        <w:rPr>
          <w:rFonts w:ascii="仿宋" w:hAnsi="仿宋" w:eastAsia="仿宋" w:cs="仿宋"/>
          <w:b/>
          <w:color w:val="auto"/>
          <w:szCs w:val="30"/>
          <w:highlight w:val="none"/>
        </w:rPr>
      </w:pPr>
      <w:r>
        <w:rPr>
          <w:rFonts w:hint="eastAsia" w:ascii="仿宋" w:hAnsi="仿宋" w:eastAsia="仿宋" w:cs="仿宋"/>
          <w:b/>
          <w:color w:val="auto"/>
          <w:szCs w:val="30"/>
          <w:highlight w:val="none"/>
        </w:rPr>
        <w:tab/>
      </w:r>
    </w:p>
    <w:p>
      <w:pPr>
        <w:pageBreakBefore w:val="0"/>
        <w:widowControl/>
        <w:kinsoku/>
        <w:overflowPunct/>
        <w:bidi w:val="0"/>
        <w:snapToGrid w:val="0"/>
        <w:spacing w:line="360" w:lineRule="auto"/>
        <w:ind w:firstLine="2249" w:firstLineChars="800"/>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采   购   人：</w:t>
      </w:r>
      <w:r>
        <w:rPr>
          <w:rFonts w:hint="eastAsia" w:ascii="仿宋" w:hAnsi="仿宋" w:eastAsia="仿宋" w:cs="仿宋"/>
          <w:b/>
          <w:color w:val="auto"/>
          <w:sz w:val="28"/>
          <w:szCs w:val="28"/>
          <w:highlight w:val="none"/>
          <w:lang w:eastAsia="zh-CN"/>
        </w:rPr>
        <w:t>中牟县</w:t>
      </w:r>
      <w:r>
        <w:rPr>
          <w:rFonts w:hint="eastAsia" w:ascii="仿宋" w:hAnsi="仿宋" w:eastAsia="仿宋" w:cs="仿宋"/>
          <w:b/>
          <w:color w:val="auto"/>
          <w:sz w:val="28"/>
          <w:szCs w:val="28"/>
          <w:highlight w:val="none"/>
          <w:lang w:val="en-US" w:eastAsia="zh-CN"/>
        </w:rPr>
        <w:t>大孟街道办事处</w:t>
      </w:r>
    </w:p>
    <w:p>
      <w:pPr>
        <w:pageBreakBefore w:val="0"/>
        <w:kinsoku/>
        <w:overflowPunct/>
        <w:bidi w:val="0"/>
        <w:snapToGrid w:val="0"/>
        <w:spacing w:line="360" w:lineRule="auto"/>
        <w:ind w:firstLine="2249" w:firstLineChars="800"/>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采购代理机构：中通建设工程管理有限公司</w:t>
      </w:r>
    </w:p>
    <w:p>
      <w:pPr>
        <w:pageBreakBefore w:val="0"/>
        <w:kinsoku/>
        <w:overflowPunct/>
        <w:bidi w:val="0"/>
        <w:snapToGrid w:val="0"/>
        <w:spacing w:line="360" w:lineRule="auto"/>
        <w:ind w:firstLine="2249" w:firstLineChars="8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期：二○二</w:t>
      </w: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十二</w:t>
      </w:r>
      <w:r>
        <w:rPr>
          <w:rFonts w:hint="eastAsia" w:ascii="仿宋" w:hAnsi="仿宋" w:eastAsia="仿宋" w:cs="仿宋"/>
          <w:b/>
          <w:color w:val="auto"/>
          <w:sz w:val="28"/>
          <w:szCs w:val="28"/>
          <w:highlight w:val="none"/>
        </w:rPr>
        <w:t>月</w:t>
      </w:r>
    </w:p>
    <w:p>
      <w:pPr>
        <w:pageBreakBefore w:val="0"/>
        <w:kinsoku/>
        <w:overflowPunct/>
        <w:bidi w:val="0"/>
        <w:snapToGrid w:val="0"/>
        <w:spacing w:line="360" w:lineRule="auto"/>
        <w:ind w:firstLine="440" w:firstLineChars="200"/>
        <w:jc w:val="center"/>
        <w:rPr>
          <w:rFonts w:ascii="仿宋" w:hAnsi="仿宋" w:eastAsia="仿宋" w:cs="仿宋"/>
          <w:color w:val="auto"/>
          <w:sz w:val="22"/>
          <w:szCs w:val="15"/>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851" w:footer="1021" w:gutter="0"/>
          <w:pgBorders>
            <w:top w:val="none" w:sz="0" w:space="0"/>
            <w:left w:val="none" w:sz="0" w:space="0"/>
            <w:bottom w:val="none" w:sz="0" w:space="0"/>
            <w:right w:val="none" w:sz="0" w:space="0"/>
          </w:pgBorders>
          <w:pgNumType w:start="1"/>
          <w:cols w:space="720" w:num="1"/>
          <w:titlePg/>
          <w:docGrid w:linePitch="312" w:charSpace="0"/>
        </w:sectPr>
      </w:pPr>
    </w:p>
    <w:p>
      <w:pPr>
        <w:pageBreakBefore w:val="0"/>
        <w:kinsoku/>
        <w:overflowPunct/>
        <w:bidi w:val="0"/>
        <w:snapToGrid w:val="0"/>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目    录</w:t>
      </w:r>
    </w:p>
    <w:p>
      <w:pPr>
        <w:pStyle w:val="14"/>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bookmarkStart w:id="0" w:name="_Toc244935173"/>
      <w:bookmarkStart w:id="1" w:name="_Toc234213538"/>
      <w:bookmarkStart w:id="2" w:name="_Toc362935829"/>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_Toc17023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第一章  竞争性磋商公告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_Toc17023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4"/>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_Toc738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第二章  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_Toc738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_Toc19460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1.总则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_Toc19460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_Toc17930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1.1项目概况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_Toc17930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_Toc20489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1.2资金来源和落实情况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_Toc20489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_Toc11912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1.3采购范围、工期要求、质量要求、磋商有效期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_Toc11912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_Toc12169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1.4供应商资格要求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_Toc12169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_Toc24895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1.5费用承担</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_Toc24895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_Toc20321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1.6保密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_Toc20321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_Toc22241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1.7语言文字</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_Toc22241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_Toc30620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1.8计量单位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_Toc30620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_Toc10471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1.9踏勘现场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_Toc10471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_Toc28423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1.10磋商预备会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_Toc28423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_Toc4435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1.11偏离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_Toc4435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1.12 分包</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_Toc1111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_Toc13761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2.竞争性磋商文件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_Toc13761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_Toc31120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2.1竞争性磋商文件的组成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_Toc31120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_Toc32691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2.2竞争性磋商文件的澄清</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_Toc32691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_Toc11144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2.3竞争性磋商文件的修改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_Toc11144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_Toc5240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3.响应文件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_Toc5240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_Toc24265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3.1响应文件的组成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_Toc24265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_Toc20775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0"/>
          <w:sz w:val="24"/>
          <w:szCs w:val="24"/>
          <w:highlight w:val="none"/>
        </w:rPr>
        <w:t>3.2.</w:t>
      </w:r>
      <w:r>
        <w:rPr>
          <w:rFonts w:hint="eastAsia" w:ascii="仿宋" w:hAnsi="仿宋" w:eastAsia="仿宋" w:cs="仿宋"/>
          <w:color w:val="auto"/>
          <w:sz w:val="24"/>
          <w:szCs w:val="24"/>
          <w:highlight w:val="none"/>
        </w:rPr>
        <w:t>供应商报价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_Toc20775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_Toc9232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3.3.磋商有效期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_Toc9232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_Toc4985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3.4.磋商保证金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_Toc4985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_Toc6720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3.5.资格审查资料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_Toc7829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3.6.响应文件的编制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_Toc7829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_Toc16521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4.响应文件的提交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_Toc16521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_Toc8962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4.1响应文件的递交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_Toc8962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_Toc25350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4.2响应文件的修改与撤回</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_Toc25350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_Toc27483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5.磋商程序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_Toc27483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_Toc15660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5.1磋商时间和地点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_Toc15660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_Toc31612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5.2.磋商程序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_Toc31612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_Toc2228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5.3.磋商异议</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_Toc2228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5.4.磋商小组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_Toc7745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_Toc9457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5.5磋商原则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_Toc9457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_Toc32267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5.6磋商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_Toc32267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_Toc8620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6.合同授予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_Toc8620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_Toc1707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6.1定标方式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_Toc1707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_Toc4599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6.2成交人公示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_Toc4599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6.3成交通知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_Toc28321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6.4签订合同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_Toc28321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_Toc16916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7．纪律和监督</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_Toc16916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_Toc19751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7.1对采购人的纪律要求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_Toc19751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_Toc3293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7.2对供应商的纪律要求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_Toc3293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_Toc5978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7.3对磋商小组成员的纪律要求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_Toc5978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_Toc5559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7.4对与磋商活动有关的工作人员的纪律要求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_Toc5559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_Toc4373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7.5 投诉</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_Toc4373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8.需要补充的其它内容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4"/>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_Toc9394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第三章 评审办法（综合评分法）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_Toc9394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_Toc4239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_Toc4239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_Toc29734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2、评审标准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_Toc29734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_Toc13063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3、评标程序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_Toc13063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_Toc23524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4、响应文件的澄清和补正</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_Toc23524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_Toc2434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5、评标结果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_Toc2434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4"/>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_Toc15864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第四章 合同主要条款及格式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_Toc15864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4"/>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_Toc19930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第五章 工程量清单及图纸</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_Toc19930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4"/>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_Toc7899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章 响应文件格式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_Toc7899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_Toc14034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一、磋商函及磋商函附录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_Toc14034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_Toc5108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二、法定代表人身份证明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_Toc5108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_Toc26987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三、授权委托书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_Toc26987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_Toc20126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四、磋商保证金承诺函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_Toc20126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_Toc10668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五、已标价工程量清单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_Toc10668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_Toc1596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六、施工组织</w:t>
      </w:r>
      <w:r>
        <w:rPr>
          <w:rFonts w:hint="eastAsia" w:ascii="仿宋" w:hAnsi="仿宋" w:eastAsia="仿宋" w:cs="仿宋"/>
          <w:color w:val="auto"/>
          <w:sz w:val="24"/>
          <w:szCs w:val="24"/>
          <w:highlight w:val="none"/>
          <w:lang w:eastAsia="zh-CN"/>
        </w:rPr>
        <w:t>设计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_Toc1596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_Toc15954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七、资格审查资料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_Toc15954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_Toc10225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八、项目管理机构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_Toc10225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5"/>
        <w:pageBreakBefore w:val="0"/>
        <w:tabs>
          <w:tab w:val="right" w:leader="dot" w:pos="9185"/>
          <w:tab w:val="clear" w:pos="9232"/>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_Toc993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九、其他材料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_Toc993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_Toc31321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i w:val="0"/>
          <w:iCs w:val="0"/>
          <w:color w:val="auto"/>
          <w:sz w:val="24"/>
          <w:szCs w:val="24"/>
          <w:highlight w:val="none"/>
          <w:lang w:eastAsia="zh-TW"/>
        </w:rPr>
        <w:t>（1）中小企业声明函（工程）</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_Toc31321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_Toc14859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0"/>
          <w:sz w:val="24"/>
          <w:szCs w:val="24"/>
          <w:highlight w:val="none"/>
          <w:lang w:val="en-US" w:eastAsia="zh-TW" w:bidi="ar"/>
        </w:rPr>
        <w:t>（2）残疾人福利性单位声明函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_Toc14859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_Toc3033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0"/>
          <w:sz w:val="24"/>
          <w:szCs w:val="24"/>
          <w:highlight w:val="none"/>
          <w:lang w:val="en-US" w:eastAsia="zh-TW" w:bidi="ar"/>
        </w:rPr>
        <w:t>（3）监狱企业证明文件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_Toc3033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0"/>
        <w:pageBreakBefore w:val="0"/>
        <w:tabs>
          <w:tab w:val="right" w:leader="dot" w:pos="9185"/>
        </w:tabs>
        <w:kinsoku/>
        <w:overflowPunct/>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_Toc13613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0"/>
          <w:sz w:val="24"/>
          <w:szCs w:val="24"/>
          <w:highlight w:val="none"/>
          <w:lang w:val="en-US" w:eastAsia="zh-TW" w:bidi="ar"/>
        </w:rPr>
        <w:t>（4）节能、环保产品证明文件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_Toc13613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ageBreakBefore w:val="0"/>
        <w:kinsoku/>
        <w:overflowPunct/>
        <w:bidi w:val="0"/>
        <w:snapToGrid w:val="0"/>
        <w:spacing w:line="360" w:lineRule="auto"/>
        <w:jc w:val="distribute"/>
        <w:rPr>
          <w:rFonts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3" w:name="_Toc374003641"/>
    </w:p>
    <w:p>
      <w:pPr>
        <w:pStyle w:val="3"/>
        <w:pageBreakBefore w:val="0"/>
        <w:kinsoku/>
        <w:overflowPunct/>
        <w:bidi w:val="0"/>
        <w:snapToGrid w:val="0"/>
        <w:spacing w:line="360" w:lineRule="auto"/>
        <w:rPr>
          <w:rFonts w:ascii="仿宋" w:hAnsi="仿宋" w:eastAsia="仿宋" w:cs="仿宋"/>
          <w:color w:val="auto"/>
          <w:highlight w:val="none"/>
        </w:rPr>
        <w:sectPr>
          <w:headerReference r:id="rId9" w:type="default"/>
          <w:footerReference r:id="rId10" w:type="default"/>
          <w:pgSz w:w="11907" w:h="16840"/>
          <w:pgMar w:top="1418" w:right="1304" w:bottom="1191" w:left="1418" w:header="851" w:footer="992" w:gutter="0"/>
          <w:pgBorders>
            <w:top w:val="none" w:sz="0" w:space="0"/>
            <w:left w:val="none" w:sz="0" w:space="0"/>
            <w:bottom w:val="none" w:sz="0" w:space="0"/>
            <w:right w:val="none" w:sz="0" w:space="0"/>
          </w:pgBorders>
          <w:pgNumType w:start="1"/>
          <w:cols w:space="720" w:num="1"/>
          <w:docGrid w:linePitch="408" w:charSpace="0"/>
        </w:sectPr>
      </w:pPr>
      <w:bookmarkStart w:id="4" w:name="_Toc29116"/>
    </w:p>
    <w:p>
      <w:pPr>
        <w:pStyle w:val="3"/>
        <w:pageBreakBefore w:val="0"/>
        <w:kinsoku/>
        <w:overflowPunct/>
        <w:bidi w:val="0"/>
        <w:snapToGrid w:val="0"/>
        <w:spacing w:line="360" w:lineRule="auto"/>
        <w:rPr>
          <w:rFonts w:ascii="仿宋" w:hAnsi="仿宋" w:eastAsia="仿宋" w:cs="仿宋"/>
          <w:b/>
          <w:color w:val="auto"/>
          <w:sz w:val="21"/>
          <w:szCs w:val="21"/>
          <w:highlight w:val="none"/>
        </w:rPr>
      </w:pPr>
      <w:bookmarkStart w:id="5" w:name="_Toc17023"/>
      <w:r>
        <w:rPr>
          <w:rFonts w:hint="eastAsia" w:ascii="仿宋" w:hAnsi="仿宋" w:eastAsia="仿宋" w:cs="仿宋"/>
          <w:color w:val="auto"/>
          <w:highlight w:val="none"/>
        </w:rPr>
        <w:t>第一章  竞争性磋商公告</w:t>
      </w:r>
      <w:bookmarkEnd w:id="3"/>
      <w:bookmarkEnd w:id="4"/>
      <w:bookmarkEnd w:id="5"/>
      <w:bookmarkStart w:id="6" w:name="_Toc374003642"/>
      <w:bookmarkStart w:id="7" w:name="_Toc190678808"/>
    </w:p>
    <w:p>
      <w:pPr>
        <w:pageBreakBefore w:val="0"/>
        <w:kinsoku/>
        <w:overflowPunct/>
        <w:bidi w:val="0"/>
        <w:snapToGrid w:val="0"/>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中牟县</w:t>
      </w:r>
      <w:r>
        <w:rPr>
          <w:rFonts w:hint="eastAsia" w:ascii="仿宋" w:hAnsi="仿宋" w:eastAsia="仿宋" w:cs="仿宋"/>
          <w:b/>
          <w:bCs/>
          <w:color w:val="auto"/>
          <w:sz w:val="28"/>
          <w:szCs w:val="28"/>
          <w:highlight w:val="none"/>
          <w:lang w:val="en-US" w:eastAsia="zh-CN"/>
        </w:rPr>
        <w:t>大孟街道办事处耿石屯村道路项目</w:t>
      </w:r>
      <w:r>
        <w:rPr>
          <w:rFonts w:hint="eastAsia" w:ascii="仿宋" w:hAnsi="仿宋" w:eastAsia="仿宋" w:cs="仿宋"/>
          <w:b/>
          <w:bCs/>
          <w:color w:val="auto"/>
          <w:sz w:val="28"/>
          <w:szCs w:val="28"/>
          <w:highlight w:val="none"/>
        </w:rPr>
        <w:t>竞争性磋商公告</w:t>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项目概况</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中牟县</w:t>
      </w:r>
      <w:r>
        <w:rPr>
          <w:rFonts w:hint="eastAsia" w:ascii="仿宋" w:hAnsi="仿宋" w:eastAsia="仿宋" w:cs="仿宋"/>
          <w:color w:val="auto"/>
          <w:sz w:val="21"/>
          <w:szCs w:val="21"/>
          <w:highlight w:val="none"/>
          <w:lang w:val="en-US" w:eastAsia="zh-CN"/>
        </w:rPr>
        <w:t>大孟街道办事处耿石屯村道路项目</w:t>
      </w:r>
      <w:r>
        <w:rPr>
          <w:rFonts w:hint="eastAsia" w:ascii="仿宋" w:hAnsi="仿宋" w:eastAsia="仿宋" w:cs="仿宋"/>
          <w:color w:val="auto"/>
          <w:sz w:val="21"/>
          <w:szCs w:val="21"/>
          <w:highlight w:val="none"/>
        </w:rPr>
        <w:t>的潜在供应商应在“中牟县公共资源交易中心”网站获取竞争性磋商文件，并于 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rPr>
        <w:t>时00分（北京时间）前</w:t>
      </w:r>
      <w:r>
        <w:rPr>
          <w:rFonts w:hint="eastAsia" w:ascii="仿宋" w:hAnsi="仿宋" w:eastAsia="仿宋" w:cs="仿宋"/>
          <w:color w:val="auto"/>
          <w:sz w:val="21"/>
          <w:szCs w:val="21"/>
          <w:highlight w:val="none"/>
          <w:lang w:val="en-US" w:eastAsia="zh-CN"/>
        </w:rPr>
        <w:t>提交</w:t>
      </w:r>
      <w:r>
        <w:rPr>
          <w:rFonts w:hint="eastAsia" w:ascii="仿宋" w:hAnsi="仿宋" w:eastAsia="仿宋" w:cs="仿宋"/>
          <w:color w:val="auto"/>
          <w:sz w:val="21"/>
          <w:szCs w:val="21"/>
          <w:highlight w:val="none"/>
        </w:rPr>
        <w:t>响应文件。</w:t>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一、项目基本情况</w:t>
      </w:r>
    </w:p>
    <w:p>
      <w:pPr>
        <w:pageBreakBefore w:val="0"/>
        <w:kinsoku/>
        <w:overflowPunct/>
        <w:bidi w:val="0"/>
        <w:snapToGrid w:val="0"/>
        <w:spacing w:line="360" w:lineRule="auto"/>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1、项目编号：</w:t>
      </w:r>
      <w:r>
        <w:rPr>
          <w:rFonts w:hint="eastAsia" w:ascii="仿宋" w:hAnsi="仿宋" w:eastAsia="仿宋" w:cs="仿宋"/>
          <w:color w:val="auto"/>
          <w:sz w:val="21"/>
          <w:szCs w:val="21"/>
          <w:highlight w:val="none"/>
          <w:lang w:val="en-US" w:eastAsia="zh-CN"/>
        </w:rPr>
        <w:t>中牟磋商采购-2023-125</w:t>
      </w:r>
    </w:p>
    <w:p>
      <w:pPr>
        <w:pStyle w:val="17"/>
        <w:pageBreakBefore w:val="0"/>
        <w:kinsoku/>
        <w:overflowPunct/>
        <w:bidi w:val="0"/>
        <w:snapToGrid w:val="0"/>
        <w:spacing w:line="360" w:lineRule="auto"/>
        <w:ind w:firstLine="210"/>
        <w:rPr>
          <w:color w:val="auto"/>
          <w:highlight w:val="none"/>
        </w:rPr>
      </w:pPr>
      <w:r>
        <w:rPr>
          <w:rFonts w:hint="eastAsia" w:ascii="仿宋" w:hAnsi="仿宋" w:eastAsia="仿宋" w:cs="仿宋"/>
          <w:color w:val="FF0000"/>
          <w:szCs w:val="21"/>
          <w:highlight w:val="none"/>
        </w:rPr>
        <w:t xml:space="preserve">     </w:t>
      </w:r>
      <w:r>
        <w:rPr>
          <w:rFonts w:hint="eastAsia" w:ascii="仿宋" w:hAnsi="仿宋" w:eastAsia="仿宋" w:cs="仿宋"/>
          <w:color w:val="auto"/>
          <w:szCs w:val="21"/>
          <w:highlight w:val="none"/>
        </w:rPr>
        <w:t>进场编号：</w:t>
      </w:r>
      <w:r>
        <w:rPr>
          <w:rFonts w:hint="eastAsia" w:ascii="仿宋" w:hAnsi="仿宋" w:eastAsia="仿宋" w:cs="仿宋"/>
          <w:color w:val="auto"/>
          <w:szCs w:val="21"/>
          <w:highlight w:val="none"/>
          <w:lang w:val="en-US" w:eastAsia="zh-CN"/>
        </w:rPr>
        <w:t>牟公资采2023-1218-221</w:t>
      </w:r>
      <w:r>
        <w:rPr>
          <w:rFonts w:hint="eastAsia" w:ascii="仿宋" w:hAnsi="仿宋" w:eastAsia="仿宋" w:cs="仿宋"/>
          <w:color w:val="auto"/>
          <w:szCs w:val="21"/>
          <w:highlight w:val="none"/>
        </w:rPr>
        <w:t xml:space="preserve">   </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2、项目名称：</w:t>
      </w:r>
      <w:r>
        <w:rPr>
          <w:rFonts w:hint="eastAsia" w:ascii="仿宋" w:hAnsi="仿宋" w:eastAsia="仿宋" w:cs="仿宋"/>
          <w:color w:val="auto"/>
          <w:sz w:val="21"/>
          <w:szCs w:val="21"/>
          <w:highlight w:val="none"/>
          <w:lang w:eastAsia="zh-CN"/>
        </w:rPr>
        <w:t>中牟县</w:t>
      </w:r>
      <w:r>
        <w:rPr>
          <w:rFonts w:hint="eastAsia" w:ascii="仿宋" w:hAnsi="仿宋" w:eastAsia="仿宋" w:cs="仿宋"/>
          <w:color w:val="auto"/>
          <w:sz w:val="21"/>
          <w:szCs w:val="21"/>
          <w:highlight w:val="none"/>
          <w:lang w:val="en-US" w:eastAsia="zh-CN"/>
        </w:rPr>
        <w:t>大孟街道办事处耿石屯村道路项目</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3、采购方式：竞争性磋商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4、预算金额：</w:t>
      </w:r>
      <w:r>
        <w:rPr>
          <w:rFonts w:hint="eastAsia" w:ascii="仿宋" w:hAnsi="仿宋" w:eastAsia="仿宋" w:cs="仿宋"/>
          <w:color w:val="auto"/>
          <w:sz w:val="21"/>
          <w:szCs w:val="21"/>
          <w:highlight w:val="none"/>
          <w:lang w:val="en-US" w:eastAsia="zh-CN"/>
        </w:rPr>
        <w:t>1708429.23</w:t>
      </w:r>
      <w:r>
        <w:rPr>
          <w:rFonts w:hint="eastAsia" w:ascii="仿宋" w:hAnsi="仿宋" w:eastAsia="仿宋" w:cs="仿宋"/>
          <w:color w:val="auto"/>
          <w:sz w:val="21"/>
          <w:szCs w:val="21"/>
          <w:highlight w:val="none"/>
        </w:rPr>
        <w:t>元</w:t>
      </w:r>
    </w:p>
    <w:p>
      <w:pPr>
        <w:pageBreakBefore w:val="0"/>
        <w:kinsoku/>
        <w:overflowPunct/>
        <w:bidi w:val="0"/>
        <w:snapToGrid w:val="0"/>
        <w:spacing w:line="360" w:lineRule="auto"/>
        <w:ind w:firstLine="735" w:firstLineChars="35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w:t>
      </w:r>
      <w:r>
        <w:rPr>
          <w:rFonts w:hint="eastAsia" w:ascii="仿宋" w:hAnsi="仿宋" w:eastAsia="仿宋" w:cs="仿宋"/>
          <w:color w:val="auto"/>
          <w:sz w:val="21"/>
          <w:szCs w:val="21"/>
          <w:highlight w:val="none"/>
          <w:lang w:val="en-US" w:eastAsia="zh-CN"/>
        </w:rPr>
        <w:t>1708429.23</w:t>
      </w:r>
      <w:r>
        <w:rPr>
          <w:rFonts w:hint="eastAsia" w:ascii="仿宋" w:hAnsi="仿宋" w:eastAsia="仿宋" w:cs="仿宋"/>
          <w:color w:val="auto"/>
          <w:sz w:val="21"/>
          <w:szCs w:val="21"/>
          <w:highlight w:val="none"/>
        </w:rPr>
        <w:t xml:space="preserve">元 </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5、采购需求（包括但不限于标的的名称、数量、简要技术需求或服务要求等）</w:t>
      </w:r>
    </w:p>
    <w:p>
      <w:pPr>
        <w:pageBreakBefore w:val="0"/>
        <w:kinsoku/>
        <w:overflowPunct/>
        <w:bidi w:val="0"/>
        <w:snapToGrid w:val="0"/>
        <w:spacing w:line="360" w:lineRule="auto"/>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采购内容</w:t>
      </w:r>
      <w:r>
        <w:rPr>
          <w:rFonts w:hint="eastAsia" w:ascii="仿宋" w:hAnsi="仿宋" w:eastAsia="仿宋" w:cs="仿宋"/>
          <w:color w:val="auto"/>
          <w:sz w:val="21"/>
          <w:szCs w:val="21"/>
          <w:highlight w:val="none"/>
        </w:rPr>
        <w:t>：工程量清单、图纸及竞争性磋商文件所包含全部内容。</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（2）工期：</w:t>
      </w:r>
      <w:r>
        <w:rPr>
          <w:rFonts w:hint="eastAsia" w:ascii="仿宋" w:hAnsi="仿宋" w:eastAsia="仿宋" w:cs="仿宋"/>
          <w:color w:val="auto"/>
          <w:sz w:val="21"/>
          <w:szCs w:val="21"/>
          <w:highlight w:val="none"/>
          <w:lang w:val="en-US" w:eastAsia="zh-CN"/>
        </w:rPr>
        <w:t>90</w:t>
      </w:r>
      <w:r>
        <w:rPr>
          <w:rFonts w:hint="eastAsia" w:ascii="仿宋" w:hAnsi="仿宋" w:eastAsia="仿宋" w:cs="仿宋"/>
          <w:color w:val="auto"/>
          <w:sz w:val="21"/>
          <w:szCs w:val="21"/>
          <w:highlight w:val="none"/>
        </w:rPr>
        <w:t>日历天</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（3）质量要求：合格。</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（4）资金来源：财政资金。</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（5）标段划分：共一个标段。</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范围：工程量清单、图纸及竞争性磋商文件所包含全部内容。</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6、合同履行期限：</w:t>
      </w:r>
      <w:r>
        <w:rPr>
          <w:rFonts w:hint="eastAsia" w:ascii="仿宋" w:hAnsi="仿宋" w:eastAsia="仿宋" w:cs="仿宋"/>
          <w:color w:val="auto"/>
          <w:sz w:val="21"/>
          <w:szCs w:val="21"/>
          <w:highlight w:val="none"/>
          <w:lang w:val="en-US" w:eastAsia="zh-CN"/>
        </w:rPr>
        <w:t>90</w:t>
      </w:r>
      <w:r>
        <w:rPr>
          <w:rFonts w:hint="eastAsia" w:ascii="仿宋" w:hAnsi="仿宋" w:eastAsia="仿宋" w:cs="仿宋"/>
          <w:color w:val="auto"/>
          <w:sz w:val="21"/>
          <w:szCs w:val="21"/>
          <w:highlight w:val="none"/>
        </w:rPr>
        <w:t>日历天</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7、本项目是否接受联合体投标：否</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8、是否接受进口产品：否</w:t>
      </w:r>
    </w:p>
    <w:p>
      <w:pPr>
        <w:pageBreakBefore w:val="0"/>
        <w:kinsoku/>
        <w:overflowPunct/>
        <w:bidi w:val="0"/>
        <w:snapToGrid w:val="0"/>
        <w:spacing w:line="360" w:lineRule="auto"/>
        <w:ind w:firstLine="420" w:firstLineChars="200"/>
        <w:rPr>
          <w:color w:val="auto"/>
          <w:highlight w:val="none"/>
        </w:rPr>
      </w:pPr>
      <w:r>
        <w:rPr>
          <w:rFonts w:hint="eastAsia" w:ascii="仿宋" w:hAnsi="仿宋" w:eastAsia="仿宋" w:cs="仿宋"/>
          <w:color w:val="auto"/>
          <w:sz w:val="21"/>
          <w:szCs w:val="21"/>
          <w:highlight w:val="none"/>
        </w:rPr>
        <w:t>9、是否为只面向中小企业采购：</w:t>
      </w:r>
      <w:r>
        <w:rPr>
          <w:rFonts w:hint="eastAsia" w:ascii="仿宋" w:hAnsi="仿宋" w:eastAsia="仿宋" w:cs="仿宋"/>
          <w:color w:val="auto"/>
          <w:sz w:val="21"/>
          <w:szCs w:val="21"/>
          <w:highlight w:val="none"/>
          <w:lang w:val="en-US" w:eastAsia="zh-CN"/>
        </w:rPr>
        <w:t>否</w:t>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二、供应商资格要求：</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、本项目的特定资格要求：</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（1）符合《中华人民共和国政府采购法》第二十二条规定； </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①具有独立承担民事责任的能力；（提供营业执照）</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②具有良好的商业信誉和健全的财务会计制度；（提供2021年度或2022年度财务审计报告（新成立企业从成立之日起算；若企业成立不足一年，则提供自成立以来的财务报表或基本户开户银行开具的资信证明））</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③具有履行合同所必需的设备和专业技术能力；（提供书面承诺）</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④有依法缴纳税收和社会保障资金的良好记录；（提供2023年1月1日以来任意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个月依法缴纳税收和社会保障资金的证明材料(可以是银行扣款回单或电子缴款凭证或相关部门开具的凭据，依法免税的应提供相关证明)）</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⑤参加政府采购活动前三年内，在经营活动中没有重大违法记录；（提供书面承诺）</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（2）供应商须具备行政主管部门颁发的的公路工程或市政公用工程施工总承包叁级及以上资质证书，并在人员、设备、资金等方面具备相应的施工能力，具备有效的安全生产许可证；</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（3）项目经理要求：供应商拟派项目经理须具有公路工程或市政公用工程专业贰级及以上注册建造师资格且具备有效的安全生产考核合格证（B类），劳动合同及</w:t>
      </w:r>
      <w:r>
        <w:rPr>
          <w:rFonts w:hint="eastAsia" w:ascii="仿宋" w:hAnsi="仿宋" w:eastAsia="仿宋" w:cs="仿宋"/>
          <w:color w:val="auto"/>
          <w:sz w:val="21"/>
          <w:szCs w:val="21"/>
          <w:highlight w:val="none"/>
          <w:lang w:val="en-US" w:eastAsia="zh-CN"/>
        </w:rPr>
        <w:t>2023年1月1日以来</w:t>
      </w:r>
      <w:r>
        <w:rPr>
          <w:rFonts w:hint="eastAsia" w:ascii="仿宋" w:hAnsi="仿宋" w:eastAsia="仿宋" w:cs="仿宋"/>
          <w:color w:val="auto"/>
          <w:sz w:val="21"/>
          <w:szCs w:val="21"/>
          <w:highlight w:val="none"/>
        </w:rPr>
        <w:t>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个月的社会保险证明，且未担任其他在建工程项目经理；</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（4）信誉要求：</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①根据《关于在政府采购活动中查询及使用信用记录有关问题的通知》（财库〔2016〕125号）的规定，对列入失信被执行人、重大税收违法失信主体、政府采购严重违法失信行为记录名单</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拒绝参与本项目政府采购活动。采购人或采购代理机构在本项目开标后评标结束前通过“信用中国”网站(www.creditchina.gov.cn)、中国政府采购网(www.ccgp.gov.cn)等渠道查询相关主体信用记录，信用信息查询记录与其他采购文件一并保存；</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单位负责人为同一人或者存在控股、管理关系的不同单位，不得同时参加本项目投标。【需提供“国家企业信用信息公示系统”中查询打印的相关材料并加盖公章（需包含公司基本信息、股东信息及股权变更信息）】；</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（5）本次招标不接受联合体投标，不允许转包。</w:t>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三、获取采购文件</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26</w:t>
      </w:r>
      <w:r>
        <w:rPr>
          <w:rFonts w:hint="eastAsia" w:ascii="仿宋" w:hAnsi="仿宋" w:eastAsia="仿宋" w:cs="仿宋"/>
          <w:color w:val="auto"/>
          <w:sz w:val="21"/>
          <w:szCs w:val="21"/>
          <w:highlight w:val="none"/>
        </w:rPr>
        <w:t>日至 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日，每天上午08:00至12:00，下午12:00至17:30（北京时间，法定节假日除外。）</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2.地点：中牟县公共资源交易中心（http://www.zmxggzy.com/）</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方式：凡有意参加本项目的供应商，需进入中牟县公共资源交易中心网站（http://www.zmxggzy.com），进行供应商/供应商会员注册，（注册步骤详见办事指南-办事流程），完成后需到中牟县公共资源交易中心进行现场审核，现场审核需携带相关资料原件及加盖公章的复印件一套，审核通过后供应商需在中牟县房产交易大厦18楼办理CA锁，办理完毕携带CA锁到中牟县公共资源交易中心信息科（中牟县房产交易大厦18楼）审核激活，供应商通过CA锁登陆进行磋商文件等相关文件的下载，纸质文件不再出售；</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注：关于本项目</w:t>
      </w:r>
      <w:r>
        <w:rPr>
          <w:rFonts w:hint="eastAsia" w:ascii="仿宋" w:hAnsi="仿宋" w:eastAsia="仿宋" w:cs="仿宋"/>
          <w:color w:val="auto"/>
          <w:sz w:val="21"/>
          <w:szCs w:val="21"/>
          <w:highlight w:val="none"/>
          <w:lang w:eastAsia="zh-CN"/>
        </w:rPr>
        <w:t>竞争性磋商文件</w:t>
      </w:r>
      <w:r>
        <w:rPr>
          <w:rFonts w:hint="eastAsia" w:ascii="仿宋" w:hAnsi="仿宋" w:eastAsia="仿宋" w:cs="仿宋"/>
          <w:color w:val="auto"/>
          <w:sz w:val="21"/>
          <w:szCs w:val="21"/>
          <w:highlight w:val="none"/>
        </w:rPr>
        <w:t>修改、澄清、补充公告及对项目的暂停、延期通知等情况，均在相关网站进行公示。潜在供应商有义务自行查阅或向代理机构电话询问确认，未按要求查阅者自行承担相应后果，恕不单独告知。</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4.售价：0元。</w:t>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四、响应文件提交</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1.截止时间：202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rPr>
        <w:t>点00分（北京时间）</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2.地点：中牟县公共资源交易中心（http:// </w:t>
      </w:r>
      <w:r>
        <w:rPr>
          <w:color w:val="auto"/>
          <w:highlight w:val="none"/>
        </w:rPr>
        <w:fldChar w:fldCharType="begin"/>
      </w:r>
      <w:r>
        <w:rPr>
          <w:color w:val="auto"/>
          <w:highlight w:val="none"/>
        </w:rPr>
        <w:instrText xml:space="preserve"> HYPERLINK "http://www.zmxggzy.com）电子交易平台" </w:instrText>
      </w:r>
      <w:r>
        <w:rPr>
          <w:color w:val="auto"/>
          <w:highlight w:val="none"/>
        </w:rPr>
        <w:fldChar w:fldCharType="separate"/>
      </w:r>
      <w:r>
        <w:rPr>
          <w:rStyle w:val="22"/>
          <w:rFonts w:hint="eastAsia" w:ascii="仿宋" w:hAnsi="仿宋" w:eastAsia="仿宋" w:cs="仿宋"/>
          <w:color w:val="auto"/>
          <w:sz w:val="21"/>
          <w:szCs w:val="21"/>
          <w:highlight w:val="none"/>
        </w:rPr>
        <w:t>www.zmxggzy.com）电子交易平台</w:t>
      </w:r>
      <w:r>
        <w:rPr>
          <w:rStyle w:val="22"/>
          <w:rFonts w:hint="eastAsia" w:ascii="仿宋" w:hAnsi="仿宋" w:eastAsia="仿宋" w:cs="仿宋"/>
          <w:color w:val="auto"/>
          <w:sz w:val="21"/>
          <w:szCs w:val="21"/>
          <w:highlight w:val="none"/>
        </w:rPr>
        <w:fldChar w:fldCharType="end"/>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五、响应文件开启</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09</w:t>
      </w:r>
      <w:r>
        <w:rPr>
          <w:rFonts w:hint="eastAsia" w:ascii="仿宋" w:hAnsi="仿宋" w:eastAsia="仿宋" w:cs="仿宋"/>
          <w:color w:val="auto"/>
          <w:sz w:val="21"/>
          <w:szCs w:val="21"/>
          <w:highlight w:val="none"/>
        </w:rPr>
        <w:t>点00分（北京时间）</w:t>
      </w:r>
    </w:p>
    <w:p>
      <w:pPr>
        <w:pageBreakBefore w:val="0"/>
        <w:kinsoku/>
        <w:overflowPunct/>
        <w:bidi w:val="0"/>
        <w:snapToGrid w:val="0"/>
        <w:spacing w:line="360" w:lineRule="auto"/>
        <w:ind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2.地点：</w:t>
      </w:r>
      <w:r>
        <w:rPr>
          <w:rFonts w:hint="eastAsia" w:ascii="仿宋" w:hAnsi="仿宋" w:eastAsia="仿宋" w:cs="仿宋"/>
          <w:color w:val="auto"/>
          <w:sz w:val="21"/>
          <w:szCs w:val="21"/>
          <w:highlight w:val="none"/>
          <w:lang w:val="en-US" w:eastAsia="zh-CN"/>
        </w:rPr>
        <w:t>(中牟县清阳街市民之家2楼)</w:t>
      </w:r>
      <w:r>
        <w:rPr>
          <w:rFonts w:hint="eastAsia" w:ascii="仿宋" w:hAnsi="仿宋" w:eastAsia="仿宋" w:cs="仿宋"/>
          <w:color w:val="auto"/>
          <w:sz w:val="21"/>
          <w:szCs w:val="21"/>
          <w:highlight w:val="none"/>
        </w:rPr>
        <w:t>中牟县公共资源交易中心门户网站不见面开标大厅（</w:t>
      </w:r>
      <w:r>
        <w:rPr>
          <w:color w:val="auto"/>
          <w:highlight w:val="none"/>
        </w:rPr>
        <w:fldChar w:fldCharType="begin"/>
      </w:r>
      <w:r>
        <w:rPr>
          <w:color w:val="auto"/>
          <w:highlight w:val="none"/>
        </w:rPr>
        <w:instrText xml:space="preserve"> HYPERLINK "http://www.zmxggzy.com/BidOpening）；中牟县公共资源交易中心第" </w:instrText>
      </w:r>
      <w:r>
        <w:rPr>
          <w:color w:val="auto"/>
          <w:highlight w:val="none"/>
        </w:rPr>
        <w:fldChar w:fldCharType="separate"/>
      </w:r>
      <w:r>
        <w:rPr>
          <w:rFonts w:hint="eastAsia" w:ascii="仿宋" w:hAnsi="仿宋" w:eastAsia="仿宋" w:cs="仿宋"/>
          <w:color w:val="auto"/>
          <w:sz w:val="21"/>
          <w:szCs w:val="21"/>
          <w:highlight w:val="none"/>
        </w:rPr>
        <w:t>http://www.zmxggzy.com/BidOpening）；中牟县公共资源交易中心第</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开标室。</w:t>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六、发布公告的媒介及竞争性磋商公告期限</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本次</w:t>
      </w:r>
      <w:r>
        <w:rPr>
          <w:rFonts w:hint="eastAsia" w:ascii="仿宋" w:hAnsi="仿宋" w:eastAsia="仿宋" w:cs="仿宋"/>
          <w:color w:val="auto"/>
          <w:sz w:val="21"/>
          <w:szCs w:val="21"/>
          <w:highlight w:val="none"/>
          <w:lang w:eastAsia="zh-CN"/>
        </w:rPr>
        <w:t>竞争性磋商公告</w:t>
      </w:r>
      <w:r>
        <w:rPr>
          <w:rFonts w:hint="eastAsia" w:ascii="仿宋" w:hAnsi="仿宋" w:eastAsia="仿宋" w:cs="仿宋"/>
          <w:color w:val="auto"/>
          <w:sz w:val="21"/>
          <w:szCs w:val="21"/>
          <w:highlight w:val="none"/>
        </w:rPr>
        <w:t>在《河南省政府采购网》、《中牟县公共资源交易中心网》、《中牟县政府采购网》上发布。公告期限为</w:t>
      </w: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个工作日。</w:t>
      </w:r>
    </w:p>
    <w:p>
      <w:pPr>
        <w:pageBreakBefore w:val="0"/>
        <w:numPr>
          <w:ilvl w:val="0"/>
          <w:numId w:val="1"/>
        </w:numPr>
        <w:kinsoku/>
        <w:overflowPunct/>
        <w:bidi w:val="0"/>
        <w:snapToGrid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其他补充事宜</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1、本项目同时落实但不重复享受以下相关政府采购政策：</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（1）执行《财政部关于进一步加大政府采购支持中小企业力度的通知》财库〔2022〕19号，对小型和微型企业产品的价格给予20%的扣除，用扣除后的价格参与评审。</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（2）执行财政部、司法部《关于政府采购支持监狱企业发展有关问题的通知》（财库〔2014〕68号）；</w:t>
      </w:r>
    </w:p>
    <w:p>
      <w:pPr>
        <w:pageBreakBefore w:val="0"/>
        <w:kinsoku/>
        <w:overflowPunct/>
        <w:bidi w:val="0"/>
        <w:snapToGrid w:val="0"/>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lang w:val="en-US" w:eastAsia="zh-CN"/>
        </w:rPr>
        <w:t>（3）执行财政部、民政部、中国残疾人联合会《关于促进残疾人就业政府采购政策的通知》（财库〔2017〕141号）；</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、本项目实行电子开评标，获取竞争性磋商文件后，请各供应商在“中牟县公共资源交易中心门户网站（http:// www.zmxggzy.com）“下载中心”栏目下载相关驱动 和电子投标工具。供应商在制作电子标书过程中，如遇到电子交易系统的软件操作问题 时，可通过热线电话（4009980000）进行咨询。 </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、响应文件的上传：供应商须使用电子交易系统提供的响应文件制作工具进行电子响应文件的制作，并按要求上传经 CA 锁签章和加密的电子响应文件（.ZMTF 格式），加密电子响应文件逾期上传或者未上传的，采购人不予受理。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 xml:space="preserve">、本项目采用“远程不见面”开标方式，各供应商无需到交易中心现场参加开标会议，无需现场提交原件。供应商编制响应文件时，涉及营业执照、资质、业绩、获奖、 人员、财务、社保、纳税、各类证书等内容，必须在响应文件中提供电子版。各供应商应当在磋商文件确定的投标截止时间 前 , 登 录 远 程 开 标 大 厅 （http://www.zmxggzy.com/BidOpening），在线准时参加开标活动并进行文件解密、答疑澄清等。 </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、本项目所有供应商应提前 30 分钟登录“中牟县公共资源交易中心门户网站远程开标大厅（http://www.zmxggzy.com/BidOpening ）”进行远程开标准备工作。</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、供应商登录“中牟县公共资源交易中心门户网站远程开标大厅”后，须先进行签到，其后应一直保持在线状态，保证能准时参加开标大会、响应文件的解密、现场答疑澄清等活动。</w:t>
      </w:r>
    </w:p>
    <w:p>
      <w:pPr>
        <w:pageBreakBefore w:val="0"/>
        <w:kinsoku/>
        <w:overflowPunct/>
        <w:bidi w:val="0"/>
        <w:snapToGrid w:val="0"/>
        <w:spacing w:line="360" w:lineRule="auto"/>
        <w:ind w:firstLine="210" w:firstLineChars="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、不见面开标操作说明详见中牟县公共资源交易中心网站下载中心《中牟不见面开标-操作手册（供应商）V1.0》。</w:t>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八、凡对本次招标提出询问，请按照以下方式联系</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 采购人信息</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中牟县</w:t>
      </w:r>
      <w:r>
        <w:rPr>
          <w:rFonts w:hint="eastAsia" w:ascii="仿宋" w:hAnsi="仿宋" w:eastAsia="仿宋" w:cs="仿宋"/>
          <w:color w:val="auto"/>
          <w:sz w:val="21"/>
          <w:szCs w:val="21"/>
          <w:highlight w:val="none"/>
          <w:lang w:val="en-US" w:eastAsia="zh-CN"/>
        </w:rPr>
        <w:t>大孟街道办事处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联系地址：</w:t>
      </w:r>
      <w:r>
        <w:rPr>
          <w:rFonts w:hint="eastAsia" w:ascii="仿宋" w:hAnsi="仿宋" w:eastAsia="仿宋" w:cs="仿宋"/>
          <w:color w:val="auto"/>
          <w:sz w:val="21"/>
          <w:szCs w:val="21"/>
          <w:highlight w:val="none"/>
          <w:lang w:eastAsia="zh-CN"/>
        </w:rPr>
        <w:t>中牟县</w:t>
      </w:r>
      <w:r>
        <w:rPr>
          <w:rFonts w:hint="eastAsia" w:ascii="仿宋" w:hAnsi="仿宋" w:eastAsia="仿宋" w:cs="仿宋"/>
          <w:color w:val="auto"/>
          <w:sz w:val="21"/>
          <w:szCs w:val="21"/>
          <w:highlight w:val="none"/>
          <w:lang w:val="en-US" w:eastAsia="zh-CN"/>
        </w:rPr>
        <w:t>大孟街道办事处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王</w:t>
      </w:r>
      <w:r>
        <w:rPr>
          <w:rFonts w:hint="eastAsia" w:ascii="仿宋" w:hAnsi="仿宋" w:eastAsia="仿宋" w:cs="仿宋"/>
          <w:color w:val="auto"/>
          <w:sz w:val="21"/>
          <w:szCs w:val="21"/>
          <w:highlight w:val="none"/>
        </w:rPr>
        <w:t>先生</w:t>
      </w:r>
    </w:p>
    <w:p>
      <w:pPr>
        <w:pageBreakBefore w:val="0"/>
        <w:kinsoku/>
        <w:overflowPunct/>
        <w:bidi w:val="0"/>
        <w:snapToGrid w:val="0"/>
        <w:spacing w:line="360" w:lineRule="auto"/>
        <w:ind w:firstLine="420" w:firstLineChars="2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13503831687</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2.采购代理机构信息（如有）</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采购代理机构：中通建设工程管理有限公司</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地址：郑州市郑东新区中兴南路嘉亿东方大厦1106室</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张</w:t>
      </w:r>
      <w:r>
        <w:rPr>
          <w:rFonts w:hint="eastAsia" w:ascii="仿宋" w:hAnsi="仿宋" w:eastAsia="仿宋" w:cs="仿宋"/>
          <w:color w:val="auto"/>
          <w:sz w:val="21"/>
          <w:szCs w:val="21"/>
          <w:highlight w:val="none"/>
        </w:rPr>
        <w:t xml:space="preserve">先生  </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0371-58569967</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3.项目联系方式</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张</w:t>
      </w:r>
      <w:r>
        <w:rPr>
          <w:rFonts w:hint="eastAsia" w:ascii="仿宋" w:hAnsi="仿宋" w:eastAsia="仿宋" w:cs="仿宋"/>
          <w:color w:val="auto"/>
          <w:sz w:val="21"/>
          <w:szCs w:val="21"/>
          <w:highlight w:val="none"/>
        </w:rPr>
        <w:t xml:space="preserve">先生  </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0371-58569967</w:t>
      </w:r>
    </w:p>
    <w:p>
      <w:pPr>
        <w:pageBreakBefore w:val="0"/>
        <w:kinsoku/>
        <w:overflowPunct/>
        <w:bidi w:val="0"/>
        <w:snapToGrid w:val="0"/>
        <w:spacing w:line="360" w:lineRule="auto"/>
        <w:ind w:firstLine="420" w:firstLineChars="20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4.监督部门：</w:t>
      </w:r>
      <w:r>
        <w:rPr>
          <w:rFonts w:hint="eastAsia" w:ascii="仿宋" w:hAnsi="仿宋" w:eastAsia="仿宋" w:cs="仿宋"/>
          <w:color w:val="auto"/>
          <w:sz w:val="21"/>
          <w:szCs w:val="21"/>
          <w:highlight w:val="none"/>
          <w:lang w:eastAsia="zh-CN"/>
        </w:rPr>
        <w:t>中牟县</w:t>
      </w:r>
      <w:r>
        <w:rPr>
          <w:rFonts w:hint="eastAsia" w:ascii="仿宋" w:hAnsi="仿宋" w:eastAsia="仿宋" w:cs="仿宋"/>
          <w:color w:val="auto"/>
          <w:sz w:val="21"/>
          <w:szCs w:val="21"/>
          <w:highlight w:val="none"/>
          <w:lang w:val="en-US" w:eastAsia="zh-CN"/>
        </w:rPr>
        <w:t>大孟街道办事处</w:t>
      </w: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hint="eastAsia" w:ascii="仿宋" w:hAnsi="仿宋" w:eastAsia="仿宋" w:cs="仿宋"/>
          <w:color w:val="auto"/>
          <w:highlight w:val="none"/>
        </w:rPr>
      </w:pPr>
      <w:bookmarkStart w:id="8" w:name="_Toc30570"/>
      <w:bookmarkStart w:id="9" w:name="_Toc738"/>
      <w:r>
        <w:rPr>
          <w:rFonts w:hint="eastAsia" w:ascii="仿宋" w:hAnsi="仿宋" w:eastAsia="仿宋" w:cs="仿宋"/>
          <w:color w:val="auto"/>
          <w:highlight w:val="none"/>
        </w:rPr>
        <w:br w:type="page"/>
      </w:r>
    </w:p>
    <w:p>
      <w:pPr>
        <w:pStyle w:val="3"/>
        <w:pageBreakBefore w:val="0"/>
        <w:kinsoku/>
        <w:overflowPunct/>
        <w:bidi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第二章  供应商须知</w:t>
      </w:r>
      <w:bookmarkEnd w:id="6"/>
      <w:bookmarkEnd w:id="7"/>
      <w:bookmarkEnd w:id="8"/>
      <w:bookmarkEnd w:id="9"/>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bookmarkStart w:id="10" w:name="_Toc374003643"/>
      <w:bookmarkStart w:id="11" w:name="_Toc190678809"/>
      <w:bookmarkStart w:id="12" w:name="_Toc278027720"/>
      <w:r>
        <w:rPr>
          <w:rFonts w:hint="eastAsia" w:ascii="仿宋" w:hAnsi="仿宋" w:eastAsia="仿宋" w:cs="仿宋"/>
          <w:b/>
          <w:bCs/>
          <w:color w:val="auto"/>
          <w:sz w:val="21"/>
          <w:szCs w:val="21"/>
          <w:highlight w:val="none"/>
        </w:rPr>
        <w:t>供应商须知前附表</w:t>
      </w:r>
      <w:bookmarkEnd w:id="10"/>
      <w:bookmarkEnd w:id="11"/>
      <w:bookmarkEnd w:id="12"/>
    </w:p>
    <w:tbl>
      <w:tblPr>
        <w:tblStyle w:val="19"/>
        <w:tblW w:w="9580" w:type="dxa"/>
        <w:jc w:val="center"/>
        <w:tblLayout w:type="fixed"/>
        <w:tblCellMar>
          <w:top w:w="0" w:type="dxa"/>
          <w:left w:w="0" w:type="dxa"/>
          <w:bottom w:w="0" w:type="dxa"/>
          <w:right w:w="0" w:type="dxa"/>
        </w:tblCellMar>
      </w:tblPr>
      <w:tblGrid>
        <w:gridCol w:w="1024"/>
        <w:gridCol w:w="6"/>
        <w:gridCol w:w="2227"/>
        <w:gridCol w:w="6323"/>
      </w:tblGrid>
      <w:tr>
        <w:tblPrEx>
          <w:tblCellMar>
            <w:top w:w="0" w:type="dxa"/>
            <w:left w:w="0" w:type="dxa"/>
            <w:bottom w:w="0" w:type="dxa"/>
            <w:right w:w="0" w:type="dxa"/>
          </w:tblCellMar>
        </w:tblPrEx>
        <w:trPr>
          <w:trHeight w:val="475" w:hRule="atLeast"/>
          <w:tblHeader/>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50" w:beforeAutospacing="0" w:after="0" w:afterAutospacing="0" w:line="360" w:lineRule="auto"/>
              <w:ind w:left="0" w:right="35"/>
              <w:jc w:val="center"/>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条款号</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50" w:beforeAutospacing="0" w:after="0" w:afterAutospacing="0" w:line="360" w:lineRule="auto"/>
              <w:ind w:left="0" w:right="97" w:firstLine="59" w:firstLineChars="28"/>
              <w:jc w:val="center"/>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条款名称</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50" w:beforeAutospacing="0" w:after="0" w:afterAutospacing="0" w:line="360" w:lineRule="auto"/>
              <w:ind w:left="0" w:right="35"/>
              <w:jc w:val="center"/>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编列内容</w:t>
            </w:r>
          </w:p>
        </w:tc>
      </w:tr>
      <w:tr>
        <w:tblPrEx>
          <w:tblCellMar>
            <w:top w:w="0" w:type="dxa"/>
            <w:left w:w="0" w:type="dxa"/>
            <w:bottom w:w="0" w:type="dxa"/>
            <w:right w:w="0" w:type="dxa"/>
          </w:tblCellMar>
        </w:tblPrEx>
        <w:trPr>
          <w:trHeight w:val="825"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1.1.2</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采购人</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中牟县</w:t>
            </w:r>
            <w:r>
              <w:rPr>
                <w:rFonts w:hint="eastAsia" w:ascii="仿宋" w:hAnsi="仿宋" w:eastAsia="仿宋" w:cs="仿宋"/>
                <w:color w:val="auto"/>
                <w:sz w:val="21"/>
                <w:szCs w:val="21"/>
                <w:highlight w:val="none"/>
                <w:lang w:val="en-US" w:eastAsia="zh-CN"/>
              </w:rPr>
              <w:t>大孟街道办事处</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联系地址：</w:t>
            </w:r>
            <w:r>
              <w:rPr>
                <w:rFonts w:hint="eastAsia" w:ascii="仿宋" w:hAnsi="仿宋" w:eastAsia="仿宋" w:cs="仿宋"/>
                <w:color w:val="auto"/>
                <w:sz w:val="21"/>
                <w:szCs w:val="21"/>
                <w:highlight w:val="none"/>
                <w:lang w:eastAsia="zh-CN"/>
              </w:rPr>
              <w:t>中牟县</w:t>
            </w:r>
            <w:r>
              <w:rPr>
                <w:rFonts w:hint="eastAsia" w:ascii="仿宋" w:hAnsi="仿宋" w:eastAsia="仿宋" w:cs="仿宋"/>
                <w:color w:val="auto"/>
                <w:sz w:val="21"/>
                <w:szCs w:val="21"/>
                <w:highlight w:val="none"/>
                <w:lang w:val="en-US" w:eastAsia="zh-CN"/>
              </w:rPr>
              <w:t>大孟街道办事处</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王</w:t>
            </w:r>
            <w:r>
              <w:rPr>
                <w:rFonts w:hint="eastAsia" w:ascii="仿宋" w:hAnsi="仿宋" w:eastAsia="仿宋" w:cs="仿宋"/>
                <w:color w:val="auto"/>
                <w:sz w:val="21"/>
                <w:szCs w:val="21"/>
                <w:highlight w:val="none"/>
              </w:rPr>
              <w:t>先生</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13503831687</w:t>
            </w:r>
          </w:p>
        </w:tc>
      </w:tr>
      <w:tr>
        <w:tblPrEx>
          <w:tblCellMar>
            <w:top w:w="0" w:type="dxa"/>
            <w:left w:w="0" w:type="dxa"/>
            <w:bottom w:w="0" w:type="dxa"/>
            <w:right w:w="0" w:type="dxa"/>
          </w:tblCellMar>
        </w:tblPrEx>
        <w:trPr>
          <w:trHeight w:val="1256"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1.1.3</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采购代理机构</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采购代理机构：中通建设工程管理有限公司</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地址：郑州市郑东新区中兴南路嘉亿东方大厦1106室</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张</w:t>
            </w:r>
            <w:r>
              <w:rPr>
                <w:rFonts w:hint="eastAsia" w:ascii="仿宋" w:hAnsi="仿宋" w:eastAsia="仿宋" w:cs="仿宋"/>
                <w:color w:val="auto"/>
                <w:sz w:val="21"/>
                <w:szCs w:val="21"/>
                <w:highlight w:val="none"/>
              </w:rPr>
              <w:t xml:space="preserve">先生  </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0371-58569967</w:t>
            </w:r>
          </w:p>
        </w:tc>
      </w:tr>
      <w:tr>
        <w:tblPrEx>
          <w:tblCellMar>
            <w:top w:w="0" w:type="dxa"/>
            <w:left w:w="0" w:type="dxa"/>
            <w:bottom w:w="0" w:type="dxa"/>
            <w:right w:w="0" w:type="dxa"/>
          </w:tblCellMar>
        </w:tblPrEx>
        <w:trPr>
          <w:trHeight w:val="510"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1.1.4</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项目名称</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150" w:rightChars="50" w:firstLine="105" w:firstLineChars="5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中牟县</w:t>
            </w:r>
            <w:r>
              <w:rPr>
                <w:rFonts w:hint="eastAsia" w:ascii="仿宋" w:hAnsi="仿宋" w:eastAsia="仿宋" w:cs="仿宋"/>
                <w:color w:val="auto"/>
                <w:sz w:val="21"/>
                <w:szCs w:val="21"/>
                <w:highlight w:val="none"/>
                <w:lang w:val="en-US" w:eastAsia="zh-CN"/>
              </w:rPr>
              <w:t>大孟街道办事处耿石屯村道路项目</w:t>
            </w:r>
          </w:p>
        </w:tc>
      </w:tr>
      <w:tr>
        <w:tblPrEx>
          <w:tblCellMar>
            <w:top w:w="0" w:type="dxa"/>
            <w:left w:w="0" w:type="dxa"/>
            <w:bottom w:w="0" w:type="dxa"/>
            <w:right w:w="0" w:type="dxa"/>
          </w:tblCellMar>
        </w:tblPrEx>
        <w:trPr>
          <w:trHeight w:val="551"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1.1.5</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z w:val="21"/>
                <w:szCs w:val="21"/>
                <w:highlight w:val="none"/>
              </w:rPr>
              <w:t>项目地点</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150" w:rightChars="50" w:firstLine="105" w:firstLine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z w:val="21"/>
                <w:szCs w:val="21"/>
                <w:highlight w:val="none"/>
              </w:rPr>
              <w:t>中牟县境内</w:t>
            </w:r>
          </w:p>
        </w:tc>
      </w:tr>
      <w:tr>
        <w:tblPrEx>
          <w:tblCellMar>
            <w:top w:w="0" w:type="dxa"/>
            <w:left w:w="0" w:type="dxa"/>
            <w:bottom w:w="0" w:type="dxa"/>
            <w:right w:w="0" w:type="dxa"/>
          </w:tblCellMar>
        </w:tblPrEx>
        <w:trPr>
          <w:trHeight w:val="455"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1.2.1</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150" w:rightChars="50" w:firstLine="212" w:firstLineChars="100"/>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资金来源</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财政资金</w:t>
            </w:r>
          </w:p>
        </w:tc>
      </w:tr>
      <w:tr>
        <w:tblPrEx>
          <w:tblCellMar>
            <w:top w:w="0" w:type="dxa"/>
            <w:left w:w="0" w:type="dxa"/>
            <w:bottom w:w="0" w:type="dxa"/>
            <w:right w:w="0" w:type="dxa"/>
          </w:tblCellMar>
        </w:tblPrEx>
        <w:trPr>
          <w:trHeight w:val="90"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1.2.2</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资金落实情况</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已落实</w:t>
            </w:r>
          </w:p>
        </w:tc>
      </w:tr>
      <w:tr>
        <w:tblPrEx>
          <w:tblCellMar>
            <w:top w:w="0" w:type="dxa"/>
            <w:left w:w="0" w:type="dxa"/>
            <w:bottom w:w="0" w:type="dxa"/>
            <w:right w:w="0" w:type="dxa"/>
          </w:tblCellMar>
        </w:tblPrEx>
        <w:trPr>
          <w:trHeight w:val="90"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1.3.1</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范围</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工程量清单、图纸及磋商文件内的所有内容</w:t>
            </w:r>
          </w:p>
        </w:tc>
      </w:tr>
      <w:tr>
        <w:tblPrEx>
          <w:tblCellMar>
            <w:top w:w="0" w:type="dxa"/>
            <w:left w:w="0" w:type="dxa"/>
            <w:bottom w:w="0" w:type="dxa"/>
            <w:right w:w="0" w:type="dxa"/>
          </w:tblCellMar>
        </w:tblPrEx>
        <w:trPr>
          <w:trHeight w:val="417"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1.3.2</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工期</w:t>
            </w:r>
          </w:p>
        </w:tc>
        <w:tc>
          <w:tcPr>
            <w:tcW w:w="6323"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pageBreakBefore w:val="0"/>
              <w:suppressLineNumbers w:val="0"/>
              <w:kinsoku/>
              <w:overflowPunct/>
              <w:bidi w:val="0"/>
              <w:snapToGrid w:val="0"/>
              <w:spacing w:before="0" w:beforeAutospacing="0" w:after="0" w:afterAutospacing="0" w:line="360" w:lineRule="auto"/>
              <w:ind w:left="0" w:right="0" w:firstLine="105" w:firstLineChars="50"/>
              <w:jc w:val="both"/>
              <w:rPr>
                <w:rFonts w:hint="default" w:ascii="仿宋" w:hAnsi="仿宋" w:eastAsia="仿宋" w:cs="仿宋"/>
                <w:color w:val="auto"/>
                <w:kern w:val="2"/>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90 </w:t>
            </w:r>
            <w:r>
              <w:rPr>
                <w:rFonts w:hint="eastAsia" w:ascii="仿宋" w:hAnsi="仿宋" w:eastAsia="仿宋" w:cs="仿宋"/>
                <w:color w:val="auto"/>
                <w:sz w:val="21"/>
                <w:szCs w:val="21"/>
                <w:highlight w:val="none"/>
              </w:rPr>
              <w:t>日历天</w:t>
            </w:r>
          </w:p>
        </w:tc>
      </w:tr>
      <w:tr>
        <w:tblPrEx>
          <w:tblCellMar>
            <w:top w:w="0" w:type="dxa"/>
            <w:left w:w="0" w:type="dxa"/>
            <w:bottom w:w="0" w:type="dxa"/>
            <w:right w:w="0" w:type="dxa"/>
          </w:tblCellMar>
        </w:tblPrEx>
        <w:trPr>
          <w:trHeight w:val="417"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1.3.3</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质量要求</w:t>
            </w:r>
          </w:p>
        </w:tc>
        <w:tc>
          <w:tcPr>
            <w:tcW w:w="6323"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pageBreakBefore w:val="0"/>
              <w:suppressLineNumbers w:val="0"/>
              <w:kinsoku/>
              <w:overflowPunct/>
              <w:bidi w:val="0"/>
              <w:snapToGrid w:val="0"/>
              <w:spacing w:before="0" w:beforeAutospacing="0" w:after="0" w:afterAutospacing="0" w:line="360" w:lineRule="auto"/>
              <w:ind w:left="0" w:right="0" w:firstLine="105" w:firstLineChars="50"/>
              <w:jc w:val="both"/>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lang w:bidi="ar"/>
              </w:rPr>
              <w:t>合格</w:t>
            </w:r>
          </w:p>
        </w:tc>
      </w:tr>
      <w:tr>
        <w:tblPrEx>
          <w:tblCellMar>
            <w:top w:w="0" w:type="dxa"/>
            <w:left w:w="0" w:type="dxa"/>
            <w:bottom w:w="0" w:type="dxa"/>
            <w:right w:w="0" w:type="dxa"/>
          </w:tblCellMar>
        </w:tblPrEx>
        <w:trPr>
          <w:trHeight w:val="419" w:hRule="atLeast"/>
          <w:jc w:val="center"/>
        </w:trPr>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1.4.1</w:t>
            </w: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供应商资质条件</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、本项目的特定资格要求：</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（1）符合《中华人民共和国政府采购法》第二十二条规定； </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①具有独立承担民事责任的能力；（提供营业执照）</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②具有良好的商业信誉和健全的财务会计制度；（提供2021年度或2022年度财务审计报告（新成立企业从成立之日起算；若企业成立不足一年，则提供自成立以来的财务报表或基本户开户银行开具的资信证明））</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③具有履行合同所必需的设备和专业技术能力；（提供书面承诺）</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④有依法缴纳税收和社会保障资金的良好记录；（提供2023年1月1日以来任意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个月依法缴纳税收和社会保障资金的证明材料(可以是银行扣款回单或电子缴款凭证或相关部门开具的凭据，依法免税的应提供相关证明)）</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⑤参加政府采购活动前三年内，在经营活动中没有重大违法记录；（提供书面承诺）</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（2）供应商须具备行政主管部门颁发的的公路工程或市政公用工程施工总承包叁级及以上资质证书，并在人员、设备、资金等方面具备相应的施工能力，具备有效的安全生产许可证；</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（3）项目经理要求：供应商拟派项目经理须具有公路工程或市政公用工程专业贰级及以上注册建造师资格且具备有效的安全生产考核合格证（B类），劳动合同及</w:t>
            </w:r>
            <w:r>
              <w:rPr>
                <w:rFonts w:hint="eastAsia" w:ascii="仿宋" w:hAnsi="仿宋" w:eastAsia="仿宋" w:cs="仿宋"/>
                <w:color w:val="auto"/>
                <w:sz w:val="21"/>
                <w:szCs w:val="21"/>
                <w:highlight w:val="none"/>
                <w:lang w:val="en-US" w:eastAsia="zh-CN"/>
              </w:rPr>
              <w:t>2023年1月1日以来</w:t>
            </w:r>
            <w:r>
              <w:rPr>
                <w:rFonts w:hint="eastAsia" w:ascii="仿宋" w:hAnsi="仿宋" w:eastAsia="仿宋" w:cs="仿宋"/>
                <w:color w:val="auto"/>
                <w:sz w:val="21"/>
                <w:szCs w:val="21"/>
                <w:highlight w:val="none"/>
              </w:rPr>
              <w:t>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个月的社会保险证明，且未担任其他在建工程项目经理；</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（4）信誉要求：</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①根据《关于在政府采购活动中查询及使用信用记录有关问题的通知》（财库〔2016〕125号）的规定，对列入失信被执行人、重大税收违法失信主体、政府采购严重违法失信行为记录名单</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拒绝参与本项目政府采购活动。采购人或采购代理机构在本项目开标后评标结束前通过“信用中国”网站(www.creditchina.gov.cn)、中国政府采购网(www.ccgp.gov.cn)等渠道查询相关主体信用记录，信用信息查询记录与其他采购文件一并保存；</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单位负责人为同一人或者存在控股、管理关系的不同单位，不得同时参加本项目投标。【需提供“国家企业信用信息公示系统”中查询打印的相关材料并加盖公章（需包含公司基本信息、股东信息及股权变更信息）】；</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（5）本次招标不接受联合体投标，不允许转包。</w:t>
            </w:r>
          </w:p>
        </w:tc>
      </w:tr>
      <w:tr>
        <w:tblPrEx>
          <w:tblCellMar>
            <w:top w:w="0" w:type="dxa"/>
            <w:left w:w="0" w:type="dxa"/>
            <w:bottom w:w="0" w:type="dxa"/>
            <w:right w:w="0" w:type="dxa"/>
          </w:tblCellMar>
        </w:tblPrEx>
        <w:trPr>
          <w:trHeight w:val="90"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1.9.1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踏勘现场</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b/>
                <w:bCs/>
                <w:color w:val="auto"/>
                <w:spacing w:val="1"/>
                <w:kern w:val="0"/>
                <w:sz w:val="21"/>
                <w:szCs w:val="21"/>
                <w:highlight w:val="none"/>
              </w:rPr>
            </w:pPr>
            <w:r>
              <w:rPr>
                <w:rFonts w:hint="eastAsia" w:ascii="仿宋" w:hAnsi="仿宋" w:eastAsia="仿宋" w:cs="仿宋"/>
                <w:color w:val="auto"/>
                <w:sz w:val="21"/>
                <w:szCs w:val="21"/>
                <w:highlight w:val="none"/>
              </w:rPr>
              <w:t xml:space="preserve">不组织 </w:t>
            </w:r>
          </w:p>
        </w:tc>
      </w:tr>
      <w:tr>
        <w:tblPrEx>
          <w:tblCellMar>
            <w:top w:w="0" w:type="dxa"/>
            <w:left w:w="0" w:type="dxa"/>
            <w:bottom w:w="0" w:type="dxa"/>
            <w:right w:w="0" w:type="dxa"/>
          </w:tblCellMar>
        </w:tblPrEx>
        <w:trPr>
          <w:trHeight w:val="410"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1.10.1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磋商预备会</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bCs/>
                <w:color w:val="auto"/>
                <w:sz w:val="21"/>
                <w:szCs w:val="21"/>
                <w:highlight w:val="none"/>
              </w:rPr>
              <w:t>不召开</w:t>
            </w:r>
          </w:p>
        </w:tc>
      </w:tr>
      <w:tr>
        <w:tblPrEx>
          <w:tblCellMar>
            <w:top w:w="0" w:type="dxa"/>
            <w:left w:w="0" w:type="dxa"/>
            <w:bottom w:w="0" w:type="dxa"/>
            <w:right w:w="0" w:type="dxa"/>
          </w:tblCellMar>
        </w:tblPrEx>
        <w:trPr>
          <w:trHeight w:val="410"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1.10.2</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供应商提出问题的截止时间</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0" w:right="0"/>
              <w:jc w:val="left"/>
              <w:rPr>
                <w:rFonts w:hint="default" w:ascii="仿宋" w:hAnsi="仿宋" w:eastAsia="仿宋" w:cs="仿宋"/>
                <w:color w:val="auto"/>
                <w:szCs w:val="20"/>
                <w:highlight w:val="none"/>
              </w:rPr>
            </w:pPr>
            <w:r>
              <w:rPr>
                <w:rFonts w:hint="eastAsia" w:ascii="仿宋" w:hAnsi="仿宋" w:eastAsia="仿宋" w:cs="仿宋"/>
                <w:color w:val="auto"/>
                <w:sz w:val="21"/>
                <w:szCs w:val="21"/>
                <w:highlight w:val="none"/>
              </w:rPr>
              <w:t>时间：自收到竞争性磋商文件之日起或磋商文件公告期限届满之日</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个工作日内</w:t>
            </w:r>
          </w:p>
        </w:tc>
      </w:tr>
      <w:tr>
        <w:tblPrEx>
          <w:tblCellMar>
            <w:top w:w="0" w:type="dxa"/>
            <w:left w:w="0" w:type="dxa"/>
            <w:bottom w:w="0" w:type="dxa"/>
            <w:right w:w="0" w:type="dxa"/>
          </w:tblCellMar>
        </w:tblPrEx>
        <w:trPr>
          <w:trHeight w:val="410"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1.10.3</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0"/>
                <w:sz w:val="21"/>
                <w:szCs w:val="21"/>
                <w:highlight w:val="none"/>
              </w:rPr>
            </w:pPr>
            <w:r>
              <w:rPr>
                <w:rFonts w:hint="eastAsia" w:ascii="仿宋" w:hAnsi="仿宋" w:eastAsia="仿宋" w:cs="仿宋"/>
                <w:color w:val="auto"/>
                <w:sz w:val="21"/>
                <w:szCs w:val="21"/>
                <w:highlight w:val="none"/>
              </w:rPr>
              <w:t>采购人澄清的时间</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0" w:right="0"/>
              <w:jc w:val="left"/>
              <w:rPr>
                <w:rFonts w:hint="default" w:ascii="仿宋" w:hAnsi="仿宋" w:eastAsia="仿宋" w:cs="仿宋"/>
                <w:color w:val="auto"/>
                <w:szCs w:val="20"/>
                <w:highlight w:val="none"/>
              </w:rPr>
            </w:pPr>
            <w:r>
              <w:rPr>
                <w:rFonts w:hint="eastAsia" w:ascii="仿宋" w:hAnsi="仿宋" w:eastAsia="仿宋" w:cs="仿宋"/>
                <w:color w:val="auto"/>
                <w:sz w:val="21"/>
                <w:szCs w:val="21"/>
                <w:highlight w:val="none"/>
              </w:rPr>
              <w:t>时间：递交响应性文件截止之日5日前</w:t>
            </w:r>
          </w:p>
        </w:tc>
      </w:tr>
      <w:tr>
        <w:tblPrEx>
          <w:tblCellMar>
            <w:top w:w="0" w:type="dxa"/>
            <w:left w:w="0" w:type="dxa"/>
            <w:bottom w:w="0" w:type="dxa"/>
            <w:right w:w="0" w:type="dxa"/>
          </w:tblCellMar>
        </w:tblPrEx>
        <w:trPr>
          <w:trHeight w:val="415"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1.11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偏离</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105" w:firstLineChars="50"/>
              <w:jc w:val="left"/>
              <w:rPr>
                <w:rFonts w:hint="default"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不允许 </w:t>
            </w:r>
          </w:p>
        </w:tc>
      </w:tr>
      <w:tr>
        <w:tblPrEx>
          <w:tblCellMar>
            <w:top w:w="0" w:type="dxa"/>
            <w:left w:w="0" w:type="dxa"/>
            <w:bottom w:w="0" w:type="dxa"/>
            <w:right w:w="0" w:type="dxa"/>
          </w:tblCellMar>
        </w:tblPrEx>
        <w:trPr>
          <w:trHeight w:val="553"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2.1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构成竞争性磋商文件的其他材料</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105" w:firstLine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竞争性磋商文件的修改、澄清文件（如有）</w:t>
            </w:r>
          </w:p>
        </w:tc>
      </w:tr>
      <w:tr>
        <w:tblPrEx>
          <w:tblCellMar>
            <w:top w:w="0" w:type="dxa"/>
            <w:left w:w="0" w:type="dxa"/>
            <w:bottom w:w="0" w:type="dxa"/>
            <w:right w:w="0" w:type="dxa"/>
          </w:tblCellMar>
        </w:tblPrEx>
        <w:trPr>
          <w:trHeight w:val="90"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2.2.1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供应商要求澄清竞争性磋商文件的截止时间</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时间：自收到竞争性磋商文件之日起或磋商文件公告期限届满之日</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个工作日内</w:t>
            </w:r>
          </w:p>
        </w:tc>
      </w:tr>
      <w:tr>
        <w:tblPrEx>
          <w:tblCellMar>
            <w:top w:w="0" w:type="dxa"/>
            <w:left w:w="0" w:type="dxa"/>
            <w:bottom w:w="0" w:type="dxa"/>
            <w:right w:w="0" w:type="dxa"/>
          </w:tblCellMar>
        </w:tblPrEx>
        <w:trPr>
          <w:trHeight w:val="568"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FF0000"/>
                <w:spacing w:val="1"/>
                <w:kern w:val="0"/>
                <w:sz w:val="21"/>
                <w:szCs w:val="21"/>
                <w:highlight w:val="none"/>
              </w:rPr>
            </w:pPr>
            <w:r>
              <w:rPr>
                <w:rFonts w:hint="eastAsia" w:ascii="仿宋" w:hAnsi="仿宋" w:eastAsia="仿宋" w:cs="仿宋"/>
                <w:color w:val="auto"/>
                <w:spacing w:val="1"/>
                <w:kern w:val="0"/>
                <w:sz w:val="21"/>
                <w:szCs w:val="21"/>
                <w:highlight w:val="none"/>
              </w:rPr>
              <w:t>2.2.2</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b/>
                <w:bCs/>
                <w:color w:val="FF0000"/>
                <w:sz w:val="21"/>
                <w:szCs w:val="21"/>
                <w:highlight w:val="none"/>
              </w:rPr>
            </w:pPr>
            <w:r>
              <w:rPr>
                <w:rFonts w:hint="eastAsia" w:ascii="仿宋" w:hAnsi="仿宋" w:eastAsia="仿宋" w:cs="仿宋"/>
                <w:color w:val="auto"/>
                <w:sz w:val="21"/>
                <w:szCs w:val="21"/>
                <w:highlight w:val="none"/>
              </w:rPr>
              <w:t>响应文件递交截止时间</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105" w:firstLineChars="50"/>
              <w:jc w:val="left"/>
              <w:rPr>
                <w:rFonts w:hint="default" w:ascii="仿宋" w:hAnsi="仿宋" w:eastAsia="仿宋" w:cs="仿宋"/>
                <w:b/>
                <w:bCs/>
                <w:color w:val="FF0000"/>
                <w:sz w:val="21"/>
                <w:szCs w:val="21"/>
                <w:highlight w:val="none"/>
              </w:rPr>
            </w:pPr>
            <w:r>
              <w:rPr>
                <w:rFonts w:hint="eastAsia" w:ascii="仿宋" w:hAnsi="仿宋" w:eastAsia="仿宋" w:cs="仿宋"/>
                <w:b/>
                <w:bCs/>
                <w:color w:val="auto"/>
                <w:sz w:val="21"/>
                <w:szCs w:val="21"/>
                <w:highlight w:val="none"/>
                <w:u w:val="single"/>
              </w:rPr>
              <w:t>202</w:t>
            </w:r>
            <w:r>
              <w:rPr>
                <w:rFonts w:hint="eastAsia" w:ascii="仿宋" w:hAnsi="仿宋" w:eastAsia="仿宋" w:cs="仿宋"/>
                <w:b/>
                <w:bCs/>
                <w:color w:val="auto"/>
                <w:sz w:val="21"/>
                <w:szCs w:val="21"/>
                <w:highlight w:val="none"/>
                <w:u w:val="single"/>
                <w:lang w:val="en-US" w:eastAsia="zh-CN"/>
              </w:rPr>
              <w:t>4</w:t>
            </w:r>
            <w:bookmarkStart w:id="759" w:name="_GoBack"/>
            <w:bookmarkEnd w:id="759"/>
            <w:r>
              <w:rPr>
                <w:rFonts w:hint="eastAsia" w:ascii="仿宋" w:hAnsi="仿宋" w:eastAsia="仿宋" w:cs="仿宋"/>
                <w:b/>
                <w:bCs/>
                <w:color w:val="auto"/>
                <w:sz w:val="21"/>
                <w:szCs w:val="21"/>
                <w:highlight w:val="none"/>
              </w:rPr>
              <w:t>年</w:t>
            </w:r>
            <w:r>
              <w:rPr>
                <w:rFonts w:hint="eastAsia" w:ascii="仿宋" w:hAnsi="仿宋" w:eastAsia="仿宋" w:cs="仿宋"/>
                <w:b/>
                <w:bCs/>
                <w:color w:val="auto"/>
                <w:sz w:val="21"/>
                <w:szCs w:val="21"/>
                <w:highlight w:val="none"/>
                <w:u w:val="single"/>
                <w:lang w:val="en-US" w:eastAsia="zh-CN"/>
              </w:rPr>
              <w:t>1</w:t>
            </w:r>
            <w:r>
              <w:rPr>
                <w:rFonts w:hint="eastAsia" w:ascii="仿宋" w:hAnsi="仿宋" w:eastAsia="仿宋" w:cs="仿宋"/>
                <w:b/>
                <w:bCs/>
                <w:color w:val="auto"/>
                <w:sz w:val="21"/>
                <w:szCs w:val="21"/>
                <w:highlight w:val="none"/>
              </w:rPr>
              <w:t>月</w:t>
            </w:r>
            <w:r>
              <w:rPr>
                <w:rFonts w:hint="eastAsia" w:ascii="仿宋" w:hAnsi="仿宋" w:eastAsia="仿宋" w:cs="仿宋"/>
                <w:b/>
                <w:bCs/>
                <w:color w:val="auto"/>
                <w:sz w:val="21"/>
                <w:szCs w:val="21"/>
                <w:highlight w:val="none"/>
                <w:u w:val="single"/>
                <w:lang w:val="en-US" w:eastAsia="zh-CN"/>
              </w:rPr>
              <w:t>5</w:t>
            </w:r>
            <w:r>
              <w:rPr>
                <w:rFonts w:hint="eastAsia" w:ascii="仿宋" w:hAnsi="仿宋" w:eastAsia="仿宋" w:cs="仿宋"/>
                <w:b/>
                <w:bCs/>
                <w:color w:val="auto"/>
                <w:sz w:val="21"/>
                <w:szCs w:val="21"/>
                <w:highlight w:val="none"/>
              </w:rPr>
              <w:t>日</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09</w:t>
            </w:r>
            <w:r>
              <w:rPr>
                <w:rFonts w:hint="eastAsia" w:ascii="仿宋" w:hAnsi="仿宋" w:eastAsia="仿宋" w:cs="仿宋"/>
                <w:b/>
                <w:bCs/>
                <w:color w:val="auto"/>
                <w:sz w:val="21"/>
                <w:szCs w:val="21"/>
                <w:highlight w:val="none"/>
              </w:rPr>
              <w:t>时</w:t>
            </w:r>
            <w:r>
              <w:rPr>
                <w:rFonts w:hint="eastAsia" w:ascii="仿宋" w:hAnsi="仿宋" w:eastAsia="仿宋" w:cs="仿宋"/>
                <w:b/>
                <w:bCs/>
                <w:color w:val="auto"/>
                <w:sz w:val="21"/>
                <w:szCs w:val="21"/>
                <w:highlight w:val="none"/>
                <w:u w:val="single"/>
              </w:rPr>
              <w:t xml:space="preserve"> 00 </w:t>
            </w:r>
            <w:r>
              <w:rPr>
                <w:rFonts w:hint="eastAsia" w:ascii="仿宋" w:hAnsi="仿宋" w:eastAsia="仿宋" w:cs="仿宋"/>
                <w:b/>
                <w:bCs/>
                <w:color w:val="auto"/>
                <w:sz w:val="21"/>
                <w:szCs w:val="21"/>
                <w:highlight w:val="none"/>
              </w:rPr>
              <w:t>分</w:t>
            </w:r>
          </w:p>
        </w:tc>
      </w:tr>
      <w:tr>
        <w:tblPrEx>
          <w:tblCellMar>
            <w:top w:w="0" w:type="dxa"/>
            <w:left w:w="0" w:type="dxa"/>
            <w:bottom w:w="0" w:type="dxa"/>
            <w:right w:w="0" w:type="dxa"/>
          </w:tblCellMar>
        </w:tblPrEx>
        <w:trPr>
          <w:trHeight w:val="553"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2.2.3</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供应商确认收到竞争性磋商文件澄清的时间</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105" w:firstLine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收到澄清后的24小时（以发出时间为准）</w:t>
            </w:r>
          </w:p>
        </w:tc>
      </w:tr>
      <w:tr>
        <w:tblPrEx>
          <w:tblCellMar>
            <w:top w:w="0" w:type="dxa"/>
            <w:left w:w="0" w:type="dxa"/>
            <w:bottom w:w="0" w:type="dxa"/>
            <w:right w:w="0" w:type="dxa"/>
          </w:tblCellMar>
        </w:tblPrEx>
        <w:trPr>
          <w:trHeight w:val="568"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2.3.1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供应商确认收到竞争性磋商文件修改的时间</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105" w:firstLine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收到修改后的24小时（以发出时间为准）</w:t>
            </w:r>
          </w:p>
        </w:tc>
      </w:tr>
      <w:tr>
        <w:tblPrEx>
          <w:tblCellMar>
            <w:top w:w="0" w:type="dxa"/>
            <w:left w:w="0" w:type="dxa"/>
            <w:bottom w:w="0" w:type="dxa"/>
            <w:right w:w="0" w:type="dxa"/>
          </w:tblCellMar>
        </w:tblPrEx>
        <w:trPr>
          <w:trHeight w:val="441"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3.3.1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磋商</w:t>
            </w:r>
            <w:r>
              <w:rPr>
                <w:rFonts w:hint="eastAsia" w:ascii="仿宋" w:hAnsi="仿宋" w:eastAsia="仿宋" w:cs="仿宋"/>
                <w:color w:val="auto"/>
                <w:sz w:val="21"/>
                <w:szCs w:val="21"/>
                <w:highlight w:val="none"/>
              </w:rPr>
              <w:t>有效期</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z w:val="21"/>
                <w:szCs w:val="21"/>
                <w:highlight w:val="none"/>
              </w:rPr>
              <w:t>自递交响应文件截止之日起60日历天</w:t>
            </w:r>
          </w:p>
        </w:tc>
      </w:tr>
      <w:tr>
        <w:tblPrEx>
          <w:tblCellMar>
            <w:top w:w="0" w:type="dxa"/>
            <w:left w:w="0" w:type="dxa"/>
            <w:bottom w:w="0" w:type="dxa"/>
            <w:right w:w="0" w:type="dxa"/>
          </w:tblCellMar>
        </w:tblPrEx>
        <w:trPr>
          <w:trHeight w:val="441"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3.4.1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z w:val="21"/>
                <w:szCs w:val="21"/>
                <w:highlight w:val="none"/>
              </w:rPr>
              <w:t>磋商保证金</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210" w:firstLineChars="100"/>
              <w:jc w:val="left"/>
              <w:rPr>
                <w:rFonts w:hint="default"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不收取</w:t>
            </w:r>
          </w:p>
        </w:tc>
      </w:tr>
      <w:tr>
        <w:tblPrEx>
          <w:tblCellMar>
            <w:top w:w="0" w:type="dxa"/>
            <w:left w:w="0" w:type="dxa"/>
            <w:bottom w:w="0" w:type="dxa"/>
            <w:right w:w="0" w:type="dxa"/>
          </w:tblCellMar>
        </w:tblPrEx>
        <w:trPr>
          <w:trHeight w:val="90"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3.5.1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签字或盖章要求</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按磋商文件格式要求签字盖章</w:t>
            </w:r>
          </w:p>
        </w:tc>
      </w:tr>
      <w:tr>
        <w:tblPrEx>
          <w:tblCellMar>
            <w:top w:w="0" w:type="dxa"/>
            <w:left w:w="0" w:type="dxa"/>
            <w:bottom w:w="0" w:type="dxa"/>
            <w:right w:w="0" w:type="dxa"/>
          </w:tblCellMar>
        </w:tblPrEx>
        <w:trPr>
          <w:trHeight w:val="641"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3.6.1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响应文件份数</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加密的电子磋商响应文件 1 份（.ZMTF 格式）须在磋商响应文件递交截 止时间前通过'‘中牟县公共资源交易中心网站（http:// www.zmxggzy. com）”电子交易平台加密上传；上传文件尽量在截止日前 1-2 日内完成，以避免网络拥堵或其他原因造成上传失败，由于响应文件未按时提交所造成的后果由供应商自行承担。</w:t>
            </w:r>
          </w:p>
        </w:tc>
      </w:tr>
      <w:tr>
        <w:tblPrEx>
          <w:tblCellMar>
            <w:top w:w="0" w:type="dxa"/>
            <w:left w:w="0" w:type="dxa"/>
            <w:bottom w:w="0" w:type="dxa"/>
            <w:right w:w="0" w:type="dxa"/>
          </w:tblCellMar>
        </w:tblPrEx>
        <w:trPr>
          <w:trHeight w:val="486"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4.2.2</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Cs w:val="20"/>
                <w:highlight w:val="none"/>
              </w:rPr>
            </w:pPr>
            <w:r>
              <w:rPr>
                <w:rFonts w:hint="eastAsia" w:ascii="仿宋" w:hAnsi="仿宋" w:eastAsia="仿宋" w:cs="仿宋"/>
                <w:color w:val="auto"/>
                <w:spacing w:val="-2"/>
                <w:kern w:val="0"/>
                <w:sz w:val="21"/>
                <w:szCs w:val="21"/>
                <w:highlight w:val="none"/>
              </w:rPr>
              <w:t>是否退还响应文件</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105" w:firstLine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tblPrEx>
          <w:tblCellMar>
            <w:top w:w="0" w:type="dxa"/>
            <w:left w:w="0" w:type="dxa"/>
            <w:bottom w:w="0" w:type="dxa"/>
            <w:right w:w="0" w:type="dxa"/>
          </w:tblCellMar>
        </w:tblPrEx>
        <w:trPr>
          <w:trHeight w:val="486"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5.1.1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pacing w:val="-2"/>
                <w:kern w:val="0"/>
                <w:sz w:val="21"/>
                <w:szCs w:val="21"/>
                <w:highlight w:val="none"/>
              </w:rPr>
            </w:pPr>
            <w:r>
              <w:rPr>
                <w:rFonts w:hint="eastAsia" w:ascii="仿宋" w:hAnsi="仿宋" w:eastAsia="仿宋" w:cs="仿宋"/>
                <w:color w:val="auto"/>
                <w:spacing w:val="-2"/>
                <w:kern w:val="0"/>
                <w:sz w:val="21"/>
                <w:szCs w:val="21"/>
                <w:highlight w:val="none"/>
              </w:rPr>
              <w:t>磋商时间和地点</w:t>
            </w:r>
          </w:p>
        </w:tc>
        <w:tc>
          <w:tcPr>
            <w:tcW w:w="6323" w:type="dxa"/>
            <w:tcBorders>
              <w:top w:val="single" w:color="000000" w:sz="4" w:space="0"/>
              <w:left w:val="single" w:color="000000" w:sz="4" w:space="0"/>
              <w:bottom w:val="single" w:color="000000" w:sz="4" w:space="0"/>
              <w:right w:val="single" w:color="000000" w:sz="4" w:space="0"/>
            </w:tcBorders>
            <w:vAlign w:val="center"/>
          </w:tcPr>
          <w:p>
            <w:pPr>
              <w:pStyle w:val="27"/>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pacing w:val="-4"/>
                <w:kern w:val="0"/>
                <w:sz w:val="21"/>
                <w:szCs w:val="21"/>
                <w:highlight w:val="none"/>
              </w:rPr>
              <w:t>开标时间：</w:t>
            </w:r>
            <w:r>
              <w:rPr>
                <w:rFonts w:hint="eastAsia" w:ascii="仿宋" w:hAnsi="仿宋" w:eastAsia="仿宋" w:cs="仿宋"/>
                <w:color w:val="auto"/>
                <w:sz w:val="21"/>
                <w:szCs w:val="21"/>
                <w:highlight w:val="none"/>
              </w:rPr>
              <w:t>响应文件递交截止时间</w:t>
            </w:r>
          </w:p>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101" w:firstLineChars="50"/>
              <w:jc w:val="left"/>
              <w:rPr>
                <w:rFonts w:hint="default" w:ascii="仿宋" w:hAnsi="仿宋" w:eastAsia="仿宋" w:cs="仿宋"/>
                <w:color w:val="auto"/>
                <w:sz w:val="21"/>
                <w:szCs w:val="21"/>
                <w:highlight w:val="none"/>
              </w:rPr>
            </w:pPr>
            <w:r>
              <w:rPr>
                <w:rFonts w:hint="eastAsia" w:ascii="仿宋" w:hAnsi="仿宋" w:eastAsia="仿宋" w:cs="仿宋"/>
                <w:color w:val="auto"/>
                <w:spacing w:val="-4"/>
                <w:kern w:val="0"/>
                <w:sz w:val="21"/>
                <w:szCs w:val="21"/>
                <w:highlight w:val="none"/>
              </w:rPr>
              <w:t>开标</w:t>
            </w:r>
            <w:r>
              <w:rPr>
                <w:rFonts w:hint="eastAsia" w:ascii="仿宋" w:hAnsi="仿宋" w:eastAsia="仿宋" w:cs="仿宋"/>
                <w:color w:val="auto"/>
                <w:sz w:val="21"/>
                <w:szCs w:val="21"/>
                <w:highlight w:val="none"/>
              </w:rPr>
              <w:t>地点：通过“中牟公共资源交易中心电子交易平台”内上传</w:t>
            </w:r>
          </w:p>
        </w:tc>
      </w:tr>
      <w:tr>
        <w:tblPrEx>
          <w:tblCellMar>
            <w:top w:w="0" w:type="dxa"/>
            <w:left w:w="0" w:type="dxa"/>
            <w:bottom w:w="0" w:type="dxa"/>
            <w:right w:w="0" w:type="dxa"/>
          </w:tblCellMar>
        </w:tblPrEx>
        <w:trPr>
          <w:trHeight w:val="420"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5.3.1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2"/>
                <w:kern w:val="0"/>
                <w:sz w:val="21"/>
                <w:szCs w:val="21"/>
                <w:highlight w:val="none"/>
              </w:rPr>
              <w:t>磋商小组的组建</w:t>
            </w:r>
          </w:p>
        </w:tc>
        <w:tc>
          <w:tcPr>
            <w:tcW w:w="6323"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pageBreakBefore w:val="0"/>
              <w:widowControl/>
              <w:suppressLineNumbers w:val="0"/>
              <w:kinsoku/>
              <w:overflowPunct/>
              <w:autoSpaceDE/>
              <w:autoSpaceDN/>
              <w:bidi w:val="0"/>
              <w:adjustRightInd/>
              <w:snapToGrid w:val="0"/>
              <w:spacing w:before="0" w:beforeAutospacing="0" w:after="0" w:afterAutospacing="0" w:line="360" w:lineRule="auto"/>
              <w:ind w:left="150" w:leftChars="50" w:right="150" w:rightChars="50"/>
              <w:jc w:val="both"/>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磋商小组构成：3人，其中采购人代表1人，技术、经济专家2人。</w:t>
            </w:r>
          </w:p>
          <w:p>
            <w:pPr>
              <w:pStyle w:val="26"/>
              <w:keepNext w:val="0"/>
              <w:keepLines w:val="0"/>
              <w:pageBreakBefore w:val="0"/>
              <w:widowControl/>
              <w:suppressLineNumbers w:val="0"/>
              <w:kinsoku/>
              <w:overflowPunct/>
              <w:autoSpaceDE/>
              <w:autoSpaceDN/>
              <w:bidi w:val="0"/>
              <w:adjustRightInd/>
              <w:snapToGrid w:val="0"/>
              <w:spacing w:before="0" w:beforeAutospacing="0" w:after="0" w:afterAutospacing="0" w:line="360" w:lineRule="auto"/>
              <w:ind w:left="150" w:leftChars="50" w:right="150" w:rightChars="50"/>
              <w:jc w:val="both"/>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专家确定方式：从相关评标专家库中随机抽取。</w:t>
            </w:r>
          </w:p>
        </w:tc>
      </w:tr>
      <w:tr>
        <w:tblPrEx>
          <w:tblCellMar>
            <w:top w:w="0" w:type="dxa"/>
            <w:left w:w="0" w:type="dxa"/>
            <w:bottom w:w="0" w:type="dxa"/>
            <w:right w:w="0" w:type="dxa"/>
          </w:tblCellMar>
        </w:tblPrEx>
        <w:trPr>
          <w:trHeight w:val="512" w:hRule="atLeast"/>
          <w:jc w:val="center"/>
        </w:trPr>
        <w:tc>
          <w:tcPr>
            <w:tcW w:w="10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6.1</w:t>
            </w:r>
          </w:p>
        </w:tc>
        <w:tc>
          <w:tcPr>
            <w:tcW w:w="22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left"/>
              <w:rPr>
                <w:rFonts w:hint="default"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是否授权磋商小组确定成交供应商</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28" w:right="150" w:rightChars="50" w:firstLine="105" w:firstLineChars="5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否，推荐3名成交候选供应商。</w:t>
            </w:r>
          </w:p>
          <w:p>
            <w:pPr>
              <w:pStyle w:val="26"/>
              <w:keepNext w:val="0"/>
              <w:keepLines w:val="0"/>
              <w:pageBreakBefore w:val="0"/>
              <w:suppressLineNumbers w:val="0"/>
              <w:kinsoku/>
              <w:overflowPunct/>
              <w:bidi w:val="0"/>
              <w:snapToGrid w:val="0"/>
              <w:spacing w:before="0" w:beforeAutospacing="0" w:after="0" w:afterAutospacing="0" w:line="360" w:lineRule="auto"/>
              <w:ind w:left="0" w:right="0" w:firstLine="210" w:firstLineChars="100"/>
              <w:rPr>
                <w:rFonts w:hint="default" w:ascii="仿宋" w:hAnsi="仿宋" w:eastAsia="仿宋" w:cs="仿宋"/>
                <w:color w:val="auto"/>
                <w:highlight w:val="none"/>
              </w:rPr>
            </w:pPr>
            <w:r>
              <w:rPr>
                <w:rFonts w:hint="eastAsia" w:ascii="仿宋" w:hAnsi="仿宋" w:eastAsia="仿宋" w:cs="仿宋"/>
                <w:color w:val="auto"/>
                <w:sz w:val="21"/>
                <w:szCs w:val="21"/>
                <w:highlight w:val="none"/>
              </w:rPr>
              <w:t>采购人将确定排名第一的中标候选人为中标人。排名第一的中标候选人放弃中标、因不可抗力不能履行合同或者被查实存在影响中标结果的违法行为等情形，不符合中标条件的，采购人可以按照磋商小组提出的中标候选人名单排序依次确定其他中标候选人为中标人，也可以重新招标。</w:t>
            </w:r>
          </w:p>
        </w:tc>
      </w:tr>
      <w:tr>
        <w:tblPrEx>
          <w:tblCellMar>
            <w:top w:w="0" w:type="dxa"/>
            <w:left w:w="0" w:type="dxa"/>
            <w:bottom w:w="0" w:type="dxa"/>
            <w:right w:w="0" w:type="dxa"/>
          </w:tblCellMar>
        </w:tblPrEx>
        <w:trPr>
          <w:trHeight w:val="600" w:hRule="atLeast"/>
          <w:jc w:val="center"/>
        </w:trPr>
        <w:tc>
          <w:tcPr>
            <w:tcW w:w="95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firstLine="422" w:firstLineChars="200"/>
              <w:jc w:val="center"/>
              <w:rPr>
                <w:rFonts w:hint="default" w:ascii="仿宋" w:hAnsi="仿宋" w:eastAsia="仿宋" w:cs="仿宋"/>
                <w:b/>
                <w:color w:val="auto"/>
                <w:sz w:val="21"/>
                <w:szCs w:val="21"/>
                <w:highlight w:val="none"/>
              </w:rPr>
            </w:pPr>
            <w:r>
              <w:rPr>
                <w:rFonts w:hint="eastAsia" w:ascii="仿宋" w:hAnsi="仿宋" w:eastAsia="仿宋" w:cs="仿宋"/>
                <w:b/>
                <w:color w:val="auto"/>
                <w:sz w:val="21"/>
                <w:szCs w:val="21"/>
                <w:highlight w:val="none"/>
              </w:rPr>
              <w:t>需要补充的其他内容</w:t>
            </w:r>
          </w:p>
        </w:tc>
      </w:tr>
      <w:tr>
        <w:tblPrEx>
          <w:tblCellMar>
            <w:top w:w="0" w:type="dxa"/>
            <w:left w:w="0" w:type="dxa"/>
            <w:bottom w:w="0" w:type="dxa"/>
            <w:right w:w="0" w:type="dxa"/>
          </w:tblCellMar>
        </w:tblPrEx>
        <w:trPr>
          <w:trHeight w:val="699"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firstLine="210" w:firstLineChars="100"/>
              <w:rPr>
                <w:rFonts w:hint="default"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w:t>
            </w:r>
            <w:r>
              <w:rPr>
                <w:rFonts w:hint="eastAsia" w:ascii="仿宋" w:hAnsi="仿宋" w:eastAsia="仿宋" w:cs="仿宋"/>
                <w:color w:val="auto"/>
                <w:sz w:val="21"/>
                <w:szCs w:val="21"/>
                <w:highlight w:val="none"/>
              </w:rPr>
              <w:t>.1</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知识产权</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构成本竞争性磋商文件各个组成部分的文件，未经采购人同意，供应商不得擅自复印和用于非本采购项目所需的其他目的。采购人全部或者部分使用未成交供应商响应文件中的技术成果或技术方案时，需征得其同意，并不得擅自复印或提供给第三人。</w:t>
            </w:r>
          </w:p>
        </w:tc>
      </w:tr>
      <w:tr>
        <w:tblPrEx>
          <w:tblCellMar>
            <w:top w:w="0" w:type="dxa"/>
            <w:left w:w="0" w:type="dxa"/>
            <w:bottom w:w="0" w:type="dxa"/>
            <w:right w:w="0" w:type="dxa"/>
          </w:tblCellMar>
        </w:tblPrEx>
        <w:trPr>
          <w:trHeight w:val="699"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firstLine="210" w:firstLineChars="100"/>
              <w:rPr>
                <w:rFonts w:hint="default"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w:t>
            </w:r>
            <w:r>
              <w:rPr>
                <w:rFonts w:hint="eastAsia" w:ascii="仿宋" w:hAnsi="仿宋" w:eastAsia="仿宋" w:cs="仿宋"/>
                <w:color w:val="auto"/>
                <w:sz w:val="21"/>
                <w:szCs w:val="21"/>
                <w:highlight w:val="none"/>
              </w:rPr>
              <w:t>.1</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解释权</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1.构成本竞争性磋商文件的各个组成文件应互为解释，互为说明；</w:t>
            </w:r>
          </w:p>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2.如有不明确或不一致，构成合同文件组成内容的，以合同文件约定内容为准，且以专用合同条款约定的合同文件优先顺序解释；</w:t>
            </w:r>
          </w:p>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3.除竞争性磋商文件中有特别规定外，仅适用于采购阶段的规定，按竞争性磋商公告、供应商须知、磋商办法、响应文件格式的先后顺序解释；</w:t>
            </w:r>
          </w:p>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4.同一组成文件中就同一事项的规定或约定不一致的，以编排顺序在后者为准；</w:t>
            </w:r>
          </w:p>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5.同一组成文件不同版本之间有不一致的，以形成时间在后者为准；</w:t>
            </w:r>
          </w:p>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6.按本款前述规定仍不能形成结论的，由采购人负责解释。</w:t>
            </w:r>
          </w:p>
        </w:tc>
      </w:tr>
      <w:tr>
        <w:tblPrEx>
          <w:tblCellMar>
            <w:top w:w="0" w:type="dxa"/>
            <w:left w:w="0" w:type="dxa"/>
            <w:bottom w:w="0" w:type="dxa"/>
            <w:right w:w="0" w:type="dxa"/>
          </w:tblCellMar>
        </w:tblPrEx>
        <w:trPr>
          <w:trHeight w:val="488"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firstLine="205" w:firstLineChars="98"/>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8.2</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采购最高限价</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本项目设采购最高限价：</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小写：¥1708429.23</w:t>
            </w:r>
            <w:r>
              <w:rPr>
                <w:rFonts w:hint="eastAsia" w:ascii="仿宋" w:hAnsi="仿宋" w:eastAsia="仿宋" w:cs="仿宋"/>
                <w:color w:val="auto"/>
                <w:sz w:val="21"/>
                <w:szCs w:val="21"/>
                <w:highlight w:val="none"/>
              </w:rPr>
              <w:t>元</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注：供应商的报价超过采购最高限价的作为无效报价，按废标处理</w:t>
            </w:r>
          </w:p>
        </w:tc>
      </w:tr>
      <w:tr>
        <w:tblPrEx>
          <w:tblCellMar>
            <w:top w:w="0" w:type="dxa"/>
            <w:left w:w="0" w:type="dxa"/>
            <w:bottom w:w="0" w:type="dxa"/>
            <w:right w:w="0" w:type="dxa"/>
          </w:tblCellMar>
        </w:tblPrEx>
        <w:trPr>
          <w:trHeight w:val="745"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205" w:firstLineChars="98"/>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8.3</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招标代理服务费</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代理服务费由中标人支付，以中标金额为计算基数，根据《国家发展改革委关于进一步放开建设项目专业服务价格的通知》（发改价格[2015]299号）和《河南省招标代理服务收费指导意见》（豫招协[2023]002号）的规定按类计算，此费用由中标人综合考虑到</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总价中，不在单独报价。</w:t>
            </w:r>
            <w:r>
              <w:rPr>
                <w:rFonts w:hint="eastAsia" w:ascii="仿宋" w:hAnsi="仿宋" w:eastAsia="仿宋" w:cs="仿宋"/>
                <w:color w:val="auto"/>
                <w:sz w:val="21"/>
                <w:szCs w:val="21"/>
                <w:highlight w:val="none"/>
                <w:lang w:val="en-US" w:eastAsia="zh-CN"/>
              </w:rPr>
              <w:t>招标人</w:t>
            </w:r>
            <w:r>
              <w:rPr>
                <w:rFonts w:hint="eastAsia" w:ascii="仿宋" w:hAnsi="仿宋" w:eastAsia="仿宋" w:cs="仿宋"/>
                <w:color w:val="auto"/>
                <w:sz w:val="21"/>
                <w:szCs w:val="21"/>
                <w:highlight w:val="none"/>
              </w:rPr>
              <w:t>与</w:t>
            </w:r>
            <w:r>
              <w:rPr>
                <w:rFonts w:hint="eastAsia" w:ascii="仿宋" w:hAnsi="仿宋" w:eastAsia="仿宋" w:cs="仿宋"/>
                <w:color w:val="auto"/>
                <w:sz w:val="21"/>
                <w:szCs w:val="21"/>
                <w:highlight w:val="none"/>
                <w:lang w:eastAsia="zh-CN"/>
              </w:rPr>
              <w:t>代理机构</w:t>
            </w:r>
            <w:r>
              <w:rPr>
                <w:rFonts w:hint="eastAsia" w:ascii="仿宋" w:hAnsi="仿宋" w:eastAsia="仿宋" w:cs="仿宋"/>
                <w:color w:val="auto"/>
                <w:sz w:val="21"/>
                <w:szCs w:val="21"/>
                <w:highlight w:val="none"/>
              </w:rPr>
              <w:t>约定由中标人在领取中标通知书前向代理机构支付</w:t>
            </w:r>
            <w:r>
              <w:rPr>
                <w:rFonts w:hint="eastAsia" w:ascii="仿宋" w:hAnsi="仿宋" w:eastAsia="仿宋" w:cs="仿宋"/>
                <w:szCs w:val="21"/>
                <w:highlight w:val="none"/>
              </w:rPr>
              <w:t>。</w:t>
            </w:r>
          </w:p>
        </w:tc>
      </w:tr>
      <w:tr>
        <w:tblPrEx>
          <w:tblCellMar>
            <w:top w:w="0" w:type="dxa"/>
            <w:left w:w="0" w:type="dxa"/>
            <w:bottom w:w="0" w:type="dxa"/>
            <w:right w:w="0" w:type="dxa"/>
          </w:tblCellMar>
        </w:tblPrEx>
        <w:trPr>
          <w:trHeight w:val="745"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205" w:firstLineChars="98"/>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8.4</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政府采购政策</w:t>
            </w:r>
          </w:p>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center"/>
              <w:rPr>
                <w:rFonts w:hint="default" w:ascii="仿宋" w:hAnsi="仿宋" w:eastAsia="仿宋" w:cs="仿宋"/>
                <w:color w:val="auto"/>
                <w:sz w:val="21"/>
                <w:szCs w:val="21"/>
                <w:highlight w:val="none"/>
              </w:rPr>
            </w:pP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采购标的对应的中小企业划分标准所属行业：</w:t>
            </w:r>
            <w:r>
              <w:rPr>
                <w:rFonts w:hint="eastAsia" w:ascii="仿宋" w:hAnsi="仿宋" w:eastAsia="仿宋" w:cs="仿宋"/>
                <w:b/>
                <w:bCs/>
                <w:color w:val="auto"/>
                <w:kern w:val="0"/>
                <w:sz w:val="21"/>
                <w:szCs w:val="21"/>
                <w:highlight w:val="none"/>
                <w:lang w:eastAsia="zh-CN"/>
              </w:rPr>
              <w:t>建筑业</w:t>
            </w:r>
            <w:r>
              <w:rPr>
                <w:rFonts w:hint="eastAsia" w:ascii="仿宋" w:hAnsi="仿宋" w:eastAsia="仿宋" w:cs="仿宋"/>
                <w:color w:val="auto"/>
                <w:kern w:val="0"/>
                <w:sz w:val="21"/>
                <w:szCs w:val="21"/>
                <w:highlight w:val="none"/>
              </w:rPr>
              <w:t>。</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政府采购相关政策： </w:t>
            </w:r>
          </w:p>
          <w:p>
            <w:pPr>
              <w:keepNext w:val="0"/>
              <w:keepLines w:val="0"/>
              <w:numPr>
                <w:ilvl w:val="0"/>
                <w:numId w:val="0"/>
              </w:numPr>
              <w:suppressLineNumbers w:val="0"/>
              <w:tabs>
                <w:tab w:val="left" w:pos="420"/>
              </w:tabs>
              <w:adjustRightInd w:val="0"/>
              <w:snapToGrid w:val="0"/>
              <w:spacing w:before="0" w:beforeAutospacing="0" w:after="0" w:afterAutospacing="0" w:line="400" w:lineRule="exact"/>
              <w:ind w:left="0" w:right="0"/>
              <w:rPr>
                <w:rFonts w:hint="eastAsia" w:ascii="宋体" w:hAnsi="宋体" w:eastAsia="宋体" w:cs="宋体"/>
                <w:szCs w:val="21"/>
              </w:rPr>
            </w:pPr>
            <w:r>
              <w:rPr>
                <w:rFonts w:hint="eastAsia" w:ascii="仿宋" w:hAnsi="仿宋" w:eastAsia="仿宋" w:cs="仿宋"/>
                <w:color w:val="auto"/>
                <w:kern w:val="0"/>
                <w:sz w:val="21"/>
                <w:szCs w:val="21"/>
                <w:highlight w:val="none"/>
                <w:lang w:val="en-US" w:eastAsia="zh-CN"/>
              </w:rPr>
              <w:t>1.执行《财政部关于进一步加大政府采购支持中小企业力度的通知》财库〔2022〕19号，对小型和微型企业产品的价格给予20%的扣除，用扣除后的价格参与评审。</w:t>
            </w:r>
            <w:r>
              <w:rPr>
                <w:rFonts w:hint="eastAsia" w:ascii="仿宋" w:hAnsi="仿宋" w:eastAsia="仿宋" w:cs="仿宋"/>
                <w:color w:val="auto"/>
                <w:kern w:val="0"/>
                <w:sz w:val="21"/>
                <w:szCs w:val="21"/>
                <w:highlight w:val="none"/>
              </w:rPr>
              <w:t>评标价不作为中标价和合同签约价，中标价和合同签约价仍以其投标文件中的报价为准。</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在政府采购活动中，</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提供的货物、工程或者服务符合下列情形的，享受本办法规定的中小企业扶持政策：在货物采购项目中，货物由中小企业制造，即货物由中小企业生产且使用该中小企业商号或者注册商标。</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提供的货物既有中小企业制造货物，也有大型企业制造货物的，不享受本办法规定的中小企业扶持政策。</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中小企业参加政府采购活动，应当出具本办法规定的《中小企业声明函》，否则不得享受相关中小企业扶持政策。</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在政府采购活动中，监狱企业视同小型、微型企业，监狱企业参加政府采购活动时，应当提供由省级以上监狱管理局、戒毒管理局（含新疆生产建设兵团）出具的属于监狱企业的证明文件，未提供的，视为放弃享受小微企业价格扣除优惠政策。</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参加政府采购活动的残疾人福利性单位应当提供《残疾人福利性单位声明函》，未提供的，视为放弃享受小微企业价格扣除优惠政策。</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同时为小型企业、微型企业、监狱企业、残疾人福利性单位任两种或以上情况的，评审中只享受一次价格扣除，不重复进行价格扣除。</w:t>
            </w:r>
          </w:p>
        </w:tc>
      </w:tr>
      <w:tr>
        <w:tblPrEx>
          <w:tblCellMar>
            <w:top w:w="0" w:type="dxa"/>
            <w:left w:w="0" w:type="dxa"/>
            <w:bottom w:w="0" w:type="dxa"/>
            <w:right w:w="0" w:type="dxa"/>
          </w:tblCellMar>
        </w:tblPrEx>
        <w:trPr>
          <w:trHeight w:val="508"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205" w:firstLineChars="98"/>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8.5</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付款方式</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工程完工验收后，按照县财政规定的付款办法支付工程款。</w:t>
            </w:r>
          </w:p>
        </w:tc>
      </w:tr>
      <w:tr>
        <w:tblPrEx>
          <w:tblCellMar>
            <w:top w:w="0" w:type="dxa"/>
            <w:left w:w="0" w:type="dxa"/>
            <w:bottom w:w="0" w:type="dxa"/>
            <w:right w:w="0" w:type="dxa"/>
          </w:tblCellMar>
        </w:tblPrEx>
        <w:trPr>
          <w:trHeight w:val="1617"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205" w:firstLineChars="98"/>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8.6</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是否要求中标人提交履约保证金： </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☑要求，履约保证金形式：现金或转账</w:t>
            </w:r>
            <w:r>
              <w:rPr>
                <w:rFonts w:hint="eastAsia" w:ascii="仿宋" w:hAnsi="仿宋" w:eastAsia="仿宋" w:cs="仿宋"/>
                <w:color w:val="auto"/>
                <w:sz w:val="21"/>
                <w:szCs w:val="21"/>
                <w:highlight w:val="none"/>
                <w:lang w:eastAsia="zh-CN"/>
              </w:rPr>
              <w:t>或保函</w:t>
            </w:r>
            <w:r>
              <w:rPr>
                <w:rFonts w:hint="eastAsia" w:ascii="仿宋" w:hAnsi="仿宋" w:eastAsia="仿宋" w:cs="仿宋"/>
                <w:color w:val="auto"/>
                <w:sz w:val="21"/>
                <w:szCs w:val="21"/>
                <w:highlight w:val="none"/>
              </w:rPr>
              <w:t>，中标人收到中标通知书10日内，应缴纳本工程</w:t>
            </w:r>
            <w:r>
              <w:rPr>
                <w:rFonts w:hint="eastAsia" w:ascii="仿宋" w:hAnsi="仿宋" w:eastAsia="仿宋" w:cs="仿宋"/>
                <w:color w:val="auto"/>
                <w:sz w:val="21"/>
                <w:szCs w:val="21"/>
                <w:highlight w:val="none"/>
                <w:lang w:val="en-US" w:eastAsia="zh-CN"/>
              </w:rPr>
              <w:t>成交</w:t>
            </w:r>
            <w:r>
              <w:rPr>
                <w:rFonts w:hint="eastAsia" w:ascii="仿宋" w:hAnsi="仿宋" w:eastAsia="仿宋" w:cs="仿宋"/>
                <w:color w:val="auto"/>
                <w:sz w:val="21"/>
                <w:szCs w:val="21"/>
                <w:highlight w:val="none"/>
              </w:rPr>
              <w:t>价3%的履约保证金，待项目完工验收后，无息退还。</w:t>
            </w:r>
          </w:p>
        </w:tc>
      </w:tr>
      <w:tr>
        <w:tblPrEx>
          <w:tblCellMar>
            <w:top w:w="0" w:type="dxa"/>
            <w:left w:w="0" w:type="dxa"/>
            <w:bottom w:w="0" w:type="dxa"/>
            <w:right w:w="0" w:type="dxa"/>
          </w:tblCellMar>
        </w:tblPrEx>
        <w:trPr>
          <w:trHeight w:val="386"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205" w:firstLineChars="98"/>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8.7</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pStyle w:val="11"/>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Cs w:val="21"/>
                <w:highlight w:val="none"/>
              </w:rPr>
            </w:pPr>
            <w:r>
              <w:rPr>
                <w:rFonts w:hint="eastAsia" w:ascii="仿宋" w:hAnsi="仿宋" w:eastAsia="仿宋" w:cs="仿宋"/>
                <w:color w:val="auto"/>
                <w:szCs w:val="21"/>
                <w:highlight w:val="none"/>
              </w:rPr>
              <w:t>农民工工资保障金</w:t>
            </w:r>
          </w:p>
        </w:tc>
        <w:tc>
          <w:tcPr>
            <w:tcW w:w="6323" w:type="dxa"/>
            <w:tcBorders>
              <w:top w:val="single" w:color="000000" w:sz="4" w:space="0"/>
              <w:left w:val="single" w:color="000000" w:sz="4" w:space="0"/>
              <w:bottom w:val="single" w:color="000000" w:sz="4" w:space="0"/>
              <w:right w:val="single" w:color="000000" w:sz="4" w:space="0"/>
            </w:tcBorders>
            <w:vAlign w:val="center"/>
          </w:tcPr>
          <w:p>
            <w:pPr>
              <w:pStyle w:val="11"/>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Cs w:val="21"/>
                <w:highlight w:val="none"/>
              </w:rPr>
            </w:pPr>
            <w:r>
              <w:rPr>
                <w:rFonts w:hint="default" w:ascii="仿宋" w:hAnsi="仿宋" w:eastAsia="仿宋" w:cs="仿宋"/>
                <w:color w:val="auto"/>
                <w:szCs w:val="21"/>
                <w:highlight w:val="none"/>
              </w:rPr>
              <w:t>中标人应按照《国务院办公厅关于全面治理拖欠农民工工资问题的意见》（国办发[2016]1号）、《郑州市城乡建设管理局关于进一步规范农民工工资保障金和工程担保管理的通知》（郑建文[2019]75号）的相关规定提交农民工工资保障金。</w:t>
            </w:r>
          </w:p>
        </w:tc>
      </w:tr>
      <w:tr>
        <w:tblPrEx>
          <w:tblCellMar>
            <w:top w:w="0" w:type="dxa"/>
            <w:left w:w="0" w:type="dxa"/>
            <w:bottom w:w="0" w:type="dxa"/>
            <w:right w:w="0" w:type="dxa"/>
          </w:tblCellMar>
        </w:tblPrEx>
        <w:trPr>
          <w:trHeight w:val="654"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205" w:firstLineChars="98"/>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8.8</w:t>
            </w:r>
          </w:p>
        </w:tc>
        <w:tc>
          <w:tcPr>
            <w:tcW w:w="2233"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150" w:leftChars="50" w:right="150" w:rightChars="5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未尽事宜</w:t>
            </w:r>
          </w:p>
        </w:tc>
        <w:tc>
          <w:tcPr>
            <w:tcW w:w="63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未尽事宜，按有关规定执行</w:t>
            </w:r>
          </w:p>
        </w:tc>
      </w:tr>
      <w:tr>
        <w:tblPrEx>
          <w:tblCellMar>
            <w:top w:w="0" w:type="dxa"/>
            <w:left w:w="0" w:type="dxa"/>
            <w:bottom w:w="0" w:type="dxa"/>
            <w:right w:w="0" w:type="dxa"/>
          </w:tblCellMar>
        </w:tblPrEx>
        <w:trPr>
          <w:trHeight w:val="654" w:hRule="atLeast"/>
          <w:jc w:val="center"/>
        </w:trPr>
        <w:tc>
          <w:tcPr>
            <w:tcW w:w="102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suppressLineNumbers w:val="0"/>
              <w:kinsoku/>
              <w:overflowPunct/>
              <w:bidi w:val="0"/>
              <w:snapToGrid w:val="0"/>
              <w:spacing w:before="0" w:beforeAutospacing="0" w:after="0" w:afterAutospacing="0" w:line="360" w:lineRule="auto"/>
              <w:ind w:left="0" w:right="150" w:rightChars="50" w:firstLine="205" w:firstLineChars="98"/>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8.9</w:t>
            </w:r>
          </w:p>
        </w:tc>
        <w:tc>
          <w:tcPr>
            <w:tcW w:w="8556"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1.供应商应持本单位CA锁及时更新、维护本企业的交易主体数据库信息，并确保其信息的真实性、准确性、完整性。否则，由此导致的投标失败，由企业自行承担责任。</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2.本项目为电子标，开标时，各供应商登录远程开标大厅用本单位CA锁（制作投标文件时所使用的CA锁）进行文件解密工作。</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3.投标文件的上传：供应商须使用电子交易系统提供的投标文件制作工具进行电子投标文件的制作，并按要求上传经CA锁签章和加密的电子投标文件（.ZMTF格式）。</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4.投标文件包括电子投标文件。</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（1）加密的电子投标文件（.ZMTF格式）须在截止时间前通过“中牟县公共资源交易中心http://www.zmxggzy.com/）”电子交易平台加密上传；</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（2）逾期上传/送达的或者未上传/未送达指定地点的投标文件，采购人不予受理。</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5.本项目涉及盖章、签字的，以系统电子签章为准，若无法系统签章（如委托人签字等），可由线下签章，文件中附清晰扫描件。</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说明：相关驱动和电子投标工具请登录中牟县公共资源交易中心门户网站（http://www.zmxggzy.com）“下载中心”栏目下载。供应商在制作电子标书过程中，如遇到电子交易系统的软件操作问题时，可通过热线电话（4009980000）进行咨询。）</w:t>
            </w:r>
          </w:p>
          <w:p>
            <w:pPr>
              <w:keepNext w:val="0"/>
              <w:keepLines w:val="0"/>
              <w:pageBreakBefore w:val="0"/>
              <w:suppressLineNumbers w:val="0"/>
              <w:kinsoku/>
              <w:overflowPunct/>
              <w:bidi w:val="0"/>
              <w:adjustRightInd w:val="0"/>
              <w:snapToGrid w:val="0"/>
              <w:spacing w:before="0" w:beforeAutospacing="0" w:after="0" w:afterAutospacing="0" w:line="360" w:lineRule="auto"/>
              <w:ind w:left="102" w:leftChars="34" w:right="150" w:rightChars="5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注：不同供应商的电子投标文件制作机器码一致作废标处理。</w:t>
            </w:r>
          </w:p>
        </w:tc>
      </w:tr>
    </w:tbl>
    <w:p>
      <w:pPr>
        <w:pStyle w:val="4"/>
        <w:pageBreakBefore w:val="0"/>
        <w:kinsoku/>
        <w:overflowPunct/>
        <w:bidi w:val="0"/>
        <w:snapToGrid w:val="0"/>
        <w:spacing w:line="360" w:lineRule="auto"/>
        <w:rPr>
          <w:rFonts w:ascii="仿宋" w:hAnsi="仿宋" w:eastAsia="仿宋" w:cs="仿宋"/>
          <w:color w:val="auto"/>
          <w:sz w:val="24"/>
          <w:highlight w:val="none"/>
        </w:rPr>
      </w:pPr>
      <w:bookmarkStart w:id="13" w:name="_Toc18992"/>
      <w:bookmarkStart w:id="14" w:name="_Toc2661"/>
      <w:r>
        <w:rPr>
          <w:rFonts w:hint="eastAsia" w:ascii="仿宋" w:hAnsi="仿宋" w:eastAsia="仿宋" w:cs="仿宋"/>
          <w:color w:val="auto"/>
          <w:sz w:val="24"/>
          <w:highlight w:val="none"/>
        </w:rPr>
        <w:t>注：本磋商文件中内容与供应商须知前附表中内容不一致时以供应商须知前附表</w:t>
      </w:r>
      <w:bookmarkEnd w:id="13"/>
      <w:bookmarkEnd w:id="14"/>
      <w:bookmarkStart w:id="15" w:name="_Toc14218"/>
      <w:bookmarkStart w:id="16" w:name="_Toc22518"/>
      <w:r>
        <w:rPr>
          <w:rFonts w:hint="eastAsia" w:ascii="仿宋" w:hAnsi="仿宋" w:eastAsia="仿宋" w:cs="仿宋"/>
          <w:color w:val="auto"/>
          <w:sz w:val="24"/>
          <w:highlight w:val="none"/>
        </w:rPr>
        <w:t>中内容为准。</w:t>
      </w:r>
      <w:bookmarkEnd w:id="15"/>
      <w:bookmarkEnd w:id="16"/>
    </w:p>
    <w:p>
      <w:pPr>
        <w:pStyle w:val="4"/>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4"/>
          <w:highlight w:val="none"/>
        </w:rPr>
        <w:br w:type="page"/>
      </w:r>
      <w:bookmarkStart w:id="17" w:name="_Toc366"/>
      <w:bookmarkStart w:id="18" w:name="_Toc374003644"/>
      <w:bookmarkStart w:id="19" w:name="_Toc190678810"/>
      <w:bookmarkStart w:id="20" w:name="_Toc22272"/>
      <w:bookmarkStart w:id="21" w:name="_Toc278027721"/>
      <w:bookmarkStart w:id="22" w:name="_Toc19460"/>
      <w:r>
        <w:rPr>
          <w:rFonts w:hint="eastAsia" w:ascii="仿宋" w:hAnsi="仿宋" w:eastAsia="仿宋" w:cs="仿宋"/>
          <w:color w:val="auto"/>
          <w:sz w:val="21"/>
          <w:szCs w:val="21"/>
          <w:highlight w:val="none"/>
        </w:rPr>
        <w:t>1.总则</w:t>
      </w:r>
      <w:bookmarkEnd w:id="17"/>
      <w:bookmarkEnd w:id="18"/>
      <w:bookmarkEnd w:id="19"/>
      <w:bookmarkEnd w:id="20"/>
      <w:bookmarkEnd w:id="21"/>
      <w:bookmarkEnd w:id="22"/>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23" w:name="_Toc16998"/>
      <w:bookmarkStart w:id="24" w:name="_Toc17930"/>
      <w:r>
        <w:rPr>
          <w:rFonts w:hint="eastAsia" w:ascii="仿宋" w:hAnsi="仿宋" w:eastAsia="仿宋" w:cs="仿宋"/>
          <w:b/>
          <w:color w:val="auto"/>
          <w:sz w:val="21"/>
          <w:szCs w:val="21"/>
          <w:highlight w:val="none"/>
        </w:rPr>
        <w:t>1.1项目概况</w:t>
      </w:r>
      <w:bookmarkEnd w:id="23"/>
      <w:bookmarkEnd w:id="24"/>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1.1.1根据《中华人民共和国政府采购法》、《政府采购竞争性磋商采购方式管理暂行办法》等有关法律、法规和规章的规定，本采购项目已具备采购条件，现对本项目进行竞争性磋商。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1.1.2采购人：见供应商须知前附表。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1.1.3采购代理机构：见供应商须知前附表。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1.1.4项目名称：见供应商须知前附表。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1.1.5项目实施地点：见供应商须知前附表。</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25" w:name="_Toc20489"/>
      <w:bookmarkStart w:id="26" w:name="_Toc4575"/>
      <w:r>
        <w:rPr>
          <w:rFonts w:hint="eastAsia" w:ascii="仿宋" w:hAnsi="仿宋" w:eastAsia="仿宋" w:cs="仿宋"/>
          <w:b/>
          <w:color w:val="auto"/>
          <w:sz w:val="21"/>
          <w:szCs w:val="21"/>
          <w:highlight w:val="none"/>
        </w:rPr>
        <w:t>1.2资金来源和落实情况</w:t>
      </w:r>
      <w:bookmarkEnd w:id="25"/>
      <w:bookmarkEnd w:id="26"/>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1.2.1资金来源：见供应商须知前附表。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1.2.2资金落实情况：见供应商须知前附表。</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27" w:name="_Toc11912"/>
      <w:bookmarkStart w:id="28" w:name="_Toc7682"/>
      <w:r>
        <w:rPr>
          <w:rFonts w:hint="eastAsia" w:ascii="仿宋" w:hAnsi="仿宋" w:eastAsia="仿宋" w:cs="仿宋"/>
          <w:b/>
          <w:color w:val="auto"/>
          <w:sz w:val="21"/>
          <w:szCs w:val="21"/>
          <w:highlight w:val="none"/>
        </w:rPr>
        <w:t>1.3采购范围、工期要求、质量要求、磋商有效期</w:t>
      </w:r>
      <w:bookmarkEnd w:id="27"/>
      <w:bookmarkEnd w:id="28"/>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1.3.1采购范围：见供应商须知前附表。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1.3.2工期要求：见供应商须知前附表。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1.3.3质量要求：见供应商须知前附表。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1.3.4磋商有效期：见供应商须知前附表。</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29" w:name="_Toc13535"/>
      <w:bookmarkStart w:id="30" w:name="_Toc12169"/>
      <w:r>
        <w:rPr>
          <w:rFonts w:hint="eastAsia" w:ascii="仿宋" w:hAnsi="仿宋" w:eastAsia="仿宋" w:cs="仿宋"/>
          <w:b/>
          <w:color w:val="auto"/>
          <w:sz w:val="21"/>
          <w:szCs w:val="21"/>
          <w:highlight w:val="none"/>
        </w:rPr>
        <w:t>1.4供应商资格要求</w:t>
      </w:r>
      <w:bookmarkEnd w:id="29"/>
      <w:bookmarkEnd w:id="30"/>
    </w:p>
    <w:p>
      <w:pPr>
        <w:pStyle w:val="26"/>
        <w:pageBreakBefore w:val="0"/>
        <w:kinsoku/>
        <w:overflowPunct/>
        <w:bidi w:val="0"/>
        <w:snapToGrid w:val="0"/>
        <w:spacing w:line="360" w:lineRule="auto"/>
        <w:ind w:firstLine="420" w:firstLineChars="20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1.4.1供应商应具备承担本项目的资质条件、能力和信誉：见供应商须知前附表。</w:t>
      </w:r>
    </w:p>
    <w:p>
      <w:pPr>
        <w:pStyle w:val="26"/>
        <w:pageBreakBefore w:val="0"/>
        <w:kinsoku/>
        <w:overflowPunct/>
        <w:bidi w:val="0"/>
        <w:snapToGrid w:val="0"/>
        <w:spacing w:line="360" w:lineRule="auto"/>
        <w:ind w:firstLine="420" w:firstLineChars="20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1.4.2供应商不得存在下列情形之一： </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（1）为采购人不具有独立法人资格的附属机构（单位）；</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（2）为本采购项目的代建人；</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（3）为本采购项目提供招标代理服务的；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（4）与本采购项目的代建人或采购代理机构同为一个法定代表人的；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（5）与本采购项目的代建人或采购代理机构相互控股或参股的；</w:t>
      </w:r>
      <w:r>
        <w:rPr>
          <w:rFonts w:hint="eastAsia" w:ascii="仿宋" w:hAnsi="仿宋" w:eastAsia="仿宋" w:cs="仿宋"/>
          <w:color w:val="auto"/>
          <w:sz w:val="21"/>
          <w:szCs w:val="21"/>
          <w:highlight w:val="none"/>
        </w:rPr>
        <w:tab/>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（6）与本采购项目的代建人或采购代理机构相互任职或工作的；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（7）被责令停业的；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（8）被暂停或取消投标资格的；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（9）财产被接管或冻结的；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（10）在最近三年内有骗取中标或严重违约或重大工程质量问题的。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（11）单位负责人为同一人或者存在控股、管理关系的不同单位，不得同时参加本采购项目。</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31" w:name="_Toc24895"/>
      <w:bookmarkStart w:id="32" w:name="_Toc32167"/>
      <w:r>
        <w:rPr>
          <w:rFonts w:hint="eastAsia" w:ascii="仿宋" w:hAnsi="仿宋" w:eastAsia="仿宋" w:cs="仿宋"/>
          <w:b/>
          <w:color w:val="auto"/>
          <w:sz w:val="21"/>
          <w:szCs w:val="21"/>
          <w:highlight w:val="none"/>
        </w:rPr>
        <w:t>1.5费用承担</w:t>
      </w:r>
      <w:bookmarkEnd w:id="31"/>
      <w:bookmarkEnd w:id="32"/>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供应商准备和参加磋商活动发生的所有费用自理。</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33" w:name="_Toc20321"/>
      <w:bookmarkStart w:id="34" w:name="_Toc32166"/>
      <w:r>
        <w:rPr>
          <w:rFonts w:hint="eastAsia" w:ascii="仿宋" w:hAnsi="仿宋" w:eastAsia="仿宋" w:cs="仿宋"/>
          <w:b/>
          <w:color w:val="auto"/>
          <w:sz w:val="21"/>
          <w:szCs w:val="21"/>
          <w:highlight w:val="none"/>
        </w:rPr>
        <w:t>1.6保密</w:t>
      </w:r>
      <w:bookmarkEnd w:id="33"/>
      <w:bookmarkEnd w:id="34"/>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参与磋商活动的各方应对竞争性磋商文件和响应文件中的经济和技术等秘密保密，否则应对由此造成的后果承担法律责任。</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35" w:name="_Toc22241"/>
      <w:bookmarkStart w:id="36" w:name="_Toc10070"/>
      <w:r>
        <w:rPr>
          <w:rFonts w:hint="eastAsia" w:ascii="仿宋" w:hAnsi="仿宋" w:eastAsia="仿宋" w:cs="仿宋"/>
          <w:b/>
          <w:color w:val="auto"/>
          <w:sz w:val="21"/>
          <w:szCs w:val="21"/>
          <w:highlight w:val="none"/>
        </w:rPr>
        <w:t>1.7语言文字</w:t>
      </w:r>
      <w:bookmarkEnd w:id="35"/>
      <w:bookmarkEnd w:id="36"/>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采购响应文件使用的语言文字为中文。专用术语使用外文的，应附有中文注释。</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37" w:name="_Toc17198"/>
      <w:bookmarkStart w:id="38" w:name="_Toc30620"/>
      <w:r>
        <w:rPr>
          <w:rFonts w:hint="eastAsia" w:ascii="仿宋" w:hAnsi="仿宋" w:eastAsia="仿宋" w:cs="仿宋"/>
          <w:b/>
          <w:color w:val="auto"/>
          <w:sz w:val="21"/>
          <w:szCs w:val="21"/>
          <w:highlight w:val="none"/>
        </w:rPr>
        <w:t>1.8计量单位</w:t>
      </w:r>
      <w:bookmarkEnd w:id="37"/>
      <w:bookmarkEnd w:id="38"/>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所有计量均采用中华人民共和国法定计量单位。</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39" w:name="_Toc10471"/>
      <w:bookmarkStart w:id="40" w:name="_Toc8986"/>
      <w:r>
        <w:rPr>
          <w:rFonts w:hint="eastAsia" w:ascii="仿宋" w:hAnsi="仿宋" w:eastAsia="仿宋" w:cs="仿宋"/>
          <w:b/>
          <w:color w:val="auto"/>
          <w:sz w:val="21"/>
          <w:szCs w:val="21"/>
          <w:highlight w:val="none"/>
        </w:rPr>
        <w:t>1.9踏勘现场</w:t>
      </w:r>
      <w:bookmarkEnd w:id="39"/>
      <w:bookmarkEnd w:id="40"/>
    </w:p>
    <w:p>
      <w:pPr>
        <w:pStyle w:val="26"/>
        <w:pageBreakBefore w:val="0"/>
        <w:kinsoku/>
        <w:overflowPunct/>
        <w:bidi w:val="0"/>
        <w:snapToGrid w:val="0"/>
        <w:spacing w:line="360" w:lineRule="auto"/>
        <w:ind w:firstLine="420" w:firstLineChars="200"/>
        <w:rPr>
          <w:rFonts w:ascii="仿宋" w:hAnsi="仿宋" w:eastAsia="仿宋" w:cs="仿宋"/>
          <w:bCs/>
          <w:color w:val="auto"/>
          <w:highlight w:val="none"/>
        </w:rPr>
      </w:pPr>
      <w:r>
        <w:rPr>
          <w:rFonts w:hint="eastAsia" w:ascii="仿宋" w:hAnsi="仿宋" w:eastAsia="仿宋" w:cs="仿宋"/>
          <w:bCs/>
          <w:color w:val="auto"/>
          <w:sz w:val="21"/>
          <w:szCs w:val="21"/>
          <w:highlight w:val="none"/>
        </w:rPr>
        <w:t>不组织</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41" w:name="_Toc28423"/>
      <w:bookmarkStart w:id="42" w:name="_Toc11887"/>
      <w:r>
        <w:rPr>
          <w:rFonts w:hint="eastAsia" w:ascii="仿宋" w:hAnsi="仿宋" w:eastAsia="仿宋" w:cs="仿宋"/>
          <w:b/>
          <w:color w:val="auto"/>
          <w:sz w:val="21"/>
          <w:szCs w:val="21"/>
          <w:highlight w:val="none"/>
        </w:rPr>
        <w:t>1.10磋商预备会</w:t>
      </w:r>
      <w:bookmarkEnd w:id="41"/>
      <w:bookmarkEnd w:id="42"/>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bookmarkStart w:id="43" w:name="_Toc31447"/>
      <w:r>
        <w:rPr>
          <w:rFonts w:hint="eastAsia" w:ascii="仿宋" w:hAnsi="仿宋" w:eastAsia="仿宋" w:cs="仿宋"/>
          <w:color w:val="auto"/>
          <w:sz w:val="21"/>
          <w:szCs w:val="21"/>
          <w:highlight w:val="none"/>
        </w:rPr>
        <w:t>见供应商须知前附表规定。</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44" w:name="_Toc4435"/>
      <w:r>
        <w:rPr>
          <w:rFonts w:hint="eastAsia" w:ascii="仿宋" w:hAnsi="仿宋" w:eastAsia="仿宋" w:cs="仿宋"/>
          <w:b/>
          <w:color w:val="auto"/>
          <w:sz w:val="21"/>
          <w:szCs w:val="21"/>
          <w:highlight w:val="none"/>
        </w:rPr>
        <w:t>1.11偏离</w:t>
      </w:r>
      <w:bookmarkEnd w:id="43"/>
      <w:bookmarkEnd w:id="44"/>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bookmarkStart w:id="45" w:name="_Toc278027722"/>
      <w:r>
        <w:rPr>
          <w:rFonts w:hint="eastAsia" w:ascii="仿宋" w:hAnsi="仿宋" w:eastAsia="仿宋" w:cs="仿宋"/>
          <w:color w:val="auto"/>
          <w:sz w:val="21"/>
          <w:szCs w:val="21"/>
          <w:highlight w:val="none"/>
        </w:rPr>
        <w:t>不允许偏离。</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46" w:name="_Toc15192"/>
      <w:bookmarkStart w:id="47" w:name="_Toc1111"/>
      <w:r>
        <w:rPr>
          <w:rFonts w:hint="eastAsia" w:ascii="仿宋" w:hAnsi="仿宋" w:eastAsia="仿宋" w:cs="仿宋"/>
          <w:b/>
          <w:color w:val="auto"/>
          <w:sz w:val="21"/>
          <w:szCs w:val="21"/>
          <w:highlight w:val="none"/>
        </w:rPr>
        <w:t>1.12 分包</w:t>
      </w:r>
      <w:bookmarkEnd w:id="46"/>
      <w:bookmarkEnd w:id="47"/>
    </w:p>
    <w:p>
      <w:pPr>
        <w:pStyle w:val="26"/>
        <w:pageBreakBefore w:val="0"/>
        <w:kinsoku/>
        <w:overflowPunct/>
        <w:bidi w:val="0"/>
        <w:snapToGrid w:val="0"/>
        <w:spacing w:line="360" w:lineRule="auto"/>
        <w:ind w:firstLine="420" w:firstLineChars="200"/>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不允许分包。</w:t>
      </w:r>
    </w:p>
    <w:p>
      <w:pPr>
        <w:pStyle w:val="4"/>
        <w:pageBreakBefore w:val="0"/>
        <w:kinsoku/>
        <w:overflowPunct/>
        <w:bidi w:val="0"/>
        <w:snapToGrid w:val="0"/>
        <w:spacing w:line="360" w:lineRule="auto"/>
        <w:rPr>
          <w:rFonts w:ascii="仿宋" w:hAnsi="仿宋" w:eastAsia="仿宋" w:cs="仿宋"/>
          <w:color w:val="auto"/>
          <w:sz w:val="21"/>
          <w:szCs w:val="21"/>
          <w:highlight w:val="none"/>
        </w:rPr>
      </w:pPr>
      <w:bookmarkStart w:id="48" w:name="_Toc30168"/>
      <w:bookmarkStart w:id="49" w:name="_Toc374003645"/>
      <w:bookmarkStart w:id="50" w:name="_Toc13761"/>
      <w:r>
        <w:rPr>
          <w:rFonts w:hint="eastAsia" w:ascii="仿宋" w:hAnsi="仿宋" w:eastAsia="仿宋" w:cs="仿宋"/>
          <w:color w:val="auto"/>
          <w:sz w:val="21"/>
          <w:szCs w:val="21"/>
          <w:highlight w:val="none"/>
        </w:rPr>
        <w:t>2.竞争性磋商文件</w:t>
      </w:r>
      <w:bookmarkEnd w:id="45"/>
      <w:bookmarkEnd w:id="48"/>
      <w:bookmarkEnd w:id="49"/>
      <w:bookmarkEnd w:id="50"/>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51" w:name="_Toc31120"/>
      <w:bookmarkStart w:id="52" w:name="_Toc19134"/>
      <w:r>
        <w:rPr>
          <w:rFonts w:hint="eastAsia" w:ascii="仿宋" w:hAnsi="仿宋" w:eastAsia="仿宋" w:cs="仿宋"/>
          <w:b/>
          <w:color w:val="auto"/>
          <w:sz w:val="21"/>
          <w:szCs w:val="21"/>
          <w:highlight w:val="none"/>
        </w:rPr>
        <w:t>2.1竞争性磋商文件的组成</w:t>
      </w:r>
      <w:bookmarkEnd w:id="51"/>
      <w:bookmarkEnd w:id="52"/>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2.1.1本竞争性磋商文件包括：</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（1）竞争性磋商公告；</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（2）供应商须知；</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（3）评审办法（综合评分法）；</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（4）合同主要条款及格式；</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（5）工程量清单及图纸；</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响应文件格式。</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bookmarkStart w:id="53" w:name="_Toc5516"/>
      <w:r>
        <w:rPr>
          <w:rFonts w:hint="eastAsia" w:ascii="仿宋" w:hAnsi="仿宋" w:eastAsia="仿宋" w:cs="仿宋"/>
          <w:color w:val="auto"/>
          <w:sz w:val="21"/>
          <w:szCs w:val="21"/>
          <w:highlight w:val="none"/>
        </w:rPr>
        <w:t>2.1.2根据本章第2.1款对竞争性磋商文件所作的澄清、修改，构成竞争性磋商文件的组成部分。</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54" w:name="_Toc32691"/>
      <w:r>
        <w:rPr>
          <w:rFonts w:hint="eastAsia" w:ascii="仿宋" w:hAnsi="仿宋" w:eastAsia="仿宋" w:cs="仿宋"/>
          <w:b/>
          <w:color w:val="auto"/>
          <w:sz w:val="21"/>
          <w:szCs w:val="21"/>
          <w:highlight w:val="none"/>
        </w:rPr>
        <w:t>2.2竞争性磋商文件的澄清</w:t>
      </w:r>
      <w:bookmarkEnd w:id="53"/>
      <w:bookmarkEnd w:id="54"/>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bookmarkStart w:id="55" w:name="_Toc5271"/>
      <w:r>
        <w:rPr>
          <w:rFonts w:hint="eastAsia" w:ascii="仿宋" w:hAnsi="仿宋" w:eastAsia="仿宋" w:cs="仿宋"/>
          <w:color w:val="auto"/>
          <w:sz w:val="21"/>
          <w:szCs w:val="21"/>
          <w:highlight w:val="none"/>
        </w:rPr>
        <w:t>2.2.1供应商应仔细阅读和检查竞争性磋商文件的全部内容。如发现缺页或附件不全，应及时向采购人提出，以便补齐。如有疑问，应在供应商须知前附表规定的时间前要求采购人对竞争性磋商文件予以澄清，如不提出，视为接受竞争性磋商文件所有内容。</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2.2.2 竞争性磋商文件的澄清将在河南省公共资源交易中心系统中发布，但不指明澄清问题的来源。如果澄清发出的时间距磋商须知前附表规定的磋商截止时间不足5日，并且澄清内容影响响应文件编制的，将相应延长磋商截止时间。</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56" w:name="_Toc11144"/>
      <w:r>
        <w:rPr>
          <w:rFonts w:hint="eastAsia" w:ascii="仿宋" w:hAnsi="仿宋" w:eastAsia="仿宋" w:cs="仿宋"/>
          <w:b/>
          <w:color w:val="auto"/>
          <w:sz w:val="21"/>
          <w:szCs w:val="21"/>
          <w:highlight w:val="none"/>
        </w:rPr>
        <w:t>2.3竞争性磋商文件的修改</w:t>
      </w:r>
      <w:bookmarkEnd w:id="55"/>
      <w:bookmarkEnd w:id="56"/>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bookmarkStart w:id="57" w:name="_Toc278027723"/>
      <w:r>
        <w:rPr>
          <w:rFonts w:hint="eastAsia" w:ascii="仿宋" w:hAnsi="仿宋" w:eastAsia="仿宋" w:cs="仿宋"/>
          <w:color w:val="auto"/>
          <w:sz w:val="21"/>
          <w:szCs w:val="21"/>
          <w:highlight w:val="none"/>
        </w:rPr>
        <w:t>2.3.1采购人可以修改竞争性磋商文件，并通知所有已下载竞争性磋商文件的供应商。但如果修改竞争性磋商文件的时间距磋商截止时间不足5日，并且修改内容影响响应文件编制的，将相应延长磋商截止时间。</w:t>
      </w:r>
    </w:p>
    <w:p>
      <w:pPr>
        <w:pStyle w:val="4"/>
        <w:pageBreakBefore w:val="0"/>
        <w:kinsoku/>
        <w:overflowPunct/>
        <w:bidi w:val="0"/>
        <w:snapToGrid w:val="0"/>
        <w:spacing w:line="360" w:lineRule="auto"/>
        <w:rPr>
          <w:rFonts w:ascii="仿宋" w:hAnsi="仿宋" w:eastAsia="仿宋" w:cs="仿宋"/>
          <w:color w:val="auto"/>
          <w:sz w:val="21"/>
          <w:szCs w:val="21"/>
          <w:highlight w:val="none"/>
        </w:rPr>
      </w:pPr>
      <w:bookmarkStart w:id="58" w:name="_Toc1348"/>
      <w:bookmarkStart w:id="59" w:name="_Toc5240"/>
      <w:bookmarkStart w:id="60" w:name="_Toc374003646"/>
      <w:r>
        <w:rPr>
          <w:rFonts w:hint="eastAsia" w:ascii="仿宋" w:hAnsi="仿宋" w:eastAsia="仿宋" w:cs="仿宋"/>
          <w:color w:val="auto"/>
          <w:sz w:val="21"/>
          <w:szCs w:val="21"/>
          <w:highlight w:val="none"/>
        </w:rPr>
        <w:t>3.响应文件</w:t>
      </w:r>
      <w:bookmarkEnd w:id="57"/>
      <w:bookmarkEnd w:id="58"/>
      <w:bookmarkEnd w:id="59"/>
      <w:bookmarkEnd w:id="60"/>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61" w:name="_Toc21438"/>
      <w:bookmarkStart w:id="62" w:name="_Toc24265"/>
      <w:bookmarkStart w:id="63" w:name="_Toc256588232"/>
      <w:bookmarkStart w:id="64" w:name="_Toc256588817"/>
      <w:bookmarkStart w:id="65" w:name="_Toc279565660"/>
      <w:r>
        <w:rPr>
          <w:rFonts w:hint="eastAsia" w:ascii="仿宋" w:hAnsi="仿宋" w:eastAsia="仿宋" w:cs="仿宋"/>
          <w:b/>
          <w:color w:val="auto"/>
          <w:sz w:val="21"/>
          <w:szCs w:val="21"/>
          <w:highlight w:val="none"/>
        </w:rPr>
        <w:t>3.1响应文件的组成</w:t>
      </w:r>
      <w:bookmarkEnd w:id="61"/>
      <w:bookmarkEnd w:id="62"/>
    </w:p>
    <w:bookmarkEnd w:id="63"/>
    <w:bookmarkEnd w:id="64"/>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bookmarkStart w:id="66" w:name="_Toc256588233"/>
      <w:bookmarkStart w:id="67" w:name="_Toc256588818"/>
      <w:bookmarkStart w:id="68" w:name="_Toc278027724"/>
      <w:r>
        <w:rPr>
          <w:rFonts w:hint="eastAsia" w:ascii="仿宋" w:hAnsi="仿宋" w:eastAsia="仿宋" w:cs="仿宋"/>
          <w:color w:val="auto"/>
          <w:sz w:val="21"/>
          <w:szCs w:val="21"/>
          <w:highlight w:val="none"/>
        </w:rPr>
        <w:t>（1）磋商函及磋商函附录；</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（2）法定代表人身份证明；</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（3）授权委托书；</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（4）磋商保证金；</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（5）已标价工程量清单；</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（6）施工组织</w:t>
      </w:r>
      <w:r>
        <w:rPr>
          <w:rFonts w:hint="eastAsia" w:ascii="仿宋" w:hAnsi="仿宋" w:eastAsia="仿宋" w:cs="仿宋"/>
          <w:color w:val="auto"/>
          <w:sz w:val="21"/>
          <w:szCs w:val="21"/>
          <w:highlight w:val="none"/>
          <w:lang w:eastAsia="zh-CN"/>
        </w:rPr>
        <w:t>设计</w:t>
      </w:r>
      <w:r>
        <w:rPr>
          <w:rFonts w:hint="eastAsia" w:ascii="仿宋" w:hAnsi="仿宋" w:eastAsia="仿宋" w:cs="仿宋"/>
          <w:color w:val="auto"/>
          <w:sz w:val="21"/>
          <w:szCs w:val="21"/>
          <w:highlight w:val="none"/>
        </w:rPr>
        <w:t>；</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（7）资格审查资料；</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（8）项目管理机构；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（9）其他资料；</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69" w:name="_Toc5952"/>
      <w:bookmarkStart w:id="70" w:name="_Toc20775"/>
      <w:r>
        <w:rPr>
          <w:rFonts w:hint="eastAsia" w:ascii="仿宋" w:hAnsi="仿宋" w:eastAsia="仿宋" w:cs="仿宋"/>
          <w:b/>
          <w:bCs/>
          <w:color w:val="auto"/>
          <w:kern w:val="0"/>
          <w:sz w:val="21"/>
          <w:szCs w:val="21"/>
          <w:highlight w:val="none"/>
        </w:rPr>
        <w:t>3.2</w:t>
      </w:r>
      <w:bookmarkEnd w:id="66"/>
      <w:bookmarkEnd w:id="67"/>
      <w:bookmarkEnd w:id="68"/>
      <w:r>
        <w:rPr>
          <w:rFonts w:hint="eastAsia" w:ascii="仿宋" w:hAnsi="仿宋" w:eastAsia="仿宋" w:cs="仿宋"/>
          <w:b/>
          <w:bCs/>
          <w:color w:val="auto"/>
          <w:kern w:val="0"/>
          <w:sz w:val="21"/>
          <w:szCs w:val="21"/>
          <w:highlight w:val="none"/>
        </w:rPr>
        <w:t>.</w:t>
      </w:r>
      <w:r>
        <w:rPr>
          <w:rFonts w:hint="eastAsia" w:ascii="仿宋" w:hAnsi="仿宋" w:eastAsia="仿宋" w:cs="仿宋"/>
          <w:b/>
          <w:color w:val="auto"/>
          <w:sz w:val="21"/>
          <w:szCs w:val="21"/>
          <w:highlight w:val="none"/>
        </w:rPr>
        <w:t>供应商报价</w:t>
      </w:r>
      <w:bookmarkEnd w:id="69"/>
      <w:bookmarkEnd w:id="70"/>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3.2.1供应商的报价应含包括完成该工程项目的直接费、间接费、利润、税金、风险费等所有费用。最终磋商报价为签订合同的依据。</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3.2.2除政策性文件规定以外，供应商所报价格在合同实施期间不因市场变化因素而变动。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3.2.3供应商在磋商截止时间前修改磋商报价，应同时修改相应的报价。</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3.2.4本项目磋商报价采用的币种为人民币，合同实施时亦以人民币支付。</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71" w:name="_Toc9232"/>
      <w:bookmarkStart w:id="72" w:name="_Toc25161"/>
      <w:r>
        <w:rPr>
          <w:rFonts w:hint="eastAsia" w:ascii="仿宋" w:hAnsi="仿宋" w:eastAsia="仿宋" w:cs="仿宋"/>
          <w:b/>
          <w:color w:val="auto"/>
          <w:sz w:val="21"/>
          <w:szCs w:val="21"/>
          <w:highlight w:val="none"/>
        </w:rPr>
        <w:t>3.3.磋商有效期</w:t>
      </w:r>
      <w:bookmarkEnd w:id="71"/>
      <w:bookmarkEnd w:id="72"/>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3.3.1 除供应商须知前附表另有规定外，磋商有效期为自递交响应文件截止之日起60日历天。</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3.3.2在磋商有效期内，供应商撤销或修改其响应文件的，应承担竞争性磋商文件和法律规定的责任。</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3.3.3出现特殊情况需要延长磋商有效期的，采购人通知所有供应商延长磋商有效期。供应商同意延长的，但不得要求或被允许修改或撤销其响应文件；供应商拒绝延长的，其投标失效。</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73" w:name="_Toc26863"/>
      <w:bookmarkStart w:id="74" w:name="_Toc4985"/>
      <w:r>
        <w:rPr>
          <w:rFonts w:hint="eastAsia" w:ascii="仿宋" w:hAnsi="仿宋" w:eastAsia="仿宋" w:cs="仿宋"/>
          <w:b/>
          <w:color w:val="auto"/>
          <w:sz w:val="21"/>
          <w:szCs w:val="21"/>
          <w:highlight w:val="none"/>
        </w:rPr>
        <w:t>3.4.磋商保证金</w:t>
      </w:r>
      <w:bookmarkEnd w:id="73"/>
      <w:bookmarkEnd w:id="74"/>
    </w:p>
    <w:p>
      <w:pPr>
        <w:pageBreakBefore w:val="0"/>
        <w:kinsoku/>
        <w:overflowPunct/>
        <w:autoSpaceDE w:val="0"/>
        <w:autoSpaceDN w:val="0"/>
        <w:bidi w:val="0"/>
        <w:adjustRightInd w:val="0"/>
        <w:snapToGrid w:val="0"/>
        <w:spacing w:line="360" w:lineRule="auto"/>
        <w:ind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本项目无需缴纳磋商保证金，但供应商须提供承诺函，承诺函内容如下：</w:t>
      </w:r>
    </w:p>
    <w:p>
      <w:pPr>
        <w:pageBreakBefore w:val="0"/>
        <w:kinsoku/>
        <w:overflowPunct/>
        <w:autoSpaceDE w:val="0"/>
        <w:autoSpaceDN w:val="0"/>
        <w:bidi w:val="0"/>
        <w:adjustRightInd w:val="0"/>
        <w:snapToGrid w:val="0"/>
        <w:spacing w:line="360" w:lineRule="auto"/>
        <w:ind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为参与本项目政府采购采购活动，我单位郑重承诺：</w:t>
      </w:r>
    </w:p>
    <w:p>
      <w:pPr>
        <w:pageBreakBefore w:val="0"/>
        <w:kinsoku/>
        <w:overflowPunct/>
        <w:autoSpaceDE w:val="0"/>
        <w:autoSpaceDN w:val="0"/>
        <w:bidi w:val="0"/>
        <w:adjustRightInd w:val="0"/>
        <w:snapToGrid w:val="0"/>
        <w:spacing w:line="360" w:lineRule="auto"/>
        <w:jc w:val="left"/>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（1）在规定的磋商有效期内不撤销或修改响应文件；</w:t>
      </w:r>
    </w:p>
    <w:p>
      <w:pPr>
        <w:pageBreakBefore w:val="0"/>
        <w:kinsoku/>
        <w:overflowPunct/>
        <w:autoSpaceDE w:val="0"/>
        <w:autoSpaceDN w:val="0"/>
        <w:bidi w:val="0"/>
        <w:adjustRightInd w:val="0"/>
        <w:snapToGrid w:val="0"/>
        <w:spacing w:line="360" w:lineRule="auto"/>
        <w:jc w:val="left"/>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（2）若我单位中标，在收到成交通知书后，不以不正当理由拒签合同协议书或不按时交纳履约保证金；</w:t>
      </w:r>
    </w:p>
    <w:p>
      <w:pPr>
        <w:pageBreakBefore w:val="0"/>
        <w:kinsoku/>
        <w:overflowPunct/>
        <w:bidi w:val="0"/>
        <w:snapToGrid w:val="0"/>
        <w:spacing w:line="360" w:lineRule="auto"/>
        <w:ind w:firstLine="420" w:firstLineChars="200"/>
        <w:rPr>
          <w:rFonts w:ascii="仿宋" w:hAnsi="仿宋" w:eastAsia="仿宋" w:cs="仿宋"/>
          <w:color w:val="auto"/>
          <w:sz w:val="24"/>
          <w:highlight w:val="none"/>
        </w:rPr>
      </w:pPr>
      <w:r>
        <w:rPr>
          <w:rFonts w:hint="eastAsia" w:ascii="仿宋" w:hAnsi="仿宋" w:eastAsia="仿宋" w:cs="仿宋"/>
          <w:color w:val="auto"/>
          <w:kern w:val="0"/>
          <w:sz w:val="21"/>
          <w:szCs w:val="21"/>
          <w:highlight w:val="none"/>
          <w:lang w:bidi="ar"/>
        </w:rPr>
        <w:t>若违反以上承诺，我单位自愿向采购人缴纳本项目采购控制价2%的罚金，并由此引起的一切后果及法律责任均由我单位承担。</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75" w:name="_Toc6720"/>
      <w:bookmarkStart w:id="76" w:name="_Toc25704"/>
      <w:r>
        <w:rPr>
          <w:rFonts w:hint="eastAsia" w:ascii="仿宋" w:hAnsi="仿宋" w:eastAsia="仿宋" w:cs="仿宋"/>
          <w:b/>
          <w:color w:val="auto"/>
          <w:sz w:val="21"/>
          <w:szCs w:val="21"/>
          <w:highlight w:val="none"/>
        </w:rPr>
        <w:t>3.5.资格审查资料</w:t>
      </w:r>
      <w:bookmarkEnd w:id="75"/>
      <w:bookmarkEnd w:id="76"/>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bookmarkStart w:id="77" w:name="_Toc12208"/>
      <w:r>
        <w:rPr>
          <w:rFonts w:hint="eastAsia" w:ascii="仿宋" w:hAnsi="仿宋" w:eastAsia="仿宋" w:cs="仿宋"/>
          <w:color w:val="auto"/>
          <w:sz w:val="21"/>
          <w:szCs w:val="21"/>
          <w:highlight w:val="none"/>
        </w:rPr>
        <w:t>详见第三章评审办法。</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78" w:name="_Toc7829"/>
      <w:r>
        <w:rPr>
          <w:rFonts w:hint="eastAsia" w:ascii="仿宋" w:hAnsi="仿宋" w:eastAsia="仿宋" w:cs="仿宋"/>
          <w:b/>
          <w:color w:val="auto"/>
          <w:sz w:val="21"/>
          <w:szCs w:val="21"/>
          <w:highlight w:val="none"/>
        </w:rPr>
        <w:t>3.6.响应文件的编制</w:t>
      </w:r>
      <w:bookmarkEnd w:id="77"/>
      <w:bookmarkEnd w:id="78"/>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3.6.1.响应文件应按第</w:t>
      </w: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章“响应文件格式”进行编写，如有必要，可以增加附页，作为响应文件的组成部分。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3.6.2. 响应文件应当对竞争性磋商文件有关磋商有效期、质量要求、工期要求、等实质性内容作出响应。</w:t>
      </w:r>
    </w:p>
    <w:p>
      <w:pPr>
        <w:pageBreakBefore w:val="0"/>
        <w:kinsoku/>
        <w:overflowPunct/>
        <w:bidi w:val="0"/>
        <w:snapToGrid w:val="0"/>
        <w:spacing w:line="360" w:lineRule="auto"/>
        <w:ind w:firstLine="420" w:firstLineChars="2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3.6.3.响应文件应由供应商的法定代表人或其委托代理人签字或盖章并加盖单位章。委托代理人签字或盖章的，响应文件应附法定代表人签署的授权委托书</w:t>
      </w:r>
      <w:r>
        <w:rPr>
          <w:rFonts w:hint="eastAsia" w:ascii="仿宋" w:hAnsi="仿宋" w:eastAsia="仿宋" w:cs="仿宋"/>
          <w:bCs/>
          <w:color w:val="auto"/>
          <w:sz w:val="21"/>
          <w:szCs w:val="21"/>
          <w:highlight w:val="none"/>
        </w:rPr>
        <w:t>。</w:t>
      </w:r>
      <w:bookmarkStart w:id="79" w:name="_Toc278027735"/>
    </w:p>
    <w:p>
      <w:pPr>
        <w:pStyle w:val="4"/>
        <w:pageBreakBefore w:val="0"/>
        <w:kinsoku/>
        <w:overflowPunct/>
        <w:bidi w:val="0"/>
        <w:snapToGrid w:val="0"/>
        <w:spacing w:line="360" w:lineRule="auto"/>
        <w:rPr>
          <w:rFonts w:ascii="仿宋" w:hAnsi="仿宋" w:eastAsia="仿宋" w:cs="仿宋"/>
          <w:color w:val="auto"/>
          <w:sz w:val="21"/>
          <w:szCs w:val="21"/>
          <w:highlight w:val="none"/>
        </w:rPr>
      </w:pPr>
      <w:bookmarkStart w:id="80" w:name="_Toc16521"/>
      <w:bookmarkStart w:id="81" w:name="_Toc4339"/>
      <w:bookmarkStart w:id="82" w:name="_Toc374003647"/>
      <w:r>
        <w:rPr>
          <w:rFonts w:hint="eastAsia" w:ascii="仿宋" w:hAnsi="仿宋" w:eastAsia="仿宋" w:cs="仿宋"/>
          <w:color w:val="auto"/>
          <w:sz w:val="21"/>
          <w:szCs w:val="21"/>
          <w:highlight w:val="none"/>
        </w:rPr>
        <w:t>4</w:t>
      </w:r>
      <w:bookmarkEnd w:id="79"/>
      <w:r>
        <w:rPr>
          <w:rFonts w:hint="eastAsia" w:ascii="仿宋" w:hAnsi="仿宋" w:eastAsia="仿宋" w:cs="仿宋"/>
          <w:color w:val="auto"/>
          <w:sz w:val="21"/>
          <w:szCs w:val="21"/>
          <w:highlight w:val="none"/>
        </w:rPr>
        <w:t>.响应文件的提交</w:t>
      </w:r>
      <w:bookmarkEnd w:id="80"/>
      <w:bookmarkEnd w:id="81"/>
      <w:bookmarkEnd w:id="82"/>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83" w:name="_Toc28487"/>
      <w:bookmarkStart w:id="84" w:name="_Toc8962"/>
      <w:r>
        <w:rPr>
          <w:rFonts w:hint="eastAsia" w:ascii="仿宋" w:hAnsi="仿宋" w:eastAsia="仿宋" w:cs="仿宋"/>
          <w:b/>
          <w:color w:val="auto"/>
          <w:sz w:val="21"/>
          <w:szCs w:val="21"/>
          <w:highlight w:val="none"/>
        </w:rPr>
        <w:t>4.1响应文件的递交</w:t>
      </w:r>
      <w:bookmarkEnd w:id="83"/>
      <w:bookmarkEnd w:id="84"/>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供应商应在供应商须知前附表第 2.2.2 项规定的响应文件递交截止时间前递交响应文件。</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85" w:name="_Toc11176"/>
      <w:bookmarkStart w:id="86" w:name="_Toc25350"/>
      <w:r>
        <w:rPr>
          <w:rFonts w:hint="eastAsia" w:ascii="仿宋" w:hAnsi="仿宋" w:eastAsia="仿宋" w:cs="仿宋"/>
          <w:b/>
          <w:color w:val="auto"/>
          <w:sz w:val="21"/>
          <w:szCs w:val="21"/>
          <w:highlight w:val="none"/>
        </w:rPr>
        <w:t>4.2响应文件的修改与撤回</w:t>
      </w:r>
      <w:bookmarkEnd w:id="85"/>
      <w:bookmarkEnd w:id="86"/>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4.2.1在供应商须知前附表第 2.2.2 项规定的响应文件递交截止时间前，供应商可以修改或撤回已上传的响应文件。</w:t>
      </w:r>
    </w:p>
    <w:p>
      <w:pPr>
        <w:pStyle w:val="4"/>
        <w:pageBreakBefore w:val="0"/>
        <w:kinsoku/>
        <w:overflowPunct/>
        <w:bidi w:val="0"/>
        <w:snapToGrid w:val="0"/>
        <w:spacing w:line="360" w:lineRule="auto"/>
        <w:rPr>
          <w:rFonts w:ascii="仿宋" w:hAnsi="仿宋" w:eastAsia="仿宋" w:cs="仿宋"/>
          <w:color w:val="auto"/>
          <w:sz w:val="21"/>
          <w:szCs w:val="21"/>
          <w:highlight w:val="none"/>
        </w:rPr>
      </w:pPr>
      <w:bookmarkStart w:id="87" w:name="_Toc278027736"/>
      <w:bookmarkStart w:id="88" w:name="_Toc5981"/>
      <w:bookmarkStart w:id="89" w:name="_Toc374003648"/>
      <w:bookmarkStart w:id="90" w:name="_Toc27483"/>
      <w:r>
        <w:rPr>
          <w:rFonts w:hint="eastAsia" w:ascii="仿宋" w:hAnsi="仿宋" w:eastAsia="仿宋" w:cs="仿宋"/>
          <w:color w:val="auto"/>
          <w:sz w:val="21"/>
          <w:szCs w:val="21"/>
          <w:highlight w:val="none"/>
        </w:rPr>
        <w:t>5.</w:t>
      </w:r>
      <w:bookmarkEnd w:id="87"/>
      <w:r>
        <w:rPr>
          <w:rFonts w:hint="eastAsia" w:ascii="仿宋" w:hAnsi="仿宋" w:eastAsia="仿宋" w:cs="仿宋"/>
          <w:color w:val="auto"/>
          <w:sz w:val="21"/>
          <w:szCs w:val="21"/>
          <w:highlight w:val="none"/>
        </w:rPr>
        <w:t>磋商程序</w:t>
      </w:r>
      <w:bookmarkEnd w:id="88"/>
      <w:bookmarkEnd w:id="89"/>
      <w:bookmarkEnd w:id="90"/>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91" w:name="_Toc15587"/>
      <w:bookmarkStart w:id="92" w:name="_Toc15660"/>
      <w:r>
        <w:rPr>
          <w:rFonts w:hint="eastAsia" w:ascii="仿宋" w:hAnsi="仿宋" w:eastAsia="仿宋" w:cs="仿宋"/>
          <w:b/>
          <w:color w:val="auto"/>
          <w:sz w:val="21"/>
          <w:szCs w:val="21"/>
          <w:highlight w:val="none"/>
        </w:rPr>
        <w:t>5.1磋商时间和地点</w:t>
      </w:r>
      <w:bookmarkEnd w:id="91"/>
      <w:bookmarkEnd w:id="92"/>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见供应商须知前附表。</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93" w:name="_Toc31612"/>
      <w:bookmarkStart w:id="94" w:name="_Toc28881"/>
      <w:r>
        <w:rPr>
          <w:rFonts w:hint="eastAsia" w:ascii="仿宋" w:hAnsi="仿宋" w:eastAsia="仿宋" w:cs="仿宋"/>
          <w:b/>
          <w:color w:val="auto"/>
          <w:sz w:val="21"/>
          <w:szCs w:val="21"/>
          <w:highlight w:val="none"/>
        </w:rPr>
        <w:t>5.2.磋商程序</w:t>
      </w:r>
      <w:bookmarkEnd w:id="93"/>
      <w:bookmarkEnd w:id="94"/>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bookmarkStart w:id="95" w:name="_Toc278027737"/>
      <w:r>
        <w:rPr>
          <w:rFonts w:hint="eastAsia" w:ascii="仿宋" w:hAnsi="仿宋" w:eastAsia="仿宋" w:cs="仿宋"/>
          <w:color w:val="auto"/>
          <w:sz w:val="21"/>
          <w:szCs w:val="21"/>
          <w:highlight w:val="none"/>
        </w:rPr>
        <w:t>见供应商须知前附表。</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96" w:name="_Toc2228"/>
      <w:bookmarkStart w:id="97" w:name="_Toc3123"/>
      <w:r>
        <w:rPr>
          <w:rFonts w:hint="eastAsia" w:ascii="仿宋" w:hAnsi="仿宋" w:eastAsia="仿宋" w:cs="仿宋"/>
          <w:b/>
          <w:color w:val="auto"/>
          <w:sz w:val="21"/>
          <w:szCs w:val="21"/>
          <w:highlight w:val="none"/>
        </w:rPr>
        <w:t>5.3.磋商异议</w:t>
      </w:r>
      <w:bookmarkEnd w:id="96"/>
      <w:bookmarkEnd w:id="97"/>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供应商对磋商有异议的，应当在开标时提出。</w:t>
      </w:r>
    </w:p>
    <w:bookmarkEnd w:id="95"/>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98" w:name="_Toc26235"/>
      <w:bookmarkStart w:id="99" w:name="_Toc7745"/>
      <w:r>
        <w:rPr>
          <w:rFonts w:hint="eastAsia" w:ascii="仿宋" w:hAnsi="仿宋" w:eastAsia="仿宋" w:cs="仿宋"/>
          <w:b/>
          <w:color w:val="auto"/>
          <w:sz w:val="21"/>
          <w:szCs w:val="21"/>
          <w:highlight w:val="none"/>
        </w:rPr>
        <w:t>5.4.磋商小组</w:t>
      </w:r>
      <w:bookmarkEnd w:id="98"/>
      <w:bookmarkEnd w:id="99"/>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5.4.1磋商由采购人依法组建的磋商小组负责。磋商小组成员人数以及技术、经济等方面专家的确定方式见供应商须知前附表。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5.4.2磋商小组成员有下列情形之一的，应当回避：</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（1）供应商或供应商的主要负责人的近亲属；</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（2）项目主管部门或者行政监督部门的人员；</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（3）与供应商有经济利益关系，可能影响对磋商公正评审的；</w:t>
      </w:r>
    </w:p>
    <w:p>
      <w:pPr>
        <w:pageBreakBefore w:val="0"/>
        <w:kinsoku/>
        <w:overflowPunct/>
        <w:bidi w:val="0"/>
        <w:snapToGrid w:val="0"/>
        <w:spacing w:line="360" w:lineRule="auto"/>
        <w:ind w:firstLine="396" w:firstLineChars="200"/>
        <w:rPr>
          <w:rFonts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（4）曾因在招标、评标以及其他与招标投标有关活动中从事违法行为而受过行政处罚或刑事处罚的；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（5）与供应商有其他利害关系的。</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00" w:name="_Toc9457"/>
      <w:bookmarkStart w:id="101" w:name="_Toc7309"/>
      <w:r>
        <w:rPr>
          <w:rFonts w:hint="eastAsia" w:ascii="仿宋" w:hAnsi="仿宋" w:eastAsia="仿宋" w:cs="仿宋"/>
          <w:b/>
          <w:color w:val="auto"/>
          <w:sz w:val="21"/>
          <w:szCs w:val="21"/>
          <w:highlight w:val="none"/>
        </w:rPr>
        <w:t>5.5磋商原则</w:t>
      </w:r>
      <w:bookmarkEnd w:id="100"/>
      <w:bookmarkEnd w:id="101"/>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磋商活动遵循公平、公正、科学和择优的原则。</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02" w:name="_Toc32267"/>
      <w:bookmarkStart w:id="103" w:name="_Toc3336"/>
      <w:r>
        <w:rPr>
          <w:rFonts w:hint="eastAsia" w:ascii="仿宋" w:hAnsi="仿宋" w:eastAsia="仿宋" w:cs="仿宋"/>
          <w:b/>
          <w:color w:val="auto"/>
          <w:sz w:val="21"/>
          <w:szCs w:val="21"/>
          <w:highlight w:val="none"/>
        </w:rPr>
        <w:t>5.6磋商</w:t>
      </w:r>
      <w:bookmarkEnd w:id="102"/>
      <w:bookmarkEnd w:id="103"/>
    </w:p>
    <w:p>
      <w:pPr>
        <w:pageBreakBefore w:val="0"/>
        <w:kinsoku/>
        <w:overflowPunct/>
        <w:bidi w:val="0"/>
        <w:snapToGrid w:val="0"/>
        <w:spacing w:line="360" w:lineRule="auto"/>
        <w:ind w:firstLine="420" w:firstLineChars="200"/>
        <w:rPr>
          <w:rFonts w:ascii="仿宋" w:hAnsi="仿宋" w:eastAsia="仿宋" w:cs="仿宋"/>
          <w:color w:val="auto"/>
          <w:kern w:val="0"/>
          <w:sz w:val="21"/>
          <w:szCs w:val="21"/>
          <w:highlight w:val="none"/>
        </w:rPr>
      </w:pPr>
      <w:bookmarkStart w:id="104" w:name="_Toc278027738"/>
      <w:r>
        <w:rPr>
          <w:rFonts w:hint="eastAsia" w:ascii="仿宋" w:hAnsi="仿宋" w:eastAsia="仿宋" w:cs="仿宋"/>
          <w:color w:val="auto"/>
          <w:kern w:val="0"/>
          <w:sz w:val="21"/>
          <w:szCs w:val="21"/>
          <w:highlight w:val="none"/>
        </w:rPr>
        <w:t>5.6.1磋商小组所有成员集中与单一供应商分别进行磋商，在磋商中，磋商的任何一方不得透漏与磋商有关的其他供应商的技术资料、价格和其他信息。磋商文件有实质性变动的，磋商小组应当通知所有参加磋商的供应商。</w:t>
      </w:r>
    </w:p>
    <w:p>
      <w:pPr>
        <w:pageBreakBefore w:val="0"/>
        <w:kinsoku/>
        <w:overflowPunct/>
        <w:bidi w:val="0"/>
        <w:snapToGrid w:val="0"/>
        <w:spacing w:line="360" w:lineRule="auto"/>
        <w:ind w:firstLine="420" w:firstLineChars="200"/>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5.6.2经磋商确定最终采购需求和提交最后报价的供应商后，由磋商小组采用综合评分法对提交最后报价的供应商的响应文件和最后报价进行综合评分。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5.6.2磋商小组按照第三章“评审办法”规定的方法、评审因素、标准和程序对响应文件进行评审。第三章“评审办法”没有规定的方法、评审因素和标准，不作为磋商依据。</w:t>
      </w:r>
    </w:p>
    <w:p>
      <w:pPr>
        <w:pStyle w:val="4"/>
        <w:pageBreakBefore w:val="0"/>
        <w:kinsoku/>
        <w:overflowPunct/>
        <w:bidi w:val="0"/>
        <w:snapToGrid w:val="0"/>
        <w:spacing w:line="360" w:lineRule="auto"/>
        <w:rPr>
          <w:rFonts w:ascii="仿宋" w:hAnsi="仿宋" w:eastAsia="仿宋" w:cs="仿宋"/>
          <w:color w:val="auto"/>
          <w:sz w:val="21"/>
          <w:szCs w:val="21"/>
          <w:highlight w:val="none"/>
        </w:rPr>
      </w:pPr>
      <w:bookmarkStart w:id="105" w:name="_Toc7983"/>
      <w:bookmarkStart w:id="106" w:name="_Toc8620"/>
      <w:bookmarkStart w:id="107" w:name="_Toc374003649"/>
      <w:r>
        <w:rPr>
          <w:rFonts w:hint="eastAsia" w:ascii="仿宋" w:hAnsi="仿宋" w:eastAsia="仿宋" w:cs="仿宋"/>
          <w:color w:val="auto"/>
          <w:sz w:val="21"/>
          <w:szCs w:val="21"/>
          <w:highlight w:val="none"/>
        </w:rPr>
        <w:t>6.合同授予</w:t>
      </w:r>
      <w:bookmarkEnd w:id="104"/>
      <w:bookmarkEnd w:id="105"/>
      <w:bookmarkEnd w:id="106"/>
      <w:bookmarkEnd w:id="107"/>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08" w:name="_Toc1707"/>
      <w:bookmarkStart w:id="109" w:name="_Toc10983"/>
      <w:r>
        <w:rPr>
          <w:rFonts w:hint="eastAsia" w:ascii="仿宋" w:hAnsi="仿宋" w:eastAsia="仿宋" w:cs="仿宋"/>
          <w:b/>
          <w:color w:val="auto"/>
          <w:sz w:val="21"/>
          <w:szCs w:val="21"/>
          <w:highlight w:val="none"/>
        </w:rPr>
        <w:t>6.1定标方式</w:t>
      </w:r>
      <w:bookmarkEnd w:id="108"/>
      <w:bookmarkEnd w:id="109"/>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除供应商须知前附表规定磋商小组直接确定成交供应商外，采购人依据磋商小组推荐的成交候选人确定成交供应商，磋商小组推荐成交候选人的人数见供应商须知前附表。</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10" w:name="_Toc14952"/>
      <w:bookmarkStart w:id="111" w:name="_Toc4599"/>
      <w:r>
        <w:rPr>
          <w:rFonts w:hint="eastAsia" w:ascii="仿宋" w:hAnsi="仿宋" w:eastAsia="仿宋" w:cs="仿宋"/>
          <w:b/>
          <w:color w:val="auto"/>
          <w:sz w:val="21"/>
          <w:szCs w:val="21"/>
          <w:highlight w:val="none"/>
        </w:rPr>
        <w:t>6.2成交人公示</w:t>
      </w:r>
      <w:bookmarkEnd w:id="110"/>
      <w:bookmarkEnd w:id="111"/>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公示媒介同磋商公告发布媒介。</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12" w:name="_Toc867"/>
      <w:bookmarkStart w:id="113" w:name="_Toc18519"/>
      <w:r>
        <w:rPr>
          <w:rFonts w:hint="eastAsia" w:ascii="仿宋" w:hAnsi="仿宋" w:eastAsia="仿宋" w:cs="仿宋"/>
          <w:b/>
          <w:color w:val="auto"/>
          <w:sz w:val="21"/>
          <w:szCs w:val="21"/>
          <w:highlight w:val="none"/>
        </w:rPr>
        <w:t>6.3成交通知</w:t>
      </w:r>
      <w:bookmarkEnd w:id="112"/>
      <w:bookmarkEnd w:id="113"/>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在本章第 3.3 款规定的磋商有效期内，采购人以书面形式向成交供应商发出成交通知书，同时将成交结果通知未成交的供应商。</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14" w:name="_Toc28321"/>
      <w:bookmarkStart w:id="115" w:name="_Toc11239"/>
      <w:r>
        <w:rPr>
          <w:rFonts w:hint="eastAsia" w:ascii="仿宋" w:hAnsi="仿宋" w:eastAsia="仿宋" w:cs="仿宋"/>
          <w:b/>
          <w:color w:val="auto"/>
          <w:sz w:val="21"/>
          <w:szCs w:val="21"/>
          <w:highlight w:val="none"/>
        </w:rPr>
        <w:t>6.4签订合同</w:t>
      </w:r>
      <w:bookmarkEnd w:id="114"/>
      <w:bookmarkEnd w:id="115"/>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6.4.1采购人和成交供应商应当自成交通知书发出之日起30天内，根据竞争性磋商文件和成交供应商的响应文件订立书面合同。成交供应商无正当理由拒签合同的，采购人取消其成交资格。</w:t>
      </w:r>
    </w:p>
    <w:p>
      <w:pPr>
        <w:pageBreakBefore w:val="0"/>
        <w:kinsoku/>
        <w:overflowPunct/>
        <w:bidi w:val="0"/>
        <w:snapToGrid w:val="0"/>
        <w:spacing w:line="360" w:lineRule="auto"/>
        <w:ind w:firstLine="420" w:firstLineChars="200"/>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6.4.2采购人保留对供应商报价算术错误和明显损害采购人利益的不合理报价进行签约前审计修正的权利。</w:t>
      </w:r>
    </w:p>
    <w:p>
      <w:pPr>
        <w:pStyle w:val="4"/>
        <w:pageBreakBefore w:val="0"/>
        <w:kinsoku/>
        <w:overflowPunct/>
        <w:bidi w:val="0"/>
        <w:snapToGrid w:val="0"/>
        <w:spacing w:line="360" w:lineRule="auto"/>
        <w:rPr>
          <w:rFonts w:ascii="仿宋" w:hAnsi="仿宋" w:eastAsia="仿宋" w:cs="仿宋"/>
          <w:color w:val="auto"/>
          <w:sz w:val="21"/>
          <w:szCs w:val="21"/>
          <w:highlight w:val="none"/>
        </w:rPr>
      </w:pPr>
      <w:bookmarkStart w:id="116" w:name="_Toc20750"/>
      <w:bookmarkStart w:id="117" w:name="_Toc16916"/>
      <w:bookmarkStart w:id="118" w:name="_Toc278027740"/>
      <w:bookmarkStart w:id="119" w:name="_Toc374003650"/>
      <w:r>
        <w:rPr>
          <w:rFonts w:hint="eastAsia" w:ascii="仿宋" w:hAnsi="仿宋" w:eastAsia="仿宋" w:cs="仿宋"/>
          <w:color w:val="auto"/>
          <w:sz w:val="21"/>
          <w:szCs w:val="21"/>
          <w:highlight w:val="none"/>
        </w:rPr>
        <w:t>7．纪律和监督</w:t>
      </w:r>
      <w:bookmarkEnd w:id="116"/>
      <w:bookmarkEnd w:id="117"/>
      <w:bookmarkEnd w:id="118"/>
      <w:bookmarkEnd w:id="119"/>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20" w:name="_Toc19751"/>
      <w:bookmarkStart w:id="121" w:name="_Toc19010"/>
      <w:r>
        <w:rPr>
          <w:rFonts w:hint="eastAsia" w:ascii="仿宋" w:hAnsi="仿宋" w:eastAsia="仿宋" w:cs="仿宋"/>
          <w:b/>
          <w:color w:val="auto"/>
          <w:sz w:val="21"/>
          <w:szCs w:val="21"/>
          <w:highlight w:val="none"/>
        </w:rPr>
        <w:t>7.1对采购人的纪律要求</w:t>
      </w:r>
      <w:bookmarkEnd w:id="120"/>
      <w:bookmarkEnd w:id="121"/>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采购人不得泄漏磋商活动中应当保密的情况和资料，不得与供应商串通损害国家利益、社会公共利益或者他人合法权益。</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22" w:name="_Toc23585"/>
      <w:bookmarkStart w:id="123" w:name="_Toc3293"/>
      <w:r>
        <w:rPr>
          <w:rFonts w:hint="eastAsia" w:ascii="仿宋" w:hAnsi="仿宋" w:eastAsia="仿宋" w:cs="仿宋"/>
          <w:b/>
          <w:color w:val="auto"/>
          <w:sz w:val="21"/>
          <w:szCs w:val="21"/>
          <w:highlight w:val="none"/>
        </w:rPr>
        <w:t>7.2对供应商的纪律要求</w:t>
      </w:r>
      <w:bookmarkEnd w:id="122"/>
      <w:bookmarkEnd w:id="123"/>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供应商不得相互串通投标或者与采购人串通投标，不得向采购人或者磋商小组成员行贿谋取成交，不得以他人名义投标或者以其他方式弄虚作假骗取成交；供应商不得以任何方式干扰、影响磋商工作。</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24" w:name="_Toc18372"/>
      <w:bookmarkStart w:id="125" w:name="_Toc5978"/>
      <w:r>
        <w:rPr>
          <w:rFonts w:hint="eastAsia" w:ascii="仿宋" w:hAnsi="仿宋" w:eastAsia="仿宋" w:cs="仿宋"/>
          <w:b/>
          <w:color w:val="auto"/>
          <w:sz w:val="21"/>
          <w:szCs w:val="21"/>
          <w:highlight w:val="none"/>
        </w:rPr>
        <w:t>7.3对磋商小组成员的纪律要求</w:t>
      </w:r>
      <w:bookmarkEnd w:id="124"/>
      <w:bookmarkEnd w:id="125"/>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第三章“磋商办法”没有规定的评审因素和标准进行磋商。</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26" w:name="_Toc5559"/>
      <w:bookmarkStart w:id="127" w:name="_Toc5131"/>
      <w:r>
        <w:rPr>
          <w:rFonts w:hint="eastAsia" w:ascii="仿宋" w:hAnsi="仿宋" w:eastAsia="仿宋" w:cs="仿宋"/>
          <w:b/>
          <w:color w:val="auto"/>
          <w:sz w:val="21"/>
          <w:szCs w:val="21"/>
          <w:highlight w:val="none"/>
        </w:rPr>
        <w:t>7.4对与磋商活动有关的工作人员的纪律要求</w:t>
      </w:r>
      <w:bookmarkEnd w:id="126"/>
      <w:bookmarkEnd w:id="127"/>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pPr>
        <w:pageBreakBefore w:val="0"/>
        <w:kinsoku/>
        <w:overflowPunct/>
        <w:bidi w:val="0"/>
        <w:snapToGrid w:val="0"/>
        <w:spacing w:line="360" w:lineRule="auto"/>
        <w:outlineLvl w:val="2"/>
        <w:rPr>
          <w:rFonts w:ascii="仿宋" w:hAnsi="仿宋" w:eastAsia="仿宋" w:cs="仿宋"/>
          <w:b/>
          <w:color w:val="auto"/>
          <w:sz w:val="21"/>
          <w:szCs w:val="21"/>
          <w:highlight w:val="none"/>
        </w:rPr>
      </w:pPr>
      <w:bookmarkStart w:id="128" w:name="_Toc26838"/>
      <w:bookmarkStart w:id="129" w:name="_Toc4373"/>
      <w:r>
        <w:rPr>
          <w:rFonts w:hint="eastAsia" w:ascii="仿宋" w:hAnsi="仿宋" w:eastAsia="仿宋" w:cs="仿宋"/>
          <w:b/>
          <w:color w:val="auto"/>
          <w:sz w:val="21"/>
          <w:szCs w:val="21"/>
          <w:highlight w:val="none"/>
        </w:rPr>
        <w:t>7.5 投诉</w:t>
      </w:r>
      <w:bookmarkEnd w:id="128"/>
      <w:bookmarkEnd w:id="129"/>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供应商和其他利害关系人认为本次采购活动违反法律、法规和规章规定的，有权向有关行政监督部门投诉。</w:t>
      </w:r>
    </w:p>
    <w:p>
      <w:pPr>
        <w:pStyle w:val="4"/>
        <w:pageBreakBefore w:val="0"/>
        <w:kinsoku/>
        <w:overflowPunct/>
        <w:bidi w:val="0"/>
        <w:snapToGrid w:val="0"/>
        <w:spacing w:line="360" w:lineRule="auto"/>
        <w:rPr>
          <w:rFonts w:ascii="仿宋" w:hAnsi="仿宋" w:eastAsia="仿宋" w:cs="仿宋"/>
          <w:color w:val="auto"/>
          <w:sz w:val="21"/>
          <w:szCs w:val="21"/>
          <w:highlight w:val="none"/>
        </w:rPr>
      </w:pPr>
      <w:bookmarkStart w:id="130" w:name="_Toc3018"/>
      <w:bookmarkStart w:id="131" w:name="_Toc18436"/>
      <w:r>
        <w:rPr>
          <w:rFonts w:hint="eastAsia" w:ascii="仿宋" w:hAnsi="仿宋" w:eastAsia="仿宋" w:cs="仿宋"/>
          <w:color w:val="auto"/>
          <w:sz w:val="21"/>
          <w:szCs w:val="21"/>
          <w:highlight w:val="none"/>
        </w:rPr>
        <w:t>8.需要补充的其它内容</w:t>
      </w:r>
      <w:bookmarkEnd w:id="130"/>
      <w:bookmarkEnd w:id="131"/>
    </w:p>
    <w:p>
      <w:pPr>
        <w:pageBreakBefore w:val="0"/>
        <w:kinsoku/>
        <w:overflowPunct/>
        <w:bidi w:val="0"/>
        <w:snapToGrid w:val="0"/>
        <w:spacing w:line="360" w:lineRule="auto"/>
        <w:ind w:firstLine="420" w:firstLineChars="200"/>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8.1采购人没有义务解释说明未成交原因；</w:t>
      </w:r>
      <w:r>
        <w:rPr>
          <w:rFonts w:hint="eastAsia" w:ascii="仿宋" w:hAnsi="仿宋" w:eastAsia="仿宋" w:cs="仿宋"/>
          <w:color w:val="auto"/>
          <w:sz w:val="21"/>
          <w:szCs w:val="21"/>
          <w:highlight w:val="none"/>
        </w:rPr>
        <w:t>因承包方在磋商过程中串标、围标或采用其他违法行为获取成交的，一旦被有关</w:t>
      </w:r>
      <w:r>
        <w:rPr>
          <w:rFonts w:hint="eastAsia" w:ascii="仿宋" w:hAnsi="仿宋" w:eastAsia="仿宋" w:cs="仿宋"/>
          <w:color w:val="auto"/>
          <w:kern w:val="0"/>
          <w:sz w:val="21"/>
          <w:szCs w:val="21"/>
          <w:highlight w:val="none"/>
        </w:rPr>
        <w:t>单位发现，发包人有权单方解除合同，同时承包人应赔偿由此给发包人所带来的一切损失；</w:t>
      </w:r>
    </w:p>
    <w:p>
      <w:pPr>
        <w:pageBreakBefore w:val="0"/>
        <w:kinsoku/>
        <w:overflowPunct/>
        <w:bidi w:val="0"/>
        <w:snapToGrid w:val="0"/>
        <w:spacing w:line="360" w:lineRule="auto"/>
        <w:ind w:firstLine="420" w:firstLineChars="200"/>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8.2竞争性磋商文件领取时间：见磋商公告；</w:t>
      </w:r>
    </w:p>
    <w:p>
      <w:pPr>
        <w:pageBreakBefore w:val="0"/>
        <w:kinsoku/>
        <w:overflowPunct/>
        <w:bidi w:val="0"/>
        <w:snapToGrid w:val="0"/>
        <w:spacing w:line="360" w:lineRule="auto"/>
        <w:ind w:firstLine="420" w:firstLineChars="200"/>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8.3知识产权：见供应商须知前附表；</w:t>
      </w:r>
    </w:p>
    <w:p>
      <w:pPr>
        <w:pageBreakBefore w:val="0"/>
        <w:kinsoku/>
        <w:overflowPunct/>
        <w:bidi w:val="0"/>
        <w:snapToGrid w:val="0"/>
        <w:spacing w:line="360" w:lineRule="auto"/>
        <w:ind w:firstLine="420" w:firstLineChars="200"/>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8.4解释权：见供应商须知前附表；</w:t>
      </w:r>
    </w:p>
    <w:p>
      <w:pPr>
        <w:pageBreakBefore w:val="0"/>
        <w:kinsoku/>
        <w:overflowPunct/>
        <w:bidi w:val="0"/>
        <w:snapToGrid w:val="0"/>
        <w:spacing w:line="360" w:lineRule="auto"/>
        <w:ind w:firstLine="420" w:firstLineChars="200"/>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8.5其它未尽事宜，按国家有关法律、法规执行；</w:t>
      </w:r>
    </w:p>
    <w:p>
      <w:pPr>
        <w:pageBreakBefore w:val="0"/>
        <w:kinsoku/>
        <w:overflowPunct/>
        <w:bidi w:val="0"/>
        <w:snapToGrid w:val="0"/>
        <w:spacing w:line="360" w:lineRule="auto"/>
        <w:ind w:firstLine="420" w:firstLineChars="200"/>
        <w:rPr>
          <w:rFonts w:ascii="仿宋" w:hAnsi="仿宋" w:eastAsia="仿宋" w:cs="仿宋"/>
          <w:color w:val="auto"/>
          <w:kern w:val="0"/>
          <w:sz w:val="21"/>
          <w:szCs w:val="21"/>
          <w:highlight w:val="none"/>
        </w:rPr>
      </w:pPr>
    </w:p>
    <w:bookmarkEnd w:id="65"/>
    <w:p>
      <w:pPr>
        <w:pStyle w:val="3"/>
        <w:pageBreakBefore w:val="0"/>
        <w:kinsoku/>
        <w:overflowPunct/>
        <w:bidi w:val="0"/>
        <w:snapToGrid w:val="0"/>
        <w:spacing w:line="360" w:lineRule="auto"/>
        <w:rPr>
          <w:rFonts w:ascii="仿宋" w:hAnsi="仿宋" w:eastAsia="仿宋" w:cs="仿宋"/>
          <w:color w:val="auto"/>
          <w:highlight w:val="none"/>
        </w:rPr>
      </w:pPr>
      <w:bookmarkStart w:id="132" w:name="_Toc374003651"/>
      <w:r>
        <w:rPr>
          <w:rFonts w:hint="eastAsia" w:ascii="仿宋" w:hAnsi="仿宋" w:eastAsia="仿宋" w:cs="仿宋"/>
          <w:color w:val="auto"/>
          <w:highlight w:val="none"/>
        </w:rPr>
        <w:br w:type="page"/>
      </w:r>
      <w:bookmarkStart w:id="133" w:name="_Toc9394"/>
      <w:bookmarkStart w:id="134" w:name="_Toc24620"/>
      <w:r>
        <w:rPr>
          <w:rFonts w:hint="eastAsia" w:ascii="仿宋" w:hAnsi="仿宋" w:eastAsia="仿宋" w:cs="仿宋"/>
          <w:color w:val="auto"/>
          <w:highlight w:val="none"/>
        </w:rPr>
        <w:t>第三章 评审办法</w:t>
      </w:r>
      <w:bookmarkEnd w:id="0"/>
      <w:bookmarkEnd w:id="1"/>
      <w:bookmarkEnd w:id="2"/>
      <w:bookmarkEnd w:id="132"/>
      <w:bookmarkStart w:id="135" w:name="_Toc362935830"/>
      <w:bookmarkStart w:id="136" w:name="_Toc297211686"/>
      <w:r>
        <w:rPr>
          <w:rFonts w:hint="eastAsia" w:ascii="仿宋" w:hAnsi="仿宋" w:eastAsia="仿宋" w:cs="仿宋"/>
          <w:color w:val="auto"/>
          <w:highlight w:val="none"/>
        </w:rPr>
        <w:t>（综合评分法）</w:t>
      </w:r>
      <w:bookmarkEnd w:id="133"/>
      <w:bookmarkEnd w:id="134"/>
    </w:p>
    <w:bookmarkEnd w:id="135"/>
    <w:bookmarkEnd w:id="136"/>
    <w:p>
      <w:pPr>
        <w:pageBreakBefore w:val="0"/>
        <w:kinsoku/>
        <w:overflowPunct/>
        <w:bidi w:val="0"/>
        <w:snapToGrid w:val="0"/>
        <w:spacing w:line="360" w:lineRule="auto"/>
        <w:jc w:val="center"/>
        <w:rPr>
          <w:rFonts w:hint="eastAsia" w:ascii="仿宋" w:hAnsi="仿宋" w:eastAsia="仿宋" w:cs="仿宋"/>
          <w:b/>
          <w:bCs/>
          <w:color w:val="auto"/>
          <w:sz w:val="21"/>
          <w:szCs w:val="21"/>
          <w:highlight w:val="none"/>
        </w:rPr>
      </w:pPr>
      <w:bookmarkStart w:id="137" w:name="_Toc393984463"/>
      <w:bookmarkStart w:id="138" w:name="_Toc251767412"/>
      <w:bookmarkStart w:id="139" w:name="_Toc349210413"/>
      <w:bookmarkStart w:id="140" w:name="_Toc191983637"/>
      <w:bookmarkStart w:id="141" w:name="_Toc22397"/>
      <w:bookmarkStart w:id="142" w:name="_Toc262024403"/>
      <w:bookmarkStart w:id="143" w:name="_Toc17108"/>
      <w:bookmarkStart w:id="144" w:name="_Toc4239"/>
      <w:bookmarkStart w:id="145" w:name="_Toc152042377"/>
      <w:bookmarkStart w:id="146" w:name="_Toc459741382"/>
      <w:bookmarkStart w:id="147" w:name="_Toc179632618"/>
      <w:bookmarkStart w:id="148" w:name="_Toc278179962"/>
      <w:bookmarkStart w:id="149" w:name="_Toc144974567"/>
      <w:bookmarkStart w:id="150" w:name="_Toc152045600"/>
      <w:bookmarkStart w:id="151" w:name="_Toc317251099"/>
      <w:bookmarkStart w:id="152" w:name="_Toc374003652"/>
      <w:bookmarkStart w:id="153" w:name="_Toc362935834"/>
      <w:r>
        <w:rPr>
          <w:rFonts w:hint="eastAsia" w:ascii="仿宋" w:hAnsi="仿宋" w:eastAsia="仿宋" w:cs="仿宋"/>
          <w:b/>
          <w:bCs/>
          <w:color w:val="auto"/>
          <w:sz w:val="21"/>
          <w:szCs w:val="21"/>
          <w:highlight w:val="none"/>
        </w:rPr>
        <w:t>评审办法前附表</w:t>
      </w:r>
      <w:bookmarkEnd w:id="137"/>
      <w:bookmarkEnd w:id="138"/>
      <w:bookmarkEnd w:id="139"/>
      <w:bookmarkEnd w:id="140"/>
    </w:p>
    <w:tbl>
      <w:tblPr>
        <w:tblStyle w:val="19"/>
        <w:tblW w:w="91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0"/>
        <w:gridCol w:w="246"/>
        <w:gridCol w:w="644"/>
        <w:gridCol w:w="665"/>
        <w:gridCol w:w="2157"/>
        <w:gridCol w:w="4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2085" w:type="dxa"/>
            <w:gridSpan w:val="4"/>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条款号</w:t>
            </w: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评审因素</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776" w:type="dxa"/>
            <w:gridSpan w:val="2"/>
            <w:vMerge w:val="restart"/>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2.1.1</w:t>
            </w:r>
          </w:p>
        </w:tc>
        <w:tc>
          <w:tcPr>
            <w:tcW w:w="1309" w:type="dxa"/>
            <w:gridSpan w:val="2"/>
            <w:vMerge w:val="restart"/>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形式评审标准</w:t>
            </w: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供应商名称</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签字盖章</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由供应商的法定代表人或委托代理人按照磋商文件要求签字或盖章。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响应文件格式</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符合第六章“响应文件格式”及磋商文件的要求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报价唯一</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776" w:type="dxa"/>
            <w:gridSpan w:val="2"/>
            <w:vMerge w:val="restart"/>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2.1.2</w:t>
            </w:r>
          </w:p>
        </w:tc>
        <w:tc>
          <w:tcPr>
            <w:tcW w:w="1309" w:type="dxa"/>
            <w:gridSpan w:val="2"/>
            <w:vMerge w:val="restart"/>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资格评审标准</w:t>
            </w: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营业执照</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资质等级</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符合磋商文件“供应商须知前附表1.4.1”项要求；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项目经理</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符合磋商文件“供应商须知前附表1.4.1”项要求；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z w:val="21"/>
                <w:szCs w:val="21"/>
                <w:highlight w:val="none"/>
              </w:rPr>
              <w:t>财务状况</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符合磋商文件“供应商须知前附表1.4.1”项要求；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具有履行合同所必需的设备和专业技术能力</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lang w:eastAsia="zh-CN"/>
              </w:rPr>
            </w:pPr>
            <w:r>
              <w:rPr>
                <w:rFonts w:hint="eastAsia" w:ascii="仿宋" w:hAnsi="仿宋" w:eastAsia="仿宋" w:cs="仿宋"/>
                <w:color w:val="auto"/>
                <w:spacing w:val="1"/>
                <w:kern w:val="0"/>
                <w:sz w:val="21"/>
                <w:szCs w:val="21"/>
                <w:highlight w:val="none"/>
              </w:rPr>
              <w:t>符合磋商文件“供应商须知前附表1.4.1”项要求</w:t>
            </w:r>
            <w:r>
              <w:rPr>
                <w:rFonts w:hint="eastAsia" w:ascii="仿宋" w:hAnsi="仿宋" w:eastAsia="仿宋" w:cs="仿宋"/>
                <w:color w:val="auto"/>
                <w:spacing w:val="1"/>
                <w:kern w:val="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纳税及社保</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符合磋商文件“供应商须知前附表1.4.1”项要求；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无重大违法记录</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符合磋商文件“供应商须知前附表1.4.1”项要求；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信誉要求</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符合磋商文件“供应商须知前附表1.4.1”项要求；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其他要求</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符合磋商文件“供应商须知前附表1.4.1”项要求；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7018" w:type="dxa"/>
            <w:gridSpan w:val="2"/>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注：以上证件资料均以响应文件中所附的扫面件或复印件为准。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776" w:type="dxa"/>
            <w:gridSpan w:val="2"/>
            <w:vMerge w:val="restart"/>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2.1.3</w:t>
            </w:r>
          </w:p>
        </w:tc>
        <w:tc>
          <w:tcPr>
            <w:tcW w:w="1309" w:type="dxa"/>
            <w:gridSpan w:val="2"/>
            <w:vMerge w:val="restart"/>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响应性评审标准</w:t>
            </w: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磋商范围</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符合磋商文件“供应商须知前附表1.3.1”项要求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工期</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符合磋商文件“供应商须知前附表1.3.2”项要求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质量要求</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符合磋商文件“供应商须知前附表1.3.3”项要求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磋商有效期</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pacing w:val="1"/>
                <w:kern w:val="0"/>
                <w:sz w:val="21"/>
                <w:szCs w:val="21"/>
                <w:highlight w:val="none"/>
              </w:rPr>
              <w:t>符合磋商文件“供应商须知前附表3.3.1”项要求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776"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1309" w:type="dxa"/>
            <w:gridSpan w:val="2"/>
            <w:vMerge w:val="continue"/>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rPr>
            </w:pPr>
          </w:p>
        </w:tc>
        <w:tc>
          <w:tcPr>
            <w:tcW w:w="2157"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eastAsia" w:ascii="仿宋" w:hAnsi="仿宋" w:eastAsia="仿宋" w:cs="仿宋"/>
                <w:color w:val="auto"/>
                <w:spacing w:val="1"/>
                <w:kern w:val="0"/>
                <w:sz w:val="21"/>
                <w:szCs w:val="21"/>
                <w:highlight w:val="none"/>
                <w:lang w:val="en-US" w:eastAsia="zh-CN"/>
              </w:rPr>
            </w:pPr>
            <w:r>
              <w:rPr>
                <w:rFonts w:hint="eastAsia" w:ascii="仿宋" w:hAnsi="仿宋" w:eastAsia="仿宋" w:cs="仿宋"/>
                <w:color w:val="auto"/>
                <w:spacing w:val="1"/>
                <w:kern w:val="0"/>
                <w:sz w:val="21"/>
                <w:szCs w:val="21"/>
                <w:highlight w:val="none"/>
                <w:lang w:val="en-US" w:eastAsia="zh-CN"/>
              </w:rPr>
              <w:t>磋商报价</w:t>
            </w:r>
          </w:p>
        </w:tc>
        <w:tc>
          <w:tcPr>
            <w:tcW w:w="4861" w:type="dxa"/>
            <w:noWrap w:val="0"/>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1"/>
                <w:kern w:val="0"/>
                <w:sz w:val="21"/>
                <w:szCs w:val="21"/>
                <w:highlight w:val="none"/>
              </w:rPr>
              <w:t>符合磋商文件“供应商须知前附表</w:t>
            </w:r>
            <w:r>
              <w:rPr>
                <w:rFonts w:hint="eastAsia" w:ascii="仿宋" w:hAnsi="仿宋" w:eastAsia="仿宋" w:cs="仿宋"/>
                <w:color w:val="auto"/>
                <w:spacing w:val="1"/>
                <w:kern w:val="0"/>
                <w:sz w:val="21"/>
                <w:szCs w:val="21"/>
                <w:highlight w:val="none"/>
                <w:lang w:val="en-US" w:eastAsia="zh-CN"/>
              </w:rPr>
              <w:t>8.2</w:t>
            </w:r>
            <w:r>
              <w:rPr>
                <w:rFonts w:hint="eastAsia" w:ascii="仿宋" w:hAnsi="仿宋" w:eastAsia="仿宋" w:cs="仿宋"/>
                <w:color w:val="auto"/>
                <w:spacing w:val="1"/>
                <w:kern w:val="0"/>
                <w:sz w:val="21"/>
                <w:szCs w:val="21"/>
                <w:highlight w:val="none"/>
              </w:rPr>
              <w:t>”项要求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jc w:val="center"/>
        </w:trPr>
        <w:tc>
          <w:tcPr>
            <w:tcW w:w="9103" w:type="dxa"/>
            <w:gridSpan w:val="6"/>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注：①第一部分内容：包括形式评审、资格评审、响应性评审及其他与初审有关的要求。</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②资格评审中要求供应商必在响应性文件中提供相关材料复印件。</w:t>
            </w: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eastAsia" w:ascii="仿宋" w:hAnsi="仿宋" w:eastAsia="仿宋" w:cs="仿宋"/>
                <w:color w:val="auto"/>
                <w:spacing w:val="1"/>
                <w:kern w:val="0"/>
                <w:sz w:val="21"/>
                <w:szCs w:val="21"/>
                <w:highlight w:val="none"/>
              </w:rPr>
            </w:pPr>
            <w:r>
              <w:rPr>
                <w:rFonts w:hint="eastAsia" w:ascii="仿宋" w:hAnsi="仿宋" w:eastAsia="仿宋" w:cs="仿宋"/>
                <w:color w:val="auto"/>
                <w:spacing w:val="-4"/>
                <w:sz w:val="21"/>
                <w:szCs w:val="21"/>
                <w:highlight w:val="none"/>
              </w:rPr>
              <w:t>③以上各项如有一项不合格按废标处理，不得进入下一环节评审阶段。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0" w:type="dxa"/>
            <w:noWrap w:val="0"/>
            <w:vAlign w:val="center"/>
          </w:tcPr>
          <w:p>
            <w:pPr>
              <w:keepNext w:val="0"/>
              <w:keepLines w:val="0"/>
              <w:pageBreakBefore w:val="0"/>
              <w:suppressLineNumbers w:val="0"/>
              <w:kinsoku/>
              <w:overflowPunct/>
              <w:autoSpaceDE w:val="0"/>
              <w:autoSpaceDN w:val="0"/>
              <w:bidi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3712" w:type="dxa"/>
            <w:gridSpan w:val="4"/>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评分因素</w:t>
            </w: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30" w:type="dxa"/>
            <w:noWrap w:val="0"/>
            <w:vAlign w:val="center"/>
          </w:tcPr>
          <w:p>
            <w:pPr>
              <w:keepNext w:val="0"/>
              <w:keepLines w:val="0"/>
              <w:pageBreakBefore w:val="0"/>
              <w:suppressLineNumbers w:val="0"/>
              <w:kinsoku/>
              <w:overflowPunct/>
              <w:autoSpaceDE w:val="0"/>
              <w:autoSpaceDN w:val="0"/>
              <w:bidi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3712" w:type="dxa"/>
            <w:gridSpan w:val="4"/>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分值构成（100分）</w:t>
            </w: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磋商报价：30分</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施工组织设计：4</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分</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综合标：</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530" w:type="dxa"/>
            <w:noWrap w:val="0"/>
            <w:vAlign w:val="center"/>
          </w:tcPr>
          <w:p>
            <w:pPr>
              <w:keepNext w:val="0"/>
              <w:keepLines w:val="0"/>
              <w:pageBreakBefore w:val="0"/>
              <w:suppressLineNumbers w:val="0"/>
              <w:kinsoku/>
              <w:overflowPunct/>
              <w:autoSpaceDE w:val="0"/>
              <w:autoSpaceDN w:val="0"/>
              <w:bidi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3712" w:type="dxa"/>
            <w:gridSpan w:val="4"/>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磋商报价30分</w:t>
            </w: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本项目以满足磋商文件要求且报价最低的最后磋商报价为基准价，其价格分为满分。</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其他供应商的价格分统一按照下列公式计算：    </w:t>
            </w:r>
          </w:p>
          <w:p>
            <w:pPr>
              <w:keepNext w:val="0"/>
              <w:keepLines w:val="0"/>
              <w:suppressLineNumbers w:val="0"/>
              <w:spacing w:before="0" w:beforeAutospacing="0" w:after="0" w:afterAutospacing="0" w:line="400" w:lineRule="exact"/>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最后磋商报价得分=(磋商基准价／最后磋商报价)×30。</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根据《政府采购促进中小企业发展管理办法》(财库﹝2020﹞46 号)和财库[2022]19号文的有关规定，本项目对小型和微型企业产品的价格给予20%的扣除，用扣除后的价格参与评审。供应商须提供中小企业声明函，否则不予认可。中标价和合同签约价仍以投标报价为准。（小型、微型企业提供中型企业</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的，视同为中型企业。）根据财政部司法部《关于政府采购支持监狱企业发展有关问题的通知》（财库〔2014〕68号）和财政部民政部中国残疾人联合会《关于促进残疾人就业政府采购政策的通知》（财库〔2017〕141号）规定，本项目对监狱企业、残疾人福利性企业作为供应商所提供的本企业服务的价格给予20%的扣除。</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2、根据财政部司法部《关于政府采购支持监狱企业发展有关问题的通知》（财库〔2014〕68 号）规定，监狱企业视同小型、微型企业。</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3、根据财政部民政部中国残疾人联合会《关于促进残疾人就业政府采购政策的通知》（财库〔2017〕141 号）规定，残疾人福利性单位视同小型、微型企业。</w:t>
            </w:r>
            <w:r>
              <w:rPr>
                <w:rFonts w:hint="eastAsia" w:ascii="仿宋" w:hAnsi="仿宋" w:eastAsia="仿宋" w:cs="仿宋"/>
                <w:color w:val="auto"/>
                <w:sz w:val="21"/>
                <w:szCs w:val="21"/>
                <w:highlight w:val="none"/>
              </w:rPr>
              <w:t>；</w:t>
            </w:r>
          </w:p>
          <w:p>
            <w:pPr>
              <w:keepNext w:val="0"/>
              <w:keepLines w:val="0"/>
              <w:pageBreakBefore w:val="0"/>
              <w:suppressLineNumbers w:val="0"/>
              <w:kinsoku/>
              <w:overflowPunct/>
              <w:bidi w:val="0"/>
              <w:snapToGrid w:val="0"/>
              <w:spacing w:before="0" w:beforeAutospacing="0" w:after="0" w:afterAutospacing="0" w:line="360" w:lineRule="auto"/>
              <w:ind w:left="0" w:right="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为确保服务质量和诚信履约，当供应商投标报价明显低于通过资格性审查和符合性审查的其他供应商时，使其投标报价可能低于其个别成本的，评标委员会可对其质询，并要求该供应商做出书面价格构成说明和提供必要的书面证明材料，该供应商不能或拒绝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0"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890" w:type="dxa"/>
            <w:gridSpan w:val="2"/>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施工组织设计</w:t>
            </w:r>
          </w:p>
          <w:p>
            <w:pPr>
              <w:keepNext w:val="0"/>
              <w:keepLines w:val="0"/>
              <w:pageBreakBefore w:val="0"/>
              <w:widowControl/>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40分</w:t>
            </w:r>
          </w:p>
        </w:tc>
        <w:tc>
          <w:tcPr>
            <w:tcW w:w="2822" w:type="dxa"/>
            <w:gridSpan w:val="2"/>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1、内容完整性和编制水平（0-3分）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2、施工方案和技术措施（0-3分）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3、质量管理体系与措施（0-4分）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4、安全文明管理体系与措施（0-4分）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5、环境保护管理体系与措施（0-4分）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6、工程进度计划与保证措施（0-4分）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7、拟投入资源配备计划（0-4分）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8、在节能减排、绿色施工方面针对本工程的具体措施（0-5分）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 施工总平面布置图（0-3分）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10、劳动力安排计划（0-6分）</w:t>
            </w: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磋商小组可结合本工程实际，根据其先进、科学、合理及其可行性程度，不缺时每项可在各评分因素分值内进行打分，如有缺项则该项按零分处理。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530" w:type="dxa"/>
            <w:vMerge w:val="restart"/>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890" w:type="dxa"/>
            <w:gridSpan w:val="2"/>
            <w:vMerge w:val="restart"/>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综合标（30分）</w:t>
            </w:r>
          </w:p>
        </w:tc>
        <w:tc>
          <w:tcPr>
            <w:tcW w:w="2822" w:type="dxa"/>
            <w:gridSpan w:val="2"/>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人员配备（</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w:t>
            </w:r>
          </w:p>
        </w:tc>
        <w:tc>
          <w:tcPr>
            <w:tcW w:w="4861" w:type="dxa"/>
            <w:noWrap w:val="0"/>
            <w:vAlign w:val="center"/>
          </w:tcPr>
          <w:p>
            <w:pPr>
              <w:keepNext w:val="0"/>
              <w:keepLines w:val="0"/>
              <w:pageBreakBefore w:val="0"/>
              <w:numPr>
                <w:ilvl w:val="0"/>
                <w:numId w:val="0"/>
              </w:numPr>
              <w:suppressLineNumbers w:val="0"/>
              <w:kinsoku/>
              <w:overflowPunct/>
              <w:bidi w:val="0"/>
              <w:snapToGrid w:val="0"/>
              <w:spacing w:before="0" w:beforeAutospacing="0" w:after="0" w:afterAutospacing="0" w:line="360" w:lineRule="auto"/>
              <w:ind w:left="0" w:right="0" w:rightChars="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1.</w:t>
            </w:r>
            <w:r>
              <w:rPr>
                <w:rFonts w:hint="eastAsia" w:ascii="仿宋" w:hAnsi="仿宋" w:eastAsia="仿宋" w:cs="仿宋"/>
                <w:bCs/>
                <w:color w:val="auto"/>
                <w:sz w:val="21"/>
                <w:szCs w:val="21"/>
                <w:highlight w:val="none"/>
              </w:rPr>
              <w:t>项目部组织机构健全、人员配备合理，具有相关岗位证书（施工员、质检员、安全员、材料员、资料员）的得0-5分，少一证或不符合要求的扣1分。</w:t>
            </w:r>
          </w:p>
          <w:p>
            <w:pPr>
              <w:keepNext w:val="0"/>
              <w:keepLines w:val="0"/>
              <w:pageBreakBefore w:val="0"/>
              <w:numPr>
                <w:ilvl w:val="0"/>
                <w:numId w:val="0"/>
              </w:numPr>
              <w:suppressLineNumbers w:val="0"/>
              <w:kinsoku/>
              <w:overflowPunct/>
              <w:bidi w:val="0"/>
              <w:snapToGrid w:val="0"/>
              <w:spacing w:before="0" w:beforeAutospacing="0" w:after="0" w:afterAutospacing="0" w:line="360" w:lineRule="auto"/>
              <w:ind w:left="0" w:right="0" w:rightChars="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2.投标人拟派项目成员中具有中级及以上技术职称</w:t>
            </w:r>
            <w:r>
              <w:rPr>
                <w:rFonts w:hint="eastAsia" w:ascii="仿宋" w:hAnsi="仿宋" w:eastAsia="仿宋" w:cs="仿宋"/>
                <w:bCs/>
                <w:color w:val="auto"/>
                <w:sz w:val="21"/>
                <w:szCs w:val="21"/>
                <w:highlight w:val="none"/>
                <w:lang w:val="zh-CN" w:eastAsia="zh-CN"/>
              </w:rPr>
              <w:t>的，</w:t>
            </w:r>
            <w:r>
              <w:rPr>
                <w:rFonts w:hint="eastAsia" w:ascii="仿宋" w:hAnsi="仿宋" w:eastAsia="仿宋" w:cs="仿宋"/>
                <w:bCs/>
                <w:color w:val="auto"/>
                <w:sz w:val="21"/>
                <w:szCs w:val="21"/>
                <w:highlight w:val="none"/>
                <w:lang w:val="en-US" w:eastAsia="zh-CN"/>
              </w:rPr>
              <w:t>每提供一个</w:t>
            </w:r>
            <w:r>
              <w:rPr>
                <w:rFonts w:hint="eastAsia" w:ascii="仿宋" w:hAnsi="仿宋" w:eastAsia="仿宋" w:cs="仿宋"/>
                <w:bCs/>
                <w:color w:val="auto"/>
                <w:sz w:val="21"/>
                <w:szCs w:val="21"/>
                <w:highlight w:val="none"/>
                <w:lang w:val="zh-CN" w:eastAsia="zh-CN"/>
              </w:rPr>
              <w:t>得</w:t>
            </w: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lang w:val="zh-CN" w:eastAsia="zh-CN"/>
              </w:rPr>
              <w:t>分，本项满分</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lang w:val="zh-CN" w:eastAsia="zh-CN"/>
              </w:rPr>
              <w:t>分。</w:t>
            </w:r>
          </w:p>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注：响应文件中需提供以上人员相关证书及劳动合同复印件或扫描件（加盖单位公章）。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0" w:type="dxa"/>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890"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822" w:type="dxa"/>
            <w:gridSpan w:val="2"/>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企业荣誉（</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企业同时具有质量管理体系、环境管理体系、职业健康与安全管理体系的得2分，缺一项不得分。</w:t>
            </w:r>
          </w:p>
          <w:p>
            <w:pPr>
              <w:pStyle w:val="18"/>
              <w:keepNext w:val="0"/>
              <w:keepLines w:val="0"/>
              <w:pageBreakBefore w:val="0"/>
              <w:suppressLineNumbers w:val="0"/>
              <w:kinsoku/>
              <w:overflowPunct/>
              <w:bidi w:val="0"/>
              <w:snapToGrid w:val="0"/>
              <w:spacing w:before="0" w:beforeAutospacing="0" w:afterAutospacing="0" w:line="360" w:lineRule="auto"/>
              <w:ind w:left="0" w:leftChars="0" w:right="0" w:firstLine="0" w:firstLineChars="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注：响应文件中需提供以上相关证书复印件或扫描件（加盖单位公章）。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0" w:type="dxa"/>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890"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822" w:type="dxa"/>
            <w:gridSpan w:val="2"/>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优惠承诺（</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 xml:space="preserve">分） </w:t>
            </w: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工程质量保修期内、外的优惠承诺，符合工程实际情况，确保依法依规，优惠合理，详实可行的得 </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 xml:space="preserve"> 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工程质量保修期内、外的优惠承诺，符合工程实际情况，确保依法依规，优惠较为合理，较为详实可行的得 </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 xml:space="preserve"> 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工程质量保修期内、外的优惠承诺，符合工程实际情况，确保依法依规，优惠基本合理，基本详实可行得 1 分；</w:t>
            </w:r>
          </w:p>
          <w:p>
            <w:pPr>
              <w:keepNext w:val="0"/>
              <w:keepLines w:val="0"/>
              <w:pageBreakBefore w:val="0"/>
              <w:suppressLineNumbers w:val="0"/>
              <w:kinsoku/>
              <w:overflowPunct/>
              <w:bidi w:val="0"/>
              <w:snapToGrid w:val="0"/>
              <w:spacing w:before="0" w:beforeAutospacing="0" w:after="0" w:afterAutospacing="0" w:line="360" w:lineRule="auto"/>
              <w:ind w:left="0" w:right="0"/>
              <w:jc w:val="left"/>
              <w:rPr>
                <w:rFonts w:hint="eastAsia" w:ascii="仿宋" w:hAnsi="仿宋" w:eastAsia="仿宋" w:cs="仿宋"/>
                <w:b/>
                <w:color w:val="auto"/>
                <w:sz w:val="21"/>
                <w:szCs w:val="21"/>
                <w:highlight w:val="none"/>
              </w:rPr>
            </w:pPr>
            <w:r>
              <w:rPr>
                <w:rFonts w:hint="eastAsia" w:ascii="仿宋" w:hAnsi="仿宋" w:eastAsia="仿宋" w:cs="仿宋"/>
                <w:sz w:val="21"/>
                <w:szCs w:val="21"/>
                <w:highlight w:val="none"/>
              </w:rPr>
              <w:t>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30" w:type="dxa"/>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890"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822" w:type="dxa"/>
            <w:gridSpan w:val="2"/>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履职尽责承诺（ 4分）</w:t>
            </w:r>
          </w:p>
        </w:tc>
        <w:tc>
          <w:tcPr>
            <w:tcW w:w="4861" w:type="dxa"/>
            <w:noWrap w:val="0"/>
            <w:vAlign w:val="center"/>
          </w:tcPr>
          <w:p>
            <w:pPr>
              <w:keepNext w:val="0"/>
              <w:keepLines w:val="0"/>
              <w:pageBreakBefore w:val="0"/>
              <w:suppressLineNumbers w:val="0"/>
              <w:tabs>
                <w:tab w:val="left" w:pos="792"/>
              </w:tabs>
              <w:kinsoku/>
              <w:overflowPunct/>
              <w:bidi w:val="0"/>
              <w:snapToGrid w:val="0"/>
              <w:spacing w:before="0" w:beforeAutospacing="0" w:after="0" w:afterAutospacing="0" w:line="36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具有全面、详实、可行、合法有效的书面保证技术措施落实到位的承诺和落实不到位的处理承诺的得 4 分；</w:t>
            </w:r>
          </w:p>
          <w:p>
            <w:pPr>
              <w:keepNext w:val="0"/>
              <w:keepLines w:val="0"/>
              <w:pageBreakBefore w:val="0"/>
              <w:suppressLineNumbers w:val="0"/>
              <w:tabs>
                <w:tab w:val="left" w:pos="792"/>
              </w:tabs>
              <w:kinsoku/>
              <w:overflowPunct/>
              <w:bidi w:val="0"/>
              <w:snapToGrid w:val="0"/>
              <w:spacing w:before="0" w:beforeAutospacing="0" w:after="0" w:afterAutospacing="0" w:line="36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具有较为可行、合法有效的书面保证技术措施落实到位的承诺和落实不到位的处理承诺的得 3 分；</w:t>
            </w:r>
          </w:p>
          <w:p>
            <w:pPr>
              <w:keepNext w:val="0"/>
              <w:keepLines w:val="0"/>
              <w:pageBreakBefore w:val="0"/>
              <w:suppressLineNumbers w:val="0"/>
              <w:tabs>
                <w:tab w:val="left" w:pos="792"/>
              </w:tabs>
              <w:kinsoku/>
              <w:overflowPunct/>
              <w:bidi w:val="0"/>
              <w:snapToGrid w:val="0"/>
              <w:spacing w:before="0" w:beforeAutospacing="0" w:after="0" w:afterAutospacing="0" w:line="36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具有基本可行、合法有效的书面保证技术措施落实到位的承诺和落实不到位的处理承诺的得 1分；</w:t>
            </w:r>
          </w:p>
          <w:p>
            <w:pPr>
              <w:keepNext w:val="0"/>
              <w:keepLines w:val="0"/>
              <w:pageBreakBefore w:val="0"/>
              <w:suppressLineNumbers w:val="0"/>
              <w:tabs>
                <w:tab w:val="left" w:pos="792"/>
              </w:tabs>
              <w:kinsoku/>
              <w:overflowPunct/>
              <w:bidi w:val="0"/>
              <w:snapToGrid w:val="0"/>
              <w:spacing w:before="0" w:beforeAutospacing="0" w:after="0" w:afterAutospacing="0" w:line="36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0" w:type="dxa"/>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890"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822" w:type="dxa"/>
            <w:gridSpan w:val="2"/>
            <w:vMerge w:val="restart"/>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其他评分因素0-10分</w:t>
            </w:r>
          </w:p>
        </w:tc>
        <w:tc>
          <w:tcPr>
            <w:tcW w:w="4861" w:type="dxa"/>
            <w:noWrap w:val="0"/>
            <w:vAlign w:val="center"/>
          </w:tcPr>
          <w:p>
            <w:pPr>
              <w:keepNext w:val="0"/>
              <w:keepLines w:val="0"/>
              <w:pageBreakBefore w:val="0"/>
              <w:suppressLineNumbers w:val="0"/>
              <w:tabs>
                <w:tab w:val="left" w:pos="5505"/>
              </w:tabs>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1、根据本工程的特点和要求，结合自身的条件和潜力，对安全文明施工、提高工程质量的承诺进行综合评价；0-3分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30" w:type="dxa"/>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890"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822"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2、根据本工程的特点和要求，结合自身的条件和潜力，针对加快工程进度，保证整体工程交工并顺利验收的承诺进行综合评价；0—3分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0" w:type="dxa"/>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890"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822"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3、根据不拖欠农民工工资的具体承诺、相应措施和便于落实的程度具体得分，0-2分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0" w:type="dxa"/>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890"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2822" w:type="dxa"/>
            <w:gridSpan w:val="2"/>
            <w:vMerge w:val="continue"/>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p>
        </w:tc>
        <w:tc>
          <w:tcPr>
            <w:tcW w:w="4861" w:type="dxa"/>
            <w:noWrap w:val="0"/>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4、磋商小组根据所有响应文件对磋商文件的响应程度在0-2分之间进行打分</w:t>
            </w:r>
          </w:p>
        </w:tc>
      </w:tr>
    </w:tbl>
    <w:p>
      <w:pPr>
        <w:pStyle w:val="5"/>
        <w:pageBreakBefore w:val="0"/>
        <w:kinsoku/>
        <w:overflowPunct/>
        <w:bidi w:val="0"/>
        <w:snapToGrid w:val="0"/>
        <w:spacing w:before="120" w:after="120" w:line="360" w:lineRule="auto"/>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1、评标方法</w:t>
      </w:r>
      <w:bookmarkEnd w:id="141"/>
      <w:bookmarkEnd w:id="142"/>
      <w:bookmarkEnd w:id="143"/>
      <w:bookmarkEnd w:id="144"/>
      <w:bookmarkEnd w:id="145"/>
      <w:bookmarkEnd w:id="146"/>
      <w:bookmarkEnd w:id="147"/>
      <w:bookmarkEnd w:id="148"/>
      <w:bookmarkEnd w:id="149"/>
      <w:bookmarkEnd w:id="150"/>
      <w:bookmarkEnd w:id="151"/>
    </w:p>
    <w:p>
      <w:pPr>
        <w:pageBreakBefore w:val="0"/>
        <w:kinsoku/>
        <w:overflowPunct/>
        <w:bidi w:val="0"/>
        <w:snapToGrid w:val="0"/>
        <w:spacing w:line="360" w:lineRule="auto"/>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1.1 本次磋商采用综合评分法</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对满足磋商文件实质性要求的响应文件，按照本章规定的评分标准进行打分，并按得分由高到低顺序推荐3名成交候选人。综合评分相等时，以磋商报价低的优先；磋商报价也相等的，由采购人自行确定。</w:t>
      </w:r>
    </w:p>
    <w:p>
      <w:pPr>
        <w:pageBreakBefore w:val="0"/>
        <w:kinsoku/>
        <w:overflowPunct/>
        <w:bidi w:val="0"/>
        <w:snapToGrid w:val="0"/>
        <w:spacing w:line="360" w:lineRule="auto"/>
        <w:rPr>
          <w:rFonts w:ascii="仿宋" w:hAnsi="仿宋" w:eastAsia="仿宋" w:cs="仿宋"/>
          <w:b/>
          <w:color w:val="auto"/>
          <w:sz w:val="21"/>
          <w:szCs w:val="21"/>
          <w:highlight w:val="none"/>
        </w:rPr>
      </w:pPr>
      <w:bookmarkStart w:id="154" w:name="_Toc179632619"/>
      <w:bookmarkStart w:id="155" w:name="_Toc238140503"/>
      <w:bookmarkStart w:id="156" w:name="_Toc232470826"/>
      <w:bookmarkStart w:id="157" w:name="_Toc144974568"/>
      <w:bookmarkStart w:id="158" w:name="_Toc152045601"/>
      <w:bookmarkStart w:id="159" w:name="_Toc152042378"/>
      <w:r>
        <w:rPr>
          <w:rFonts w:hint="eastAsia" w:ascii="仿宋" w:hAnsi="仿宋" w:eastAsia="仿宋" w:cs="仿宋"/>
          <w:b/>
          <w:color w:val="auto"/>
          <w:sz w:val="21"/>
          <w:szCs w:val="21"/>
          <w:highlight w:val="none"/>
        </w:rPr>
        <w:t>1.2 采购控制价</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1.2.1采购控制价是采购人控制采购工程造价的最高限价，大于采购控制价的磋商报价视为无效报价，不再进行评审。</w:t>
      </w:r>
    </w:p>
    <w:p>
      <w:pPr>
        <w:pStyle w:val="5"/>
        <w:pageBreakBefore w:val="0"/>
        <w:kinsoku/>
        <w:overflowPunct/>
        <w:bidi w:val="0"/>
        <w:snapToGrid w:val="0"/>
        <w:spacing w:before="120" w:after="120" w:line="360" w:lineRule="auto"/>
        <w:jc w:val="both"/>
        <w:rPr>
          <w:rFonts w:ascii="仿宋" w:hAnsi="仿宋" w:eastAsia="仿宋" w:cs="仿宋"/>
          <w:color w:val="auto"/>
          <w:sz w:val="21"/>
          <w:szCs w:val="21"/>
          <w:highlight w:val="none"/>
        </w:rPr>
      </w:pPr>
      <w:bookmarkStart w:id="160" w:name="_Toc317251100"/>
      <w:bookmarkStart w:id="161" w:name="_Toc262024404"/>
      <w:bookmarkStart w:id="162" w:name="_Toc29734"/>
      <w:bookmarkStart w:id="163" w:name="_Toc278179963"/>
      <w:bookmarkStart w:id="164" w:name="_Toc459741383"/>
      <w:bookmarkStart w:id="165" w:name="_Toc23054"/>
      <w:bookmarkStart w:id="166" w:name="_Toc7589"/>
      <w:r>
        <w:rPr>
          <w:rFonts w:hint="eastAsia" w:ascii="仿宋" w:hAnsi="仿宋" w:eastAsia="仿宋" w:cs="仿宋"/>
          <w:color w:val="auto"/>
          <w:sz w:val="21"/>
          <w:szCs w:val="21"/>
          <w:highlight w:val="none"/>
        </w:rPr>
        <w:t>2、评审标准</w:t>
      </w:r>
      <w:bookmarkEnd w:id="154"/>
      <w:bookmarkEnd w:id="155"/>
      <w:bookmarkEnd w:id="156"/>
      <w:bookmarkEnd w:id="157"/>
      <w:bookmarkEnd w:id="158"/>
      <w:bookmarkEnd w:id="159"/>
      <w:bookmarkEnd w:id="160"/>
      <w:bookmarkEnd w:id="161"/>
      <w:bookmarkEnd w:id="162"/>
      <w:bookmarkEnd w:id="163"/>
      <w:bookmarkEnd w:id="164"/>
      <w:bookmarkEnd w:id="165"/>
      <w:bookmarkEnd w:id="166"/>
    </w:p>
    <w:p>
      <w:pPr>
        <w:pageBreakBefore w:val="0"/>
        <w:kinsoku/>
        <w:overflowPunct/>
        <w:bidi w:val="0"/>
        <w:snapToGrid w:val="0"/>
        <w:spacing w:line="360" w:lineRule="auto"/>
        <w:rPr>
          <w:rFonts w:ascii="仿宋" w:hAnsi="仿宋" w:eastAsia="仿宋" w:cs="仿宋"/>
          <w:b/>
          <w:color w:val="auto"/>
          <w:sz w:val="21"/>
          <w:szCs w:val="21"/>
          <w:highlight w:val="none"/>
        </w:rPr>
      </w:pPr>
      <w:bookmarkStart w:id="167" w:name="_Toc152045602"/>
      <w:bookmarkStart w:id="168" w:name="_Toc152042379"/>
      <w:bookmarkStart w:id="169" w:name="_Toc238140504"/>
      <w:bookmarkStart w:id="170" w:name="_Toc232470827"/>
      <w:bookmarkStart w:id="171" w:name="_Toc144974569"/>
      <w:bookmarkStart w:id="172" w:name="_Toc179632620"/>
      <w:r>
        <w:rPr>
          <w:rFonts w:hint="eastAsia" w:ascii="仿宋" w:hAnsi="仿宋" w:eastAsia="仿宋" w:cs="仿宋"/>
          <w:b/>
          <w:color w:val="auto"/>
          <w:sz w:val="21"/>
          <w:szCs w:val="21"/>
          <w:highlight w:val="none"/>
        </w:rPr>
        <w:t>2.1 初步评审标准</w:t>
      </w:r>
      <w:bookmarkEnd w:id="167"/>
      <w:bookmarkEnd w:id="168"/>
      <w:bookmarkEnd w:id="169"/>
      <w:bookmarkEnd w:id="170"/>
      <w:bookmarkEnd w:id="171"/>
      <w:bookmarkEnd w:id="172"/>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2.1.1 形式评审标准：见评标办法前附表。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2.1.2 资格评审标准：见评标办法前附表。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2.1.3 响应性评审标准：见评标办法前附表。</w:t>
      </w:r>
    </w:p>
    <w:p>
      <w:pPr>
        <w:pageBreakBefore w:val="0"/>
        <w:kinsoku/>
        <w:overflowPunct/>
        <w:bidi w:val="0"/>
        <w:snapToGrid w:val="0"/>
        <w:spacing w:line="360" w:lineRule="auto"/>
        <w:rPr>
          <w:rFonts w:ascii="仿宋" w:hAnsi="仿宋" w:eastAsia="仿宋" w:cs="仿宋"/>
          <w:b/>
          <w:color w:val="auto"/>
          <w:sz w:val="21"/>
          <w:szCs w:val="21"/>
          <w:highlight w:val="none"/>
        </w:rPr>
      </w:pPr>
      <w:bookmarkStart w:id="173" w:name="_Toc144974570"/>
      <w:bookmarkStart w:id="174" w:name="_Toc179632621"/>
      <w:bookmarkStart w:id="175" w:name="_Toc232470828"/>
      <w:bookmarkStart w:id="176" w:name="_Toc152045603"/>
      <w:bookmarkStart w:id="177" w:name="_Toc152042380"/>
      <w:bookmarkStart w:id="178" w:name="_Toc238140505"/>
      <w:r>
        <w:rPr>
          <w:rFonts w:hint="eastAsia" w:ascii="仿宋" w:hAnsi="仿宋" w:eastAsia="仿宋" w:cs="仿宋"/>
          <w:b/>
          <w:color w:val="auto"/>
          <w:sz w:val="21"/>
          <w:szCs w:val="21"/>
          <w:highlight w:val="none"/>
        </w:rPr>
        <w:t>2.2 分值构成与评分标准</w:t>
      </w:r>
      <w:bookmarkEnd w:id="173"/>
      <w:bookmarkEnd w:id="174"/>
      <w:bookmarkEnd w:id="175"/>
      <w:bookmarkEnd w:id="176"/>
      <w:bookmarkEnd w:id="177"/>
      <w:bookmarkEnd w:id="178"/>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2.2.1 分值构成</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（1）磋商报价：见评标办法前附表；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（2）施工组织设计：见评标办法前附表；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（3）其他评分因素：见评标办法前附表。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2.2.2 评标基准值计算</w:t>
      </w:r>
    </w:p>
    <w:p>
      <w:pPr>
        <w:pageBreakBefore w:val="0"/>
        <w:kinsoku/>
        <w:overflowPunct/>
        <w:bidi w:val="0"/>
        <w:snapToGrid w:val="0"/>
        <w:spacing w:line="360" w:lineRule="auto"/>
        <w:ind w:firstLine="840" w:firstLineChars="4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评标基准值计算方法：见评标办法前附表。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2.2.3评分标准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（1）磋商报价：见评标办法前附表；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（2）施工组织设计：见评标办法前附表；</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（3）其他评分因素：见评标办法前附表。</w:t>
      </w:r>
    </w:p>
    <w:p>
      <w:pPr>
        <w:pStyle w:val="5"/>
        <w:pageBreakBefore w:val="0"/>
        <w:kinsoku/>
        <w:overflowPunct/>
        <w:bidi w:val="0"/>
        <w:snapToGrid w:val="0"/>
        <w:spacing w:before="120" w:after="120" w:line="360" w:lineRule="auto"/>
        <w:jc w:val="both"/>
        <w:rPr>
          <w:rFonts w:ascii="仿宋" w:hAnsi="仿宋" w:eastAsia="仿宋" w:cs="仿宋"/>
          <w:color w:val="auto"/>
          <w:sz w:val="21"/>
          <w:szCs w:val="21"/>
          <w:highlight w:val="none"/>
        </w:rPr>
      </w:pPr>
      <w:bookmarkStart w:id="179" w:name="_Toc317251101"/>
      <w:bookmarkStart w:id="180" w:name="_Toc11627"/>
      <w:bookmarkStart w:id="181" w:name="_Toc238140506"/>
      <w:bookmarkStart w:id="182" w:name="_Toc232470829"/>
      <w:bookmarkStart w:id="183" w:name="_Toc144974571"/>
      <w:bookmarkStart w:id="184" w:name="_Toc152045604"/>
      <w:bookmarkStart w:id="185" w:name="_Toc152042381"/>
      <w:bookmarkStart w:id="186" w:name="_Toc262024405"/>
      <w:bookmarkStart w:id="187" w:name="_Toc459741384"/>
      <w:bookmarkStart w:id="188" w:name="_Toc179632622"/>
      <w:bookmarkStart w:id="189" w:name="_Toc13063"/>
      <w:bookmarkStart w:id="190" w:name="_Toc23809"/>
      <w:bookmarkStart w:id="191" w:name="_Toc278179964"/>
      <w:r>
        <w:rPr>
          <w:rFonts w:hint="eastAsia" w:ascii="仿宋" w:hAnsi="仿宋" w:eastAsia="仿宋" w:cs="仿宋"/>
          <w:color w:val="auto"/>
          <w:sz w:val="21"/>
          <w:szCs w:val="21"/>
          <w:highlight w:val="none"/>
        </w:rPr>
        <w:t>3、评标程序</w:t>
      </w:r>
      <w:bookmarkEnd w:id="179"/>
      <w:bookmarkEnd w:id="180"/>
      <w:bookmarkEnd w:id="181"/>
      <w:bookmarkEnd w:id="182"/>
      <w:bookmarkEnd w:id="183"/>
      <w:bookmarkEnd w:id="184"/>
      <w:bookmarkEnd w:id="185"/>
      <w:bookmarkEnd w:id="186"/>
      <w:bookmarkEnd w:id="187"/>
      <w:bookmarkEnd w:id="188"/>
      <w:bookmarkEnd w:id="189"/>
      <w:bookmarkEnd w:id="190"/>
      <w:bookmarkEnd w:id="191"/>
    </w:p>
    <w:p>
      <w:pPr>
        <w:pageBreakBefore w:val="0"/>
        <w:kinsoku/>
        <w:overflowPunct/>
        <w:bidi w:val="0"/>
        <w:snapToGrid w:val="0"/>
        <w:spacing w:line="360" w:lineRule="auto"/>
        <w:rPr>
          <w:rFonts w:ascii="仿宋" w:hAnsi="仿宋" w:eastAsia="仿宋" w:cs="仿宋"/>
          <w:b/>
          <w:color w:val="auto"/>
          <w:sz w:val="21"/>
          <w:szCs w:val="21"/>
          <w:highlight w:val="none"/>
        </w:rPr>
      </w:pPr>
      <w:bookmarkStart w:id="192" w:name="_Toc179632623"/>
      <w:bookmarkStart w:id="193" w:name="_Toc144974572"/>
      <w:bookmarkStart w:id="194" w:name="_Toc232470830"/>
      <w:bookmarkStart w:id="195" w:name="_Toc152045605"/>
      <w:bookmarkStart w:id="196" w:name="_Toc238140507"/>
      <w:bookmarkStart w:id="197" w:name="_Toc152042382"/>
      <w:r>
        <w:rPr>
          <w:rFonts w:hint="eastAsia" w:ascii="仿宋" w:hAnsi="仿宋" w:eastAsia="仿宋" w:cs="仿宋"/>
          <w:b/>
          <w:color w:val="auto"/>
          <w:sz w:val="21"/>
          <w:szCs w:val="21"/>
          <w:highlight w:val="none"/>
        </w:rPr>
        <w:t>3.1 初步评审</w:t>
      </w:r>
      <w:bookmarkEnd w:id="192"/>
      <w:bookmarkEnd w:id="193"/>
      <w:bookmarkEnd w:id="194"/>
      <w:bookmarkEnd w:id="195"/>
      <w:bookmarkEnd w:id="196"/>
      <w:bookmarkEnd w:id="197"/>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3.1.1 磋商小组依据本章规定的标准对响应文件进行初步评审。有一项不符合评审标准的，作废标处理。通过初步评审的供应商为有效供应商。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3.1.2 供应商有以下情形之一的，作废标处理：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（1）串通投标或弄虚作假或有其他违法行为的；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（2）不按磋商小组要求澄清、说明或补正的。</w:t>
      </w:r>
    </w:p>
    <w:p>
      <w:pPr>
        <w:pageBreakBefore w:val="0"/>
        <w:kinsoku/>
        <w:overflowPunct/>
        <w:bidi w:val="0"/>
        <w:snapToGrid w:val="0"/>
        <w:spacing w:line="360" w:lineRule="auto"/>
        <w:ind w:firstLine="420" w:firstLineChars="200"/>
        <w:rPr>
          <w:rFonts w:eastAsia="仿宋"/>
          <w:color w:val="auto"/>
          <w:highlight w:val="none"/>
        </w:rPr>
      </w:pPr>
      <w:r>
        <w:rPr>
          <w:rFonts w:hint="eastAsia" w:ascii="仿宋" w:hAnsi="仿宋" w:eastAsia="仿宋" w:cs="仿宋"/>
          <w:color w:val="auto"/>
          <w:sz w:val="21"/>
          <w:szCs w:val="21"/>
          <w:highlight w:val="none"/>
        </w:rPr>
        <w:t>（3）投标（响应）文件制作机器码一致的，做废标处理。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3.1.3 磋商报价有算术错误的，磋商小组按以下原则对磋商报价进行修正，修正的价格经供应商确认后具有约束力。供应商不接受修正价格的，作废标处理。</w:t>
      </w:r>
      <w:bookmarkStart w:id="198" w:name="_Toc152042383"/>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（1）响应文件中的大写金额与小写金额不一致的，以大写金额为准；</w:t>
      </w:r>
      <w:bookmarkEnd w:id="198"/>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（2）总价金额与依据单价计算出的结果不一致的，以单价金额为准修正总价，但单价金额小数点有明显错误的除外。</w:t>
      </w:r>
    </w:p>
    <w:p>
      <w:pPr>
        <w:pageBreakBefore w:val="0"/>
        <w:kinsoku/>
        <w:overflowPunct/>
        <w:bidi w:val="0"/>
        <w:snapToGrid w:val="0"/>
        <w:spacing w:line="360" w:lineRule="auto"/>
        <w:rPr>
          <w:rFonts w:ascii="仿宋" w:hAnsi="仿宋" w:eastAsia="仿宋" w:cs="仿宋"/>
          <w:b/>
          <w:color w:val="auto"/>
          <w:sz w:val="21"/>
          <w:szCs w:val="21"/>
          <w:highlight w:val="none"/>
        </w:rPr>
      </w:pPr>
      <w:bookmarkStart w:id="199" w:name="_Toc152045606"/>
      <w:bookmarkStart w:id="200" w:name="_Toc232470831"/>
      <w:bookmarkStart w:id="201" w:name="_Toc238140508"/>
      <w:bookmarkStart w:id="202" w:name="_Toc152042384"/>
      <w:bookmarkStart w:id="203" w:name="_Toc179632624"/>
      <w:bookmarkStart w:id="204" w:name="_Toc144974573"/>
      <w:r>
        <w:rPr>
          <w:rFonts w:hint="eastAsia" w:ascii="仿宋" w:hAnsi="仿宋" w:eastAsia="仿宋" w:cs="仿宋"/>
          <w:b/>
          <w:color w:val="auto"/>
          <w:sz w:val="21"/>
          <w:szCs w:val="21"/>
          <w:highlight w:val="none"/>
        </w:rPr>
        <w:t>3.2 详细评审</w:t>
      </w:r>
      <w:bookmarkEnd w:id="199"/>
      <w:bookmarkEnd w:id="200"/>
      <w:bookmarkEnd w:id="201"/>
      <w:bookmarkEnd w:id="202"/>
      <w:bookmarkEnd w:id="203"/>
      <w:bookmarkEnd w:id="204"/>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3.2.1 磋商小组按本章规定的量化因素和分值进行打分，并计算出综合评估得分。</w:t>
      </w:r>
    </w:p>
    <w:p>
      <w:pPr>
        <w:pageBreakBefore w:val="0"/>
        <w:kinsoku/>
        <w:overflowPunct/>
        <w:bidi w:val="0"/>
        <w:snapToGrid w:val="0"/>
        <w:spacing w:line="360" w:lineRule="auto"/>
        <w:ind w:firstLine="718" w:firstLineChars="34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（1）按本章规定的评审因素和分值对磋商报价计算出得分A；</w:t>
      </w:r>
    </w:p>
    <w:p>
      <w:pPr>
        <w:pageBreakBefore w:val="0"/>
        <w:kinsoku/>
        <w:overflowPunct/>
        <w:bidi w:val="0"/>
        <w:snapToGrid w:val="0"/>
        <w:spacing w:line="360" w:lineRule="auto"/>
        <w:ind w:firstLine="718" w:firstLineChars="34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（2）按本章规定的评审因素和分值对施工组织设计计算出得分B；</w:t>
      </w:r>
    </w:p>
    <w:p>
      <w:pPr>
        <w:pageBreakBefore w:val="0"/>
        <w:kinsoku/>
        <w:overflowPunct/>
        <w:bidi w:val="0"/>
        <w:snapToGrid w:val="0"/>
        <w:spacing w:line="360" w:lineRule="auto"/>
        <w:ind w:firstLine="718" w:firstLineChars="34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（3）按本章规定的评审因素和分值对其他评分因素计算出得分C；</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3.2.2 评分分值计算保留小数点后两位，小数点后第四位“四舍五入”。</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3.2.3 最终得分计算：</w:t>
      </w:r>
      <w:r>
        <w:rPr>
          <w:rFonts w:hint="eastAsia" w:ascii="仿宋" w:hAnsi="仿宋" w:eastAsia="仿宋" w:cs="仿宋"/>
          <w:color w:val="auto"/>
          <w:sz w:val="21"/>
          <w:szCs w:val="21"/>
          <w:highlight w:val="none"/>
        </w:rPr>
        <w:t>以全部评委打分的算术平均值为准，作为该供应商的最终得分。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3.2.4 供应商得分=最后磋商报价得分+施工组织设计得分+其他评分因素得分。</w:t>
      </w:r>
    </w:p>
    <w:p>
      <w:pPr>
        <w:pStyle w:val="5"/>
        <w:pageBreakBefore w:val="0"/>
        <w:kinsoku/>
        <w:overflowPunct/>
        <w:bidi w:val="0"/>
        <w:snapToGrid w:val="0"/>
        <w:spacing w:before="120" w:after="120" w:line="360" w:lineRule="auto"/>
        <w:jc w:val="both"/>
        <w:rPr>
          <w:rFonts w:ascii="仿宋" w:hAnsi="仿宋" w:eastAsia="仿宋" w:cs="仿宋"/>
          <w:color w:val="auto"/>
          <w:sz w:val="21"/>
          <w:szCs w:val="21"/>
          <w:highlight w:val="none"/>
        </w:rPr>
      </w:pPr>
      <w:bookmarkStart w:id="205" w:name="_Toc10148"/>
      <w:bookmarkStart w:id="206" w:name="_Toc459741385"/>
      <w:bookmarkStart w:id="207" w:name="_Toc24793"/>
      <w:bookmarkStart w:id="208" w:name="_Toc278179965"/>
      <w:bookmarkStart w:id="209" w:name="_Toc317251102"/>
      <w:bookmarkStart w:id="210" w:name="_Toc23524"/>
      <w:bookmarkStart w:id="211" w:name="_Toc262024406"/>
      <w:r>
        <w:rPr>
          <w:rFonts w:hint="eastAsia" w:ascii="仿宋" w:hAnsi="仿宋" w:eastAsia="仿宋" w:cs="仿宋"/>
          <w:color w:val="auto"/>
          <w:sz w:val="21"/>
          <w:szCs w:val="21"/>
          <w:highlight w:val="none"/>
        </w:rPr>
        <w:t>4、响应文件的澄清和补正</w:t>
      </w:r>
      <w:bookmarkEnd w:id="205"/>
      <w:bookmarkEnd w:id="206"/>
      <w:bookmarkEnd w:id="207"/>
      <w:bookmarkEnd w:id="208"/>
      <w:bookmarkEnd w:id="209"/>
      <w:bookmarkEnd w:id="210"/>
      <w:bookmarkEnd w:id="211"/>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4.1 在磋商过程中，磋商小组可以要求供应商对所提交响应文件中不明确的内容进行澄清或说明，或者对细微偏差进行补正。磋商小组不接受供应商主动提出的澄清、说明或补正。</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4.2 澄清、说明和补正不得改变响应文件的实质性内容（算术性错误修正的除外）。供应商的澄清、说明和补正属于响应文件的组成部分。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4.3 磋商小组对供应商提交的澄清、说明或补正有疑问的，可以要求供应商进一步澄清、说明或补正，直至满足磋商小组的要求。</w:t>
      </w:r>
    </w:p>
    <w:p>
      <w:pPr>
        <w:pStyle w:val="5"/>
        <w:pageBreakBefore w:val="0"/>
        <w:kinsoku/>
        <w:overflowPunct/>
        <w:bidi w:val="0"/>
        <w:snapToGrid w:val="0"/>
        <w:spacing w:before="120" w:after="120" w:line="360" w:lineRule="auto"/>
        <w:jc w:val="both"/>
        <w:rPr>
          <w:rFonts w:ascii="仿宋" w:hAnsi="仿宋" w:eastAsia="仿宋" w:cs="仿宋"/>
          <w:color w:val="auto"/>
          <w:sz w:val="21"/>
          <w:szCs w:val="21"/>
          <w:highlight w:val="none"/>
        </w:rPr>
      </w:pPr>
      <w:bookmarkStart w:id="212" w:name="_Toc278179966"/>
      <w:bookmarkStart w:id="213" w:name="_Toc13042"/>
      <w:bookmarkStart w:id="214" w:name="_Toc5114"/>
      <w:bookmarkStart w:id="215" w:name="_Toc459741386"/>
      <w:bookmarkStart w:id="216" w:name="_Toc317251103"/>
      <w:bookmarkStart w:id="217" w:name="_Toc2434"/>
      <w:bookmarkStart w:id="218" w:name="_Toc262024407"/>
      <w:r>
        <w:rPr>
          <w:rFonts w:hint="eastAsia" w:ascii="仿宋" w:hAnsi="仿宋" w:eastAsia="仿宋" w:cs="仿宋"/>
          <w:color w:val="auto"/>
          <w:sz w:val="21"/>
          <w:szCs w:val="21"/>
          <w:highlight w:val="none"/>
        </w:rPr>
        <w:t>5、评标结果</w:t>
      </w:r>
      <w:bookmarkEnd w:id="212"/>
      <w:bookmarkEnd w:id="213"/>
      <w:bookmarkEnd w:id="214"/>
      <w:bookmarkEnd w:id="215"/>
      <w:bookmarkEnd w:id="216"/>
      <w:bookmarkEnd w:id="217"/>
      <w:bookmarkEnd w:id="218"/>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5.1磋商小组根据磋商文件确定的评标标准和办法，对响应文件进行评审和比较；计分过程取至小数点后两位，最终得分按四舍五入取至小数点后两位。磋商小组按照得分高低情况推荐1-3名中标候选人。</w:t>
      </w:r>
    </w:p>
    <w:p>
      <w:pPr>
        <w:pageBreakBefore w:val="0"/>
        <w:kinsoku/>
        <w:overflowPunct/>
        <w:bidi w:val="0"/>
        <w:snapToGrid w:val="0"/>
        <w:spacing w:line="360" w:lineRule="auto"/>
        <w:ind w:firstLine="420" w:firstLineChars="2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5.2 磋商小组完成评审后，应当向采购人提交评标报告。</w:t>
      </w:r>
    </w:p>
    <w:p>
      <w:pPr>
        <w:pageBreakBefore w:val="0"/>
        <w:kinsoku/>
        <w:overflowPunct/>
        <w:bidi w:val="0"/>
        <w:snapToGrid w:val="0"/>
        <w:spacing w:line="360" w:lineRule="auto"/>
        <w:ind w:firstLine="420"/>
        <w:rPr>
          <w:rFonts w:ascii="仿宋" w:hAnsi="仿宋" w:eastAsia="仿宋" w:cs="仿宋"/>
          <w:b/>
          <w:bCs/>
          <w:color w:val="auto"/>
          <w:highlight w:val="none"/>
        </w:rPr>
      </w:pPr>
      <w:r>
        <w:rPr>
          <w:rFonts w:hint="eastAsia" w:ascii="仿宋" w:hAnsi="仿宋" w:eastAsia="仿宋" w:cs="仿宋"/>
          <w:b/>
          <w:color w:val="auto"/>
          <w:sz w:val="21"/>
          <w:szCs w:val="21"/>
          <w:highlight w:val="none"/>
        </w:rPr>
        <w:t>注：供应商二次报价为最终报价，参与价格评审，并作为合同签订的依据，最终报价不得高于第一轮报价，否则视为无效报价。</w:t>
      </w:r>
    </w:p>
    <w:p>
      <w:pPr>
        <w:pStyle w:val="26"/>
        <w:pageBreakBefore w:val="0"/>
        <w:kinsoku/>
        <w:overflowPunct/>
        <w:bidi w:val="0"/>
        <w:snapToGrid w:val="0"/>
        <w:spacing w:line="360" w:lineRule="auto"/>
        <w:rPr>
          <w:rFonts w:ascii="仿宋" w:hAnsi="仿宋" w:eastAsia="仿宋" w:cs="仿宋"/>
          <w:b/>
          <w:bCs/>
          <w:color w:val="auto"/>
          <w:highlight w:val="none"/>
        </w:rPr>
      </w:pPr>
    </w:p>
    <w:p>
      <w:pPr>
        <w:pStyle w:val="26"/>
        <w:pageBreakBefore w:val="0"/>
        <w:kinsoku/>
        <w:overflowPunct/>
        <w:bidi w:val="0"/>
        <w:snapToGrid w:val="0"/>
        <w:spacing w:line="360" w:lineRule="auto"/>
        <w:rPr>
          <w:rFonts w:ascii="仿宋" w:hAnsi="仿宋" w:eastAsia="仿宋" w:cs="仿宋"/>
          <w:b/>
          <w:bCs/>
          <w:color w:val="auto"/>
          <w:highlight w:val="none"/>
        </w:rPr>
      </w:pPr>
    </w:p>
    <w:p>
      <w:pPr>
        <w:pStyle w:val="3"/>
        <w:pageBreakBefore w:val="0"/>
        <w:kinsoku/>
        <w:overflowPunct/>
        <w:bidi w:val="0"/>
        <w:snapToGrid w:val="0"/>
        <w:spacing w:line="360" w:lineRule="auto"/>
        <w:rPr>
          <w:rFonts w:hint="eastAsia" w:ascii="仿宋" w:hAnsi="仿宋" w:eastAsia="仿宋" w:cs="仿宋"/>
          <w:color w:val="auto"/>
          <w:szCs w:val="32"/>
          <w:highlight w:val="none"/>
        </w:rPr>
        <w:sectPr>
          <w:pgSz w:w="11906" w:h="16838"/>
          <w:pgMar w:top="1701"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bookmarkStart w:id="219" w:name="_Toc24148"/>
      <w:bookmarkStart w:id="220" w:name="_Toc15864"/>
    </w:p>
    <w:p>
      <w:pPr>
        <w:pStyle w:val="3"/>
        <w:pageBreakBefore w:val="0"/>
        <w:kinsoku/>
        <w:overflowPunct/>
        <w:bidi w:val="0"/>
        <w:snapToGrid w:val="0"/>
        <w:spacing w:line="360" w:lineRule="auto"/>
        <w:rPr>
          <w:rFonts w:ascii="仿宋" w:hAnsi="仿宋" w:eastAsia="仿宋" w:cs="仿宋"/>
          <w:color w:val="auto"/>
          <w:szCs w:val="32"/>
          <w:highlight w:val="none"/>
        </w:rPr>
      </w:pPr>
      <w:r>
        <w:rPr>
          <w:rFonts w:hint="eastAsia" w:ascii="仿宋" w:hAnsi="仿宋" w:eastAsia="仿宋" w:cs="仿宋"/>
          <w:color w:val="auto"/>
          <w:szCs w:val="32"/>
          <w:highlight w:val="none"/>
        </w:rPr>
        <w:t>第四章 合同主要条款及格式</w:t>
      </w:r>
      <w:bookmarkEnd w:id="152"/>
      <w:bookmarkEnd w:id="153"/>
      <w:bookmarkEnd w:id="219"/>
      <w:bookmarkEnd w:id="220"/>
    </w:p>
    <w:p>
      <w:pPr>
        <w:pageBreakBefore w:val="0"/>
        <w:kinsoku/>
        <w:overflowPunct/>
        <w:bidi w:val="0"/>
        <w:snapToGrid w:val="0"/>
        <w:spacing w:line="360" w:lineRule="auto"/>
        <w:jc w:val="left"/>
        <w:rPr>
          <w:rFonts w:ascii="仿宋" w:hAnsi="仿宋" w:eastAsia="仿宋" w:cs="仿宋"/>
          <w:bCs/>
          <w:color w:val="auto"/>
          <w:sz w:val="28"/>
          <w:szCs w:val="28"/>
          <w:highlight w:val="none"/>
        </w:rPr>
      </w:pPr>
      <w:bookmarkStart w:id="221" w:name="_Toc168476286"/>
      <w:bookmarkStart w:id="222" w:name="_Toc229305402"/>
      <w:bookmarkStart w:id="223" w:name="_Toc168475883"/>
      <w:bookmarkStart w:id="224" w:name="_Toc388362349"/>
    </w:p>
    <w:bookmarkEnd w:id="221"/>
    <w:bookmarkEnd w:id="222"/>
    <w:bookmarkEnd w:id="223"/>
    <w:bookmarkEnd w:id="224"/>
    <w:p>
      <w:pPr>
        <w:pageBreakBefore w:val="0"/>
        <w:kinsoku/>
        <w:overflowPunct/>
        <w:bidi w:val="0"/>
        <w:snapToGrid w:val="0"/>
        <w:spacing w:line="360" w:lineRule="auto"/>
        <w:jc w:val="center"/>
        <w:rPr>
          <w:rFonts w:hint="eastAsia" w:ascii="仿宋" w:hAnsi="仿宋" w:eastAsia="仿宋" w:cs="仿宋"/>
          <w:color w:val="auto"/>
          <w:highlight w:val="none"/>
        </w:rPr>
      </w:pPr>
      <w:bookmarkStart w:id="225" w:name="_Toc19930"/>
      <w:r>
        <w:rPr>
          <w:rFonts w:hint="eastAsia" w:ascii="仿宋" w:hAnsi="仿宋" w:eastAsia="仿宋" w:cs="仿宋"/>
          <w:color w:val="auto"/>
          <w:highlight w:val="none"/>
        </w:rPr>
        <w:t>（本合同为参考版本，具体以实际签订合同为准）</w:t>
      </w:r>
    </w:p>
    <w:p>
      <w:pPr>
        <w:pageBreakBefore w:val="0"/>
        <w:kinsoku/>
        <w:overflowPunct/>
        <w:bidi w:val="0"/>
        <w:snapToGrid w:val="0"/>
        <w:spacing w:line="360" w:lineRule="auto"/>
        <w:jc w:val="left"/>
        <w:rPr>
          <w:rFonts w:ascii="仿宋" w:hAnsi="仿宋" w:eastAsia="仿宋" w:cs="仿宋"/>
          <w:bCs/>
          <w:color w:val="auto"/>
          <w:sz w:val="28"/>
          <w:szCs w:val="28"/>
          <w:highlight w:val="none"/>
        </w:rPr>
      </w:pPr>
    </w:p>
    <w:p>
      <w:pPr>
        <w:pageBreakBefore w:val="0"/>
        <w:tabs>
          <w:tab w:val="left" w:pos="2340"/>
        </w:tabs>
        <w:kinsoku/>
        <w:overflowPunct/>
        <w:bidi w:val="0"/>
        <w:snapToGrid w:val="0"/>
        <w:spacing w:line="360" w:lineRule="auto"/>
        <w:jc w:val="center"/>
        <w:rPr>
          <w:rFonts w:ascii="仿宋" w:hAnsi="仿宋" w:eastAsia="仿宋" w:cs="仿宋"/>
          <w:b/>
          <w:color w:val="auto"/>
          <w:spacing w:val="40"/>
          <w:sz w:val="84"/>
          <w:highlight w:val="none"/>
        </w:rPr>
      </w:pPr>
      <w:r>
        <w:rPr>
          <w:rFonts w:hint="eastAsia" w:ascii="仿宋" w:hAnsi="仿宋" w:eastAsia="仿宋" w:cs="仿宋"/>
          <w:b/>
          <w:color w:val="auto"/>
          <w:spacing w:val="40"/>
          <w:sz w:val="84"/>
          <w:highlight w:val="none"/>
        </w:rPr>
        <w:t>施工合同书</w:t>
      </w:r>
    </w:p>
    <w:p>
      <w:pPr>
        <w:pageBreakBefore w:val="0"/>
        <w:kinsoku/>
        <w:overflowPunct/>
        <w:bidi w:val="0"/>
        <w:snapToGrid w:val="0"/>
        <w:spacing w:line="360" w:lineRule="auto"/>
        <w:jc w:val="center"/>
        <w:rPr>
          <w:rFonts w:ascii="仿宋" w:hAnsi="仿宋" w:eastAsia="仿宋" w:cs="仿宋"/>
          <w:color w:val="auto"/>
          <w:w w:val="95"/>
          <w:kern w:val="0"/>
          <w:sz w:val="32"/>
          <w:highlight w:val="none"/>
        </w:rPr>
      </w:pPr>
      <w:bookmarkStart w:id="226" w:name="_Toc229297805"/>
      <w:bookmarkStart w:id="227" w:name="_Toc228707162"/>
      <w:bookmarkStart w:id="228" w:name="_Toc223537685"/>
      <w:bookmarkStart w:id="229" w:name="_Toc257127780"/>
      <w:bookmarkStart w:id="230" w:name="_Toc266371710"/>
      <w:bookmarkStart w:id="231" w:name="_Toc266456215"/>
      <w:bookmarkStart w:id="232" w:name="_Toc257124757"/>
      <w:bookmarkStart w:id="233" w:name="_Toc233548646"/>
      <w:bookmarkStart w:id="234" w:name="_Toc224039029"/>
      <w:bookmarkStart w:id="235" w:name="_Toc224050552"/>
      <w:bookmarkStart w:id="236" w:name="_Toc223596027"/>
      <w:bookmarkStart w:id="237" w:name="_Toc257988045"/>
      <w:bookmarkStart w:id="238" w:name="_Toc225676520"/>
      <w:bookmarkStart w:id="239" w:name="_Toc233873157"/>
      <w:bookmarkStart w:id="240" w:name="_Toc254810792"/>
      <w:bookmarkStart w:id="241" w:name="_Toc224497617"/>
      <w:bookmarkStart w:id="242" w:name="_Toc229453464"/>
    </w:p>
    <w:p>
      <w:pPr>
        <w:pageBreakBefore w:val="0"/>
        <w:kinsoku/>
        <w:overflowPunct/>
        <w:bidi w:val="0"/>
        <w:snapToGrid w:val="0"/>
        <w:spacing w:line="360" w:lineRule="auto"/>
        <w:rPr>
          <w:rFonts w:ascii="仿宋" w:hAnsi="仿宋" w:eastAsia="仿宋" w:cs="仿宋"/>
          <w:color w:val="auto"/>
          <w:w w:val="95"/>
          <w:kern w:val="0"/>
          <w:sz w:val="32"/>
          <w:highlight w:val="none"/>
        </w:rPr>
      </w:pPr>
      <w:r>
        <w:rPr>
          <w:rFonts w:hint="eastAsia" w:ascii="仿宋" w:hAnsi="仿宋" w:eastAsia="仿宋" w:cs="仿宋"/>
          <w:color w:val="auto"/>
          <w:w w:val="95"/>
          <w:kern w:val="0"/>
          <w:sz w:val="32"/>
          <w:highlight w:val="none"/>
        </w:rPr>
        <w:t>合同编号：</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ageBreakBefore w:val="0"/>
        <w:kinsoku/>
        <w:overflowPunct/>
        <w:bidi w:val="0"/>
        <w:snapToGrid w:val="0"/>
        <w:spacing w:line="360" w:lineRule="auto"/>
        <w:rPr>
          <w:rFonts w:ascii="仿宋" w:hAnsi="仿宋" w:eastAsia="仿宋" w:cs="仿宋"/>
          <w:b/>
          <w:color w:val="auto"/>
          <w:sz w:val="36"/>
          <w:highlight w:val="none"/>
        </w:rPr>
      </w:pPr>
    </w:p>
    <w:p>
      <w:pPr>
        <w:pageBreakBefore w:val="0"/>
        <w:kinsoku/>
        <w:overflowPunct/>
        <w:bidi w:val="0"/>
        <w:snapToGrid w:val="0"/>
        <w:spacing w:line="360" w:lineRule="auto"/>
        <w:rPr>
          <w:rFonts w:ascii="仿宋" w:hAnsi="仿宋" w:eastAsia="仿宋" w:cs="仿宋"/>
          <w:b/>
          <w:color w:val="auto"/>
          <w:sz w:val="36"/>
          <w:highlight w:val="none"/>
        </w:rPr>
      </w:pPr>
    </w:p>
    <w:p>
      <w:pPr>
        <w:pageBreakBefore w:val="0"/>
        <w:kinsoku/>
        <w:overflowPunct/>
        <w:bidi w:val="0"/>
        <w:snapToGrid w:val="0"/>
        <w:spacing w:line="360" w:lineRule="auto"/>
        <w:jc w:val="center"/>
        <w:rPr>
          <w:rFonts w:ascii="仿宋" w:hAnsi="仿宋" w:eastAsia="仿宋" w:cs="仿宋"/>
          <w:color w:val="auto"/>
          <w:sz w:val="24"/>
          <w:highlight w:val="none"/>
        </w:rPr>
      </w:pPr>
    </w:p>
    <w:p>
      <w:pPr>
        <w:pageBreakBefore w:val="0"/>
        <w:kinsoku/>
        <w:overflowPunct/>
        <w:bidi w:val="0"/>
        <w:snapToGrid w:val="0"/>
        <w:spacing w:line="360" w:lineRule="auto"/>
        <w:jc w:val="center"/>
        <w:rPr>
          <w:rFonts w:ascii="仿宋" w:hAnsi="仿宋" w:eastAsia="仿宋" w:cs="仿宋"/>
          <w:color w:val="auto"/>
          <w:sz w:val="24"/>
          <w:highlight w:val="none"/>
        </w:rPr>
      </w:pPr>
    </w:p>
    <w:p>
      <w:pPr>
        <w:pageBreakBefore w:val="0"/>
        <w:kinsoku/>
        <w:overflowPunct/>
        <w:bidi w:val="0"/>
        <w:snapToGrid w:val="0"/>
        <w:spacing w:line="360" w:lineRule="auto"/>
        <w:jc w:val="center"/>
        <w:rPr>
          <w:rFonts w:ascii="仿宋" w:hAnsi="仿宋" w:eastAsia="仿宋" w:cs="仿宋"/>
          <w:b/>
          <w:color w:val="auto"/>
          <w:sz w:val="24"/>
          <w:highlight w:val="none"/>
        </w:rPr>
      </w:pPr>
    </w:p>
    <w:p>
      <w:pPr>
        <w:pageBreakBefore w:val="0"/>
        <w:kinsoku/>
        <w:overflowPunct/>
        <w:bidi w:val="0"/>
        <w:snapToGrid w:val="0"/>
        <w:spacing w:line="360" w:lineRule="auto"/>
        <w:jc w:val="center"/>
        <w:rPr>
          <w:rFonts w:ascii="仿宋" w:hAnsi="仿宋" w:eastAsia="仿宋" w:cs="仿宋"/>
          <w:b/>
          <w:color w:val="auto"/>
          <w:sz w:val="24"/>
          <w:highlight w:val="none"/>
        </w:rPr>
      </w:pPr>
    </w:p>
    <w:p>
      <w:pPr>
        <w:pageBreakBefore w:val="0"/>
        <w:kinsoku/>
        <w:overflowPunct/>
        <w:bidi w:val="0"/>
        <w:snapToGrid w:val="0"/>
        <w:spacing w:line="360" w:lineRule="auto"/>
        <w:jc w:val="center"/>
        <w:rPr>
          <w:rFonts w:ascii="仿宋" w:hAnsi="仿宋" w:eastAsia="仿宋" w:cs="仿宋"/>
          <w:b/>
          <w:color w:val="auto"/>
          <w:sz w:val="24"/>
          <w:highlight w:val="none"/>
        </w:rPr>
      </w:pPr>
    </w:p>
    <w:p>
      <w:pPr>
        <w:pageBreakBefore w:val="0"/>
        <w:kinsoku/>
        <w:overflowPunct/>
        <w:bidi w:val="0"/>
        <w:snapToGrid w:val="0"/>
        <w:spacing w:line="360" w:lineRule="auto"/>
        <w:jc w:val="center"/>
        <w:rPr>
          <w:rFonts w:ascii="仿宋" w:hAnsi="仿宋" w:eastAsia="仿宋" w:cs="仿宋"/>
          <w:b/>
          <w:color w:val="auto"/>
          <w:sz w:val="24"/>
          <w:highlight w:val="none"/>
        </w:rPr>
      </w:pPr>
    </w:p>
    <w:p>
      <w:pPr>
        <w:pageBreakBefore w:val="0"/>
        <w:kinsoku/>
        <w:overflowPunct/>
        <w:bidi w:val="0"/>
        <w:snapToGrid w:val="0"/>
        <w:spacing w:line="360" w:lineRule="auto"/>
        <w:jc w:val="center"/>
        <w:rPr>
          <w:rFonts w:ascii="仿宋" w:hAnsi="仿宋" w:eastAsia="仿宋" w:cs="仿宋"/>
          <w:b/>
          <w:color w:val="auto"/>
          <w:sz w:val="24"/>
          <w:highlight w:val="none"/>
        </w:rPr>
      </w:pPr>
    </w:p>
    <w:p>
      <w:pPr>
        <w:pageBreakBefore w:val="0"/>
        <w:kinsoku/>
        <w:overflowPunct/>
        <w:bidi w:val="0"/>
        <w:snapToGrid w:val="0"/>
        <w:spacing w:line="360" w:lineRule="auto"/>
        <w:jc w:val="center"/>
        <w:rPr>
          <w:rFonts w:ascii="仿宋" w:hAnsi="仿宋" w:eastAsia="仿宋" w:cs="仿宋"/>
          <w:b/>
          <w:color w:val="auto"/>
          <w:sz w:val="24"/>
          <w:highlight w:val="none"/>
        </w:rPr>
      </w:pPr>
    </w:p>
    <w:p>
      <w:pPr>
        <w:pageBreakBefore w:val="0"/>
        <w:kinsoku/>
        <w:overflowPunct/>
        <w:bidi w:val="0"/>
        <w:snapToGrid w:val="0"/>
        <w:spacing w:line="360" w:lineRule="auto"/>
        <w:jc w:val="center"/>
        <w:rPr>
          <w:rFonts w:ascii="仿宋" w:hAnsi="仿宋" w:eastAsia="仿宋" w:cs="仿宋"/>
          <w:b/>
          <w:color w:val="auto"/>
          <w:sz w:val="24"/>
          <w:highlight w:val="none"/>
        </w:rPr>
      </w:pPr>
    </w:p>
    <w:p>
      <w:pPr>
        <w:pageBreakBefore w:val="0"/>
        <w:kinsoku/>
        <w:overflowPunct/>
        <w:bidi w:val="0"/>
        <w:snapToGrid w:val="0"/>
        <w:spacing w:line="360" w:lineRule="auto"/>
        <w:jc w:val="left"/>
        <w:rPr>
          <w:rFonts w:ascii="仿宋" w:hAnsi="仿宋" w:eastAsia="仿宋" w:cs="仿宋"/>
          <w:b/>
          <w:color w:val="auto"/>
          <w:highlight w:val="none"/>
        </w:rPr>
      </w:pPr>
    </w:p>
    <w:p>
      <w:pPr>
        <w:pageBreakBefore w:val="0"/>
        <w:kinsoku/>
        <w:overflowPunct/>
        <w:bidi w:val="0"/>
        <w:snapToGrid w:val="0"/>
        <w:spacing w:line="360" w:lineRule="auto"/>
        <w:rPr>
          <w:rFonts w:ascii="仿宋" w:hAnsi="仿宋" w:eastAsia="仿宋" w:cs="仿宋"/>
          <w:b/>
          <w:color w:val="auto"/>
          <w:highlight w:val="none"/>
        </w:rPr>
      </w:pPr>
      <w:r>
        <w:rPr>
          <w:rFonts w:hint="eastAsia" w:ascii="仿宋" w:hAnsi="仿宋" w:eastAsia="仿宋" w:cs="仿宋"/>
          <w:b/>
          <w:color w:val="auto"/>
          <w:highlight w:val="none"/>
        </w:rPr>
        <w:t>发 包 人：</w:t>
      </w:r>
      <w:r>
        <w:rPr>
          <w:rFonts w:hint="eastAsia" w:ascii="仿宋" w:hAnsi="仿宋" w:eastAsia="仿宋" w:cs="仿宋"/>
          <w:b/>
          <w:color w:val="auto"/>
          <w:highlight w:val="none"/>
        </w:rPr>
        <w:tab/>
      </w:r>
    </w:p>
    <w:p>
      <w:pPr>
        <w:pageBreakBefore w:val="0"/>
        <w:widowControl/>
        <w:kinsoku/>
        <w:overflowPunct/>
        <w:bidi w:val="0"/>
        <w:snapToGrid w:val="0"/>
        <w:spacing w:line="360" w:lineRule="auto"/>
        <w:jc w:val="left"/>
        <w:rPr>
          <w:rFonts w:ascii="仿宋" w:hAnsi="仿宋" w:eastAsia="仿宋" w:cs="仿宋"/>
          <w:b/>
          <w:color w:val="auto"/>
          <w:highlight w:val="none"/>
        </w:rPr>
      </w:pPr>
      <w:r>
        <w:rPr>
          <w:rFonts w:hint="eastAsia" w:ascii="仿宋" w:hAnsi="仿宋" w:eastAsia="仿宋" w:cs="仿宋"/>
          <w:b/>
          <w:color w:val="auto"/>
          <w:highlight w:val="none"/>
        </w:rPr>
        <w:t xml:space="preserve">承 包 人： </w:t>
      </w:r>
    </w:p>
    <w:p>
      <w:pPr>
        <w:pageBreakBefore w:val="0"/>
        <w:kinsoku/>
        <w:overflowPunct/>
        <w:bidi w:val="0"/>
        <w:snapToGrid w:val="0"/>
        <w:spacing w:line="360" w:lineRule="auto"/>
        <w:rPr>
          <w:rFonts w:ascii="仿宋" w:hAnsi="仿宋" w:eastAsia="仿宋" w:cs="仿宋"/>
          <w:b/>
          <w:color w:val="auto"/>
          <w:highlight w:val="none"/>
        </w:rPr>
      </w:pPr>
      <w:r>
        <w:rPr>
          <w:rFonts w:hint="eastAsia" w:ascii="仿宋" w:hAnsi="仿宋" w:eastAsia="仿宋" w:cs="仿宋"/>
          <w:b/>
          <w:color w:val="auto"/>
          <w:highlight w:val="none"/>
        </w:rPr>
        <w:t>签订时间：     年    月   日</w:t>
      </w:r>
    </w:p>
    <w:p>
      <w:pPr>
        <w:pageBreakBefore w:val="0"/>
        <w:kinsoku/>
        <w:overflowPunct/>
        <w:bidi w:val="0"/>
        <w:snapToGrid w:val="0"/>
        <w:spacing w:line="360" w:lineRule="auto"/>
        <w:jc w:val="left"/>
        <w:rPr>
          <w:rFonts w:ascii="仿宋" w:hAnsi="仿宋" w:eastAsia="仿宋" w:cs="仿宋"/>
          <w:b/>
          <w:color w:val="auto"/>
          <w:sz w:val="36"/>
          <w:highlight w:val="none"/>
        </w:rPr>
        <w:sectPr>
          <w:pgSz w:w="11906" w:h="16838"/>
          <w:pgMar w:top="1701"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b/>
          <w:color w:val="auto"/>
          <w:highlight w:val="none"/>
        </w:rPr>
        <w:t xml:space="preserve">签订地点： </w:t>
      </w:r>
      <w:r>
        <w:rPr>
          <w:rFonts w:hint="eastAsia" w:ascii="仿宋" w:hAnsi="仿宋" w:eastAsia="仿宋" w:cs="仿宋"/>
          <w:b/>
          <w:color w:val="auto"/>
          <w:highlight w:val="none"/>
        </w:rPr>
        <w:tab/>
      </w:r>
    </w:p>
    <w:p>
      <w:pPr>
        <w:pageBreakBefore w:val="0"/>
        <w:kinsoku/>
        <w:overflowPunct/>
        <w:bidi w:val="0"/>
        <w:snapToGrid w:val="0"/>
        <w:spacing w:line="360" w:lineRule="auto"/>
        <w:jc w:val="center"/>
        <w:rPr>
          <w:rFonts w:ascii="仿宋" w:hAnsi="仿宋" w:eastAsia="仿宋" w:cs="仿宋"/>
          <w:b/>
          <w:color w:val="auto"/>
          <w:sz w:val="32"/>
          <w:highlight w:val="none"/>
        </w:rPr>
      </w:pPr>
      <w:r>
        <w:rPr>
          <w:rFonts w:hint="eastAsia" w:ascii="仿宋" w:hAnsi="仿宋" w:eastAsia="仿宋" w:cs="仿宋"/>
          <w:b/>
          <w:color w:val="auto"/>
          <w:sz w:val="36"/>
          <w:highlight w:val="none"/>
        </w:rPr>
        <w:t>合同协议书</w:t>
      </w:r>
    </w:p>
    <w:p>
      <w:pPr>
        <w:pageBreakBefore w:val="0"/>
        <w:kinsoku/>
        <w:overflowPunct/>
        <w:bidi w:val="0"/>
        <w:snapToGrid w:val="0"/>
        <w:spacing w:line="360" w:lineRule="auto"/>
        <w:jc w:val="left"/>
        <w:rPr>
          <w:rFonts w:ascii="仿宋" w:hAnsi="仿宋" w:eastAsia="仿宋" w:cs="仿宋"/>
          <w:b/>
          <w:color w:val="auto"/>
          <w:sz w:val="10"/>
          <w:highlight w:val="none"/>
        </w:rPr>
      </w:pPr>
    </w:p>
    <w:p>
      <w:pPr>
        <w:pageBreakBefore w:val="0"/>
        <w:widowControl/>
        <w:kinsoku/>
        <w:overflowPunct/>
        <w:bidi w:val="0"/>
        <w:snapToGrid w:val="0"/>
        <w:spacing w:before="100" w:beforeAutospacing="1" w:after="100" w:afterAutospacing="1"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（发包人名称，以下简称“发包人”）为实施</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（项目名称），已接受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（承包人名称，以下简称“承包人”）对该项目施工一标段的投标。发包人和承包人共同达成如下协议。</w:t>
      </w:r>
    </w:p>
    <w:p>
      <w:pPr>
        <w:pageBreakBefore w:val="0"/>
        <w:kinsoku/>
        <w:overflowPunct/>
        <w:bidi w:val="0"/>
        <w:snapToGrid w:val="0"/>
        <w:spacing w:line="360" w:lineRule="auto"/>
        <w:jc w:val="left"/>
        <w:rPr>
          <w:rFonts w:ascii="仿宋" w:hAnsi="仿宋" w:eastAsia="仿宋" w:cs="仿宋"/>
          <w:color w:val="auto"/>
          <w:sz w:val="24"/>
          <w:highlight w:val="none"/>
        </w:rPr>
      </w:pPr>
      <w:bookmarkStart w:id="243" w:name="_Toc144974828"/>
      <w:bookmarkStart w:id="244" w:name="_Toc152042548"/>
      <w:r>
        <w:rPr>
          <w:rFonts w:hint="eastAsia" w:ascii="仿宋" w:hAnsi="仿宋" w:eastAsia="仿宋" w:cs="仿宋"/>
          <w:color w:val="auto"/>
          <w:sz w:val="24"/>
          <w:highlight w:val="none"/>
        </w:rPr>
        <w:t>1.</w:t>
      </w:r>
      <w:bookmarkEnd w:id="243"/>
      <w:bookmarkEnd w:id="244"/>
      <w:r>
        <w:rPr>
          <w:rFonts w:hint="eastAsia" w:ascii="仿宋" w:hAnsi="仿宋" w:eastAsia="仿宋" w:cs="仿宋"/>
          <w:color w:val="auto"/>
          <w:sz w:val="24"/>
          <w:highlight w:val="none"/>
        </w:rPr>
        <w:t xml:space="preserve"> 本协议书与下列文件一起构成合同文件：</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（1）合同协议书（含补充协议）；</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（1）中标通知书；</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（2）投标函及投标函附录；</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（3）专用合同条款；</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（4）通用合同条款；</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（5）技术标准和要求；</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（6）图纸；</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（7）已标价工程量清单；</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（8）其它合同文件。</w:t>
      </w:r>
    </w:p>
    <w:p>
      <w:pPr>
        <w:pageBreakBefore w:val="0"/>
        <w:kinsoku/>
        <w:overflowPunct/>
        <w:bidi w:val="0"/>
        <w:snapToGrid w:val="0"/>
        <w:spacing w:line="360" w:lineRule="auto"/>
        <w:jc w:val="left"/>
        <w:rPr>
          <w:rFonts w:ascii="仿宋" w:hAnsi="仿宋" w:eastAsia="仿宋" w:cs="仿宋"/>
          <w:color w:val="auto"/>
          <w:sz w:val="24"/>
          <w:highlight w:val="none"/>
        </w:rPr>
      </w:pPr>
      <w:bookmarkStart w:id="245" w:name="_Toc144974829"/>
      <w:bookmarkStart w:id="246" w:name="_Toc152042549"/>
      <w:r>
        <w:rPr>
          <w:rFonts w:hint="eastAsia" w:ascii="仿宋" w:hAnsi="仿宋" w:eastAsia="仿宋" w:cs="仿宋"/>
          <w:color w:val="auto"/>
          <w:sz w:val="24"/>
          <w:highlight w:val="none"/>
        </w:rPr>
        <w:t>2.</w:t>
      </w:r>
      <w:bookmarkEnd w:id="245"/>
      <w:bookmarkEnd w:id="246"/>
      <w:r>
        <w:rPr>
          <w:rFonts w:hint="eastAsia" w:ascii="仿宋" w:hAnsi="仿宋" w:eastAsia="仿宋" w:cs="仿宋"/>
          <w:color w:val="auto"/>
          <w:sz w:val="24"/>
          <w:highlight w:val="none"/>
        </w:rPr>
        <w:t xml:space="preserve"> 上述文件互相补充和解释，如有不明确或不一致之处，以合同约定次序在先者为准。</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 签约合同价：人民币（大写）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u w:val="single"/>
        </w:rPr>
        <w:t xml:space="preserve">元   </w:t>
      </w:r>
      <w:r>
        <w:rPr>
          <w:rFonts w:hint="eastAsia" w:ascii="仿宋" w:hAnsi="仿宋" w:eastAsia="仿宋" w:cs="仿宋"/>
          <w:color w:val="auto"/>
          <w:sz w:val="24"/>
          <w:highlight w:val="none"/>
        </w:rPr>
        <w:t>），支付方式：。</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4. 合同形式：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5. 开工日期以监理单位签发的开工令为准，工期：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6. 承包人项目经理：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7. 工程质量符合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标准。发包方有权在施工期间对全部工程的所有部位及任何一项工艺、材料和工程设备进行检查和检验。若发现不合格可发出返工、停止及复工通知书，而由此造成的损失由承包方承担。</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8. 承包人承诺按合同约定承担工程的施工、竣工交付及保修期缺陷修复。</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9. 发包人承诺按合同约定的条件、时间和方式向承包人支付合同价款。</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10.本合同书正本一式贰份，具有同等法律效力，由双方各执一份；副本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份，发包人执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份，承包人执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份。</w:t>
      </w:r>
    </w:p>
    <w:p>
      <w:pPr>
        <w:pageBreakBefore w:val="0"/>
        <w:kinsoku/>
        <w:overflowPunct/>
        <w:bidi w:val="0"/>
        <w:snapToGrid w:val="0"/>
        <w:spacing w:line="360" w:lineRule="auto"/>
        <w:jc w:val="left"/>
        <w:rPr>
          <w:rFonts w:ascii="仿宋" w:hAnsi="仿宋" w:eastAsia="仿宋" w:cs="仿宋"/>
          <w:color w:val="auto"/>
          <w:sz w:val="24"/>
          <w:highlight w:val="none"/>
        </w:rPr>
      </w:pPr>
      <w:bookmarkStart w:id="247" w:name="_Toc152042550"/>
      <w:bookmarkStart w:id="248" w:name="_Toc144974830"/>
      <w:r>
        <w:rPr>
          <w:rFonts w:hint="eastAsia" w:ascii="仿宋" w:hAnsi="仿宋" w:eastAsia="仿宋" w:cs="仿宋"/>
          <w:color w:val="auto"/>
          <w:sz w:val="24"/>
          <w:highlight w:val="none"/>
        </w:rPr>
        <w:t>11. 合同未尽事宜，双方另行签订补充协议。</w:t>
      </w:r>
      <w:bookmarkEnd w:id="247"/>
      <w:bookmarkEnd w:id="248"/>
      <w:r>
        <w:rPr>
          <w:rFonts w:hint="eastAsia" w:ascii="仿宋" w:hAnsi="仿宋" w:eastAsia="仿宋" w:cs="仿宋"/>
          <w:color w:val="auto"/>
          <w:sz w:val="24"/>
          <w:highlight w:val="none"/>
        </w:rPr>
        <w:t>补充协议是合同的组成部分，具有优先效力。</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发  包  人：（盖单位章）                   承  包  人：（盖单位章）</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法定代表人（签字或盖章）：                 法定代表人（签字或盖章）：</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授权代理人（签字或盖章）：                 授权代理人（签字或盖章）：</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邮政编码：                                 邮政编码：</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联系电话：                                 联系电话： </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传    真：                                 传    真：</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电子信箱：                                 电子信箱：</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pPr>
        <w:pageBreakBefore w:val="0"/>
        <w:kinsoku/>
        <w:overflowPunct/>
        <w:bidi w:val="0"/>
        <w:snapToGrid w:val="0"/>
        <w:spacing w:line="360" w:lineRule="auto"/>
        <w:jc w:val="left"/>
        <w:rPr>
          <w:rFonts w:ascii="仿宋" w:hAnsi="仿宋" w:eastAsia="仿宋" w:cs="仿宋"/>
          <w:color w:val="auto"/>
          <w:highlight w:val="none"/>
        </w:rPr>
      </w:pPr>
      <w:r>
        <w:rPr>
          <w:rFonts w:hint="eastAsia" w:ascii="仿宋" w:hAnsi="仿宋" w:eastAsia="仿宋" w:cs="仿宋"/>
          <w:color w:val="auto"/>
          <w:sz w:val="24"/>
          <w:highlight w:val="none"/>
        </w:rPr>
        <w:t xml:space="preserve">帐    号：                                 帐    号： </w:t>
      </w:r>
    </w:p>
    <w:p>
      <w:pPr>
        <w:keepNext/>
        <w:keepLines/>
        <w:pageBreakBefore w:val="0"/>
        <w:kinsoku/>
        <w:overflowPunct/>
        <w:bidi w:val="0"/>
        <w:snapToGrid w:val="0"/>
        <w:spacing w:before="260" w:after="260" w:line="360" w:lineRule="auto"/>
        <w:jc w:val="center"/>
        <w:outlineLvl w:val="1"/>
        <w:rPr>
          <w:rFonts w:ascii="仿宋" w:hAnsi="仿宋" w:eastAsia="仿宋" w:cs="仿宋"/>
          <w:b/>
          <w:color w:val="auto"/>
          <w:sz w:val="36"/>
          <w:highlight w:val="none"/>
        </w:rPr>
      </w:pPr>
      <w:bookmarkStart w:id="249" w:name="_Toc1746"/>
      <w:bookmarkStart w:id="250" w:name="_Toc19269"/>
      <w:bookmarkStart w:id="251" w:name="_Toc9195"/>
      <w:bookmarkStart w:id="252" w:name="_Toc21138"/>
      <w:bookmarkStart w:id="253" w:name="_Toc20627"/>
      <w:bookmarkStart w:id="254" w:name="_Toc2785"/>
      <w:r>
        <w:rPr>
          <w:rFonts w:hint="eastAsia" w:ascii="仿宋" w:hAnsi="仿宋" w:eastAsia="仿宋" w:cs="仿宋"/>
          <w:color w:val="auto"/>
          <w:sz w:val="24"/>
          <w:szCs w:val="22"/>
          <w:highlight w:val="none"/>
        </w:rPr>
        <w:t>日    期：年   月   日                 日    期：年   月   日</w:t>
      </w:r>
      <w:r>
        <w:rPr>
          <w:rFonts w:hint="eastAsia" w:ascii="仿宋" w:hAnsi="仿宋" w:eastAsia="仿宋" w:cs="仿宋"/>
          <w:color w:val="auto"/>
          <w:sz w:val="24"/>
          <w:szCs w:val="22"/>
          <w:highlight w:val="none"/>
        </w:rPr>
        <w:br w:type="page"/>
      </w:r>
      <w:r>
        <w:rPr>
          <w:rFonts w:hint="eastAsia" w:ascii="仿宋" w:hAnsi="仿宋" w:eastAsia="仿宋" w:cs="仿宋"/>
          <w:b/>
          <w:color w:val="auto"/>
          <w:sz w:val="36"/>
          <w:highlight w:val="none"/>
        </w:rPr>
        <w:t>专用合同条款</w:t>
      </w:r>
      <w:bookmarkEnd w:id="249"/>
      <w:bookmarkEnd w:id="250"/>
      <w:bookmarkEnd w:id="251"/>
      <w:bookmarkEnd w:id="252"/>
      <w:bookmarkEnd w:id="253"/>
      <w:bookmarkEnd w:id="254"/>
    </w:p>
    <w:p>
      <w:pPr>
        <w:pageBreakBefore w:val="0"/>
        <w:kinsoku/>
        <w:overflowPunct/>
        <w:bidi w:val="0"/>
        <w:snapToGrid w:val="0"/>
        <w:spacing w:line="360" w:lineRule="auto"/>
        <w:rPr>
          <w:rFonts w:ascii="仿宋" w:hAnsi="仿宋" w:eastAsia="仿宋" w:cs="仿宋"/>
          <w:b/>
          <w:color w:val="auto"/>
          <w:sz w:val="24"/>
          <w:highlight w:val="none"/>
        </w:rPr>
      </w:pPr>
      <w:bookmarkStart w:id="255" w:name="_Toc221951111"/>
      <w:bookmarkStart w:id="256" w:name="_Toc222032696"/>
      <w:bookmarkStart w:id="257" w:name="_Toc290186203"/>
      <w:bookmarkStart w:id="258" w:name="_Toc222029527"/>
      <w:bookmarkStart w:id="259" w:name="_Toc291144293"/>
      <w:bookmarkStart w:id="260" w:name="_Toc297714581"/>
      <w:bookmarkStart w:id="261" w:name="_Toc297733152"/>
      <w:bookmarkStart w:id="262" w:name="_Toc290188015"/>
      <w:bookmarkStart w:id="263" w:name="_Toc290185599"/>
      <w:bookmarkStart w:id="264" w:name="_Toc222033878"/>
      <w:bookmarkStart w:id="265" w:name="_Toc290186348"/>
      <w:bookmarkStart w:id="266" w:name="_Toc222031029"/>
      <w:bookmarkStart w:id="267" w:name="_Toc290185752"/>
      <w:bookmarkStart w:id="268" w:name="_Toc229305387"/>
      <w:r>
        <w:rPr>
          <w:rFonts w:hint="eastAsia" w:ascii="仿宋" w:hAnsi="仿宋" w:eastAsia="仿宋" w:cs="仿宋"/>
          <w:b/>
          <w:color w:val="auto"/>
          <w:sz w:val="24"/>
          <w:highlight w:val="none"/>
        </w:rPr>
        <w:t>1．</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rFonts w:hint="eastAsia" w:ascii="仿宋" w:hAnsi="仿宋" w:eastAsia="仿宋" w:cs="仿宋"/>
          <w:b/>
          <w:color w:val="auto"/>
          <w:sz w:val="24"/>
          <w:highlight w:val="none"/>
        </w:rPr>
        <w:t>一般约定</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1.1 词语定义</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1.1.2 合同当事人和人员</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1.1.2.1 发包人：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color w:val="auto"/>
          <w:sz w:val="24"/>
          <w:highlight w:val="none"/>
        </w:rPr>
      </w:pPr>
      <w:bookmarkStart w:id="269" w:name="_Toc221951115"/>
      <w:r>
        <w:rPr>
          <w:rFonts w:hint="eastAsia" w:ascii="仿宋" w:hAnsi="仿宋" w:eastAsia="仿宋" w:cs="仿宋"/>
          <w:color w:val="auto"/>
          <w:sz w:val="24"/>
          <w:highlight w:val="none"/>
        </w:rPr>
        <w:t>1.1.2.2承包人：</w:t>
      </w:r>
      <w:bookmarkEnd w:id="269"/>
      <w:r>
        <w:rPr>
          <w:rFonts w:hint="eastAsia" w:ascii="仿宋" w:hAnsi="仿宋" w:eastAsia="仿宋" w:cs="仿宋"/>
          <w:color w:val="auto"/>
          <w:sz w:val="24"/>
          <w:highlight w:val="none"/>
          <w:u w:val="single"/>
        </w:rPr>
        <w:t xml:space="preserve"> </w:t>
      </w:r>
      <w:r>
        <w:rPr>
          <w:rFonts w:hint="eastAsia" w:ascii="仿宋" w:hAnsi="仿宋" w:eastAsia="仿宋" w:cs="仿宋"/>
          <w:bCs/>
          <w:color w:val="auto"/>
          <w:spacing w:val="8"/>
          <w:sz w:val="24"/>
          <w:highlight w:val="none"/>
          <w:u w:val="single"/>
          <w:shd w:val="clear" w:color="auto" w:fill="FFFFFF"/>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color w:val="auto"/>
          <w:sz w:val="24"/>
          <w:highlight w:val="none"/>
        </w:rPr>
      </w:pPr>
      <w:bookmarkStart w:id="270" w:name="_Toc221951116"/>
      <w:r>
        <w:rPr>
          <w:rFonts w:hint="eastAsia" w:ascii="仿宋" w:hAnsi="仿宋" w:eastAsia="仿宋" w:cs="仿宋"/>
          <w:color w:val="auto"/>
          <w:sz w:val="24"/>
          <w:highlight w:val="none"/>
        </w:rPr>
        <w:t>1.1.2.3分包人：</w:t>
      </w:r>
      <w:bookmarkEnd w:id="270"/>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color w:val="auto"/>
          <w:sz w:val="24"/>
          <w:highlight w:val="none"/>
        </w:rPr>
      </w:pPr>
      <w:bookmarkStart w:id="271" w:name="_Toc221951117"/>
      <w:r>
        <w:rPr>
          <w:rFonts w:hint="eastAsia" w:ascii="仿宋" w:hAnsi="仿宋" w:eastAsia="仿宋" w:cs="仿宋"/>
          <w:color w:val="auto"/>
          <w:sz w:val="24"/>
          <w:highlight w:val="none"/>
        </w:rPr>
        <w:t>1.1.2.4 监理人：</w:t>
      </w:r>
      <w:bookmarkEnd w:id="271"/>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1.1.3 工程和设备</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1.1.4 日期</w:t>
      </w:r>
    </w:p>
    <w:p>
      <w:pPr>
        <w:pageBreakBefore w:val="0"/>
        <w:kinsoku/>
        <w:overflowPunct/>
        <w:bidi w:val="0"/>
        <w:snapToGrid w:val="0"/>
        <w:spacing w:line="360" w:lineRule="auto"/>
        <w:rPr>
          <w:rFonts w:ascii="仿宋" w:hAnsi="仿宋" w:eastAsia="仿宋" w:cs="仿宋"/>
          <w:color w:val="auto"/>
          <w:sz w:val="24"/>
          <w:highlight w:val="none"/>
          <w:u w:val="single"/>
        </w:rPr>
      </w:pPr>
      <w:bookmarkStart w:id="272" w:name="_Toc291144294"/>
      <w:bookmarkStart w:id="273" w:name="_Toc297714582"/>
      <w:bookmarkStart w:id="274" w:name="_Toc297733153"/>
      <w:bookmarkStart w:id="275" w:name="_Toc221951126"/>
      <w:r>
        <w:rPr>
          <w:rFonts w:hint="eastAsia" w:ascii="仿宋" w:hAnsi="仿宋" w:eastAsia="仿宋" w:cs="仿宋"/>
          <w:color w:val="auto"/>
          <w:sz w:val="24"/>
          <w:highlight w:val="none"/>
        </w:rPr>
        <w:t>1.1.4.5 缺陷责任期（工程质量保修期）：</w:t>
      </w:r>
      <w:bookmarkEnd w:id="272"/>
      <w:bookmarkEnd w:id="273"/>
      <w:bookmarkEnd w:id="274"/>
      <w:bookmarkEnd w:id="275"/>
      <w:r>
        <w:rPr>
          <w:rFonts w:hint="eastAsia" w:ascii="仿宋" w:hAnsi="仿宋" w:eastAsia="仿宋" w:cs="仿宋"/>
          <w:color w:val="auto"/>
          <w:sz w:val="24"/>
          <w:highlight w:val="none"/>
          <w:u w:val="single"/>
        </w:rPr>
        <w:t xml:space="preserve">   工程竣工验收之日起一年     。</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1.4 合同文件的优先顺序</w:t>
      </w:r>
    </w:p>
    <w:p>
      <w:pPr>
        <w:pageBreakBefore w:val="0"/>
        <w:kinsoku/>
        <w:overflowPunct/>
        <w:bidi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进入合同文件的各项文件及其优先顺序是：</w:t>
      </w:r>
      <w:r>
        <w:rPr>
          <w:rFonts w:hint="eastAsia" w:ascii="仿宋" w:hAnsi="仿宋" w:eastAsia="仿宋" w:cs="仿宋"/>
          <w:color w:val="auto"/>
          <w:sz w:val="24"/>
          <w:highlight w:val="none"/>
          <w:u w:val="single"/>
        </w:rPr>
        <w:t xml:space="preserve"> 同通用合同条款 。</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1.7 联络</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1.7.1 来往函件均应按技术标准和要求（合同技术条款）约定的期限送达</w:t>
      </w:r>
      <w:r>
        <w:rPr>
          <w:rFonts w:hint="eastAsia" w:ascii="仿宋" w:hAnsi="仿宋" w:eastAsia="仿宋" w:cs="仿宋"/>
          <w:color w:val="auto"/>
          <w:sz w:val="24"/>
          <w:highlight w:val="none"/>
          <w:u w:val="single"/>
        </w:rPr>
        <w:t xml:space="preserve"> 发包人现场管理机构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bookmarkStart w:id="276" w:name="_Toc290186204"/>
      <w:bookmarkStart w:id="277" w:name="_Toc229305388"/>
      <w:bookmarkStart w:id="278" w:name="_Toc297714585"/>
      <w:bookmarkStart w:id="279" w:name="_Toc291144297"/>
      <w:bookmarkStart w:id="280" w:name="_Toc290186349"/>
      <w:bookmarkStart w:id="281" w:name="_Toc222029528"/>
      <w:bookmarkStart w:id="282" w:name="_Toc290185600"/>
      <w:bookmarkStart w:id="283" w:name="_Toc222031030"/>
      <w:bookmarkStart w:id="284" w:name="_Toc221951131"/>
      <w:bookmarkStart w:id="285" w:name="_Toc222032697"/>
      <w:bookmarkStart w:id="286" w:name="_Toc290188016"/>
      <w:bookmarkStart w:id="287" w:name="_Toc290185753"/>
      <w:bookmarkStart w:id="288" w:name="_Toc297733156"/>
      <w:bookmarkStart w:id="289" w:name="_Toc222033879"/>
      <w:r>
        <w:rPr>
          <w:rFonts w:hint="eastAsia" w:ascii="仿宋" w:hAnsi="仿宋" w:eastAsia="仿宋" w:cs="仿宋"/>
          <w:b/>
          <w:color w:val="auto"/>
          <w:sz w:val="24"/>
          <w:highlight w:val="none"/>
        </w:rPr>
        <w:t>2．</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hint="eastAsia" w:ascii="仿宋" w:hAnsi="仿宋" w:eastAsia="仿宋" w:cs="仿宋"/>
          <w:b/>
          <w:color w:val="auto"/>
          <w:sz w:val="24"/>
          <w:highlight w:val="none"/>
        </w:rPr>
        <w:t>发包人义务</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2.3 提供施工场地</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2.3.1 发包人提供的施工场地范围为：</w:t>
      </w:r>
      <w:r>
        <w:rPr>
          <w:rFonts w:hint="eastAsia" w:ascii="仿宋" w:hAnsi="仿宋" w:eastAsia="仿宋" w:cs="仿宋"/>
          <w:color w:val="auto"/>
          <w:sz w:val="24"/>
          <w:highlight w:val="none"/>
          <w:u w:val="single"/>
        </w:rPr>
        <w:t>发包人不提供施工场地，施工场地由承包人按国家有关规定征用，费用计入投标报价中。</w:t>
      </w: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rPr>
          <w:rFonts w:ascii="仿宋" w:hAnsi="仿宋" w:eastAsia="仿宋" w:cs="仿宋"/>
          <w:b/>
          <w:color w:val="auto"/>
          <w:sz w:val="24"/>
          <w:highlight w:val="none"/>
        </w:rPr>
      </w:pPr>
      <w:bookmarkStart w:id="290" w:name="_Toc290188017"/>
      <w:bookmarkStart w:id="291" w:name="_Toc290185754"/>
      <w:bookmarkStart w:id="292" w:name="_Toc222032698"/>
      <w:bookmarkStart w:id="293" w:name="_Toc221951140"/>
      <w:bookmarkStart w:id="294" w:name="_Toc222031031"/>
      <w:bookmarkStart w:id="295" w:name="_Toc290186350"/>
      <w:bookmarkStart w:id="296" w:name="_Toc297714588"/>
      <w:bookmarkStart w:id="297" w:name="_Toc222029529"/>
      <w:bookmarkStart w:id="298" w:name="_Toc222033880"/>
      <w:bookmarkStart w:id="299" w:name="_Toc290185601"/>
      <w:bookmarkStart w:id="300" w:name="_Toc229305389"/>
      <w:bookmarkStart w:id="301" w:name="_Toc290186205"/>
      <w:bookmarkStart w:id="302" w:name="_Toc291144300"/>
      <w:bookmarkStart w:id="303" w:name="_Toc297733159"/>
      <w:r>
        <w:rPr>
          <w:rFonts w:hint="eastAsia" w:ascii="仿宋" w:hAnsi="仿宋" w:eastAsia="仿宋" w:cs="仿宋"/>
          <w:b/>
          <w:color w:val="auto"/>
          <w:sz w:val="24"/>
          <w:highlight w:val="none"/>
        </w:rPr>
        <w:t>3．</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hint="eastAsia" w:ascii="仿宋" w:hAnsi="仿宋" w:eastAsia="仿宋" w:cs="仿宋"/>
          <w:b/>
          <w:color w:val="auto"/>
          <w:sz w:val="24"/>
          <w:highlight w:val="none"/>
        </w:rPr>
        <w:t>监理人</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3.1 监理人的职责和权力</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3.1.1 监理人须根据发包人事先批准的权力范围行使权力，发包人批准的权力范围：    </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（1）按第11.3条约定，确定延长完工期限；</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（2）按第15.3条约定，作出变更决定；</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w:t>
      </w:r>
    </w:p>
    <w:p>
      <w:pPr>
        <w:pageBreakBefore w:val="0"/>
        <w:kinsoku/>
        <w:overflowPunct/>
        <w:bidi w:val="0"/>
        <w:snapToGrid w:val="0"/>
        <w:spacing w:line="360" w:lineRule="auto"/>
        <w:rPr>
          <w:rFonts w:ascii="仿宋" w:hAnsi="仿宋" w:eastAsia="仿宋" w:cs="仿宋"/>
          <w:b/>
          <w:color w:val="auto"/>
          <w:sz w:val="24"/>
          <w:highlight w:val="none"/>
        </w:rPr>
      </w:pPr>
      <w:bookmarkStart w:id="304" w:name="_Toc222032699"/>
      <w:bookmarkStart w:id="305" w:name="_Toc297733161"/>
      <w:bookmarkStart w:id="306" w:name="_Toc290185602"/>
      <w:bookmarkStart w:id="307" w:name="_Toc290185755"/>
      <w:bookmarkStart w:id="308" w:name="_Toc221951150"/>
      <w:bookmarkStart w:id="309" w:name="_Toc290186206"/>
      <w:bookmarkStart w:id="310" w:name="_Toc229305390"/>
      <w:bookmarkStart w:id="311" w:name="_Toc297714590"/>
      <w:bookmarkStart w:id="312" w:name="_Toc291144302"/>
      <w:bookmarkStart w:id="313" w:name="_Toc290188018"/>
      <w:bookmarkStart w:id="314" w:name="_Toc222031032"/>
      <w:bookmarkStart w:id="315" w:name="_Toc290186351"/>
      <w:bookmarkStart w:id="316" w:name="_Toc222033881"/>
      <w:bookmarkStart w:id="317" w:name="_Toc222029530"/>
      <w:r>
        <w:rPr>
          <w:rFonts w:hint="eastAsia" w:ascii="仿宋" w:hAnsi="仿宋" w:eastAsia="仿宋" w:cs="仿宋"/>
          <w:b/>
          <w:color w:val="auto"/>
          <w:sz w:val="24"/>
          <w:highlight w:val="none"/>
        </w:rPr>
        <w:t>4．</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hint="eastAsia" w:ascii="仿宋" w:hAnsi="仿宋" w:eastAsia="仿宋" w:cs="仿宋"/>
          <w:b/>
          <w:color w:val="auto"/>
          <w:sz w:val="24"/>
          <w:highlight w:val="none"/>
        </w:rPr>
        <w:t>承包人</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4.1 承包人的一般义务</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4.1.1 其它义务</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（1）本合同工程在设计渡汛标准内的安全渡汛由承包人负责，由此发生的一切费用由承包人承担。</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承包人在合同签订后的14天内，应在现场设立办公室供其管理人员使用，承包人应保持该现场办公机构在整个合同期内有效。上述现场办公室建立后，承包人应根据有关法律的规定，为其所有非本地雇员向当地公安机关申请临时居住许可证。</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（3）现场施工配合与协调</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承包人在实施和完成承建合同工程及缺陷修复过程中的一切作业应保证发包人免于承担因承包人借用、占用或进出其它区域，或作业影响等所引起的索赔、诉讼费、损害赔偿及其它开支，并有义务提供与其它有关部门配合与协调。</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（4）承包人在检查合同或工程施工时，如果发现工程设计或技术规范中存在任何错误或其它缺陷，应立即通知发包人和监理人。</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承包人应按照《关于加强建设等行业农民工劳动合同管理的通知》（劳社部发[2005]9号）的有关规定，依法与所招用的农民工签订劳动合同，按照劳动合同约定按时足额支付农民工工资，承包人应保障农民工的合法权益，不得以任何理由拖欠或无故克扣农民工工资，如果因为农民工工资问题导致农民工上访或影响发包人的正常工作以及产生其他恶性、极端行为，承包人须负责疏通、调解，并承担由此引起的一切赔偿、支付责任。按照《通知》要求做好农民工劳动合同管理工作，建立健全劳动合同管理制度，并向劳动保障行政部门提供用工备案。</w:t>
      </w:r>
    </w:p>
    <w:p>
      <w:pPr>
        <w:pageBreakBefore w:val="0"/>
        <w:kinsoku/>
        <w:overflowPunct/>
        <w:bidi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4"/>
          <w:highlight w:val="none"/>
        </w:rPr>
        <w:t>若农民工因工作原因受到事故伤害或患职业病，积极配合劳动保障监察部门对所发生的劳动争议进行处理，并按处理意见解决劳动争议。</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（6）诚信条款</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承包人承诺在工程建设完工后，按照诚实信用的原则据实列报工程建设成本，不在报送过程中出现虚列成本、提供虚假资料、虚报数字情况。</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（7）违约责任条款</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如承包方报送的工程竣工材料不真实，造成审减金额占送审金额5%-10%（含10%）的，承包方应承担违约责任，发包方可直接从承包方应得工程款（审计确认的数额，以下同）中扣除审减金额的10%作为违约金；审减金额占送审金额10%-20%（含20%）的，承包方应承担违约责任，发包方可直接从承包方应得工程款中扣除审减金额的20%作为违约金；审减金额超过送审金额20%的，承包方应承担违约责任，发包方可直接从承包方应得工程款中扣除审减金额的50%作为违约金。</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承包方承诺完全承担违反诚信的责任，不以任何形式对违约责任提出异议。</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4.2 履约担保</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4.2.1履约保证金的形式：转账</w:t>
      </w:r>
      <w:r>
        <w:rPr>
          <w:rFonts w:hint="eastAsia" w:ascii="仿宋" w:hAnsi="仿宋" w:eastAsia="仿宋" w:cs="仿宋"/>
          <w:color w:val="auto"/>
          <w:sz w:val="24"/>
          <w:highlight w:val="none"/>
          <w:lang w:eastAsia="zh-CN"/>
        </w:rPr>
        <w:t>或保函</w:t>
      </w:r>
      <w:r>
        <w:rPr>
          <w:rFonts w:hint="eastAsia" w:ascii="仿宋" w:hAnsi="仿宋" w:eastAsia="仿宋" w:cs="仿宋"/>
          <w:color w:val="auto"/>
          <w:sz w:val="24"/>
          <w:highlight w:val="none"/>
        </w:rPr>
        <w:t>；中标人接到中标通知书10日内中标人应缴纳本工程中标价金额3%的履约保证金，待项目完工验收后，无息退还。</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4.2.2中标人应按照《国务院办公厅关于全面治理拖欠农民工工资问题的意见》（国办发[2016]1号）、《郑州市城乡建设管理局关于进一步规范农民工工资保障金和工程担保管理的通知》（郑建文[2019]75号）的相关规定提交农民工工资保障金。</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4.2.3承包人应按照«保障农民工工资支付条例»(2020年5月1日起实施)的有关规定，在水利系统建设领域内，依法落实‘一金三制'，即农民工工资保证金、农民工实名管理制度、银行代发工资制度和工资专用账户管理制度。实行人工费用与工程款分账管理制度，实行农民工工资与工程材料宽等相分离，由总承包人直发，确保农民工工资发放到位。</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4.3 分包或转包</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4.3.1本工程不允许承包人分包或转包工程项目。</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4.4承包人项目经理、技术负责人</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4.4.1项目经理、技术负责人不能兼任其它工程的项目经理或主要负责人。项目经理、技术负责人在签订合同后，不得更换。未经发包人同意，在本合同施工期内更换项目经理、技术负责人，将取消其中标资格。但发包人提出撤换不胜任的项目经理、技术负责人时，承包人应及时更换，否则还应承担由此造成的一切后果。</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4.4.2 项目经理、技术负责人每月在现场工作天数不得少于21天，发包人将根据监理人提交的考勤记录对项目经理、技术负责人进行考评，每月每差一天承包人向发包人支付违约金1万元（发包人批准的休假、公差除外）。</w:t>
      </w:r>
    </w:p>
    <w:p>
      <w:pPr>
        <w:pageBreakBefore w:val="0"/>
        <w:kinsoku/>
        <w:overflowPunct/>
        <w:bidi w:val="0"/>
        <w:snapToGrid w:val="0"/>
        <w:spacing w:line="360" w:lineRule="auto"/>
        <w:rPr>
          <w:rFonts w:ascii="仿宋" w:hAnsi="仿宋" w:eastAsia="仿宋" w:cs="仿宋"/>
          <w:b/>
          <w:color w:val="auto"/>
          <w:sz w:val="24"/>
          <w:highlight w:val="none"/>
        </w:rPr>
      </w:pPr>
      <w:bookmarkStart w:id="318" w:name="_Toc297714594"/>
      <w:bookmarkStart w:id="319" w:name="_Toc222031033"/>
      <w:bookmarkStart w:id="320" w:name="_Toc290188019"/>
      <w:bookmarkStart w:id="321" w:name="_Toc290185603"/>
      <w:bookmarkStart w:id="322" w:name="_Toc290185756"/>
      <w:bookmarkStart w:id="323" w:name="_Toc222032700"/>
      <w:bookmarkStart w:id="324" w:name="_Toc221951160"/>
      <w:bookmarkStart w:id="325" w:name="_Toc222029531"/>
      <w:bookmarkStart w:id="326" w:name="_Toc290186352"/>
      <w:bookmarkStart w:id="327" w:name="_Toc222033882"/>
      <w:bookmarkStart w:id="328" w:name="_Toc290186207"/>
      <w:bookmarkStart w:id="329" w:name="_Toc291144306"/>
      <w:bookmarkStart w:id="330" w:name="_Toc229305391"/>
      <w:bookmarkStart w:id="331" w:name="_Toc297733165"/>
      <w:r>
        <w:rPr>
          <w:rFonts w:hint="eastAsia" w:ascii="仿宋" w:hAnsi="仿宋" w:eastAsia="仿宋" w:cs="仿宋"/>
          <w:b/>
          <w:color w:val="auto"/>
          <w:sz w:val="24"/>
          <w:highlight w:val="none"/>
        </w:rPr>
        <w:t>5．</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ascii="仿宋" w:hAnsi="仿宋" w:eastAsia="仿宋" w:cs="仿宋"/>
          <w:b/>
          <w:color w:val="auto"/>
          <w:sz w:val="24"/>
          <w:highlight w:val="none"/>
        </w:rPr>
        <w:t>材料和工程设备</w:t>
      </w:r>
    </w:p>
    <w:p>
      <w:pPr>
        <w:pageBreakBefore w:val="0"/>
        <w:kinsoku/>
        <w:overflowPunct/>
        <w:bidi w:val="0"/>
        <w:snapToGrid w:val="0"/>
        <w:spacing w:line="360" w:lineRule="auto"/>
        <w:rPr>
          <w:rFonts w:ascii="仿宋" w:hAnsi="仿宋" w:eastAsia="仿宋" w:cs="仿宋"/>
          <w:b/>
          <w:color w:val="auto"/>
          <w:sz w:val="24"/>
          <w:highlight w:val="none"/>
        </w:rPr>
      </w:pPr>
      <w:bookmarkStart w:id="332" w:name="_Toc221951178"/>
      <w:bookmarkStart w:id="333" w:name="_Toc222031035"/>
      <w:bookmarkStart w:id="334" w:name="_Toc222032702"/>
      <w:bookmarkStart w:id="335" w:name="_Toc222029533"/>
      <w:bookmarkStart w:id="336" w:name="_Toc222033884"/>
      <w:r>
        <w:rPr>
          <w:rFonts w:hint="eastAsia" w:ascii="仿宋" w:hAnsi="仿宋" w:eastAsia="仿宋" w:cs="仿宋"/>
          <w:b/>
          <w:color w:val="auto"/>
          <w:sz w:val="24"/>
          <w:highlight w:val="none"/>
        </w:rPr>
        <w:t>5.1 发包人提供的材料和工程设备</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5.1.1 发包人提供的材料：</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bookmarkStart w:id="337" w:name="_Toc221951166"/>
      <w:bookmarkStart w:id="338" w:name="_Toc222032701"/>
      <w:bookmarkStart w:id="339" w:name="_Toc222033883"/>
      <w:bookmarkStart w:id="340" w:name="_Toc229305392"/>
      <w:bookmarkStart w:id="341" w:name="_Toc222029532"/>
      <w:bookmarkStart w:id="342" w:name="_Toc222031034"/>
      <w:r>
        <w:rPr>
          <w:rFonts w:hint="eastAsia" w:ascii="仿宋" w:hAnsi="仿宋" w:eastAsia="仿宋" w:cs="仿宋"/>
          <w:color w:val="auto"/>
          <w:sz w:val="24"/>
          <w:highlight w:val="none"/>
        </w:rPr>
        <w:t>工程设备：</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bookmarkStart w:id="343" w:name="_Toc291144307"/>
      <w:bookmarkStart w:id="344" w:name="_Toc290186208"/>
      <w:bookmarkStart w:id="345" w:name="_Toc290186353"/>
      <w:bookmarkStart w:id="346" w:name="_Toc297714595"/>
      <w:bookmarkStart w:id="347" w:name="_Toc290185604"/>
      <w:bookmarkStart w:id="348" w:name="_Toc290188020"/>
      <w:bookmarkStart w:id="349" w:name="_Toc297733166"/>
      <w:bookmarkStart w:id="350" w:name="_Toc290185757"/>
      <w:r>
        <w:rPr>
          <w:rFonts w:hint="eastAsia" w:ascii="仿宋" w:hAnsi="仿宋" w:eastAsia="仿宋" w:cs="仿宋"/>
          <w:b/>
          <w:color w:val="auto"/>
          <w:sz w:val="24"/>
          <w:highlight w:val="none"/>
        </w:rPr>
        <w:t>6．</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Pr>
          <w:rFonts w:hint="eastAsia" w:ascii="仿宋" w:hAnsi="仿宋" w:eastAsia="仿宋" w:cs="仿宋"/>
          <w:b/>
          <w:color w:val="auto"/>
          <w:sz w:val="24"/>
          <w:highlight w:val="none"/>
        </w:rPr>
        <w:t xml:space="preserve">施工设备和临时设施 </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6.1 发包人提供的施工设备和临时设施</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6.1.1 发包人提供的的施工设备：</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t>6.1.2 发包人提供的临时设施：</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bookmarkStart w:id="351" w:name="_Toc290186209"/>
      <w:bookmarkStart w:id="352" w:name="_Toc297714597"/>
      <w:bookmarkStart w:id="353" w:name="_Toc290185758"/>
      <w:bookmarkStart w:id="354" w:name="_Toc297733168"/>
      <w:bookmarkStart w:id="355" w:name="_Toc290188021"/>
      <w:bookmarkStart w:id="356" w:name="_Toc290185605"/>
      <w:bookmarkStart w:id="357" w:name="_Toc290186354"/>
      <w:bookmarkStart w:id="358" w:name="_Toc291144309"/>
      <w:r>
        <w:rPr>
          <w:rFonts w:hint="eastAsia" w:ascii="仿宋" w:hAnsi="仿宋" w:eastAsia="仿宋" w:cs="仿宋"/>
          <w:b/>
          <w:color w:val="auto"/>
          <w:sz w:val="24"/>
          <w:highlight w:val="none"/>
        </w:rPr>
        <w:t>7．</w:t>
      </w:r>
      <w:bookmarkEnd w:id="332"/>
      <w:bookmarkEnd w:id="333"/>
      <w:bookmarkEnd w:id="334"/>
      <w:bookmarkEnd w:id="335"/>
      <w:bookmarkEnd w:id="336"/>
      <w:bookmarkEnd w:id="351"/>
      <w:bookmarkEnd w:id="352"/>
      <w:bookmarkEnd w:id="353"/>
      <w:bookmarkEnd w:id="354"/>
      <w:bookmarkEnd w:id="355"/>
      <w:bookmarkEnd w:id="356"/>
      <w:bookmarkEnd w:id="357"/>
      <w:bookmarkEnd w:id="358"/>
      <w:r>
        <w:rPr>
          <w:rFonts w:hint="eastAsia" w:ascii="仿宋" w:hAnsi="仿宋" w:eastAsia="仿宋" w:cs="仿宋"/>
          <w:b/>
          <w:color w:val="auto"/>
          <w:sz w:val="24"/>
          <w:highlight w:val="none"/>
        </w:rPr>
        <w:t>交通运输</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7.1 道路通行权和场外设施</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道路通行权和场外设施的约定</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由承包人负责办理</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bookmarkStart w:id="359" w:name="_Toc290185606"/>
      <w:bookmarkStart w:id="360" w:name="_Toc297714599"/>
      <w:bookmarkStart w:id="361" w:name="_Toc290188022"/>
      <w:bookmarkStart w:id="362" w:name="_Toc291144311"/>
      <w:bookmarkStart w:id="363" w:name="_Toc297733170"/>
      <w:bookmarkStart w:id="364" w:name="_Toc290186210"/>
      <w:bookmarkStart w:id="365" w:name="_Toc290185759"/>
      <w:bookmarkStart w:id="366" w:name="_Toc290186355"/>
      <w:r>
        <w:rPr>
          <w:rFonts w:hint="eastAsia" w:ascii="仿宋" w:hAnsi="仿宋" w:eastAsia="仿宋" w:cs="仿宋"/>
          <w:b/>
          <w:color w:val="auto"/>
          <w:sz w:val="24"/>
          <w:highlight w:val="none"/>
        </w:rPr>
        <w:t>8．</w:t>
      </w:r>
      <w:bookmarkEnd w:id="359"/>
      <w:bookmarkEnd w:id="360"/>
      <w:bookmarkEnd w:id="361"/>
      <w:bookmarkEnd w:id="362"/>
      <w:bookmarkEnd w:id="363"/>
      <w:bookmarkEnd w:id="364"/>
      <w:bookmarkEnd w:id="365"/>
      <w:bookmarkEnd w:id="366"/>
      <w:r>
        <w:rPr>
          <w:rFonts w:hint="eastAsia" w:ascii="仿宋" w:hAnsi="仿宋" w:eastAsia="仿宋" w:cs="仿宋"/>
          <w:b/>
          <w:color w:val="auto"/>
          <w:sz w:val="24"/>
          <w:highlight w:val="none"/>
        </w:rPr>
        <w:t>测量放线</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8.1 施工控制网</w:t>
      </w:r>
    </w:p>
    <w:p>
      <w:pPr>
        <w:pageBreakBefore w:val="0"/>
        <w:kinsoku/>
        <w:overflowPunct/>
        <w:bidi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8.1.1施工控制网的约定：</w:t>
      </w:r>
      <w:r>
        <w:rPr>
          <w:rFonts w:hint="eastAsia" w:ascii="仿宋" w:hAnsi="仿宋" w:eastAsia="仿宋" w:cs="仿宋"/>
          <w:color w:val="auto"/>
          <w:sz w:val="24"/>
          <w:highlight w:val="none"/>
          <w:u w:val="single"/>
        </w:rPr>
        <w:t>由承包人负责测设</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bookmarkStart w:id="367" w:name="_Toc291144312"/>
      <w:bookmarkStart w:id="368" w:name="_Toc290186356"/>
      <w:bookmarkStart w:id="369" w:name="_Toc290185760"/>
      <w:bookmarkStart w:id="370" w:name="_Toc290185607"/>
      <w:bookmarkStart w:id="371" w:name="_Toc290186211"/>
      <w:bookmarkStart w:id="372" w:name="_Toc297733171"/>
      <w:bookmarkStart w:id="373" w:name="_Toc290188023"/>
      <w:bookmarkStart w:id="374" w:name="_Toc297714600"/>
      <w:r>
        <w:rPr>
          <w:rFonts w:hint="eastAsia" w:ascii="仿宋" w:hAnsi="仿宋" w:eastAsia="仿宋" w:cs="仿宋"/>
          <w:b/>
          <w:color w:val="auto"/>
          <w:sz w:val="24"/>
          <w:highlight w:val="none"/>
        </w:rPr>
        <w:t>9．</w:t>
      </w:r>
      <w:bookmarkEnd w:id="367"/>
      <w:bookmarkEnd w:id="368"/>
      <w:bookmarkEnd w:id="369"/>
      <w:bookmarkEnd w:id="370"/>
      <w:bookmarkEnd w:id="371"/>
      <w:bookmarkEnd w:id="372"/>
      <w:bookmarkEnd w:id="373"/>
      <w:bookmarkEnd w:id="374"/>
      <w:r>
        <w:rPr>
          <w:rFonts w:hint="eastAsia" w:ascii="仿宋" w:hAnsi="仿宋" w:eastAsia="仿宋" w:cs="仿宋"/>
          <w:b/>
          <w:color w:val="auto"/>
          <w:sz w:val="24"/>
          <w:highlight w:val="none"/>
        </w:rPr>
        <w:t>施工安全、治安保卫和环境保护</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9.1 发包人的施工安全责任</w:t>
      </w:r>
    </w:p>
    <w:p>
      <w:pPr>
        <w:pageBreakBefore w:val="0"/>
        <w:kinsoku/>
        <w:overflowPunct/>
        <w:bidi w:val="0"/>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9.1.4 发包人提供</w:t>
      </w:r>
      <w:r>
        <w:rPr>
          <w:rFonts w:hint="eastAsia" w:ascii="仿宋" w:hAnsi="仿宋" w:eastAsia="仿宋" w:cs="仿宋"/>
          <w:color w:val="auto"/>
          <w:sz w:val="24"/>
          <w:highlight w:val="none"/>
          <w:u w:val="single"/>
        </w:rPr>
        <w:t xml:space="preserve">  气象、水文 </w:t>
      </w:r>
      <w:r>
        <w:rPr>
          <w:rFonts w:hint="eastAsia" w:ascii="仿宋" w:hAnsi="仿宋" w:eastAsia="仿宋" w:cs="仿宋"/>
          <w:color w:val="auto"/>
          <w:sz w:val="24"/>
          <w:highlight w:val="none"/>
        </w:rPr>
        <w:t>资料，其余资料由承包人负责收集。</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9.2 承包人的施工安全责任</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9.2.1承包人应编制本工程的施工安全、技术交底，并明确安全责任。工程的施工安全由施工单位负责，施工工地出现安全事故由施工单位自行承担。</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9.7 文明工地</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9.7.1本合同文明工地的约定：</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pageBreakBefore w:val="0"/>
        <w:kinsoku/>
        <w:overflowPunct/>
        <w:bidi w:val="0"/>
        <w:snapToGrid w:val="0"/>
        <w:spacing w:line="360" w:lineRule="auto"/>
        <w:jc w:val="left"/>
        <w:rPr>
          <w:rFonts w:ascii="仿宋" w:hAnsi="仿宋" w:eastAsia="仿宋" w:cs="仿宋"/>
          <w:color w:val="auto"/>
          <w:sz w:val="24"/>
          <w:highlight w:val="none"/>
        </w:rPr>
      </w:pPr>
      <w:r>
        <w:rPr>
          <w:rFonts w:hint="eastAsia" w:ascii="仿宋" w:hAnsi="仿宋" w:eastAsia="仿宋" w:cs="仿宋"/>
          <w:b/>
          <w:color w:val="auto"/>
          <w:sz w:val="24"/>
          <w:highlight w:val="none"/>
        </w:rPr>
        <w:t>9.8　扬尘污染防治</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9.8.1承包人应编制本工程的施工场地扬尘污染防治方案、建筑垃圾处置方案，并明确扬尘污染防治责任。</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9.8.2施工场地扬尘污染防治费计入工程总造价并作为不可竞争性费用，保证施工场地扬尘污染防治费专款专用。</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9.8.3承包人在开工15个工作日内向水利行政主管部门进行施工场地扬尘污染防治专项备案，并配备监督员、网格员、管理员，落实施工现场“三员”管理制度。</w:t>
      </w:r>
    </w:p>
    <w:p>
      <w:pPr>
        <w:pageBreakBefore w:val="0"/>
        <w:kinsoku/>
        <w:overflowPunct/>
        <w:bidi w:val="0"/>
        <w:snapToGrid w:val="0"/>
        <w:spacing w:line="360" w:lineRule="auto"/>
        <w:rPr>
          <w:rFonts w:ascii="仿宋" w:hAnsi="仿宋" w:eastAsia="仿宋" w:cs="仿宋"/>
          <w:b/>
          <w:color w:val="auto"/>
          <w:sz w:val="24"/>
          <w:highlight w:val="none"/>
        </w:rPr>
      </w:pPr>
      <w:bookmarkStart w:id="375" w:name="_Toc297714602"/>
      <w:bookmarkStart w:id="376" w:name="_Toc222029536"/>
      <w:bookmarkStart w:id="377" w:name="_Toc221951188"/>
      <w:bookmarkStart w:id="378" w:name="_Toc222032705"/>
      <w:bookmarkStart w:id="379" w:name="_Toc222031038"/>
      <w:bookmarkStart w:id="380" w:name="_Toc229305394"/>
      <w:bookmarkStart w:id="381" w:name="_Toc290185608"/>
      <w:bookmarkStart w:id="382" w:name="_Toc290186357"/>
      <w:bookmarkStart w:id="383" w:name="_Toc222033887"/>
      <w:bookmarkStart w:id="384" w:name="_Toc290185761"/>
      <w:bookmarkStart w:id="385" w:name="_Toc291144314"/>
      <w:bookmarkStart w:id="386" w:name="_Toc290186212"/>
      <w:bookmarkStart w:id="387" w:name="_Toc290188024"/>
      <w:bookmarkStart w:id="388" w:name="_Toc297733173"/>
      <w:r>
        <w:rPr>
          <w:rFonts w:hint="eastAsia" w:ascii="仿宋" w:hAnsi="仿宋" w:eastAsia="仿宋" w:cs="仿宋"/>
          <w:b/>
          <w:color w:val="auto"/>
          <w:sz w:val="24"/>
          <w:highlight w:val="none"/>
        </w:rPr>
        <w:t>11．</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hint="eastAsia" w:ascii="仿宋" w:hAnsi="仿宋" w:eastAsia="仿宋" w:cs="仿宋"/>
          <w:b/>
          <w:color w:val="auto"/>
          <w:sz w:val="24"/>
          <w:highlight w:val="none"/>
        </w:rPr>
        <w:t>开工和竣工（完工）</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11.4 异常恶劣的气候条件 </w:t>
      </w:r>
    </w:p>
    <w:p>
      <w:pPr>
        <w:pageBreakBefore w:val="0"/>
        <w:kinsoku/>
        <w:overflowPunct/>
        <w:bidi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异常恶劣的气候条件的范围：</w:t>
      </w:r>
      <w:r>
        <w:rPr>
          <w:rFonts w:hint="eastAsia" w:ascii="仿宋" w:hAnsi="仿宋" w:eastAsia="仿宋" w:cs="仿宋"/>
          <w:color w:val="auto"/>
          <w:sz w:val="24"/>
          <w:highlight w:val="none"/>
          <w:u w:val="single"/>
        </w:rPr>
        <w:t>50年一遇的最大降水（雪）量、最高（低）温度</w:t>
      </w:r>
      <w:r>
        <w:rPr>
          <w:rFonts w:hint="eastAsia" w:ascii="仿宋" w:hAnsi="仿宋" w:eastAsia="仿宋" w:cs="仿宋"/>
          <w:color w:val="auto"/>
          <w:sz w:val="24"/>
          <w:highlight w:val="none"/>
        </w:rPr>
        <w:t>等。</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11.5  承包人工期延误 </w:t>
      </w:r>
    </w:p>
    <w:p>
      <w:pPr>
        <w:pageBreakBefore w:val="0"/>
        <w:kinsoku/>
        <w:overflowPunct/>
        <w:bidi w:val="0"/>
        <w:snapToGrid w:val="0"/>
        <w:spacing w:line="360" w:lineRule="auto"/>
        <w:rPr>
          <w:rFonts w:ascii="仿宋" w:hAnsi="仿宋" w:eastAsia="仿宋" w:cs="仿宋"/>
          <w:color w:val="auto"/>
          <w:sz w:val="24"/>
          <w:highlight w:val="none"/>
        </w:rPr>
      </w:pPr>
      <w:bookmarkStart w:id="389" w:name="_Toc221951200"/>
      <w:r>
        <w:rPr>
          <w:rFonts w:hint="eastAsia" w:ascii="仿宋" w:hAnsi="仿宋" w:eastAsia="仿宋" w:cs="仿宋"/>
          <w:color w:val="auto"/>
          <w:sz w:val="24"/>
          <w:highlight w:val="none"/>
        </w:rPr>
        <w:t>承包人未能按要求的完工日期完工时，逾期完工违约金按每天合同价格的千分之一计算，全部逾期竣工违约金的总限额为</w:t>
      </w:r>
      <w:r>
        <w:rPr>
          <w:rFonts w:hint="eastAsia" w:ascii="仿宋" w:hAnsi="仿宋" w:eastAsia="仿宋" w:cs="仿宋"/>
          <w:color w:val="auto"/>
          <w:sz w:val="24"/>
          <w:highlight w:val="none"/>
          <w:u w:val="single"/>
        </w:rPr>
        <w:t xml:space="preserve"> 合同价格的千分之二   </w:t>
      </w:r>
      <w:r>
        <w:rPr>
          <w:rFonts w:hint="eastAsia" w:ascii="仿宋" w:hAnsi="仿宋" w:eastAsia="仿宋" w:cs="仿宋"/>
          <w:color w:val="auto"/>
          <w:sz w:val="24"/>
          <w:highlight w:val="none"/>
        </w:rPr>
        <w:t>。</w:t>
      </w:r>
    </w:p>
    <w:bookmarkEnd w:id="389"/>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11.6 工期提前</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工期提前的奖金约定：</w:t>
      </w:r>
      <w:r>
        <w:rPr>
          <w:rFonts w:hint="eastAsia" w:ascii="仿宋" w:hAnsi="仿宋" w:eastAsia="仿宋" w:cs="仿宋"/>
          <w:color w:val="auto"/>
          <w:sz w:val="24"/>
          <w:highlight w:val="none"/>
          <w:u w:val="single"/>
        </w:rPr>
        <w:t xml:space="preserve">不奖励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bookmarkStart w:id="390" w:name="_Toc229305395"/>
      <w:bookmarkStart w:id="391" w:name="_Toc290185762"/>
      <w:bookmarkStart w:id="392" w:name="_Toc290188025"/>
      <w:bookmarkStart w:id="393" w:name="_Toc290186213"/>
      <w:bookmarkStart w:id="394" w:name="_Toc222032706"/>
      <w:bookmarkStart w:id="395" w:name="_Toc291144318"/>
      <w:bookmarkStart w:id="396" w:name="_Toc221951206"/>
      <w:bookmarkStart w:id="397" w:name="_Toc222029537"/>
      <w:bookmarkStart w:id="398" w:name="_Toc222033888"/>
      <w:bookmarkStart w:id="399" w:name="_Toc290186358"/>
      <w:bookmarkStart w:id="400" w:name="_Toc297733177"/>
      <w:bookmarkStart w:id="401" w:name="_Toc297714606"/>
      <w:bookmarkStart w:id="402" w:name="_Toc290185609"/>
      <w:bookmarkStart w:id="403" w:name="_Toc222031039"/>
      <w:r>
        <w:rPr>
          <w:rFonts w:hint="eastAsia" w:ascii="仿宋" w:hAnsi="仿宋" w:eastAsia="仿宋" w:cs="仿宋"/>
          <w:b/>
          <w:color w:val="auto"/>
          <w:sz w:val="24"/>
          <w:highlight w:val="none"/>
        </w:rPr>
        <w:t>12．</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hint="eastAsia" w:ascii="仿宋" w:hAnsi="仿宋" w:eastAsia="仿宋" w:cs="仿宋"/>
          <w:b/>
          <w:color w:val="auto"/>
          <w:sz w:val="24"/>
          <w:highlight w:val="none"/>
        </w:rPr>
        <w:t>暂停施工</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12.1 承包人暂停施工的责任</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 承包人承担暂停施工责任的其它情形：</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12.2 发包人暂停施工的责任</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 发包人承担暂停施工责任的其它情形：</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rPr>
          <w:rFonts w:ascii="仿宋" w:hAnsi="仿宋" w:eastAsia="仿宋" w:cs="仿宋"/>
          <w:b/>
          <w:color w:val="auto"/>
          <w:sz w:val="24"/>
          <w:highlight w:val="none"/>
        </w:rPr>
      </w:pPr>
      <w:bookmarkStart w:id="404" w:name="_Toc290188026"/>
      <w:bookmarkStart w:id="405" w:name="_Toc290185610"/>
      <w:bookmarkStart w:id="406" w:name="_Toc297714608"/>
      <w:bookmarkStart w:id="407" w:name="_Toc290186214"/>
      <w:bookmarkStart w:id="408" w:name="_Toc297733179"/>
      <w:bookmarkStart w:id="409" w:name="_Toc291144320"/>
      <w:bookmarkStart w:id="410" w:name="_Toc290185763"/>
      <w:bookmarkStart w:id="411" w:name="_Toc290186359"/>
      <w:r>
        <w:rPr>
          <w:rFonts w:hint="eastAsia" w:ascii="仿宋" w:hAnsi="仿宋" w:eastAsia="仿宋" w:cs="仿宋"/>
          <w:b/>
          <w:color w:val="auto"/>
          <w:sz w:val="24"/>
          <w:highlight w:val="none"/>
        </w:rPr>
        <w:t>13．</w:t>
      </w:r>
      <w:bookmarkEnd w:id="404"/>
      <w:bookmarkEnd w:id="405"/>
      <w:bookmarkEnd w:id="406"/>
      <w:bookmarkEnd w:id="407"/>
      <w:bookmarkEnd w:id="408"/>
      <w:bookmarkEnd w:id="409"/>
      <w:bookmarkEnd w:id="410"/>
      <w:bookmarkEnd w:id="411"/>
      <w:r>
        <w:rPr>
          <w:rFonts w:hint="eastAsia" w:ascii="仿宋" w:hAnsi="仿宋" w:eastAsia="仿宋" w:cs="仿宋"/>
          <w:b/>
          <w:color w:val="auto"/>
          <w:sz w:val="24"/>
          <w:highlight w:val="none"/>
        </w:rPr>
        <w:t>工程质量</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13.7 质量评定</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13.7.4 重要隐蔽单元工程和关键部位单元工程质量评定的约定：</w:t>
      </w:r>
      <w:r>
        <w:rPr>
          <w:rFonts w:hint="eastAsia" w:ascii="仿宋" w:hAnsi="仿宋" w:eastAsia="仿宋" w:cs="仿宋"/>
          <w:color w:val="auto"/>
          <w:sz w:val="24"/>
          <w:highlight w:val="none"/>
          <w:u w:val="single"/>
        </w:rPr>
        <w:t xml:space="preserve">  按质量监督部门批准的项目划分确定的执行 </w:t>
      </w: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13.7.7 工程合格标准为：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13.8 质量事故处理</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13.8.4 工程竣工验收时，</w:t>
      </w:r>
      <w:r>
        <w:rPr>
          <w:rFonts w:hint="eastAsia" w:ascii="仿宋" w:hAnsi="仿宋" w:eastAsia="仿宋" w:cs="仿宋"/>
          <w:color w:val="auto"/>
          <w:sz w:val="24"/>
          <w:highlight w:val="none"/>
          <w:u w:val="single"/>
        </w:rPr>
        <w:t xml:space="preserve"> 监理人 </w:t>
      </w:r>
      <w:r>
        <w:rPr>
          <w:rFonts w:hint="eastAsia" w:ascii="仿宋" w:hAnsi="仿宋" w:eastAsia="仿宋" w:cs="仿宋"/>
          <w:color w:val="auto"/>
          <w:sz w:val="24"/>
          <w:highlight w:val="none"/>
        </w:rPr>
        <w:t xml:space="preserve"> 向竣工验收委员会汇报并提交历次质量缺陷处理的备案资料。</w:t>
      </w:r>
    </w:p>
    <w:p>
      <w:pPr>
        <w:pageBreakBefore w:val="0"/>
        <w:kinsoku/>
        <w:overflowPunct/>
        <w:bidi w:val="0"/>
        <w:snapToGrid w:val="0"/>
        <w:spacing w:line="360" w:lineRule="auto"/>
        <w:rPr>
          <w:rFonts w:ascii="仿宋" w:hAnsi="仿宋" w:eastAsia="仿宋" w:cs="仿宋"/>
          <w:b/>
          <w:color w:val="auto"/>
          <w:sz w:val="24"/>
          <w:highlight w:val="none"/>
        </w:rPr>
      </w:pPr>
      <w:bookmarkStart w:id="412" w:name="_Toc290186215"/>
      <w:bookmarkStart w:id="413" w:name="_Toc290186360"/>
      <w:bookmarkStart w:id="414" w:name="_Toc290188027"/>
      <w:bookmarkStart w:id="415" w:name="_Toc297733182"/>
      <w:bookmarkStart w:id="416" w:name="_Toc290185611"/>
      <w:bookmarkStart w:id="417" w:name="_Toc291144323"/>
      <w:bookmarkStart w:id="418" w:name="_Toc297714611"/>
      <w:bookmarkStart w:id="419" w:name="_Toc290185764"/>
      <w:r>
        <w:rPr>
          <w:rFonts w:hint="eastAsia" w:ascii="仿宋" w:hAnsi="仿宋" w:eastAsia="仿宋" w:cs="仿宋"/>
          <w:b/>
          <w:color w:val="auto"/>
          <w:sz w:val="24"/>
          <w:highlight w:val="none"/>
        </w:rPr>
        <w:t>14．</w:t>
      </w:r>
      <w:bookmarkEnd w:id="412"/>
      <w:bookmarkEnd w:id="413"/>
      <w:bookmarkEnd w:id="414"/>
      <w:bookmarkEnd w:id="415"/>
      <w:bookmarkEnd w:id="416"/>
      <w:bookmarkEnd w:id="417"/>
      <w:bookmarkEnd w:id="418"/>
      <w:bookmarkEnd w:id="419"/>
      <w:r>
        <w:rPr>
          <w:rFonts w:hint="eastAsia" w:ascii="仿宋" w:hAnsi="仿宋" w:eastAsia="仿宋" w:cs="仿宋"/>
          <w:b/>
          <w:color w:val="auto"/>
          <w:sz w:val="24"/>
          <w:highlight w:val="none"/>
        </w:rPr>
        <w:t>试验和检验</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14.1 材料、工程设备和工程的试验和检验</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14.1.6 本工程实行见证取样的试块、试件及有关材料：</w:t>
      </w:r>
      <w:r>
        <w:rPr>
          <w:rFonts w:hint="eastAsia" w:ascii="仿宋" w:hAnsi="仿宋" w:eastAsia="仿宋" w:cs="仿宋"/>
          <w:color w:val="auto"/>
          <w:sz w:val="24"/>
          <w:highlight w:val="none"/>
          <w:u w:val="single"/>
        </w:rPr>
        <w:t xml:space="preserve">由监理人确定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bookmarkStart w:id="420" w:name="_Toc291144325"/>
      <w:bookmarkStart w:id="421" w:name="_Toc221951213"/>
      <w:bookmarkStart w:id="422" w:name="_Toc222031041"/>
      <w:bookmarkStart w:id="423" w:name="_Toc222029539"/>
      <w:bookmarkStart w:id="424" w:name="_Toc290185612"/>
      <w:bookmarkStart w:id="425" w:name="_Toc229305396"/>
      <w:bookmarkStart w:id="426" w:name="_Toc297733184"/>
      <w:bookmarkStart w:id="427" w:name="_Toc297714613"/>
      <w:bookmarkStart w:id="428" w:name="_Toc290185765"/>
      <w:bookmarkStart w:id="429" w:name="_Toc222033890"/>
      <w:bookmarkStart w:id="430" w:name="_Toc290186216"/>
      <w:bookmarkStart w:id="431" w:name="_Toc290188028"/>
      <w:bookmarkStart w:id="432" w:name="_Toc222032708"/>
      <w:bookmarkStart w:id="433" w:name="_Toc290186361"/>
      <w:r>
        <w:rPr>
          <w:rFonts w:hint="eastAsia" w:ascii="仿宋" w:hAnsi="仿宋" w:eastAsia="仿宋" w:cs="仿宋"/>
          <w:b/>
          <w:color w:val="auto"/>
          <w:sz w:val="24"/>
          <w:highlight w:val="none"/>
        </w:rPr>
        <w:t>15．</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Pr>
          <w:rFonts w:hint="eastAsia" w:ascii="仿宋" w:hAnsi="仿宋" w:eastAsia="仿宋" w:cs="仿宋"/>
          <w:b/>
          <w:color w:val="auto"/>
          <w:sz w:val="24"/>
          <w:highlight w:val="none"/>
        </w:rPr>
        <w:t>变更</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15.1 变更的范围和内容</w:t>
      </w:r>
    </w:p>
    <w:p>
      <w:pPr>
        <w:pageBreakBefore w:val="0"/>
        <w:kinsoku/>
        <w:overflowPunct/>
        <w:bidi w:val="0"/>
        <w:snapToGrid w:val="0"/>
        <w:spacing w:line="360" w:lineRule="auto"/>
        <w:rPr>
          <w:rFonts w:ascii="仿宋" w:hAnsi="仿宋" w:eastAsia="仿宋" w:cs="仿宋"/>
          <w:color w:val="auto"/>
          <w:sz w:val="24"/>
          <w:highlight w:val="none"/>
        </w:rPr>
      </w:pPr>
      <w:bookmarkStart w:id="434" w:name="_Toc221951218"/>
      <w:r>
        <w:rPr>
          <w:rFonts w:hint="eastAsia" w:ascii="仿宋" w:hAnsi="仿宋" w:eastAsia="仿宋" w:cs="仿宋"/>
          <w:color w:val="auto"/>
          <w:sz w:val="24"/>
          <w:highlight w:val="none"/>
        </w:rPr>
        <w:t>（1）单价调整方式：</w:t>
      </w:r>
      <w:r>
        <w:rPr>
          <w:rFonts w:hint="eastAsia" w:ascii="仿宋" w:hAnsi="仿宋" w:eastAsia="仿宋" w:cs="仿宋"/>
          <w:color w:val="auto"/>
          <w:sz w:val="24"/>
          <w:highlight w:val="none"/>
          <w:u w:val="single"/>
        </w:rPr>
        <w:t xml:space="preserve">    工期短，单价不予调整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15.5 承包人的合理化建议</w:t>
      </w:r>
    </w:p>
    <w:bookmarkEnd w:id="434"/>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15.5.2 承包人实现合理化建议的奖励金额为</w:t>
      </w:r>
      <w:r>
        <w:rPr>
          <w:rFonts w:hint="eastAsia" w:ascii="仿宋" w:hAnsi="仿宋" w:eastAsia="仿宋" w:cs="仿宋"/>
          <w:color w:val="auto"/>
          <w:sz w:val="24"/>
          <w:highlight w:val="none"/>
          <w:u w:val="single"/>
        </w:rPr>
        <w:t>：   发包人根据实际情况进行奖励    。</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15.8 暂估价</w:t>
      </w:r>
    </w:p>
    <w:p>
      <w:pPr>
        <w:pageBreakBefore w:val="0"/>
        <w:kinsoku/>
        <w:overflowPunct/>
        <w:bidi w:val="0"/>
        <w:snapToGrid w:val="0"/>
        <w:spacing w:line="360" w:lineRule="auto"/>
        <w:rPr>
          <w:rFonts w:ascii="仿宋" w:hAnsi="仿宋" w:eastAsia="仿宋" w:cs="仿宋"/>
          <w:b/>
          <w:color w:val="auto"/>
          <w:sz w:val="24"/>
          <w:highlight w:val="none"/>
        </w:rPr>
      </w:pPr>
      <w:bookmarkStart w:id="435" w:name="_Toc290185613"/>
      <w:bookmarkStart w:id="436" w:name="_Toc290186362"/>
      <w:bookmarkStart w:id="437" w:name="_Toc290186217"/>
      <w:bookmarkStart w:id="438" w:name="_Toc297733186"/>
      <w:bookmarkStart w:id="439" w:name="_Toc290185766"/>
      <w:bookmarkStart w:id="440" w:name="_Toc291144327"/>
      <w:bookmarkStart w:id="441" w:name="_Toc297714615"/>
      <w:bookmarkStart w:id="442" w:name="_Toc229305397"/>
      <w:bookmarkStart w:id="443" w:name="_Toc290188029"/>
      <w:r>
        <w:rPr>
          <w:rFonts w:hint="eastAsia" w:ascii="仿宋" w:hAnsi="仿宋" w:eastAsia="仿宋" w:cs="仿宋"/>
          <w:b/>
          <w:color w:val="auto"/>
          <w:sz w:val="24"/>
          <w:highlight w:val="none"/>
        </w:rPr>
        <w:t>16．</w:t>
      </w:r>
      <w:bookmarkEnd w:id="435"/>
      <w:bookmarkEnd w:id="436"/>
      <w:bookmarkEnd w:id="437"/>
      <w:bookmarkEnd w:id="438"/>
      <w:bookmarkEnd w:id="439"/>
      <w:bookmarkEnd w:id="440"/>
      <w:bookmarkEnd w:id="441"/>
      <w:bookmarkEnd w:id="442"/>
      <w:bookmarkEnd w:id="443"/>
      <w:r>
        <w:rPr>
          <w:rFonts w:hint="eastAsia" w:ascii="仿宋" w:hAnsi="仿宋" w:eastAsia="仿宋" w:cs="仿宋"/>
          <w:b/>
          <w:color w:val="auto"/>
          <w:sz w:val="24"/>
          <w:highlight w:val="none"/>
        </w:rPr>
        <w:t>价格调整</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16.1 物价波动引起的价格调整</w:t>
      </w:r>
    </w:p>
    <w:p>
      <w:pPr>
        <w:pageBreakBefore w:val="0"/>
        <w:kinsoku/>
        <w:overflowPunct/>
        <w:bidi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物价波动引起的价格调整方式：</w:t>
      </w:r>
      <w:r>
        <w:rPr>
          <w:rFonts w:hint="eastAsia" w:ascii="仿宋" w:hAnsi="仿宋" w:eastAsia="仿宋" w:cs="仿宋"/>
          <w:color w:val="auto"/>
          <w:sz w:val="24"/>
          <w:highlight w:val="none"/>
          <w:u w:val="single"/>
        </w:rPr>
        <w:t>工期短，单价不予调整。</w:t>
      </w:r>
    </w:p>
    <w:p>
      <w:pPr>
        <w:pageBreakBefore w:val="0"/>
        <w:kinsoku/>
        <w:overflowPunct/>
        <w:bidi w:val="0"/>
        <w:snapToGrid w:val="0"/>
        <w:spacing w:line="360" w:lineRule="auto"/>
        <w:rPr>
          <w:rFonts w:ascii="仿宋" w:hAnsi="仿宋" w:eastAsia="仿宋" w:cs="仿宋"/>
          <w:b/>
          <w:color w:val="auto"/>
          <w:sz w:val="24"/>
          <w:highlight w:val="none"/>
        </w:rPr>
      </w:pPr>
      <w:bookmarkStart w:id="444" w:name="_Toc290186363"/>
      <w:bookmarkStart w:id="445" w:name="_Toc222033891"/>
      <w:bookmarkStart w:id="446" w:name="_Toc290188030"/>
      <w:bookmarkStart w:id="447" w:name="_Toc290185614"/>
      <w:bookmarkStart w:id="448" w:name="_Toc297714616"/>
      <w:bookmarkStart w:id="449" w:name="_Toc290185767"/>
      <w:bookmarkStart w:id="450" w:name="_Toc222031042"/>
      <w:bookmarkStart w:id="451" w:name="_Toc290186218"/>
      <w:bookmarkStart w:id="452" w:name="_Toc297733187"/>
      <w:bookmarkStart w:id="453" w:name="_Toc221951223"/>
      <w:bookmarkStart w:id="454" w:name="_Toc222032709"/>
      <w:bookmarkStart w:id="455" w:name="_Toc222029540"/>
      <w:bookmarkStart w:id="456" w:name="_Toc291144328"/>
      <w:bookmarkStart w:id="457" w:name="_Toc229305398"/>
      <w:r>
        <w:rPr>
          <w:rFonts w:hint="eastAsia" w:ascii="仿宋" w:hAnsi="仿宋" w:eastAsia="仿宋" w:cs="仿宋"/>
          <w:b/>
          <w:color w:val="auto"/>
          <w:sz w:val="24"/>
          <w:highlight w:val="none"/>
        </w:rPr>
        <w:t>17．</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仿宋" w:hAnsi="仿宋" w:eastAsia="仿宋" w:cs="仿宋"/>
          <w:b/>
          <w:color w:val="auto"/>
          <w:sz w:val="24"/>
          <w:highlight w:val="none"/>
        </w:rPr>
        <w:t>计量与支付</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17.2 预付款</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本工程无工程预付款。</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17.3工程进度付款</w:t>
      </w:r>
    </w:p>
    <w:p>
      <w:pPr>
        <w:pageBreakBefore w:val="0"/>
        <w:kinsoku/>
        <w:overflowPunct/>
        <w:bidi w:val="0"/>
        <w:snapToGrid w:val="0"/>
        <w:spacing w:line="360" w:lineRule="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工程完工验收后，按照县财政规定的付款办法支付工程款。</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17.4 质量保证金</w:t>
      </w:r>
    </w:p>
    <w:p>
      <w:pPr>
        <w:pageBreakBefore w:val="0"/>
        <w:kinsoku/>
        <w:overflowPunct/>
        <w:bidi w:val="0"/>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按县财政有关规定办法执行。</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17.5 竣工（完工）结算</w:t>
      </w:r>
    </w:p>
    <w:p>
      <w:pPr>
        <w:pageBreakBefore w:val="0"/>
        <w:kinsoku/>
        <w:overflowPunct/>
        <w:bidi w:val="0"/>
        <w:snapToGrid w:val="0"/>
        <w:spacing w:line="360" w:lineRule="auto"/>
        <w:rPr>
          <w:rFonts w:ascii="仿宋" w:hAnsi="仿宋" w:eastAsia="仿宋" w:cs="仿宋"/>
          <w:color w:val="auto"/>
          <w:sz w:val="24"/>
          <w:highlight w:val="none"/>
        </w:rPr>
      </w:pPr>
      <w:bookmarkStart w:id="458" w:name="_Toc221951267"/>
      <w:bookmarkStart w:id="459" w:name="_Toc291144330"/>
      <w:bookmarkStart w:id="460" w:name="_Toc297733189"/>
      <w:bookmarkStart w:id="461" w:name="_Toc297714618"/>
      <w:bookmarkStart w:id="462" w:name="_Toc221951268"/>
      <w:r>
        <w:rPr>
          <w:rFonts w:hint="eastAsia" w:ascii="仿宋" w:hAnsi="仿宋" w:eastAsia="仿宋" w:cs="仿宋"/>
          <w:color w:val="auto"/>
          <w:sz w:val="24"/>
          <w:highlight w:val="none"/>
        </w:rPr>
        <w:t>竣工付款申请单的份数和提交期限：在工程接收证书颁发后14天内提交5份竣工付款申请单。</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竣工付款申请单的内容：</w:t>
      </w:r>
      <w:bookmarkEnd w:id="458"/>
      <w:r>
        <w:rPr>
          <w:rFonts w:hint="eastAsia" w:ascii="仿宋" w:hAnsi="仿宋" w:eastAsia="仿宋" w:cs="仿宋"/>
          <w:color w:val="auto"/>
          <w:sz w:val="24"/>
          <w:highlight w:val="none"/>
        </w:rPr>
        <w:t>竣工结算合同总价、已支付的工程价款、应支付的竣工付款金额等。</w:t>
      </w:r>
    </w:p>
    <w:bookmarkEnd w:id="459"/>
    <w:bookmarkEnd w:id="460"/>
    <w:bookmarkEnd w:id="461"/>
    <w:bookmarkEnd w:id="462"/>
    <w:p>
      <w:pPr>
        <w:pageBreakBefore w:val="0"/>
        <w:kinsoku/>
        <w:overflowPunct/>
        <w:bidi w:val="0"/>
        <w:snapToGrid w:val="0"/>
        <w:spacing w:line="360" w:lineRule="auto"/>
        <w:rPr>
          <w:rFonts w:ascii="仿宋" w:hAnsi="仿宋" w:eastAsia="仿宋" w:cs="仿宋"/>
          <w:color w:val="auto"/>
          <w:highlight w:val="none"/>
        </w:rPr>
      </w:pPr>
      <w:r>
        <w:rPr>
          <w:rFonts w:hint="eastAsia" w:ascii="仿宋" w:hAnsi="仿宋" w:eastAsia="仿宋" w:cs="仿宋"/>
          <w:b/>
          <w:color w:val="auto"/>
          <w:sz w:val="24"/>
          <w:highlight w:val="none"/>
        </w:rPr>
        <w:t>17.6 最终结清</w:t>
      </w: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17.6.1 最终结清申请单</w:t>
      </w:r>
    </w:p>
    <w:p>
      <w:pPr>
        <w:pageBreakBefore w:val="0"/>
        <w:kinsoku/>
        <w:overflowPunct/>
        <w:bidi w:val="0"/>
        <w:snapToGrid w:val="0"/>
        <w:spacing w:line="360" w:lineRule="auto"/>
        <w:rPr>
          <w:rFonts w:ascii="仿宋" w:hAnsi="仿宋" w:eastAsia="仿宋" w:cs="仿宋"/>
          <w:color w:val="auto"/>
          <w:sz w:val="24"/>
          <w:highlight w:val="none"/>
        </w:rPr>
      </w:pPr>
      <w:bookmarkStart w:id="463" w:name="_Toc297714619"/>
      <w:bookmarkStart w:id="464" w:name="_Toc291144331"/>
      <w:bookmarkStart w:id="465" w:name="_Toc297733190"/>
      <w:r>
        <w:rPr>
          <w:rFonts w:hint="eastAsia" w:ascii="仿宋" w:hAnsi="仿宋" w:eastAsia="仿宋" w:cs="仿宋"/>
          <w:color w:val="auto"/>
          <w:sz w:val="24"/>
          <w:highlight w:val="none"/>
        </w:rPr>
        <w:t>最终结清申请单的份数和提交期限：在缺陷责任期终止证书颁发后28天内提交5份最终结清申请单。</w:t>
      </w:r>
    </w:p>
    <w:bookmarkEnd w:id="463"/>
    <w:bookmarkEnd w:id="464"/>
    <w:bookmarkEnd w:id="465"/>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17.7 竣工财务决算</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承包人应为竣工财务决算编制提供的资料：</w:t>
      </w:r>
      <w:r>
        <w:rPr>
          <w:rFonts w:hint="eastAsia" w:ascii="仿宋" w:hAnsi="仿宋" w:eastAsia="仿宋" w:cs="仿宋"/>
          <w:color w:val="auto"/>
          <w:sz w:val="24"/>
          <w:highlight w:val="none"/>
          <w:u w:val="single"/>
        </w:rPr>
        <w:t>按发包人要求</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color w:val="auto"/>
          <w:sz w:val="24"/>
          <w:highlight w:val="none"/>
        </w:rPr>
      </w:pPr>
      <w:bookmarkStart w:id="466" w:name="_Toc290186364"/>
      <w:bookmarkStart w:id="467" w:name="_Toc229305399"/>
      <w:bookmarkStart w:id="468" w:name="_Toc222029541"/>
      <w:bookmarkStart w:id="469" w:name="_Toc290188031"/>
      <w:bookmarkStart w:id="470" w:name="_Toc221951271"/>
      <w:bookmarkStart w:id="471" w:name="_Toc222033892"/>
      <w:bookmarkStart w:id="472" w:name="_Toc291144332"/>
      <w:bookmarkStart w:id="473" w:name="_Toc290185768"/>
      <w:bookmarkStart w:id="474" w:name="_Toc222031043"/>
      <w:bookmarkStart w:id="475" w:name="_Toc297714620"/>
      <w:bookmarkStart w:id="476" w:name="_Toc297733191"/>
      <w:bookmarkStart w:id="477" w:name="_Toc222032710"/>
      <w:bookmarkStart w:id="478" w:name="_Toc290186219"/>
      <w:bookmarkStart w:id="479" w:name="_Toc290185615"/>
      <w:r>
        <w:rPr>
          <w:rFonts w:hint="eastAsia" w:ascii="仿宋" w:hAnsi="仿宋" w:eastAsia="仿宋" w:cs="仿宋"/>
          <w:color w:val="auto"/>
          <w:sz w:val="24"/>
          <w:highlight w:val="none"/>
        </w:rPr>
        <w:t>18．</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hint="eastAsia" w:ascii="仿宋" w:hAnsi="仿宋" w:eastAsia="仿宋" w:cs="仿宋"/>
          <w:color w:val="auto"/>
          <w:sz w:val="24"/>
          <w:highlight w:val="none"/>
        </w:rPr>
        <w:t>竣工验收（验收）</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18.1 验收工作分类</w:t>
      </w:r>
    </w:p>
    <w:p>
      <w:pPr>
        <w:pageBreakBefore w:val="0"/>
        <w:kinsoku/>
        <w:overflowPunct/>
        <w:bidi w:val="0"/>
        <w:snapToGrid w:val="0"/>
        <w:spacing w:line="360" w:lineRule="auto"/>
        <w:rPr>
          <w:rFonts w:ascii="仿宋" w:hAnsi="仿宋" w:eastAsia="仿宋" w:cs="仿宋"/>
          <w:color w:val="auto"/>
          <w:sz w:val="24"/>
          <w:highlight w:val="none"/>
        </w:rPr>
      </w:pPr>
      <w:bookmarkStart w:id="480" w:name="_Toc221951272"/>
      <w:r>
        <w:rPr>
          <w:rFonts w:hint="eastAsia" w:ascii="仿宋" w:hAnsi="仿宋" w:eastAsia="仿宋" w:cs="仿宋"/>
          <w:color w:val="auto"/>
          <w:sz w:val="24"/>
          <w:highlight w:val="none"/>
        </w:rPr>
        <w:t>本工程法人验收包括：</w:t>
      </w:r>
      <w:r>
        <w:rPr>
          <w:rFonts w:hint="eastAsia" w:ascii="仿宋" w:hAnsi="仿宋" w:eastAsia="仿宋" w:cs="仿宋"/>
          <w:color w:val="auto"/>
          <w:sz w:val="24"/>
          <w:highlight w:val="none"/>
          <w:u w:val="single"/>
        </w:rPr>
        <w:t xml:space="preserve">签约后发包人根据工程情况确定  </w:t>
      </w:r>
      <w:r>
        <w:rPr>
          <w:rFonts w:hint="eastAsia" w:ascii="仿宋" w:hAnsi="仿宋" w:eastAsia="仿宋" w:cs="仿宋"/>
          <w:color w:val="auto"/>
          <w:sz w:val="24"/>
          <w:highlight w:val="none"/>
        </w:rPr>
        <w:t>；政府验收包括：</w:t>
      </w:r>
      <w:r>
        <w:rPr>
          <w:rFonts w:hint="eastAsia" w:ascii="仿宋" w:hAnsi="仿宋" w:eastAsia="仿宋" w:cs="仿宋"/>
          <w:color w:val="auto"/>
          <w:sz w:val="24"/>
          <w:highlight w:val="none"/>
          <w:u w:val="single"/>
        </w:rPr>
        <w:t xml:space="preserve">签约后发包人根据工程情况确定  </w:t>
      </w:r>
      <w:r>
        <w:rPr>
          <w:rFonts w:hint="eastAsia" w:ascii="仿宋" w:hAnsi="仿宋" w:eastAsia="仿宋" w:cs="仿宋"/>
          <w:color w:val="auto"/>
          <w:sz w:val="24"/>
          <w:highlight w:val="none"/>
        </w:rPr>
        <w:t>；</w:t>
      </w:r>
    </w:p>
    <w:bookmarkEnd w:id="480"/>
    <w:p>
      <w:pPr>
        <w:pageBreakBefore w:val="0"/>
        <w:kinsoku/>
        <w:overflowPunct/>
        <w:bidi w:val="0"/>
        <w:snapToGrid w:val="0"/>
        <w:spacing w:line="360" w:lineRule="auto"/>
        <w:rPr>
          <w:rFonts w:ascii="仿宋" w:hAnsi="仿宋" w:eastAsia="仿宋" w:cs="仿宋"/>
          <w:b/>
          <w:color w:val="auto"/>
          <w:sz w:val="24"/>
          <w:highlight w:val="none"/>
        </w:rPr>
      </w:pPr>
      <w:bookmarkStart w:id="481" w:name="_Toc221951274"/>
      <w:r>
        <w:rPr>
          <w:rFonts w:hint="eastAsia" w:ascii="仿宋" w:hAnsi="仿宋" w:eastAsia="仿宋" w:cs="仿宋"/>
          <w:b/>
          <w:color w:val="auto"/>
          <w:sz w:val="24"/>
          <w:highlight w:val="none"/>
        </w:rPr>
        <w:t>18.5 阶段验收</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18.5.1 本合同工程阶段验收类别包括：</w:t>
      </w:r>
      <w:r>
        <w:rPr>
          <w:rFonts w:hint="eastAsia" w:ascii="仿宋" w:hAnsi="仿宋" w:eastAsia="仿宋" w:cs="仿宋"/>
          <w:color w:val="auto"/>
          <w:sz w:val="24"/>
          <w:highlight w:val="none"/>
          <w:u w:val="single"/>
        </w:rPr>
        <w:t xml:space="preserve">    签约后发包人根据工程情况确定   。</w:t>
      </w:r>
    </w:p>
    <w:bookmarkEnd w:id="481"/>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18.6 专项验收</w:t>
      </w:r>
    </w:p>
    <w:p>
      <w:pPr>
        <w:pageBreakBefore w:val="0"/>
        <w:kinsoku/>
        <w:overflowPunct/>
        <w:bidi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18.6.2 本合同工程专项验收类别包括：</w:t>
      </w:r>
      <w:r>
        <w:rPr>
          <w:rFonts w:hint="eastAsia" w:ascii="仿宋" w:hAnsi="仿宋" w:eastAsia="仿宋" w:cs="仿宋"/>
          <w:color w:val="auto"/>
          <w:highlight w:val="none"/>
          <w:u w:val="single"/>
        </w:rPr>
        <w:t xml:space="preserve"> </w:t>
      </w:r>
      <w:r>
        <w:rPr>
          <w:rFonts w:hint="eastAsia" w:ascii="仿宋" w:hAnsi="仿宋" w:eastAsia="仿宋" w:cs="仿宋"/>
          <w:color w:val="auto"/>
          <w:sz w:val="24"/>
          <w:highlight w:val="none"/>
          <w:u w:val="single"/>
        </w:rPr>
        <w:t xml:space="preserve">   签约后发包人根据工程情况确定   。</w:t>
      </w:r>
    </w:p>
    <w:p>
      <w:pPr>
        <w:pageBreakBefore w:val="0"/>
        <w:kinsoku/>
        <w:overflowPunct/>
        <w:bidi w:val="0"/>
        <w:snapToGrid w:val="0"/>
        <w:spacing w:line="360" w:lineRule="auto"/>
        <w:rPr>
          <w:rFonts w:ascii="仿宋" w:hAnsi="仿宋" w:eastAsia="仿宋" w:cs="仿宋"/>
          <w:b/>
          <w:color w:val="auto"/>
          <w:sz w:val="24"/>
          <w:highlight w:val="none"/>
        </w:rPr>
      </w:pPr>
      <w:bookmarkStart w:id="482" w:name="_Toc290186365"/>
      <w:bookmarkStart w:id="483" w:name="_Toc291144340"/>
      <w:bookmarkStart w:id="484" w:name="_Toc297733199"/>
      <w:bookmarkStart w:id="485" w:name="_Toc290186220"/>
      <w:bookmarkStart w:id="486" w:name="_Toc297714628"/>
      <w:bookmarkStart w:id="487" w:name="_Toc290188032"/>
      <w:bookmarkStart w:id="488" w:name="_Toc290185616"/>
      <w:bookmarkStart w:id="489" w:name="_Toc290185769"/>
      <w:r>
        <w:rPr>
          <w:rFonts w:hint="eastAsia" w:ascii="仿宋" w:hAnsi="仿宋" w:eastAsia="仿宋" w:cs="仿宋"/>
          <w:b/>
          <w:color w:val="auto"/>
          <w:sz w:val="24"/>
          <w:highlight w:val="none"/>
        </w:rPr>
        <w:t>19．</w:t>
      </w:r>
      <w:bookmarkEnd w:id="482"/>
      <w:bookmarkEnd w:id="483"/>
      <w:bookmarkEnd w:id="484"/>
      <w:bookmarkEnd w:id="485"/>
      <w:bookmarkEnd w:id="486"/>
      <w:bookmarkEnd w:id="487"/>
      <w:bookmarkEnd w:id="488"/>
      <w:bookmarkEnd w:id="489"/>
      <w:r>
        <w:rPr>
          <w:rFonts w:hint="eastAsia" w:ascii="仿宋" w:hAnsi="仿宋" w:eastAsia="仿宋" w:cs="仿宋"/>
          <w:b/>
          <w:color w:val="auto"/>
          <w:sz w:val="24"/>
          <w:highlight w:val="none"/>
        </w:rPr>
        <w:t>缺陷责任与保修责任</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19.1缺陷责任期（工程质量保修期）的起算时间</w:t>
      </w:r>
    </w:p>
    <w:p>
      <w:pPr>
        <w:pageBreakBefore w:val="0"/>
        <w:kinsoku/>
        <w:overflowPunct/>
        <w:bidi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本工程缺陷责任期（工程质量保修期）计算如下：</w:t>
      </w:r>
      <w:r>
        <w:rPr>
          <w:rFonts w:hint="eastAsia" w:ascii="仿宋" w:hAnsi="仿宋" w:eastAsia="仿宋" w:cs="仿宋"/>
          <w:color w:val="auto"/>
          <w:sz w:val="24"/>
          <w:highlight w:val="none"/>
          <w:u w:val="single"/>
        </w:rPr>
        <w:t>从工程通过合同工程完工验收后开始计算，保修期为一年。</w:t>
      </w:r>
    </w:p>
    <w:p>
      <w:pPr>
        <w:pageBreakBefore w:val="0"/>
        <w:kinsoku/>
        <w:overflowPunct/>
        <w:bidi w:val="0"/>
        <w:snapToGrid w:val="0"/>
        <w:spacing w:line="360" w:lineRule="auto"/>
        <w:rPr>
          <w:rFonts w:ascii="仿宋" w:hAnsi="仿宋" w:eastAsia="仿宋" w:cs="仿宋"/>
          <w:color w:val="auto"/>
          <w:highlight w:val="none"/>
        </w:rPr>
      </w:pPr>
      <w:bookmarkStart w:id="490" w:name="_Toc291144341"/>
      <w:bookmarkStart w:id="491" w:name="_Toc222032711"/>
      <w:bookmarkStart w:id="492" w:name="_Toc290186366"/>
      <w:bookmarkStart w:id="493" w:name="_Toc290185770"/>
      <w:bookmarkStart w:id="494" w:name="_Toc290188033"/>
      <w:bookmarkStart w:id="495" w:name="_Toc222029542"/>
      <w:bookmarkStart w:id="496" w:name="_Toc290185617"/>
      <w:bookmarkStart w:id="497" w:name="_Toc297733200"/>
      <w:bookmarkStart w:id="498" w:name="_Toc290186221"/>
      <w:bookmarkStart w:id="499" w:name="_Toc222033893"/>
      <w:bookmarkStart w:id="500" w:name="_Toc222031044"/>
      <w:bookmarkStart w:id="501" w:name="_Toc229305400"/>
      <w:bookmarkStart w:id="502" w:name="_Toc221951299"/>
      <w:bookmarkStart w:id="503" w:name="_Toc297714629"/>
      <w:r>
        <w:rPr>
          <w:rFonts w:hint="eastAsia" w:ascii="仿宋" w:hAnsi="仿宋" w:eastAsia="仿宋" w:cs="仿宋"/>
          <w:b/>
          <w:color w:val="auto"/>
          <w:sz w:val="24"/>
          <w:highlight w:val="none"/>
        </w:rPr>
        <w:t>20．</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4" w:name="_Toc221951323"/>
      <w:r>
        <w:rPr>
          <w:rFonts w:hint="eastAsia" w:ascii="仿宋" w:hAnsi="仿宋" w:eastAsia="仿宋" w:cs="仿宋"/>
          <w:b/>
          <w:color w:val="auto"/>
          <w:sz w:val="24"/>
          <w:highlight w:val="none"/>
        </w:rPr>
        <w:t xml:space="preserve">保险  </w:t>
      </w:r>
      <w:r>
        <w:rPr>
          <w:rFonts w:hint="eastAsia" w:ascii="仿宋" w:hAnsi="仿宋" w:eastAsia="仿宋" w:cs="仿宋"/>
          <w:color w:val="auto"/>
          <w:highlight w:val="none"/>
        </w:rPr>
        <w:t xml:space="preserve">                    </w:t>
      </w:r>
    </w:p>
    <w:bookmarkEnd w:id="504"/>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20.1 第三者责任险</w:t>
      </w:r>
    </w:p>
    <w:p>
      <w:pPr>
        <w:pageBreakBefore w:val="0"/>
        <w:kinsoku/>
        <w:overflowPunct/>
        <w:bidi w:val="0"/>
        <w:snapToGrid w:val="0"/>
        <w:spacing w:line="360" w:lineRule="auto"/>
        <w:rPr>
          <w:rFonts w:ascii="仿宋" w:hAnsi="仿宋" w:eastAsia="仿宋" w:cs="仿宋"/>
          <w:color w:val="auto"/>
          <w:sz w:val="24"/>
          <w:highlight w:val="none"/>
        </w:rPr>
      </w:pPr>
      <w:bookmarkStart w:id="505" w:name="_Toc291144344"/>
      <w:bookmarkStart w:id="506" w:name="_Toc297714632"/>
      <w:bookmarkStart w:id="507" w:name="_Toc297733203"/>
      <w:bookmarkStart w:id="508" w:name="_Toc221951325"/>
      <w:r>
        <w:rPr>
          <w:rFonts w:hint="eastAsia" w:ascii="仿宋" w:hAnsi="仿宋" w:eastAsia="仿宋" w:cs="仿宋"/>
          <w:color w:val="auto"/>
          <w:sz w:val="24"/>
          <w:highlight w:val="none"/>
        </w:rPr>
        <w:t>20.1.2 第三者责任险保险费率：</w:t>
      </w:r>
      <w:bookmarkEnd w:id="505"/>
      <w:bookmarkEnd w:id="506"/>
      <w:bookmarkEnd w:id="507"/>
      <w:r>
        <w:rPr>
          <w:rFonts w:hint="eastAsia" w:ascii="仿宋" w:hAnsi="仿宋" w:eastAsia="仿宋" w:cs="仿宋"/>
          <w:color w:val="auto"/>
          <w:sz w:val="24"/>
          <w:highlight w:val="none"/>
          <w:u w:val="single"/>
        </w:rPr>
        <w:t xml:space="preserve">  按照相关规定确定 ；</w:t>
      </w: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第三者责任险保险金额：</w:t>
      </w:r>
      <w:r>
        <w:rPr>
          <w:rFonts w:hint="eastAsia" w:ascii="仿宋" w:hAnsi="仿宋" w:eastAsia="仿宋" w:cs="仿宋"/>
          <w:color w:val="auto"/>
          <w:sz w:val="24"/>
          <w:highlight w:val="none"/>
          <w:u w:val="single"/>
        </w:rPr>
        <w:t xml:space="preserve">   按照相关规定确定 。</w:t>
      </w:r>
      <w:r>
        <w:rPr>
          <w:rFonts w:hint="eastAsia" w:ascii="仿宋" w:hAnsi="仿宋" w:eastAsia="仿宋" w:cs="仿宋"/>
          <w:color w:val="auto"/>
          <w:sz w:val="24"/>
          <w:highlight w:val="none"/>
        </w:rPr>
        <w:t xml:space="preserve"> </w:t>
      </w:r>
    </w:p>
    <w:bookmarkEnd w:id="508"/>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20.6 对各项保险的一般要求</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20.6.1 保险凭证</w:t>
      </w:r>
    </w:p>
    <w:p>
      <w:pPr>
        <w:pageBreakBefore w:val="0"/>
        <w:kinsoku/>
        <w:overflowPunct/>
        <w:bidi w:val="0"/>
        <w:snapToGrid w:val="0"/>
        <w:spacing w:line="360" w:lineRule="auto"/>
        <w:rPr>
          <w:rFonts w:ascii="仿宋" w:hAnsi="仿宋" w:eastAsia="仿宋" w:cs="仿宋"/>
          <w:color w:val="auto"/>
          <w:sz w:val="24"/>
          <w:highlight w:val="none"/>
        </w:rPr>
      </w:pPr>
      <w:bookmarkStart w:id="509" w:name="_Toc221951329"/>
      <w:r>
        <w:rPr>
          <w:rFonts w:hint="eastAsia" w:ascii="仿宋" w:hAnsi="仿宋" w:eastAsia="仿宋" w:cs="仿宋"/>
          <w:color w:val="auto"/>
          <w:sz w:val="24"/>
          <w:highlight w:val="none"/>
        </w:rPr>
        <w:t>承包人提交保险凭证的期限：</w:t>
      </w:r>
      <w:bookmarkEnd w:id="509"/>
      <w:r>
        <w:rPr>
          <w:rFonts w:hint="eastAsia" w:ascii="仿宋" w:hAnsi="仿宋" w:eastAsia="仿宋" w:cs="仿宋"/>
          <w:color w:val="auto"/>
          <w:sz w:val="24"/>
          <w:highlight w:val="none"/>
          <w:u w:val="single"/>
        </w:rPr>
        <w:t xml:space="preserve">    开工前3天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20.6.4 保险金不足的补偿</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承包人负责补偿的范围与金额：</w:t>
      </w:r>
      <w:r>
        <w:rPr>
          <w:rFonts w:hint="eastAsia" w:ascii="仿宋" w:hAnsi="仿宋" w:eastAsia="仿宋" w:cs="仿宋"/>
          <w:color w:val="auto"/>
          <w:sz w:val="24"/>
          <w:highlight w:val="none"/>
          <w:u w:val="single"/>
        </w:rPr>
        <w:t xml:space="preserve">签约后由发包人根据实际情况确定 </w:t>
      </w:r>
      <w:r>
        <w:rPr>
          <w:rFonts w:hint="eastAsia" w:ascii="仿宋" w:hAnsi="仿宋" w:eastAsia="仿宋" w:cs="仿宋"/>
          <w:color w:val="auto"/>
          <w:sz w:val="24"/>
          <w:highlight w:val="none"/>
        </w:rPr>
        <w:t>；</w:t>
      </w:r>
    </w:p>
    <w:p>
      <w:pPr>
        <w:pageBreakBefore w:val="0"/>
        <w:kinsoku/>
        <w:overflowPunct/>
        <w:bidi w:val="0"/>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发包人负责补偿的范围与金额：</w:t>
      </w:r>
      <w:r>
        <w:rPr>
          <w:rFonts w:hint="eastAsia" w:ascii="仿宋" w:hAnsi="仿宋" w:eastAsia="仿宋" w:cs="仿宋"/>
          <w:color w:val="auto"/>
          <w:sz w:val="24"/>
          <w:highlight w:val="none"/>
          <w:u w:val="single"/>
        </w:rPr>
        <w:t xml:space="preserve">签约后根据实际情况确定         </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w:t>
      </w:r>
    </w:p>
    <w:p>
      <w:pPr>
        <w:pageBreakBefore w:val="0"/>
        <w:kinsoku/>
        <w:overflowPunct/>
        <w:bidi w:val="0"/>
        <w:snapToGrid w:val="0"/>
        <w:spacing w:line="360" w:lineRule="auto"/>
        <w:rPr>
          <w:rFonts w:ascii="仿宋" w:hAnsi="仿宋" w:eastAsia="仿宋" w:cs="仿宋"/>
          <w:b/>
          <w:color w:val="auto"/>
          <w:sz w:val="24"/>
          <w:highlight w:val="none"/>
        </w:rPr>
      </w:pPr>
      <w:bookmarkStart w:id="510" w:name="_Toc291144346"/>
      <w:bookmarkStart w:id="511" w:name="_Toc222032712"/>
      <w:bookmarkStart w:id="512" w:name="_Toc290185771"/>
      <w:bookmarkStart w:id="513" w:name="_Toc221951334"/>
      <w:bookmarkStart w:id="514" w:name="_Toc297714634"/>
      <w:bookmarkStart w:id="515" w:name="_Toc290185618"/>
      <w:bookmarkStart w:id="516" w:name="_Toc290186222"/>
      <w:bookmarkStart w:id="517" w:name="_Toc290186367"/>
      <w:bookmarkStart w:id="518" w:name="_Toc290188034"/>
      <w:bookmarkStart w:id="519" w:name="_Toc222031045"/>
      <w:bookmarkStart w:id="520" w:name="_Toc297733205"/>
      <w:bookmarkStart w:id="521" w:name="_Toc229305401"/>
      <w:bookmarkStart w:id="522" w:name="_Toc222029543"/>
      <w:bookmarkStart w:id="523" w:name="_Toc222033894"/>
      <w:r>
        <w:rPr>
          <w:rFonts w:hint="eastAsia" w:ascii="仿宋" w:hAnsi="仿宋" w:eastAsia="仿宋" w:cs="仿宋"/>
          <w:b/>
          <w:color w:val="auto"/>
          <w:sz w:val="24"/>
          <w:highlight w:val="none"/>
        </w:rPr>
        <w:t>24．</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hint="eastAsia" w:ascii="仿宋" w:hAnsi="仿宋" w:eastAsia="仿宋" w:cs="仿宋"/>
          <w:b/>
          <w:color w:val="auto"/>
          <w:sz w:val="24"/>
          <w:highlight w:val="none"/>
        </w:rPr>
        <w:t>争议的解决</w:t>
      </w:r>
    </w:p>
    <w:p>
      <w:pPr>
        <w:pageBreakBefore w:val="0"/>
        <w:kinsoku/>
        <w:overflowPunct/>
        <w:bidi w:val="0"/>
        <w:snapToGrid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24.1 争议的解决方式</w:t>
      </w: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合同当事人友好协商解决不成、不愿提请争议评审或不接受争议评审组意见的，约定的合同争议解决方式</w:t>
      </w:r>
      <w:r>
        <w:rPr>
          <w:rFonts w:hint="eastAsia" w:ascii="仿宋" w:hAnsi="仿宋" w:eastAsia="仿宋" w:cs="仿宋"/>
          <w:color w:val="auto"/>
          <w:sz w:val="24"/>
          <w:highlight w:val="none"/>
          <w:u w:val="single"/>
        </w:rPr>
        <w:t xml:space="preserve">：工程所在地人民法院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w:t>
      </w:r>
    </w:p>
    <w:p>
      <w:pPr>
        <w:pStyle w:val="3"/>
        <w:pageBreakBefore w:val="0"/>
        <w:numPr>
          <w:ilvl w:val="0"/>
          <w:numId w:val="2"/>
        </w:numPr>
        <w:kinsoku/>
        <w:overflowPunct/>
        <w:bidi w:val="0"/>
        <w:snapToGrid w:val="0"/>
        <w:spacing w:line="360" w:lineRule="auto"/>
        <w:rPr>
          <w:rFonts w:ascii="仿宋" w:hAnsi="仿宋" w:eastAsia="仿宋" w:cs="仿宋"/>
          <w:color w:val="auto"/>
          <w:highlight w:val="none"/>
        </w:rPr>
        <w:sectPr>
          <w:pgSz w:w="11907" w:h="16840"/>
          <w:pgMar w:top="1418" w:right="1304" w:bottom="1191" w:left="1418" w:header="851" w:footer="992" w:gutter="0"/>
          <w:pgBorders>
            <w:top w:val="none" w:sz="0" w:space="0"/>
            <w:left w:val="none" w:sz="0" w:space="0"/>
            <w:bottom w:val="none" w:sz="0" w:space="0"/>
            <w:right w:val="none" w:sz="0" w:space="0"/>
          </w:pgBorders>
          <w:cols w:space="720" w:num="1"/>
          <w:docGrid w:linePitch="408" w:charSpace="0"/>
        </w:sectPr>
      </w:pPr>
    </w:p>
    <w:p>
      <w:pPr>
        <w:pStyle w:val="3"/>
        <w:pageBreakBefore w:val="0"/>
        <w:numPr>
          <w:ilvl w:val="0"/>
          <w:numId w:val="2"/>
        </w:numPr>
        <w:kinsoku/>
        <w:overflowPunct/>
        <w:bidi w:val="0"/>
        <w:snapToGrid w:val="0"/>
        <w:spacing w:line="360" w:lineRule="auto"/>
        <w:rPr>
          <w:rFonts w:ascii="仿宋" w:hAnsi="仿宋" w:eastAsia="仿宋" w:cs="仿宋"/>
          <w:color w:val="auto"/>
          <w:highlight w:val="none"/>
        </w:rPr>
      </w:pPr>
      <w:r>
        <w:rPr>
          <w:rFonts w:hint="eastAsia" w:ascii="仿宋" w:hAnsi="仿宋" w:eastAsia="仿宋" w:cs="仿宋"/>
          <w:color w:val="auto"/>
          <w:highlight w:val="none"/>
        </w:rPr>
        <w:t>工程量清单及图纸</w:t>
      </w:r>
      <w:bookmarkEnd w:id="225"/>
    </w:p>
    <w:p>
      <w:pPr>
        <w:pageBreakBefore w:val="0"/>
        <w:kinsoku/>
        <w:overflowPunct/>
        <w:bidi w:val="0"/>
        <w:snapToGrid w:val="0"/>
        <w:spacing w:line="360" w:lineRule="auto"/>
        <w:rPr>
          <w:rFonts w:hint="eastAsia" w:ascii="仿宋" w:hAnsi="仿宋" w:eastAsia="仿宋" w:cs="仿宋"/>
          <w:color w:val="auto"/>
          <w:highlight w:val="none"/>
        </w:rPr>
      </w:pPr>
    </w:p>
    <w:p>
      <w:pPr>
        <w:pageBreakBefore w:val="0"/>
        <w:kinsoku/>
        <w:overflowPunct/>
        <w:bidi w:val="0"/>
        <w:snapToGrid w:val="0"/>
        <w:spacing w:line="360" w:lineRule="auto"/>
        <w:jc w:val="center"/>
        <w:rPr>
          <w:rFonts w:hint="eastAsia" w:ascii="仿宋" w:hAnsi="仿宋" w:eastAsia="仿宋" w:cs="仿宋"/>
          <w:color w:val="auto"/>
          <w:highlight w:val="none"/>
        </w:rPr>
        <w:sectPr>
          <w:headerReference r:id="rId11" w:type="default"/>
          <w:footerReference r:id="rId12" w:type="default"/>
          <w:pgSz w:w="11907" w:h="16840"/>
          <w:pgMar w:top="1418" w:right="1304" w:bottom="1191" w:left="1418" w:header="851" w:footer="992" w:gutter="0"/>
          <w:pgBorders>
            <w:top w:val="none" w:sz="0" w:space="0"/>
            <w:left w:val="none" w:sz="0" w:space="0"/>
            <w:bottom w:val="none" w:sz="0" w:space="0"/>
            <w:right w:val="none" w:sz="0" w:space="0"/>
          </w:pgBorders>
          <w:cols w:space="720" w:num="1"/>
          <w:docGrid w:linePitch="408" w:charSpace="0"/>
        </w:sectPr>
      </w:pPr>
      <w:r>
        <w:rPr>
          <w:rFonts w:hint="eastAsia" w:ascii="仿宋" w:hAnsi="仿宋" w:eastAsia="仿宋" w:cs="仿宋"/>
          <w:color w:val="auto"/>
          <w:highlight w:val="none"/>
        </w:rPr>
        <w:t>（另附）</w:t>
      </w:r>
    </w:p>
    <w:p>
      <w:pPr>
        <w:pStyle w:val="3"/>
        <w:pageBreakBefore w:val="0"/>
        <w:kinsoku/>
        <w:overflowPunct/>
        <w:bidi w:val="0"/>
        <w:snapToGrid w:val="0"/>
        <w:spacing w:line="360" w:lineRule="auto"/>
        <w:rPr>
          <w:rFonts w:ascii="仿宋" w:hAnsi="仿宋" w:eastAsia="仿宋" w:cs="仿宋"/>
          <w:color w:val="auto"/>
          <w:highlight w:val="none"/>
        </w:rPr>
      </w:pPr>
      <w:bookmarkStart w:id="524" w:name="_Toc374003654"/>
      <w:bookmarkStart w:id="525" w:name="_Toc362935837"/>
      <w:bookmarkStart w:id="526" w:name="_Toc4226"/>
      <w:bookmarkStart w:id="527" w:name="_Toc7899"/>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章 响应文件格式</w:t>
      </w:r>
      <w:bookmarkEnd w:id="524"/>
      <w:bookmarkEnd w:id="525"/>
      <w:bookmarkEnd w:id="526"/>
      <w:bookmarkEnd w:id="527"/>
    </w:p>
    <w:p>
      <w:pPr>
        <w:pageBreakBefore w:val="0"/>
        <w:kinsoku/>
        <w:overflowPunct/>
        <w:bidi w:val="0"/>
        <w:snapToGrid w:val="0"/>
        <w:spacing w:line="360" w:lineRule="auto"/>
        <w:ind w:firstLine="1100" w:firstLineChars="249"/>
        <w:rPr>
          <w:rFonts w:ascii="仿宋" w:hAnsi="仿宋" w:eastAsia="仿宋" w:cs="仿宋"/>
          <w:b/>
          <w:color w:val="auto"/>
          <w:sz w:val="44"/>
          <w:highlight w:val="none"/>
          <w:u w:val="single"/>
        </w:rPr>
      </w:pPr>
    </w:p>
    <w:p>
      <w:pPr>
        <w:pageBreakBefore w:val="0"/>
        <w:kinsoku/>
        <w:overflowPunct/>
        <w:bidi w:val="0"/>
        <w:snapToGrid w:val="0"/>
        <w:spacing w:line="360" w:lineRule="auto"/>
        <w:ind w:firstLine="800" w:firstLineChars="249"/>
        <w:rPr>
          <w:rFonts w:ascii="仿宋" w:hAnsi="仿宋" w:eastAsia="仿宋" w:cs="仿宋"/>
          <w:b/>
          <w:color w:val="auto"/>
          <w:sz w:val="32"/>
          <w:szCs w:val="32"/>
          <w:highlight w:val="none"/>
          <w:u w:val="single"/>
        </w:rPr>
      </w:pPr>
    </w:p>
    <w:p>
      <w:pPr>
        <w:pStyle w:val="26"/>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ind w:firstLine="1100" w:firstLineChars="249"/>
        <w:rPr>
          <w:rFonts w:ascii="仿宋" w:hAnsi="仿宋" w:eastAsia="仿宋" w:cs="仿宋"/>
          <w:b/>
          <w:color w:val="auto"/>
          <w:sz w:val="44"/>
          <w:highlight w:val="none"/>
        </w:rPr>
      </w:pPr>
      <w:r>
        <w:rPr>
          <w:rFonts w:hint="eastAsia" w:ascii="仿宋" w:hAnsi="仿宋" w:eastAsia="仿宋" w:cs="仿宋"/>
          <w:b/>
          <w:color w:val="auto"/>
          <w:sz w:val="44"/>
          <w:highlight w:val="none"/>
          <w:u w:val="single"/>
        </w:rPr>
        <w:tab/>
      </w:r>
      <w:r>
        <w:rPr>
          <w:rFonts w:hint="eastAsia" w:ascii="仿宋" w:hAnsi="仿宋" w:eastAsia="仿宋" w:cs="仿宋"/>
          <w:b/>
          <w:color w:val="auto"/>
          <w:sz w:val="44"/>
          <w:highlight w:val="none"/>
          <w:u w:val="single"/>
        </w:rPr>
        <w:t xml:space="preserve">                       </w:t>
      </w:r>
      <w:r>
        <w:rPr>
          <w:rFonts w:hint="eastAsia" w:ascii="仿宋" w:hAnsi="仿宋" w:eastAsia="仿宋" w:cs="仿宋"/>
          <w:b/>
          <w:color w:val="auto"/>
          <w:sz w:val="44"/>
          <w:highlight w:val="none"/>
        </w:rPr>
        <w:t>（项目名称）</w:t>
      </w:r>
    </w:p>
    <w:p>
      <w:pPr>
        <w:pageBreakBefore w:val="0"/>
        <w:kinsoku/>
        <w:overflowPunct/>
        <w:bidi w:val="0"/>
        <w:snapToGrid w:val="0"/>
        <w:spacing w:line="360" w:lineRule="auto"/>
        <w:jc w:val="right"/>
        <w:rPr>
          <w:rFonts w:ascii="仿宋" w:hAnsi="仿宋" w:eastAsia="仿宋" w:cs="仿宋"/>
          <w:b/>
          <w:color w:val="auto"/>
          <w:sz w:val="32"/>
          <w:szCs w:val="32"/>
          <w:highlight w:val="none"/>
        </w:rPr>
      </w:pPr>
    </w:p>
    <w:p>
      <w:pPr>
        <w:pageBreakBefore w:val="0"/>
        <w:kinsoku/>
        <w:overflowPunct/>
        <w:bidi w:val="0"/>
        <w:snapToGrid w:val="0"/>
        <w:spacing w:line="360" w:lineRule="auto"/>
        <w:rPr>
          <w:rFonts w:ascii="仿宋" w:hAnsi="仿宋" w:eastAsia="仿宋" w:cs="仿宋"/>
          <w:b/>
          <w:color w:val="auto"/>
          <w:sz w:val="44"/>
          <w:highlight w:val="none"/>
        </w:rPr>
      </w:pPr>
    </w:p>
    <w:p>
      <w:pPr>
        <w:pageBreakBefore w:val="0"/>
        <w:kinsoku/>
        <w:overflowPunct/>
        <w:bidi w:val="0"/>
        <w:snapToGrid w:val="0"/>
        <w:spacing w:line="360" w:lineRule="auto"/>
        <w:rPr>
          <w:rFonts w:ascii="仿宋" w:hAnsi="仿宋" w:eastAsia="仿宋" w:cs="仿宋"/>
          <w:b/>
          <w:color w:val="auto"/>
          <w:sz w:val="44"/>
          <w:highlight w:val="none"/>
        </w:rPr>
      </w:pPr>
    </w:p>
    <w:p>
      <w:pPr>
        <w:pageBreakBefore w:val="0"/>
        <w:kinsoku/>
        <w:overflowPunct/>
        <w:bidi w:val="0"/>
        <w:snapToGrid w:val="0"/>
        <w:spacing w:line="360" w:lineRule="auto"/>
        <w:rPr>
          <w:rFonts w:ascii="仿宋" w:hAnsi="仿宋" w:eastAsia="仿宋" w:cs="仿宋"/>
          <w:b/>
          <w:color w:val="auto"/>
          <w:sz w:val="44"/>
          <w:highlight w:val="none"/>
        </w:rPr>
      </w:pPr>
    </w:p>
    <w:p>
      <w:pPr>
        <w:pageBreakBefore w:val="0"/>
        <w:kinsoku/>
        <w:overflowPunct/>
        <w:bidi w:val="0"/>
        <w:snapToGrid w:val="0"/>
        <w:spacing w:line="360" w:lineRule="auto"/>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竞争性磋商响应文件</w:t>
      </w:r>
    </w:p>
    <w:p>
      <w:pPr>
        <w:pageBreakBefore w:val="0"/>
        <w:kinsoku/>
        <w:overflowPunct/>
        <w:bidi w:val="0"/>
        <w:snapToGrid w:val="0"/>
        <w:spacing w:line="360" w:lineRule="auto"/>
        <w:ind w:firstLine="2833" w:firstLineChars="1176"/>
        <w:rPr>
          <w:rFonts w:ascii="仿宋" w:hAnsi="仿宋" w:eastAsia="仿宋" w:cs="仿宋"/>
          <w:b/>
          <w:color w:val="auto"/>
          <w:sz w:val="24"/>
          <w:highlight w:val="none"/>
        </w:rPr>
      </w:pPr>
      <w:r>
        <w:rPr>
          <w:rFonts w:hint="eastAsia" w:ascii="仿宋" w:hAnsi="仿宋" w:eastAsia="仿宋" w:cs="仿宋"/>
          <w:b/>
          <w:color w:val="auto"/>
          <w:sz w:val="24"/>
          <w:highlight w:val="none"/>
        </w:rPr>
        <w:t>项目编号：</w:t>
      </w:r>
    </w:p>
    <w:p>
      <w:pPr>
        <w:pageBreakBefore w:val="0"/>
        <w:kinsoku/>
        <w:overflowPunct/>
        <w:bidi w:val="0"/>
        <w:snapToGrid w:val="0"/>
        <w:spacing w:line="360" w:lineRule="auto"/>
        <w:ind w:firstLine="480" w:firstLineChars="200"/>
        <w:rPr>
          <w:rFonts w:ascii="仿宋" w:hAnsi="仿宋" w:eastAsia="仿宋" w:cs="仿宋"/>
          <w:color w:val="auto"/>
          <w:sz w:val="24"/>
          <w:highlight w:val="none"/>
        </w:rPr>
      </w:pPr>
    </w:p>
    <w:p>
      <w:pPr>
        <w:pageBreakBefore w:val="0"/>
        <w:kinsoku/>
        <w:overflowPunct/>
        <w:bidi w:val="0"/>
        <w:snapToGrid w:val="0"/>
        <w:spacing w:line="360" w:lineRule="auto"/>
        <w:rPr>
          <w:rFonts w:ascii="仿宋" w:hAnsi="仿宋" w:eastAsia="仿宋" w:cs="仿宋"/>
          <w:color w:val="auto"/>
          <w:sz w:val="24"/>
          <w:highlight w:val="none"/>
        </w:rPr>
      </w:pPr>
    </w:p>
    <w:p>
      <w:pPr>
        <w:pageBreakBefore w:val="0"/>
        <w:kinsoku/>
        <w:overflowPunct/>
        <w:bidi w:val="0"/>
        <w:snapToGrid w:val="0"/>
        <w:spacing w:line="360" w:lineRule="auto"/>
        <w:ind w:firstLine="480" w:firstLineChars="200"/>
        <w:rPr>
          <w:rFonts w:ascii="仿宋" w:hAnsi="仿宋" w:eastAsia="仿宋" w:cs="仿宋"/>
          <w:color w:val="auto"/>
          <w:sz w:val="24"/>
          <w:highlight w:val="none"/>
        </w:rPr>
      </w:pP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rPr>
          <w:rFonts w:ascii="仿宋" w:hAnsi="仿宋" w:eastAsia="仿宋" w:cs="仿宋"/>
          <w:color w:val="auto"/>
          <w:sz w:val="24"/>
          <w:highlight w:val="none"/>
        </w:rPr>
      </w:pPr>
    </w:p>
    <w:p>
      <w:pPr>
        <w:pageBreakBefore w:val="0"/>
        <w:kinsoku/>
        <w:overflowPunct/>
        <w:bidi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ageBreakBefore w:val="0"/>
        <w:kinsoku/>
        <w:overflowPunct/>
        <w:bidi w:val="0"/>
        <w:snapToGrid w:val="0"/>
        <w:spacing w:line="360" w:lineRule="auto"/>
        <w:ind w:firstLine="480" w:firstLineChars="200"/>
        <w:rPr>
          <w:rFonts w:ascii="仿宋" w:hAnsi="仿宋" w:eastAsia="仿宋" w:cs="仿宋"/>
          <w:color w:val="auto"/>
          <w:sz w:val="24"/>
          <w:highlight w:val="none"/>
        </w:rPr>
      </w:pPr>
    </w:p>
    <w:p>
      <w:pPr>
        <w:pageBreakBefore w:val="0"/>
        <w:kinsoku/>
        <w:overflowPunct/>
        <w:bidi w:val="0"/>
        <w:snapToGrid w:val="0"/>
        <w:spacing w:line="360" w:lineRule="auto"/>
        <w:ind w:firstLine="480" w:firstLineChars="200"/>
        <w:rPr>
          <w:rFonts w:ascii="仿宋" w:hAnsi="仿宋" w:eastAsia="仿宋" w:cs="仿宋"/>
          <w:color w:val="auto"/>
          <w:sz w:val="24"/>
          <w:highlight w:val="none"/>
        </w:rPr>
      </w:pPr>
    </w:p>
    <w:p>
      <w:pPr>
        <w:pageBreakBefore w:val="0"/>
        <w:kinsoku/>
        <w:overflowPunct/>
        <w:bidi w:val="0"/>
        <w:snapToGrid w:val="0"/>
        <w:spacing w:line="360" w:lineRule="auto"/>
        <w:ind w:firstLine="750" w:firstLineChars="250"/>
        <w:rPr>
          <w:rFonts w:ascii="仿宋" w:hAnsi="仿宋" w:eastAsia="仿宋" w:cs="仿宋"/>
          <w:color w:val="auto"/>
          <w:szCs w:val="30"/>
          <w:highlight w:val="none"/>
        </w:rPr>
      </w:pPr>
      <w:r>
        <w:rPr>
          <w:rFonts w:hint="eastAsia" w:ascii="仿宋" w:hAnsi="仿宋" w:eastAsia="仿宋" w:cs="仿宋"/>
          <w:color w:val="auto"/>
          <w:szCs w:val="30"/>
          <w:highlight w:val="none"/>
        </w:rPr>
        <w:t>供应商名称：</w:t>
      </w:r>
      <w:r>
        <w:rPr>
          <w:rFonts w:hint="eastAsia" w:ascii="仿宋" w:hAnsi="仿宋" w:eastAsia="仿宋" w:cs="仿宋"/>
          <w:color w:val="auto"/>
          <w:szCs w:val="30"/>
          <w:highlight w:val="none"/>
          <w:u w:val="single"/>
        </w:rPr>
        <w:t xml:space="preserve">                          </w:t>
      </w:r>
      <w:r>
        <w:rPr>
          <w:rFonts w:hint="eastAsia" w:ascii="仿宋" w:hAnsi="仿宋" w:eastAsia="仿宋" w:cs="仿宋"/>
          <w:color w:val="auto"/>
          <w:szCs w:val="30"/>
          <w:highlight w:val="none"/>
        </w:rPr>
        <w:t>（企业公章）</w:t>
      </w:r>
    </w:p>
    <w:p>
      <w:pPr>
        <w:pageBreakBefore w:val="0"/>
        <w:kinsoku/>
        <w:overflowPunct/>
        <w:bidi w:val="0"/>
        <w:snapToGrid w:val="0"/>
        <w:spacing w:line="360" w:lineRule="auto"/>
        <w:jc w:val="center"/>
        <w:rPr>
          <w:rFonts w:ascii="仿宋" w:hAnsi="仿宋" w:eastAsia="仿宋" w:cs="仿宋"/>
          <w:color w:val="auto"/>
          <w:szCs w:val="30"/>
          <w:highlight w:val="none"/>
        </w:rPr>
      </w:pPr>
      <w:r>
        <w:rPr>
          <w:rFonts w:hint="eastAsia" w:ascii="仿宋" w:hAnsi="仿宋" w:eastAsia="仿宋" w:cs="仿宋"/>
          <w:color w:val="auto"/>
          <w:szCs w:val="30"/>
          <w:highlight w:val="none"/>
        </w:rPr>
        <w:t xml:space="preserve"> 法定代表人或其委托代理人：</w:t>
      </w:r>
      <w:r>
        <w:rPr>
          <w:rFonts w:hint="eastAsia" w:ascii="仿宋" w:hAnsi="仿宋" w:eastAsia="仿宋" w:cs="仿宋"/>
          <w:color w:val="auto"/>
          <w:szCs w:val="30"/>
          <w:highlight w:val="none"/>
          <w:u w:val="single"/>
        </w:rPr>
        <w:t xml:space="preserve">            </w:t>
      </w:r>
      <w:r>
        <w:rPr>
          <w:rFonts w:hint="eastAsia" w:ascii="仿宋" w:hAnsi="仿宋" w:eastAsia="仿宋" w:cs="仿宋"/>
          <w:color w:val="auto"/>
          <w:szCs w:val="30"/>
          <w:highlight w:val="none"/>
        </w:rPr>
        <w:t>（个人签字或盖章）</w:t>
      </w:r>
    </w:p>
    <w:p>
      <w:pPr>
        <w:pageBreakBefore w:val="0"/>
        <w:kinsoku/>
        <w:overflowPunct/>
        <w:bidi w:val="0"/>
        <w:snapToGrid w:val="0"/>
        <w:spacing w:line="360" w:lineRule="auto"/>
        <w:jc w:val="center"/>
        <w:rPr>
          <w:rFonts w:ascii="仿宋" w:hAnsi="仿宋" w:eastAsia="仿宋" w:cs="仿宋"/>
          <w:color w:val="auto"/>
          <w:szCs w:val="30"/>
          <w:highlight w:val="none"/>
        </w:rPr>
      </w:pPr>
      <w:r>
        <w:rPr>
          <w:rFonts w:hint="eastAsia" w:ascii="仿宋" w:hAnsi="仿宋" w:eastAsia="仿宋" w:cs="仿宋"/>
          <w:color w:val="auto"/>
          <w:szCs w:val="30"/>
          <w:highlight w:val="none"/>
          <w:u w:val="single"/>
        </w:rPr>
        <w:t xml:space="preserve"> </w:t>
      </w:r>
      <w:r>
        <w:rPr>
          <w:rFonts w:hint="eastAsia" w:ascii="仿宋" w:hAnsi="仿宋" w:eastAsia="仿宋" w:cs="仿宋"/>
          <w:color w:val="auto"/>
          <w:szCs w:val="30"/>
          <w:highlight w:val="none"/>
          <w:u w:val="single"/>
        </w:rPr>
        <w:tab/>
      </w:r>
      <w:r>
        <w:rPr>
          <w:rFonts w:hint="eastAsia" w:ascii="仿宋" w:hAnsi="仿宋" w:eastAsia="仿宋" w:cs="仿宋"/>
          <w:color w:val="auto"/>
          <w:szCs w:val="30"/>
          <w:highlight w:val="none"/>
          <w:u w:val="single"/>
        </w:rPr>
        <w:t xml:space="preserve">    </w:t>
      </w:r>
      <w:r>
        <w:rPr>
          <w:rFonts w:hint="eastAsia" w:ascii="仿宋" w:hAnsi="仿宋" w:eastAsia="仿宋" w:cs="仿宋"/>
          <w:color w:val="auto"/>
          <w:szCs w:val="30"/>
          <w:highlight w:val="none"/>
        </w:rPr>
        <w:t>年</w:t>
      </w:r>
      <w:r>
        <w:rPr>
          <w:rFonts w:hint="eastAsia" w:ascii="仿宋" w:hAnsi="仿宋" w:eastAsia="仿宋" w:cs="仿宋"/>
          <w:color w:val="auto"/>
          <w:szCs w:val="30"/>
          <w:highlight w:val="none"/>
          <w:u w:val="single"/>
        </w:rPr>
        <w:t xml:space="preserve">     </w:t>
      </w:r>
      <w:r>
        <w:rPr>
          <w:rFonts w:hint="eastAsia" w:ascii="仿宋" w:hAnsi="仿宋" w:eastAsia="仿宋" w:cs="仿宋"/>
          <w:color w:val="auto"/>
          <w:szCs w:val="30"/>
          <w:highlight w:val="none"/>
        </w:rPr>
        <w:t>月</w:t>
      </w:r>
      <w:r>
        <w:rPr>
          <w:rFonts w:hint="eastAsia" w:ascii="仿宋" w:hAnsi="仿宋" w:eastAsia="仿宋" w:cs="仿宋"/>
          <w:color w:val="auto"/>
          <w:szCs w:val="30"/>
          <w:highlight w:val="none"/>
          <w:u w:val="single"/>
        </w:rPr>
        <w:t xml:space="preserve">    </w:t>
      </w:r>
      <w:r>
        <w:rPr>
          <w:rFonts w:hint="eastAsia" w:ascii="仿宋" w:hAnsi="仿宋" w:eastAsia="仿宋" w:cs="仿宋"/>
          <w:color w:val="auto"/>
          <w:szCs w:val="30"/>
          <w:highlight w:val="none"/>
        </w:rPr>
        <w:t>日</w:t>
      </w:r>
      <w:r>
        <w:rPr>
          <w:rFonts w:hint="eastAsia" w:ascii="仿宋" w:hAnsi="仿宋" w:eastAsia="仿宋" w:cs="仿宋"/>
          <w:color w:val="auto"/>
          <w:szCs w:val="30"/>
          <w:highlight w:val="none"/>
        </w:rPr>
        <w:br w:type="page"/>
      </w:r>
      <w:r>
        <w:rPr>
          <w:rFonts w:hint="eastAsia" w:ascii="仿宋" w:hAnsi="仿宋" w:eastAsia="仿宋" w:cs="仿宋"/>
          <w:color w:val="auto"/>
          <w:szCs w:val="30"/>
          <w:highlight w:val="none"/>
        </w:rPr>
        <w:t>目录</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（1）磋商函及磋商函附录；</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（2）法定代表人身份证明；</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（3）授权委托书；</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（4）磋商保证金承诺函；</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（5）已标价工程量清单；</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（6）施工组织方案；</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（7）资格审查资料；</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（8）项目管理机构；</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（9）其他资料；</w:t>
      </w: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ageBreakBefore w:val="0"/>
        <w:kinsoku/>
        <w:overflowPunct/>
        <w:bidi w:val="0"/>
        <w:snapToGrid w:val="0"/>
        <w:spacing w:line="360" w:lineRule="auto"/>
        <w:jc w:val="center"/>
        <w:rPr>
          <w:rFonts w:ascii="仿宋" w:hAnsi="仿宋" w:eastAsia="仿宋" w:cs="仿宋"/>
          <w:color w:val="auto"/>
          <w:szCs w:val="30"/>
          <w:highlight w:val="none"/>
        </w:rPr>
      </w:pP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pPr>
      <w:bookmarkStart w:id="528" w:name="_Toc5276"/>
      <w:bookmarkStart w:id="529" w:name="_Toc144974857"/>
      <w:bookmarkStart w:id="530" w:name="_Toc247085874"/>
      <w:bookmarkStart w:id="531" w:name="_Toc179632808"/>
      <w:bookmarkStart w:id="532" w:name="_Toc246997099"/>
      <w:bookmarkStart w:id="533" w:name="_Toc14034"/>
      <w:bookmarkStart w:id="534" w:name="_Toc152045788"/>
      <w:bookmarkStart w:id="535" w:name="_Toc483345500"/>
      <w:bookmarkStart w:id="536" w:name="_Toc152042577"/>
      <w:bookmarkStart w:id="537" w:name="_Toc351733211"/>
      <w:bookmarkStart w:id="538" w:name="_Toc246996356"/>
      <w:r>
        <w:rPr>
          <w:rFonts w:hint="eastAsia" w:ascii="仿宋" w:hAnsi="仿宋" w:eastAsia="仿宋" w:cs="仿宋"/>
          <w:color w:val="auto"/>
          <w:sz w:val="21"/>
          <w:szCs w:val="21"/>
          <w:highlight w:val="none"/>
        </w:rPr>
        <w:t>一、磋商函及磋商函附录</w:t>
      </w:r>
      <w:bookmarkEnd w:id="528"/>
      <w:bookmarkEnd w:id="529"/>
      <w:bookmarkEnd w:id="530"/>
      <w:bookmarkEnd w:id="531"/>
      <w:bookmarkEnd w:id="532"/>
      <w:bookmarkEnd w:id="533"/>
      <w:bookmarkEnd w:id="534"/>
      <w:bookmarkEnd w:id="535"/>
      <w:bookmarkEnd w:id="536"/>
      <w:bookmarkEnd w:id="537"/>
      <w:bookmarkEnd w:id="538"/>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bookmarkStart w:id="539" w:name="_Toc144974858"/>
      <w:bookmarkStart w:id="540" w:name="_Toc247085875"/>
      <w:bookmarkStart w:id="541" w:name="_Toc179632809"/>
      <w:bookmarkStart w:id="542" w:name="_Toc152045789"/>
      <w:bookmarkStart w:id="543" w:name="_Toc152042578"/>
      <w:bookmarkStart w:id="544" w:name="_Toc246996357"/>
      <w:bookmarkStart w:id="545" w:name="_Toc351733212"/>
      <w:bookmarkStart w:id="546" w:name="_Toc246997100"/>
      <w:bookmarkStart w:id="547" w:name="_Toc351733318"/>
      <w:bookmarkStart w:id="548" w:name="_Toc483345501"/>
      <w:bookmarkStart w:id="549" w:name="_Toc401065639"/>
      <w:r>
        <w:rPr>
          <w:rFonts w:hint="eastAsia" w:ascii="仿宋" w:hAnsi="仿宋" w:eastAsia="仿宋" w:cs="仿宋"/>
          <w:b/>
          <w:bCs/>
          <w:color w:val="auto"/>
          <w:sz w:val="21"/>
          <w:szCs w:val="21"/>
          <w:highlight w:val="none"/>
        </w:rPr>
        <w:t>（一）磋商函</w:t>
      </w:r>
      <w:bookmarkEnd w:id="539"/>
      <w:bookmarkEnd w:id="540"/>
      <w:bookmarkEnd w:id="541"/>
      <w:bookmarkEnd w:id="542"/>
      <w:bookmarkEnd w:id="543"/>
      <w:bookmarkEnd w:id="544"/>
      <w:bookmarkEnd w:id="545"/>
      <w:bookmarkEnd w:id="546"/>
      <w:bookmarkEnd w:id="547"/>
      <w:bookmarkEnd w:id="548"/>
      <w:bookmarkEnd w:id="549"/>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（采购人名称）：</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1．我方已仔细研究了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（项目名称）竞争性磋商文件的全部内容，首轮愿意以人民币（大写）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）的磋商报价，工期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，按合同约定实施和完成承包工程，修补工程中的任何缺陷，质量要求</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2．我方承诺在磋商文件规定的磋商有效期内不修改、撤销响应文件。</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3．如我方中标：</w:t>
      </w:r>
    </w:p>
    <w:p>
      <w:pPr>
        <w:pageBreakBefore w:val="0"/>
        <w:kinsoku/>
        <w:overflowPunct/>
        <w:bidi w:val="0"/>
        <w:snapToGrid w:val="0"/>
        <w:spacing w:line="360" w:lineRule="auto"/>
        <w:ind w:firstLine="718" w:firstLineChars="34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（1）我方承诺在收到成交通知书后，在成交通知书规定的期限内与你方签订合同。</w:t>
      </w:r>
    </w:p>
    <w:p>
      <w:pPr>
        <w:pageBreakBefore w:val="0"/>
        <w:kinsoku/>
        <w:overflowPunct/>
        <w:bidi w:val="0"/>
        <w:snapToGrid w:val="0"/>
        <w:spacing w:line="360" w:lineRule="auto"/>
        <w:ind w:firstLine="718" w:firstLineChars="34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（2）随同本磋商函递交的磋商函附录属于合同文件的组成部分。</w:t>
      </w:r>
    </w:p>
    <w:p>
      <w:pPr>
        <w:pageBreakBefore w:val="0"/>
        <w:kinsoku/>
        <w:overflowPunct/>
        <w:bidi w:val="0"/>
        <w:snapToGrid w:val="0"/>
        <w:spacing w:line="360" w:lineRule="auto"/>
        <w:ind w:firstLine="718" w:firstLineChars="34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（3）我方承诺按照磋商文件规定递交履约担保。</w:t>
      </w:r>
    </w:p>
    <w:p>
      <w:pPr>
        <w:pageBreakBefore w:val="0"/>
        <w:kinsoku/>
        <w:overflowPunct/>
        <w:bidi w:val="0"/>
        <w:snapToGrid w:val="0"/>
        <w:spacing w:line="360" w:lineRule="auto"/>
        <w:ind w:firstLine="718" w:firstLineChars="34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（4）我方承诺在合同约定的期限内完成并移交全部合同工程。</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4．我方在此声明，所递交的响应文件及有关资料内容完整、真实和准确。</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（其他补充说明）。</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ind w:firstLine="3675" w:firstLineChars="175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（企业公章）</w:t>
      </w:r>
    </w:p>
    <w:p>
      <w:pPr>
        <w:pageBreakBefore w:val="0"/>
        <w:kinsoku/>
        <w:overflowPunct/>
        <w:bidi w:val="0"/>
        <w:snapToGrid w:val="0"/>
        <w:spacing w:line="360" w:lineRule="auto"/>
        <w:ind w:firstLine="3675" w:firstLineChars="175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法定代表人或其委托代理人：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（个人签字或盖章）</w:t>
      </w:r>
    </w:p>
    <w:p>
      <w:pPr>
        <w:pageBreakBefore w:val="0"/>
        <w:kinsoku/>
        <w:overflowPunct/>
        <w:bidi w:val="0"/>
        <w:snapToGrid w:val="0"/>
        <w:spacing w:line="360" w:lineRule="auto"/>
        <w:ind w:firstLine="3675" w:firstLineChars="175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ind w:firstLine="3675" w:firstLineChars="175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ind w:firstLine="3675" w:firstLineChars="175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ind w:firstLine="3675" w:firstLineChars="175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ind w:firstLine="5040" w:firstLineChars="24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bookmarkStart w:id="550" w:name="_Toc246997101"/>
      <w:bookmarkStart w:id="551" w:name="_Toc483345502"/>
      <w:bookmarkStart w:id="552" w:name="_Toc152045790"/>
      <w:bookmarkStart w:id="553" w:name="_Toc351624565"/>
      <w:bookmarkStart w:id="554" w:name="_Toc401065640"/>
      <w:bookmarkStart w:id="555" w:name="_Toc152042579"/>
      <w:bookmarkStart w:id="556" w:name="_Toc246996358"/>
      <w:bookmarkStart w:id="557" w:name="_Toc144974859"/>
      <w:bookmarkStart w:id="558" w:name="_Toc247085876"/>
      <w:bookmarkStart w:id="559" w:name="_Toc179632810"/>
      <w:r>
        <w:rPr>
          <w:rFonts w:hint="eastAsia" w:ascii="仿宋" w:hAnsi="仿宋" w:eastAsia="仿宋" w:cs="仿宋"/>
          <w:b/>
          <w:bCs/>
          <w:color w:val="auto"/>
          <w:sz w:val="21"/>
          <w:szCs w:val="21"/>
          <w:highlight w:val="none"/>
        </w:rPr>
        <w:t>（二）磋商函附录</w:t>
      </w:r>
      <w:bookmarkEnd w:id="550"/>
      <w:bookmarkEnd w:id="551"/>
      <w:bookmarkEnd w:id="552"/>
      <w:bookmarkEnd w:id="553"/>
      <w:bookmarkEnd w:id="554"/>
      <w:bookmarkEnd w:id="555"/>
      <w:bookmarkEnd w:id="556"/>
      <w:bookmarkEnd w:id="557"/>
      <w:bookmarkEnd w:id="558"/>
      <w:bookmarkEnd w:id="55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920"/>
        <w:gridCol w:w="1289"/>
        <w:gridCol w:w="1217"/>
        <w:gridCol w:w="1294"/>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97" w:type="dxa"/>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项目名称</w:t>
            </w:r>
          </w:p>
        </w:tc>
        <w:tc>
          <w:tcPr>
            <w:tcW w:w="7723" w:type="dxa"/>
            <w:gridSpan w:val="5"/>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 xml:space="preserve"> </w:t>
            </w:r>
            <w:r>
              <w:rPr>
                <w:rFonts w:hint="eastAsia" w:ascii="仿宋" w:hAnsi="仿宋" w:eastAsia="仿宋" w:cs="仿宋"/>
                <w:bCs/>
                <w:color w:val="auto"/>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97" w:type="dxa"/>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供应商名称</w:t>
            </w:r>
          </w:p>
        </w:tc>
        <w:tc>
          <w:tcPr>
            <w:tcW w:w="7723" w:type="dxa"/>
            <w:gridSpan w:val="5"/>
            <w:vAlign w:val="center"/>
          </w:tcPr>
          <w:p>
            <w:pPr>
              <w:keepNext w:val="0"/>
              <w:keepLines w:val="0"/>
              <w:pageBreakBefore w:val="0"/>
              <w:widowControl/>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9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项目经理</w:t>
            </w:r>
          </w:p>
        </w:tc>
        <w:tc>
          <w:tcPr>
            <w:tcW w:w="92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8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级别</w:t>
            </w:r>
          </w:p>
        </w:tc>
        <w:tc>
          <w:tcPr>
            <w:tcW w:w="121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9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注册编号</w:t>
            </w:r>
          </w:p>
        </w:tc>
        <w:tc>
          <w:tcPr>
            <w:tcW w:w="3003" w:type="dxa"/>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317"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采购范围</w:t>
            </w:r>
          </w:p>
        </w:tc>
        <w:tc>
          <w:tcPr>
            <w:tcW w:w="6803"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317" w:type="dxa"/>
            <w:gridSpan w:val="2"/>
            <w:vAlign w:val="center"/>
          </w:tcPr>
          <w:p>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磋商报价</w:t>
            </w:r>
          </w:p>
        </w:tc>
        <w:tc>
          <w:tcPr>
            <w:tcW w:w="6803" w:type="dxa"/>
            <w:gridSpan w:val="4"/>
            <w:vAlign w:val="center"/>
          </w:tcPr>
          <w:p>
            <w:pPr>
              <w:keepNext w:val="0"/>
              <w:keepLines w:val="0"/>
              <w:pageBreakBefore w:val="0"/>
              <w:suppressLineNumbers w:val="0"/>
              <w:kinsoku/>
              <w:overflowPunct/>
              <w:bidi w:val="0"/>
              <w:adjustRightInd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u w:val="single"/>
              </w:rPr>
              <w:t xml:space="preserve">                 </w:t>
            </w:r>
          </w:p>
          <w:p>
            <w:pPr>
              <w:keepNext w:val="0"/>
              <w:keepLines w:val="0"/>
              <w:pageBreakBefore w:val="0"/>
              <w:suppressLineNumbers w:val="0"/>
              <w:kinsoku/>
              <w:overflowPunct/>
              <w:bidi w:val="0"/>
              <w:adjustRightInd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r>
              <w:rPr>
                <w:rFonts w:hint="eastAsia" w:ascii="仿宋" w:hAnsi="仿宋" w:eastAsia="仿宋" w:cs="仿宋"/>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31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工期</w:t>
            </w:r>
          </w:p>
        </w:tc>
        <w:tc>
          <w:tcPr>
            <w:tcW w:w="6803"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31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质量要求</w:t>
            </w:r>
          </w:p>
        </w:tc>
        <w:tc>
          <w:tcPr>
            <w:tcW w:w="6803"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right"/>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31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磋商有效期</w:t>
            </w:r>
          </w:p>
        </w:tc>
        <w:tc>
          <w:tcPr>
            <w:tcW w:w="6803"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right"/>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317"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480"/>
              <w:jc w:val="center"/>
              <w:rPr>
                <w:rFonts w:hint="default"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备注</w:t>
            </w:r>
          </w:p>
        </w:tc>
        <w:tc>
          <w:tcPr>
            <w:tcW w:w="6803"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480"/>
              <w:rPr>
                <w:rFonts w:hint="default" w:ascii="仿宋" w:hAnsi="仿宋" w:eastAsia="仿宋" w:cs="仿宋"/>
                <w:color w:val="auto"/>
                <w:sz w:val="21"/>
                <w:szCs w:val="21"/>
                <w:highlight w:val="none"/>
              </w:rPr>
            </w:pPr>
          </w:p>
        </w:tc>
      </w:tr>
    </w:tbl>
    <w:p>
      <w:pPr>
        <w:pageBreakBefore w:val="0"/>
        <w:kinsoku/>
        <w:overflowPunct/>
        <w:autoSpaceDE w:val="0"/>
        <w:autoSpaceDN w:val="0"/>
        <w:bidi w:val="0"/>
        <w:adjustRightInd w:val="0"/>
        <w:snapToGrid w:val="0"/>
        <w:spacing w:line="360" w:lineRule="auto"/>
        <w:jc w:val="left"/>
        <w:rPr>
          <w:rFonts w:ascii="仿宋" w:hAnsi="仿宋" w:eastAsia="仿宋" w:cs="仿宋"/>
          <w:color w:val="auto"/>
          <w:kern w:val="0"/>
          <w:sz w:val="21"/>
          <w:szCs w:val="21"/>
          <w:highlight w:val="none"/>
        </w:rPr>
      </w:pPr>
    </w:p>
    <w:p>
      <w:pPr>
        <w:pageBreakBefore w:val="0"/>
        <w:kinsoku/>
        <w:overflowPunct/>
        <w:autoSpaceDE w:val="0"/>
        <w:autoSpaceDN w:val="0"/>
        <w:bidi w:val="0"/>
        <w:adjustRightInd w:val="0"/>
        <w:snapToGrid w:val="0"/>
        <w:spacing w:line="360" w:lineRule="auto"/>
        <w:ind w:right="687" w:rightChars="229"/>
        <w:jc w:val="center"/>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供应商名称：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（企业公章）</w:t>
      </w:r>
    </w:p>
    <w:p>
      <w:pPr>
        <w:pageBreakBefore w:val="0"/>
        <w:kinsoku/>
        <w:overflowPunct/>
        <w:autoSpaceDE w:val="0"/>
        <w:autoSpaceDN w:val="0"/>
        <w:bidi w:val="0"/>
        <w:adjustRightInd w:val="0"/>
        <w:snapToGrid w:val="0"/>
        <w:spacing w:line="360" w:lineRule="auto"/>
        <w:ind w:right="687" w:rightChars="229"/>
        <w:jc w:val="center"/>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法定代表人或其委托代理人：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rPr>
        <w:t>个人签字或盖章</w:t>
      </w:r>
      <w:r>
        <w:rPr>
          <w:rFonts w:hint="eastAsia" w:ascii="仿宋" w:hAnsi="仿宋" w:eastAsia="仿宋" w:cs="仿宋"/>
          <w:color w:val="auto"/>
          <w:kern w:val="0"/>
          <w:sz w:val="21"/>
          <w:szCs w:val="21"/>
          <w:highlight w:val="none"/>
        </w:rPr>
        <w:t>）</w:t>
      </w:r>
    </w:p>
    <w:p>
      <w:pPr>
        <w:pageBreakBefore w:val="0"/>
        <w:kinsoku/>
        <w:overflowPunct/>
        <w:autoSpaceDE w:val="0"/>
        <w:autoSpaceDN w:val="0"/>
        <w:bidi w:val="0"/>
        <w:adjustRightInd w:val="0"/>
        <w:snapToGrid w:val="0"/>
        <w:spacing w:line="360" w:lineRule="auto"/>
        <w:ind w:right="687" w:rightChars="229" w:firstLine="3360" w:firstLineChars="1600"/>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    期：</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p>
      <w:pPr>
        <w:pageBreakBefore w:val="0"/>
        <w:kinsoku/>
        <w:overflowPunct/>
        <w:bidi w:val="0"/>
        <w:snapToGrid w:val="0"/>
        <w:spacing w:line="360" w:lineRule="auto"/>
        <w:rPr>
          <w:rFonts w:ascii="仿宋" w:hAnsi="仿宋" w:eastAsia="仿宋" w:cs="仿宋"/>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kern w:val="0"/>
          <w:sz w:val="21"/>
          <w:szCs w:val="21"/>
          <w:highlight w:val="none"/>
        </w:rPr>
      </w:pP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pPr>
      <w:bookmarkStart w:id="560" w:name="_Toc179632811"/>
      <w:bookmarkStart w:id="561" w:name="_Toc351733214"/>
      <w:bookmarkStart w:id="562" w:name="_Toc246997102"/>
      <w:bookmarkStart w:id="563" w:name="_Toc25803"/>
      <w:bookmarkStart w:id="564" w:name="_Toc152042580"/>
      <w:bookmarkStart w:id="565" w:name="_Toc152045791"/>
      <w:bookmarkStart w:id="566" w:name="_Toc144974860"/>
      <w:bookmarkStart w:id="567" w:name="_Toc247085877"/>
      <w:bookmarkStart w:id="568" w:name="_Toc483345503"/>
      <w:bookmarkStart w:id="569" w:name="_Toc246996359"/>
      <w:r>
        <w:rPr>
          <w:rFonts w:hint="eastAsia" w:ascii="仿宋" w:hAnsi="仿宋" w:eastAsia="仿宋" w:cs="仿宋"/>
          <w:color w:val="auto"/>
          <w:sz w:val="21"/>
          <w:szCs w:val="21"/>
          <w:highlight w:val="none"/>
        </w:rPr>
        <w:br w:type="page"/>
      </w:r>
      <w:bookmarkStart w:id="570" w:name="_Toc5108"/>
      <w:r>
        <w:rPr>
          <w:rFonts w:hint="eastAsia" w:ascii="仿宋" w:hAnsi="仿宋" w:eastAsia="仿宋" w:cs="仿宋"/>
          <w:color w:val="auto"/>
          <w:sz w:val="21"/>
          <w:szCs w:val="21"/>
          <w:highlight w:val="none"/>
        </w:rPr>
        <w:t>二、法定代表人身份证明</w:t>
      </w:r>
      <w:bookmarkEnd w:id="560"/>
      <w:bookmarkEnd w:id="561"/>
      <w:bookmarkEnd w:id="562"/>
      <w:bookmarkEnd w:id="563"/>
      <w:bookmarkEnd w:id="564"/>
      <w:bookmarkEnd w:id="565"/>
      <w:bookmarkEnd w:id="566"/>
      <w:bookmarkEnd w:id="567"/>
      <w:bookmarkEnd w:id="568"/>
      <w:bookmarkEnd w:id="569"/>
      <w:bookmarkEnd w:id="570"/>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单位性质：</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经营期限：</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性别：</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职务：</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系</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（供应商名称）的法定代表人。</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特此证明。</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附：法定代表人身份复印件</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供应商名称：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（企业公章）</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日           </w:t>
      </w: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pPr>
      <w:bookmarkStart w:id="571" w:name="_Toc246996360"/>
      <w:bookmarkStart w:id="572" w:name="_Toc28914"/>
      <w:bookmarkStart w:id="573" w:name="_Toc179632812"/>
      <w:bookmarkStart w:id="574" w:name="_Toc144974861"/>
      <w:bookmarkStart w:id="575" w:name="_Toc26987"/>
      <w:bookmarkStart w:id="576" w:name="_Toc152042581"/>
      <w:bookmarkStart w:id="577" w:name="_Toc246997103"/>
      <w:bookmarkStart w:id="578" w:name="_Toc351733215"/>
      <w:bookmarkStart w:id="579" w:name="_Toc152045792"/>
      <w:bookmarkStart w:id="580" w:name="_Toc247085878"/>
      <w:bookmarkStart w:id="581" w:name="_Toc483345504"/>
      <w:r>
        <w:rPr>
          <w:rFonts w:hint="eastAsia" w:ascii="仿宋" w:hAnsi="仿宋" w:eastAsia="仿宋" w:cs="仿宋"/>
          <w:color w:val="auto"/>
          <w:sz w:val="21"/>
          <w:szCs w:val="21"/>
          <w:highlight w:val="none"/>
        </w:rPr>
        <w:t>三、授权委托书</w:t>
      </w:r>
      <w:bookmarkEnd w:id="571"/>
      <w:bookmarkEnd w:id="572"/>
      <w:bookmarkEnd w:id="573"/>
      <w:bookmarkEnd w:id="574"/>
      <w:bookmarkEnd w:id="575"/>
      <w:bookmarkEnd w:id="576"/>
      <w:bookmarkEnd w:id="577"/>
      <w:bookmarkEnd w:id="578"/>
      <w:bookmarkEnd w:id="579"/>
      <w:bookmarkEnd w:id="580"/>
      <w:bookmarkEnd w:id="581"/>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topLine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本人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（姓名）系</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（供应商名称）的法定代表人，现委托</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（姓名）为我方代理人。代理人根据授权，以我方名义签署、澄清、说明、补正、递交、撤回、修改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（项目名称）响应文件、签订合同和处理有关事宜，其法律后果由我方承担。</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委托期限：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代理人无转委托权。</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附：授权委托人身份复印件</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（企业公章）</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（个人签字或盖章）</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委托代理人：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（签字或盖章） </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ind w:firstLine="2310" w:firstLineChars="1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pPr>
      <w:bookmarkStart w:id="582" w:name="_Toc20126"/>
      <w:bookmarkStart w:id="583" w:name="_Toc24531"/>
      <w:r>
        <w:rPr>
          <w:rFonts w:hint="eastAsia" w:ascii="仿宋" w:hAnsi="仿宋" w:eastAsia="仿宋" w:cs="仿宋"/>
          <w:color w:val="auto"/>
          <w:sz w:val="21"/>
          <w:szCs w:val="21"/>
          <w:highlight w:val="none"/>
        </w:rPr>
        <w:t>四、磋商保证金承诺函</w:t>
      </w:r>
      <w:bookmarkEnd w:id="582"/>
      <w:bookmarkEnd w:id="583"/>
    </w:p>
    <w:p>
      <w:pPr>
        <w:pageBreakBefore w:val="0"/>
        <w:kinsoku/>
        <w:overflowPunct/>
        <w:bidi w:val="0"/>
        <w:snapToGrid w:val="0"/>
        <w:spacing w:line="360" w:lineRule="auto"/>
        <w:rPr>
          <w:rFonts w:ascii="仿宋" w:hAnsi="仿宋" w:eastAsia="仿宋" w:cs="仿宋"/>
          <w:color w:val="auto"/>
          <w:highlight w:val="none"/>
        </w:rPr>
      </w:pPr>
      <w:bookmarkStart w:id="584" w:name="_Toc483345506"/>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pPr>
      <w:bookmarkStart w:id="585" w:name="_Toc31968"/>
      <w:bookmarkStart w:id="586" w:name="_Toc10668"/>
      <w:r>
        <w:rPr>
          <w:rFonts w:hint="eastAsia" w:ascii="仿宋" w:hAnsi="仿宋" w:eastAsia="仿宋" w:cs="仿宋"/>
          <w:color w:val="auto"/>
          <w:sz w:val="21"/>
          <w:szCs w:val="21"/>
          <w:highlight w:val="none"/>
        </w:rPr>
        <w:t>五、</w:t>
      </w:r>
      <w:bookmarkEnd w:id="584"/>
      <w:bookmarkEnd w:id="585"/>
      <w:r>
        <w:rPr>
          <w:rFonts w:hint="eastAsia" w:ascii="仿宋" w:hAnsi="仿宋" w:eastAsia="仿宋" w:cs="仿宋"/>
          <w:color w:val="auto"/>
          <w:sz w:val="21"/>
          <w:szCs w:val="21"/>
          <w:highlight w:val="none"/>
        </w:rPr>
        <w:t>已标价工程量清单</w:t>
      </w:r>
      <w:bookmarkEnd w:id="586"/>
    </w:p>
    <w:p>
      <w:pPr>
        <w:pageBreakBefore w:val="0"/>
        <w:kinsoku/>
        <w:overflowPunct/>
        <w:autoSpaceDE w:val="0"/>
        <w:autoSpaceDN w:val="0"/>
        <w:bidi w:val="0"/>
        <w:adjustRightInd w:val="0"/>
        <w:snapToGrid w:val="0"/>
        <w:spacing w:line="360" w:lineRule="auto"/>
        <w:jc w:val="center"/>
        <w:rPr>
          <w:rFonts w:ascii="仿宋" w:hAnsi="仿宋" w:eastAsia="仿宋" w:cs="仿宋"/>
          <w:b/>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ageBreakBefore w:val="0"/>
        <w:kinsoku/>
        <w:overflowPunct/>
        <w:bidi w:val="0"/>
        <w:snapToGrid w:val="0"/>
        <w:spacing w:line="360" w:lineRule="auto"/>
        <w:jc w:val="center"/>
        <w:rPr>
          <w:rFonts w:ascii="仿宋" w:hAnsi="仿宋" w:eastAsia="仿宋" w:cs="仿宋"/>
          <w:b/>
          <w:bCs/>
          <w:color w:val="auto"/>
          <w:sz w:val="21"/>
          <w:szCs w:val="21"/>
          <w:highlight w:val="none"/>
        </w:rPr>
      </w:pP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sectPr>
          <w:pgSz w:w="11907" w:h="16840"/>
          <w:pgMar w:top="1418" w:right="1304" w:bottom="1191" w:left="1418" w:header="851" w:footer="992" w:gutter="0"/>
          <w:pgBorders>
            <w:top w:val="none" w:sz="0" w:space="0"/>
            <w:left w:val="none" w:sz="0" w:space="0"/>
            <w:bottom w:val="none" w:sz="0" w:space="0"/>
            <w:right w:val="none" w:sz="0" w:space="0"/>
          </w:pgBorders>
          <w:cols w:space="720" w:num="1"/>
          <w:docGrid w:linePitch="408" w:charSpace="0"/>
        </w:sectPr>
      </w:pPr>
      <w:bookmarkStart w:id="587" w:name="_Toc247085882"/>
      <w:bookmarkStart w:id="588" w:name="_Toc483345507"/>
      <w:bookmarkStart w:id="589" w:name="_Toc351733218"/>
      <w:bookmarkStart w:id="590" w:name="_Toc144974864"/>
      <w:bookmarkStart w:id="591" w:name="_Toc15769"/>
      <w:bookmarkStart w:id="592" w:name="_Toc152042585"/>
      <w:bookmarkStart w:id="593" w:name="_Toc246997107"/>
      <w:bookmarkStart w:id="594" w:name="_Toc152045796"/>
      <w:bookmarkStart w:id="595" w:name="_Toc179632816"/>
      <w:bookmarkStart w:id="596" w:name="_Toc246996364"/>
    </w:p>
    <w:p>
      <w:pPr>
        <w:pStyle w:val="4"/>
        <w:pageBreakBefore w:val="0"/>
        <w:kinsoku/>
        <w:overflowPunct/>
        <w:bidi w:val="0"/>
        <w:snapToGrid w:val="0"/>
        <w:spacing w:line="360" w:lineRule="auto"/>
        <w:jc w:val="center"/>
        <w:rPr>
          <w:rFonts w:hint="eastAsia" w:ascii="仿宋" w:hAnsi="仿宋" w:eastAsia="仿宋" w:cs="仿宋"/>
          <w:color w:val="auto"/>
          <w:sz w:val="21"/>
          <w:szCs w:val="21"/>
          <w:highlight w:val="none"/>
          <w:lang w:eastAsia="zh-CN"/>
        </w:rPr>
      </w:pPr>
      <w:bookmarkStart w:id="597" w:name="_Toc1596"/>
      <w:r>
        <w:rPr>
          <w:rFonts w:hint="eastAsia" w:ascii="仿宋" w:hAnsi="仿宋" w:eastAsia="仿宋" w:cs="仿宋"/>
          <w:color w:val="auto"/>
          <w:sz w:val="21"/>
          <w:szCs w:val="21"/>
          <w:highlight w:val="none"/>
        </w:rPr>
        <w:t>六、施工组织</w:t>
      </w:r>
      <w:bookmarkEnd w:id="587"/>
      <w:bookmarkEnd w:id="588"/>
      <w:bookmarkEnd w:id="589"/>
      <w:bookmarkEnd w:id="590"/>
      <w:bookmarkEnd w:id="591"/>
      <w:bookmarkEnd w:id="592"/>
      <w:bookmarkEnd w:id="593"/>
      <w:bookmarkEnd w:id="594"/>
      <w:bookmarkEnd w:id="595"/>
      <w:bookmarkEnd w:id="596"/>
      <w:bookmarkEnd w:id="597"/>
      <w:r>
        <w:rPr>
          <w:rFonts w:hint="eastAsia" w:ascii="仿宋" w:hAnsi="仿宋" w:eastAsia="仿宋" w:cs="仿宋"/>
          <w:color w:val="auto"/>
          <w:sz w:val="21"/>
          <w:szCs w:val="21"/>
          <w:highlight w:val="none"/>
          <w:lang w:eastAsia="zh-CN"/>
        </w:rPr>
        <w:t>设计</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autoSpaceDE w:val="0"/>
        <w:autoSpaceDN w:val="0"/>
        <w:bidi w:val="0"/>
        <w:adjustRightInd w:val="0"/>
        <w:snapToGrid w:val="0"/>
        <w:spacing w:line="360" w:lineRule="auto"/>
        <w:ind w:firstLine="420" w:firstLineChars="200"/>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它地上地下设施的保护加固措施等。</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sz w:val="21"/>
          <w:szCs w:val="21"/>
          <w:highlight w:val="none"/>
        </w:rPr>
        <w:t>内容完整性</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（2）施工方案和技术措施</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sz w:val="21"/>
          <w:szCs w:val="21"/>
          <w:highlight w:val="none"/>
        </w:rPr>
        <w:t>质量管理体系与措施</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r>
        <w:rPr>
          <w:rFonts w:hint="eastAsia" w:ascii="仿宋" w:hAnsi="仿宋" w:eastAsia="仿宋" w:cs="仿宋"/>
          <w:color w:val="auto"/>
          <w:sz w:val="21"/>
          <w:szCs w:val="21"/>
          <w:highlight w:val="none"/>
        </w:rPr>
        <w:t>安全文明管理体系与措施</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sz w:val="21"/>
          <w:szCs w:val="21"/>
          <w:highlight w:val="none"/>
        </w:rPr>
        <w:t>环境保护管理体系与措施</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w:t>
      </w:r>
      <w:r>
        <w:rPr>
          <w:rFonts w:hint="eastAsia" w:ascii="仿宋" w:hAnsi="仿宋" w:eastAsia="仿宋" w:cs="仿宋"/>
          <w:color w:val="auto"/>
          <w:sz w:val="21"/>
          <w:szCs w:val="21"/>
          <w:highlight w:val="none"/>
        </w:rPr>
        <w:t>工程进度计划与保证措施</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w:t>
      </w:r>
      <w:r>
        <w:rPr>
          <w:rFonts w:hint="eastAsia" w:ascii="仿宋" w:hAnsi="仿宋" w:eastAsia="仿宋" w:cs="仿宋"/>
          <w:color w:val="auto"/>
          <w:sz w:val="21"/>
          <w:szCs w:val="21"/>
          <w:highlight w:val="none"/>
        </w:rPr>
        <w:t>拟投入资源配备计划</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w:t>
      </w:r>
      <w:r>
        <w:rPr>
          <w:rFonts w:hint="eastAsia" w:ascii="仿宋" w:hAnsi="仿宋" w:eastAsia="仿宋" w:cs="仿宋"/>
          <w:color w:val="auto"/>
          <w:sz w:val="21"/>
          <w:szCs w:val="21"/>
          <w:highlight w:val="none"/>
        </w:rPr>
        <w:t>在节能减排、绿色施工方面针对本工程的具体措施</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r>
        <w:rPr>
          <w:rFonts w:hint="eastAsia" w:ascii="仿宋" w:hAnsi="仿宋" w:eastAsia="仿宋" w:cs="仿宋"/>
          <w:color w:val="auto"/>
          <w:sz w:val="21"/>
          <w:szCs w:val="21"/>
          <w:highlight w:val="none"/>
        </w:rPr>
        <w:t>施工总平面布置图</w:t>
      </w:r>
    </w:p>
    <w:p>
      <w:pPr>
        <w:pageBreakBefore w:val="0"/>
        <w:kinsoku/>
        <w:overflowPunct/>
        <w:autoSpaceDE w:val="0"/>
        <w:autoSpaceDN w:val="0"/>
        <w:bidi w:val="0"/>
        <w:adjustRightInd w:val="0"/>
        <w:snapToGrid w:val="0"/>
        <w:spacing w:line="360" w:lineRule="auto"/>
        <w:ind w:firstLine="726" w:firstLineChars="346"/>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w:t>
      </w:r>
      <w:r>
        <w:rPr>
          <w:rFonts w:hint="eastAsia" w:ascii="仿宋" w:hAnsi="仿宋" w:eastAsia="仿宋" w:cs="仿宋"/>
          <w:color w:val="auto"/>
          <w:sz w:val="21"/>
          <w:szCs w:val="21"/>
          <w:highlight w:val="none"/>
        </w:rPr>
        <w:t>劳动力安排计划</w:t>
      </w:r>
    </w:p>
    <w:p>
      <w:pPr>
        <w:pageBreakBefore w:val="0"/>
        <w:kinsoku/>
        <w:overflowPunct/>
        <w:autoSpaceDE w:val="0"/>
        <w:autoSpaceDN w:val="0"/>
        <w:bidi w:val="0"/>
        <w:adjustRightInd w:val="0"/>
        <w:snapToGrid w:val="0"/>
        <w:spacing w:line="360" w:lineRule="auto"/>
        <w:ind w:firstLine="420" w:firstLineChars="200"/>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 施工组织设计除采用文字表述外可附下列图表。</w:t>
      </w:r>
    </w:p>
    <w:p>
      <w:pPr>
        <w:pageBreakBefore w:val="0"/>
        <w:kinsoku/>
        <w:overflowPunct/>
        <w:bidi w:val="0"/>
        <w:snapToGrid w:val="0"/>
        <w:spacing w:line="360" w:lineRule="auto"/>
        <w:ind w:firstLine="898" w:firstLineChars="42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附表一  拟投入本项目的主要施工设备表</w:t>
      </w:r>
    </w:p>
    <w:p>
      <w:pPr>
        <w:pageBreakBefore w:val="0"/>
        <w:kinsoku/>
        <w:overflowPunct/>
        <w:bidi w:val="0"/>
        <w:snapToGrid w:val="0"/>
        <w:spacing w:line="360" w:lineRule="auto"/>
        <w:ind w:firstLine="898" w:firstLineChars="42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附表二  拟配备本项目的试验和检测仪器设备表</w:t>
      </w:r>
    </w:p>
    <w:p>
      <w:pPr>
        <w:pageBreakBefore w:val="0"/>
        <w:kinsoku/>
        <w:overflowPunct/>
        <w:bidi w:val="0"/>
        <w:snapToGrid w:val="0"/>
        <w:spacing w:line="360" w:lineRule="auto"/>
        <w:ind w:firstLine="898" w:firstLineChars="42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附表三  劳动力计划表</w:t>
      </w:r>
    </w:p>
    <w:p>
      <w:pPr>
        <w:pageBreakBefore w:val="0"/>
        <w:kinsoku/>
        <w:overflowPunct/>
        <w:bidi w:val="0"/>
        <w:snapToGrid w:val="0"/>
        <w:spacing w:line="360" w:lineRule="auto"/>
        <w:ind w:firstLine="898" w:firstLineChars="42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附表四  计划开、竣工日期和施工进度图</w:t>
      </w:r>
    </w:p>
    <w:p>
      <w:pPr>
        <w:pageBreakBefore w:val="0"/>
        <w:kinsoku/>
        <w:overflowPunct/>
        <w:bidi w:val="0"/>
        <w:snapToGrid w:val="0"/>
        <w:spacing w:line="360" w:lineRule="auto"/>
        <w:ind w:firstLine="898" w:firstLineChars="42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附表五  施工总平面图</w:t>
      </w:r>
    </w:p>
    <w:p>
      <w:pPr>
        <w:pageBreakBefore w:val="0"/>
        <w:kinsoku/>
        <w:overflowPunct/>
        <w:bidi w:val="0"/>
        <w:snapToGrid w:val="0"/>
        <w:spacing w:line="360" w:lineRule="auto"/>
        <w:ind w:firstLine="898" w:firstLineChars="42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附表六  临时用地表</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Style w:val="18"/>
        <w:pageBreakBefore w:val="0"/>
        <w:kinsoku/>
        <w:overflowPunct/>
        <w:bidi w:val="0"/>
        <w:snapToGrid w:val="0"/>
        <w:spacing w:line="360" w:lineRule="auto"/>
        <w:ind w:left="600" w:firstLine="600"/>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hint="eastAsia" w:ascii="仿宋" w:hAnsi="仿宋" w:eastAsia="仿宋" w:cs="仿宋"/>
          <w:b/>
          <w:bCs/>
          <w:color w:val="auto"/>
          <w:sz w:val="21"/>
          <w:szCs w:val="21"/>
          <w:highlight w:val="none"/>
        </w:rPr>
      </w:pPr>
      <w:bookmarkStart w:id="598" w:name="_Toc351733325"/>
      <w:bookmarkStart w:id="599" w:name="_Toc246996365"/>
      <w:bookmarkStart w:id="600" w:name="_Toc152042586"/>
      <w:bookmarkStart w:id="601" w:name="_Toc179632817"/>
      <w:bookmarkStart w:id="602" w:name="_Toc246997108"/>
      <w:bookmarkStart w:id="603" w:name="_Toc152045797"/>
      <w:bookmarkStart w:id="604" w:name="_Toc397447998"/>
      <w:bookmarkStart w:id="605" w:name="_Toc483345508"/>
      <w:bookmarkStart w:id="606" w:name="_Toc144974865"/>
      <w:bookmarkStart w:id="607" w:name="_Toc401065646"/>
      <w:bookmarkStart w:id="608" w:name="_Toc247085883"/>
      <w:bookmarkStart w:id="609" w:name="_Toc351733219"/>
      <w:r>
        <w:rPr>
          <w:rFonts w:hint="eastAsia" w:ascii="仿宋" w:hAnsi="仿宋" w:eastAsia="仿宋" w:cs="仿宋"/>
          <w:b/>
          <w:bCs/>
          <w:color w:val="auto"/>
          <w:sz w:val="21"/>
          <w:szCs w:val="21"/>
          <w:highlight w:val="none"/>
        </w:rPr>
        <w:br w:type="page"/>
      </w: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附表一：拟投入本项目的主要施工设备表</w:t>
      </w:r>
      <w:bookmarkEnd w:id="598"/>
      <w:bookmarkEnd w:id="599"/>
      <w:bookmarkEnd w:id="600"/>
      <w:bookmarkEnd w:id="601"/>
      <w:bookmarkEnd w:id="602"/>
      <w:bookmarkEnd w:id="603"/>
      <w:bookmarkEnd w:id="604"/>
      <w:bookmarkEnd w:id="605"/>
      <w:bookmarkEnd w:id="606"/>
      <w:bookmarkEnd w:id="607"/>
      <w:bookmarkEnd w:id="608"/>
      <w:bookmarkEnd w:id="609"/>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086"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76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99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672"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国别</w:t>
            </w:r>
          </w:p>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产地</w:t>
            </w:r>
          </w:p>
        </w:tc>
        <w:tc>
          <w:tcPr>
            <w:tcW w:w="738"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制造</w:t>
            </w:r>
          </w:p>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年份</w:t>
            </w:r>
          </w:p>
        </w:tc>
        <w:tc>
          <w:tcPr>
            <w:tcW w:w="1212"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额定功率（kW）</w:t>
            </w:r>
          </w:p>
        </w:tc>
        <w:tc>
          <w:tcPr>
            <w:tcW w:w="87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生产</w:t>
            </w:r>
          </w:p>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能力</w:t>
            </w:r>
          </w:p>
        </w:tc>
        <w:tc>
          <w:tcPr>
            <w:tcW w:w="105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用于施工部位</w:t>
            </w:r>
          </w:p>
        </w:tc>
        <w:tc>
          <w:tcPr>
            <w:tcW w:w="69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86"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6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0"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7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38"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12"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7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5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691"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bl>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b/>
          <w:bCs/>
          <w:color w:val="auto"/>
          <w:sz w:val="21"/>
          <w:szCs w:val="21"/>
          <w:highlight w:val="none"/>
        </w:rPr>
      </w:pPr>
      <w:bookmarkStart w:id="610" w:name="_Toc342383081"/>
      <w:bookmarkStart w:id="611" w:name="_Toc332620058"/>
      <w:bookmarkStart w:id="612" w:name="_Toc359335280"/>
      <w:bookmarkStart w:id="613" w:name="_Toc483345509"/>
      <w:bookmarkStart w:id="614" w:name="_Toc332619152"/>
      <w:bookmarkStart w:id="615" w:name="_Toc359491500"/>
      <w:bookmarkStart w:id="616" w:name="_Toc152042588"/>
      <w:bookmarkStart w:id="617" w:name="_Toc152045799"/>
      <w:bookmarkStart w:id="618" w:name="_Toc246996366"/>
      <w:bookmarkStart w:id="619" w:name="_Toc247085884"/>
      <w:bookmarkStart w:id="620" w:name="_Toc401065647"/>
      <w:bookmarkStart w:id="621" w:name="_Toc351733220"/>
      <w:bookmarkStart w:id="622" w:name="_Toc246997109"/>
      <w:bookmarkStart w:id="623" w:name="_Toc351733326"/>
      <w:bookmarkStart w:id="624" w:name="_Toc144974867"/>
      <w:bookmarkStart w:id="625" w:name="_Toc179632819"/>
      <w:bookmarkStart w:id="626" w:name="_Toc397447999"/>
      <w:r>
        <w:rPr>
          <w:rFonts w:hint="eastAsia" w:ascii="仿宋" w:hAnsi="仿宋" w:eastAsia="仿宋" w:cs="仿宋"/>
          <w:b/>
          <w:bCs/>
          <w:color w:val="auto"/>
          <w:sz w:val="21"/>
          <w:szCs w:val="21"/>
          <w:highlight w:val="none"/>
        </w:rPr>
        <w:t>附表二：拟配备本项目的试验和检测仪器设备表</w:t>
      </w:r>
      <w:bookmarkEnd w:id="610"/>
      <w:bookmarkEnd w:id="611"/>
      <w:bookmarkEnd w:id="612"/>
      <w:bookmarkEnd w:id="613"/>
      <w:bookmarkEnd w:id="614"/>
      <w:bookmarkEnd w:id="615"/>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62"/>
        <w:gridCol w:w="1175"/>
        <w:gridCol w:w="1175"/>
        <w:gridCol w:w="1174"/>
        <w:gridCol w:w="1014"/>
        <w:gridCol w:w="1334"/>
        <w:gridCol w:w="117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仪器设</w:t>
            </w: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备名称</w:t>
            </w: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型号</w:t>
            </w: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规格</w:t>
            </w: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数量</w:t>
            </w: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国别</w:t>
            </w: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产地</w:t>
            </w: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制造</w:t>
            </w: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年份</w:t>
            </w: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已使用</w:t>
            </w: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台时数</w:t>
            </w: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用途</w:t>
            </w: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0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6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1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3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17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3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bookmarkEnd w:id="616"/>
      <w:bookmarkEnd w:id="617"/>
      <w:bookmarkEnd w:id="618"/>
      <w:bookmarkEnd w:id="619"/>
      <w:bookmarkEnd w:id="620"/>
      <w:bookmarkEnd w:id="621"/>
      <w:bookmarkEnd w:id="622"/>
      <w:bookmarkEnd w:id="623"/>
      <w:bookmarkEnd w:id="624"/>
      <w:bookmarkEnd w:id="625"/>
      <w:bookmarkEnd w:id="626"/>
    </w:tbl>
    <w:p>
      <w:pPr>
        <w:pageBreakBefore w:val="0"/>
        <w:kinsoku/>
        <w:overflowPunct/>
        <w:bidi w:val="0"/>
        <w:snapToGrid w:val="0"/>
        <w:spacing w:line="360" w:lineRule="auto"/>
        <w:rPr>
          <w:rFonts w:ascii="仿宋" w:hAnsi="仿宋" w:eastAsia="仿宋" w:cs="仿宋"/>
          <w:color w:val="auto"/>
          <w:highlight w:val="none"/>
        </w:rPr>
      </w:pPr>
      <w:bookmarkStart w:id="627" w:name="_Toc332619153"/>
      <w:bookmarkStart w:id="628" w:name="_Toc359335281"/>
      <w:bookmarkStart w:id="629" w:name="_Toc483345510"/>
      <w:bookmarkStart w:id="630" w:name="_Toc359491501"/>
      <w:bookmarkStart w:id="631" w:name="_Toc332620059"/>
      <w:bookmarkStart w:id="632" w:name="_Toc342383082"/>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hint="eastAsia" w:ascii="仿宋" w:hAnsi="仿宋" w:eastAsia="仿宋" w:cs="仿宋"/>
          <w:b/>
          <w:bCs/>
          <w:color w:val="auto"/>
          <w:sz w:val="21"/>
          <w:szCs w:val="21"/>
          <w:highlight w:val="none"/>
        </w:rPr>
      </w:pP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附表三：劳动力计划表</w:t>
      </w:r>
      <w:bookmarkEnd w:id="627"/>
      <w:bookmarkEnd w:id="628"/>
      <w:bookmarkEnd w:id="629"/>
      <w:bookmarkEnd w:id="630"/>
      <w:bookmarkEnd w:id="631"/>
      <w:bookmarkEnd w:id="632"/>
    </w:p>
    <w:p>
      <w:pPr>
        <w:pageBreakBefore w:val="0"/>
        <w:kinsoku/>
        <w:overflowPunct/>
        <w:bidi w:val="0"/>
        <w:snapToGrid w:val="0"/>
        <w:spacing w:line="360" w:lineRule="auto"/>
        <w:ind w:right="200"/>
        <w:jc w:val="righ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工种</w:t>
            </w:r>
          </w:p>
        </w:tc>
        <w:tc>
          <w:tcPr>
            <w:tcW w:w="7693" w:type="dxa"/>
            <w:gridSpan w:val="7"/>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p>
        </w:tc>
        <w:tc>
          <w:tcPr>
            <w:tcW w:w="130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5"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64" w:type="dxa"/>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bl>
    <w:p>
      <w:pPr>
        <w:pStyle w:val="11"/>
        <w:pageBreakBefore w:val="0"/>
        <w:kinsoku/>
        <w:overflowPunct/>
        <w:bidi w:val="0"/>
        <w:snapToGrid w:val="0"/>
        <w:spacing w:line="360" w:lineRule="auto"/>
        <w:rPr>
          <w:rFonts w:ascii="仿宋" w:hAnsi="仿宋" w:eastAsia="仿宋" w:cs="仿宋"/>
          <w:color w:val="auto"/>
          <w:szCs w:val="21"/>
          <w:highlight w:val="none"/>
        </w:rPr>
      </w:pPr>
      <w:bookmarkStart w:id="633" w:name="_Toc246996367"/>
      <w:bookmarkStart w:id="634" w:name="_Toc152042589"/>
      <w:bookmarkStart w:id="635" w:name="_Toc144974868"/>
      <w:bookmarkStart w:id="636" w:name="_Toc152045800"/>
      <w:bookmarkStart w:id="637" w:name="_Toc179632820"/>
      <w:bookmarkStart w:id="638" w:name="_Toc246997110"/>
    </w:p>
    <w:bookmarkEnd w:id="633"/>
    <w:bookmarkEnd w:id="634"/>
    <w:bookmarkEnd w:id="635"/>
    <w:bookmarkEnd w:id="636"/>
    <w:bookmarkEnd w:id="637"/>
    <w:bookmarkEnd w:id="638"/>
    <w:p>
      <w:pPr>
        <w:pageBreakBefore w:val="0"/>
        <w:kinsoku/>
        <w:overflowPunct/>
        <w:bidi w:val="0"/>
        <w:snapToGrid w:val="0"/>
        <w:spacing w:line="360" w:lineRule="auto"/>
        <w:rPr>
          <w:rFonts w:ascii="仿宋" w:hAnsi="仿宋" w:eastAsia="仿宋" w:cs="仿宋"/>
          <w:b/>
          <w:bCs/>
          <w:color w:val="auto"/>
          <w:sz w:val="21"/>
          <w:szCs w:val="21"/>
          <w:highlight w:val="none"/>
        </w:rPr>
      </w:pPr>
      <w:bookmarkStart w:id="639" w:name="_Toc359335282"/>
      <w:bookmarkStart w:id="640" w:name="_Toc483345511"/>
      <w:bookmarkStart w:id="641" w:name="_Toc359491502"/>
      <w:bookmarkStart w:id="642" w:name="_Toc332620060"/>
      <w:bookmarkStart w:id="643" w:name="_Toc342383083"/>
      <w:bookmarkStart w:id="644" w:name="_Toc332619154"/>
    </w:p>
    <w:p>
      <w:pPr>
        <w:pageBreakBefore w:val="0"/>
        <w:kinsoku/>
        <w:overflowPunct/>
        <w:bidi w:val="0"/>
        <w:snapToGrid w:val="0"/>
        <w:spacing w:line="360" w:lineRule="auto"/>
        <w:rPr>
          <w:rFonts w:ascii="仿宋" w:hAnsi="仿宋" w:eastAsia="仿宋" w:cs="仿宋"/>
          <w:b/>
          <w:bCs/>
          <w:color w:val="auto"/>
          <w:sz w:val="21"/>
          <w:szCs w:val="21"/>
          <w:highlight w:val="none"/>
        </w:rPr>
      </w:pPr>
    </w:p>
    <w:p>
      <w:pPr>
        <w:pageBreakBefore w:val="0"/>
        <w:kinsoku/>
        <w:overflowPunct/>
        <w:bidi w:val="0"/>
        <w:snapToGrid w:val="0"/>
        <w:spacing w:line="360" w:lineRule="auto"/>
        <w:rPr>
          <w:rFonts w:ascii="仿宋" w:hAnsi="仿宋" w:eastAsia="仿宋" w:cs="仿宋"/>
          <w:b/>
          <w:bCs/>
          <w:color w:val="auto"/>
          <w:sz w:val="21"/>
          <w:szCs w:val="21"/>
          <w:highlight w:val="none"/>
        </w:rPr>
      </w:pPr>
    </w:p>
    <w:p>
      <w:pPr>
        <w:pageBreakBefore w:val="0"/>
        <w:kinsoku/>
        <w:overflowPunct/>
        <w:bidi w:val="0"/>
        <w:snapToGrid w:val="0"/>
        <w:spacing w:line="360" w:lineRule="auto"/>
        <w:rPr>
          <w:rFonts w:ascii="仿宋" w:hAnsi="仿宋" w:eastAsia="仿宋" w:cs="仿宋"/>
          <w:b/>
          <w:bCs/>
          <w:color w:val="auto"/>
          <w:sz w:val="21"/>
          <w:szCs w:val="21"/>
          <w:highlight w:val="none"/>
        </w:rPr>
      </w:pPr>
    </w:p>
    <w:p>
      <w:pPr>
        <w:pageBreakBefore w:val="0"/>
        <w:kinsoku/>
        <w:overflowPunct/>
        <w:bidi w:val="0"/>
        <w:snapToGrid w:val="0"/>
        <w:spacing w:line="360" w:lineRule="auto"/>
        <w:rPr>
          <w:rFonts w:ascii="仿宋" w:hAnsi="仿宋" w:eastAsia="仿宋" w:cs="仿宋"/>
          <w:b/>
          <w:bCs/>
          <w:color w:val="auto"/>
          <w:sz w:val="21"/>
          <w:szCs w:val="21"/>
          <w:highlight w:val="none"/>
        </w:rPr>
      </w:pPr>
    </w:p>
    <w:p>
      <w:pPr>
        <w:pageBreakBefore w:val="0"/>
        <w:kinsoku/>
        <w:overflowPunct/>
        <w:bidi w:val="0"/>
        <w:snapToGrid w:val="0"/>
        <w:spacing w:line="360" w:lineRule="auto"/>
        <w:rPr>
          <w:rFonts w:ascii="仿宋" w:hAnsi="仿宋" w:eastAsia="仿宋" w:cs="仿宋"/>
          <w:b/>
          <w:bCs/>
          <w:color w:val="auto"/>
          <w:sz w:val="21"/>
          <w:szCs w:val="21"/>
          <w:highlight w:val="none"/>
        </w:rPr>
      </w:pP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附表四：计划开、竣工日期和施工进度图</w:t>
      </w:r>
      <w:bookmarkEnd w:id="639"/>
      <w:bookmarkEnd w:id="640"/>
      <w:bookmarkEnd w:id="641"/>
      <w:bookmarkEnd w:id="642"/>
      <w:bookmarkEnd w:id="643"/>
      <w:bookmarkEnd w:id="644"/>
    </w:p>
    <w:p>
      <w:pPr>
        <w:pageBreakBefore w:val="0"/>
        <w:kinsoku/>
        <w:overflowPunct/>
        <w:autoSpaceDE w:val="0"/>
        <w:autoSpaceDN w:val="0"/>
        <w:bidi w:val="0"/>
        <w:adjustRightInd w:val="0"/>
        <w:snapToGrid w:val="0"/>
        <w:spacing w:line="360" w:lineRule="auto"/>
        <w:ind w:firstLine="420" w:firstLineChars="200"/>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供应商应递交施工进度图或施工进度表，说明按</w:t>
      </w:r>
      <w:r>
        <w:rPr>
          <w:rFonts w:hint="eastAsia" w:ascii="仿宋" w:hAnsi="仿宋" w:eastAsia="仿宋" w:cs="仿宋"/>
          <w:color w:val="auto"/>
          <w:kern w:val="0"/>
          <w:sz w:val="21"/>
          <w:szCs w:val="21"/>
          <w:highlight w:val="none"/>
          <w:lang w:eastAsia="zh-CN"/>
        </w:rPr>
        <w:t>竞争性磋商文件</w:t>
      </w:r>
      <w:r>
        <w:rPr>
          <w:rFonts w:hint="eastAsia" w:ascii="仿宋" w:hAnsi="仿宋" w:eastAsia="仿宋" w:cs="仿宋"/>
          <w:color w:val="auto"/>
          <w:kern w:val="0"/>
          <w:sz w:val="21"/>
          <w:szCs w:val="21"/>
          <w:highlight w:val="none"/>
        </w:rPr>
        <w:t>要求的计划工期进行施工的各个关键日期。</w:t>
      </w:r>
    </w:p>
    <w:p>
      <w:pPr>
        <w:pageBreakBefore w:val="0"/>
        <w:kinsoku/>
        <w:overflowPunct/>
        <w:bidi w:val="0"/>
        <w:snapToGrid w:val="0"/>
        <w:spacing w:line="360" w:lineRule="auto"/>
        <w:rPr>
          <w:rFonts w:ascii="仿宋" w:hAnsi="仿宋" w:eastAsia="仿宋" w:cs="仿宋"/>
          <w:color w:val="auto"/>
          <w:highlight w:val="none"/>
        </w:rPr>
      </w:pPr>
      <w:bookmarkStart w:id="645" w:name="_Toc332620061"/>
      <w:bookmarkStart w:id="646" w:name="_Toc342383084"/>
      <w:bookmarkStart w:id="647" w:name="_Toc332619155"/>
      <w:bookmarkStart w:id="648" w:name="_Toc359491503"/>
      <w:bookmarkStart w:id="649" w:name="_Toc483345512"/>
      <w:bookmarkStart w:id="650" w:name="_Toc359335283"/>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附表五：施工总平面图</w:t>
      </w:r>
      <w:bookmarkEnd w:id="645"/>
      <w:bookmarkEnd w:id="646"/>
      <w:bookmarkEnd w:id="647"/>
      <w:bookmarkEnd w:id="648"/>
      <w:bookmarkEnd w:id="649"/>
      <w:bookmarkEnd w:id="650"/>
    </w:p>
    <w:p>
      <w:pPr>
        <w:pageBreakBefore w:val="0"/>
        <w:kinsoku/>
        <w:overflowPunct/>
        <w:autoSpaceDE w:val="0"/>
        <w:autoSpaceDN w:val="0"/>
        <w:bidi w:val="0"/>
        <w:adjustRightInd w:val="0"/>
        <w:snapToGrid w:val="0"/>
        <w:spacing w:line="360" w:lineRule="auto"/>
        <w:ind w:firstLine="420" w:firstLineChars="200"/>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供应商应递交一份施工总平面图，绘出现场临时设施布置图表并附文字说明，说明临时设施、加工车间、现场办公、设备及仓储、供电、供水、卫生、生活、道路、消防等设施的情况和布置。</w:t>
      </w:r>
    </w:p>
    <w:p>
      <w:pPr>
        <w:pageBreakBefore w:val="0"/>
        <w:kinsoku/>
        <w:overflowPunct/>
        <w:bidi w:val="0"/>
        <w:snapToGrid w:val="0"/>
        <w:spacing w:line="360" w:lineRule="auto"/>
        <w:rPr>
          <w:rFonts w:ascii="仿宋" w:hAnsi="仿宋" w:eastAsia="仿宋" w:cs="仿宋"/>
          <w:b/>
          <w:bCs/>
          <w:color w:val="auto"/>
          <w:sz w:val="21"/>
          <w:szCs w:val="21"/>
          <w:highlight w:val="none"/>
        </w:rPr>
      </w:pPr>
      <w:bookmarkStart w:id="651" w:name="_Toc359335284"/>
      <w:bookmarkStart w:id="652" w:name="_Toc359491504"/>
      <w:bookmarkStart w:id="653" w:name="_Toc332620062"/>
      <w:bookmarkStart w:id="654" w:name="_Toc483345513"/>
      <w:bookmarkStart w:id="655" w:name="_Toc342383085"/>
      <w:bookmarkStart w:id="656" w:name="_Toc332619156"/>
      <w:r>
        <w:rPr>
          <w:rFonts w:hint="eastAsia" w:ascii="仿宋" w:hAnsi="仿宋" w:eastAsia="仿宋" w:cs="仿宋"/>
          <w:b/>
          <w:bCs/>
          <w:color w:val="auto"/>
          <w:sz w:val="21"/>
          <w:szCs w:val="21"/>
          <w:highlight w:val="none"/>
        </w:rPr>
        <w:t>附表六：临时用地表</w:t>
      </w:r>
      <w:bookmarkEnd w:id="651"/>
      <w:bookmarkEnd w:id="652"/>
      <w:bookmarkEnd w:id="653"/>
      <w:bookmarkEnd w:id="654"/>
      <w:bookmarkEnd w:id="655"/>
      <w:bookmarkEnd w:id="65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2328"/>
        <w:gridCol w:w="2329"/>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用 途</w:t>
            </w:r>
          </w:p>
        </w:tc>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面 积（平方米）</w:t>
            </w: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位 置</w:t>
            </w: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bl>
    <w:p>
      <w:pPr>
        <w:rPr>
          <w:rFonts w:hint="eastAsia" w:ascii="仿宋" w:hAnsi="仿宋" w:eastAsia="仿宋" w:cs="仿宋"/>
          <w:color w:val="auto"/>
          <w:sz w:val="21"/>
          <w:szCs w:val="21"/>
          <w:highlight w:val="none"/>
        </w:rPr>
      </w:pPr>
      <w:bookmarkStart w:id="657" w:name="_Toc29954"/>
      <w:bookmarkStart w:id="658" w:name="_Toc15954"/>
      <w:bookmarkStart w:id="659" w:name="_Toc332619670"/>
      <w:bookmarkStart w:id="660" w:name="_Toc359491505"/>
      <w:bookmarkStart w:id="661" w:name="_Toc332619157"/>
      <w:bookmarkStart w:id="662" w:name="_Toc483345514"/>
      <w:bookmarkStart w:id="663" w:name="_Toc332620063"/>
      <w:r>
        <w:rPr>
          <w:rFonts w:hint="eastAsia" w:ascii="仿宋" w:hAnsi="仿宋" w:eastAsia="仿宋" w:cs="仿宋"/>
          <w:color w:val="auto"/>
          <w:sz w:val="21"/>
          <w:szCs w:val="21"/>
          <w:highlight w:val="none"/>
        </w:rPr>
        <w:br w:type="page"/>
      </w: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七、资格审查资料</w:t>
      </w:r>
      <w:bookmarkEnd w:id="657"/>
      <w:bookmarkEnd w:id="658"/>
      <w:bookmarkEnd w:id="659"/>
      <w:bookmarkEnd w:id="660"/>
      <w:bookmarkEnd w:id="661"/>
      <w:bookmarkEnd w:id="662"/>
      <w:bookmarkEnd w:id="663"/>
    </w:p>
    <w:p>
      <w:pPr>
        <w:pageBreakBefore w:val="0"/>
        <w:kinsoku/>
        <w:overflowPunct/>
        <w:bidi w:val="0"/>
        <w:snapToGrid w:val="0"/>
        <w:spacing w:line="360" w:lineRule="auto"/>
        <w:rPr>
          <w:rFonts w:ascii="仿宋" w:hAnsi="仿宋" w:eastAsia="仿宋" w:cs="仿宋"/>
          <w:b/>
          <w:bCs/>
          <w:color w:val="auto"/>
          <w:sz w:val="21"/>
          <w:szCs w:val="21"/>
          <w:highlight w:val="none"/>
        </w:rPr>
      </w:pPr>
      <w:bookmarkStart w:id="664" w:name="_Toc359491506"/>
      <w:bookmarkStart w:id="665" w:name="_Toc483345515"/>
      <w:bookmarkStart w:id="666" w:name="_Toc342383087"/>
      <w:bookmarkStart w:id="667" w:name="_Toc332619671"/>
      <w:bookmarkStart w:id="668" w:name="_Toc297276708"/>
      <w:bookmarkStart w:id="669" w:name="_Toc287429352"/>
      <w:bookmarkStart w:id="670" w:name="_Toc332620064"/>
      <w:bookmarkStart w:id="671" w:name="_Toc359335286"/>
      <w:bookmarkStart w:id="672" w:name="_Toc332619158"/>
      <w:r>
        <w:rPr>
          <w:rFonts w:hint="eastAsia" w:ascii="仿宋" w:hAnsi="仿宋" w:eastAsia="仿宋" w:cs="仿宋"/>
          <w:b/>
          <w:bCs/>
          <w:color w:val="auto"/>
          <w:sz w:val="21"/>
          <w:szCs w:val="21"/>
          <w:highlight w:val="none"/>
        </w:rPr>
        <w:t>（一）供应商基本情况表</w:t>
      </w:r>
      <w:bookmarkEnd w:id="664"/>
      <w:bookmarkEnd w:id="665"/>
      <w:bookmarkEnd w:id="666"/>
      <w:bookmarkEnd w:id="667"/>
      <w:bookmarkEnd w:id="668"/>
      <w:bookmarkEnd w:id="669"/>
      <w:bookmarkEnd w:id="670"/>
      <w:bookmarkEnd w:id="671"/>
      <w:bookmarkEnd w:id="67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p>
        </w:tc>
        <w:tc>
          <w:tcPr>
            <w:tcW w:w="7020" w:type="dxa"/>
            <w:gridSpan w:val="9"/>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3389" w:type="dxa"/>
            <w:gridSpan w:val="5"/>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46"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2385" w:type="dxa"/>
            <w:gridSpan w:val="3"/>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2492"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46"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p>
        </w:tc>
        <w:tc>
          <w:tcPr>
            <w:tcW w:w="2385" w:type="dxa"/>
            <w:gridSpan w:val="3"/>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传 真</w:t>
            </w:r>
          </w:p>
        </w:tc>
        <w:tc>
          <w:tcPr>
            <w:tcW w:w="2492"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46"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网  址</w:t>
            </w:r>
          </w:p>
        </w:tc>
        <w:tc>
          <w:tcPr>
            <w:tcW w:w="2385" w:type="dxa"/>
            <w:gridSpan w:val="3"/>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组织结构</w:t>
            </w:r>
          </w:p>
        </w:tc>
        <w:tc>
          <w:tcPr>
            <w:tcW w:w="7020" w:type="dxa"/>
            <w:gridSpan w:val="9"/>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02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76"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701" w:type="dxa"/>
            <w:gridSpan w:val="3"/>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09"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416"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技术负责人</w:t>
            </w: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02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276"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701" w:type="dxa"/>
            <w:gridSpan w:val="3"/>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709"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416"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p>
        </w:tc>
        <w:tc>
          <w:tcPr>
            <w:tcW w:w="1918"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5102" w:type="dxa"/>
            <w:gridSpan w:val="7"/>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企业资质等级</w:t>
            </w: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2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3" w:type="dxa"/>
            <w:vMerge w:val="restart"/>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其中</w:t>
            </w:r>
          </w:p>
        </w:tc>
        <w:tc>
          <w:tcPr>
            <w:tcW w:w="1984"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项目经理</w:t>
            </w:r>
          </w:p>
        </w:tc>
        <w:tc>
          <w:tcPr>
            <w:tcW w:w="2125"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营业执照号</w:t>
            </w: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2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3" w:type="dxa"/>
            <w:vMerge w:val="continue"/>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984"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高级职称人员</w:t>
            </w:r>
          </w:p>
        </w:tc>
        <w:tc>
          <w:tcPr>
            <w:tcW w:w="2125"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注册资金</w:t>
            </w: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2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3" w:type="dxa"/>
            <w:vMerge w:val="continue"/>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984"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中级职称人员</w:t>
            </w:r>
          </w:p>
        </w:tc>
        <w:tc>
          <w:tcPr>
            <w:tcW w:w="2125"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2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3" w:type="dxa"/>
            <w:vMerge w:val="continue"/>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984"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初级职称人员</w:t>
            </w:r>
          </w:p>
        </w:tc>
        <w:tc>
          <w:tcPr>
            <w:tcW w:w="2125"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tc>
        <w:tc>
          <w:tcPr>
            <w:tcW w:w="897"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02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993" w:type="dxa"/>
            <w:vMerge w:val="continue"/>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c>
          <w:tcPr>
            <w:tcW w:w="1984" w:type="dxa"/>
            <w:gridSpan w:val="4"/>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技  工</w:t>
            </w:r>
          </w:p>
        </w:tc>
        <w:tc>
          <w:tcPr>
            <w:tcW w:w="2125" w:type="dxa"/>
            <w:gridSpan w:val="2"/>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经营范围</w:t>
            </w:r>
          </w:p>
        </w:tc>
        <w:tc>
          <w:tcPr>
            <w:tcW w:w="7020" w:type="dxa"/>
            <w:gridSpan w:val="9"/>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7020" w:type="dxa"/>
            <w:gridSpan w:val="9"/>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bl>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备注：本表后应附企业法人营业执照证明材料、企业资质证书副本、安全生产许可证等材料的复印件。</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bookmarkStart w:id="673" w:name="_Toc287429353"/>
      <w:bookmarkStart w:id="674" w:name="_Toc332619672"/>
      <w:bookmarkStart w:id="675" w:name="_Toc332619159"/>
      <w:bookmarkStart w:id="676" w:name="_Toc297276709"/>
      <w:bookmarkStart w:id="677" w:name="_Toc483345516"/>
      <w:bookmarkStart w:id="678" w:name="_Toc359491507"/>
      <w:bookmarkStart w:id="679" w:name="_Toc332620065"/>
      <w:bookmarkStart w:id="680" w:name="_Toc342383088"/>
      <w:bookmarkStart w:id="681" w:name="_Toc359335287"/>
      <w:r>
        <w:rPr>
          <w:rFonts w:hint="eastAsia" w:ascii="仿宋" w:hAnsi="仿宋" w:eastAsia="仿宋" w:cs="仿宋"/>
          <w:b/>
          <w:bCs/>
          <w:color w:val="auto"/>
          <w:sz w:val="21"/>
          <w:szCs w:val="21"/>
          <w:highlight w:val="none"/>
        </w:rPr>
        <w:t>（二）</w:t>
      </w:r>
      <w:bookmarkEnd w:id="673"/>
      <w:bookmarkEnd w:id="674"/>
      <w:bookmarkEnd w:id="675"/>
      <w:bookmarkEnd w:id="676"/>
      <w:bookmarkEnd w:id="677"/>
      <w:bookmarkEnd w:id="678"/>
      <w:bookmarkEnd w:id="679"/>
      <w:bookmarkEnd w:id="680"/>
      <w:bookmarkEnd w:id="681"/>
      <w:r>
        <w:rPr>
          <w:rFonts w:hint="eastAsia" w:ascii="仿宋" w:hAnsi="仿宋" w:eastAsia="仿宋" w:cs="仿宋"/>
          <w:b/>
          <w:color w:val="auto"/>
          <w:sz w:val="21"/>
          <w:szCs w:val="21"/>
          <w:highlight w:val="none"/>
        </w:rPr>
        <w:t>资格审查其他资料</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2、落实政府采购政策满足的资格要求：根据《政府采购促进中小企业发展管理办法》（财库【2020】46号）的规定，本项目属于专门面向中小企业采购的项目。</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（1）符合《中华人民共和国政府采购法》第二十二条规定； </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①具有独立承担民事责任的能力；（提供营业执照）</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②具有良好的商业信誉和健全的财务会计制度；（提供2021年度或2022年度财务审计报告（新成立企业从成立之日起算；若企业成立不足一年，则提供自成立以来的财务报表或基本户开户银行开具的资信证明））</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③具有履行合同所必需的设备和专业技术能力；（提供书面承诺）</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④有依法缴纳税收和社会保障资金的良好记录；（提供2023年1月1日以来任意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个月依法缴纳税收和社会保障资金的证明材料(可以是银行扣款回单或电子缴款凭证或相关部门开具的凭据，依法免税的应提供相关证明)）</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⑤参加政府采购活动前三年内，在经营活动中没有重大违法记录；（提供书面承诺）</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（2）供应商须具备行政主管部门颁发的</w:t>
      </w:r>
      <w:r>
        <w:rPr>
          <w:rFonts w:hint="eastAsia" w:ascii="仿宋" w:hAnsi="仿宋" w:eastAsia="仿宋" w:cs="仿宋"/>
          <w:color w:val="FF0000"/>
          <w:sz w:val="21"/>
          <w:szCs w:val="21"/>
          <w:highlight w:val="none"/>
          <w:lang w:val="en-US" w:eastAsia="zh-CN"/>
        </w:rPr>
        <w:t>公路工程或</w:t>
      </w:r>
      <w:r>
        <w:rPr>
          <w:rFonts w:hint="eastAsia" w:ascii="仿宋" w:hAnsi="仿宋" w:eastAsia="仿宋" w:cs="仿宋"/>
          <w:color w:val="FF0000"/>
          <w:sz w:val="21"/>
          <w:szCs w:val="21"/>
          <w:highlight w:val="none"/>
        </w:rPr>
        <w:t>市政公用工程施</w:t>
      </w:r>
      <w:r>
        <w:rPr>
          <w:rFonts w:hint="eastAsia" w:ascii="仿宋" w:hAnsi="仿宋" w:eastAsia="仿宋" w:cs="仿宋"/>
          <w:color w:val="auto"/>
          <w:sz w:val="21"/>
          <w:szCs w:val="21"/>
          <w:highlight w:val="none"/>
        </w:rPr>
        <w:t>工总承包叁级及以上资质证书，并在人员、设备、资金等方面具备相应的施工能力，具备有效的安全生产许可证；</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（3）项目经理要求：供应商拟派项目经理须具有</w:t>
      </w:r>
      <w:r>
        <w:rPr>
          <w:rFonts w:hint="eastAsia" w:ascii="仿宋" w:hAnsi="仿宋" w:eastAsia="仿宋" w:cs="仿宋"/>
          <w:color w:val="FF0000"/>
          <w:sz w:val="21"/>
          <w:szCs w:val="21"/>
          <w:highlight w:val="none"/>
          <w:lang w:val="en-US" w:eastAsia="zh-CN"/>
        </w:rPr>
        <w:t>公路工程或</w:t>
      </w:r>
      <w:r>
        <w:rPr>
          <w:rFonts w:hint="eastAsia" w:ascii="仿宋" w:hAnsi="仿宋" w:eastAsia="仿宋" w:cs="仿宋"/>
          <w:color w:val="auto"/>
          <w:sz w:val="21"/>
          <w:szCs w:val="21"/>
          <w:highlight w:val="none"/>
        </w:rPr>
        <w:t>市政公用工程专业贰级及以上注册建造师资格且具备有效的安全生产考核合格证（B类），劳动合同及</w:t>
      </w:r>
      <w:r>
        <w:rPr>
          <w:rFonts w:hint="eastAsia" w:ascii="仿宋" w:hAnsi="仿宋" w:eastAsia="仿宋" w:cs="仿宋"/>
          <w:color w:val="auto"/>
          <w:sz w:val="21"/>
          <w:szCs w:val="21"/>
          <w:highlight w:val="none"/>
          <w:lang w:val="en-US" w:eastAsia="zh-CN"/>
        </w:rPr>
        <w:t>2023年1月1日以来</w:t>
      </w:r>
      <w:r>
        <w:rPr>
          <w:rFonts w:hint="eastAsia" w:ascii="仿宋" w:hAnsi="仿宋" w:eastAsia="仿宋" w:cs="仿宋"/>
          <w:color w:val="auto"/>
          <w:sz w:val="21"/>
          <w:szCs w:val="21"/>
          <w:highlight w:val="none"/>
        </w:rPr>
        <w:t>任意</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个月的社会保险证明，且未担任其他在建工程项目经理；</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（4）信誉要求：</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①根据《关于在政府采购活动中查询及使用信用记录有关问题的通知》（财库〔2016〕125号）的规定，对列入失信被执行人、重大税收违法失信主体、政府采购严重违法失信行为记录名单</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拒绝参与本项目政府采购活动。采购人或采购代理机构在本项目开标后评标结束前通过“信用中国”网站(www.creditchina.gov.cn)、中国政府采购网(www.ccgp.gov.cn)等渠道查询相关主体信用记录，信用信息查询记录与其他采购文件一并保存；</w:t>
      </w:r>
    </w:p>
    <w:p>
      <w:pPr>
        <w:pageBreakBefore w:val="0"/>
        <w:kinsoku/>
        <w:overflowPunct/>
        <w:bidi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单位负责人为同一人或者存在控股、管理关系的不同单位，不得同时参加本项目投标。【需提供“国家企业信用信息公示系统”中查询打印的相关材料并加盖公章（需包含公司基本信息、股东信息及股权变更信息）】；</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（5）本次招标不接受联合体投标，不允许转包</w:t>
      </w:r>
      <w:r>
        <w:rPr>
          <w:rFonts w:hint="eastAsia" w:ascii="仿宋" w:hAnsi="仿宋" w:eastAsia="仿宋" w:cs="仿宋"/>
          <w:color w:val="auto"/>
          <w:sz w:val="21"/>
          <w:szCs w:val="21"/>
          <w:highlight w:val="none"/>
          <w:lang w:val="en-US" w:eastAsia="zh-CN"/>
        </w:rPr>
        <w:t>。</w:t>
      </w:r>
    </w:p>
    <w:p>
      <w:pPr>
        <w:pageBreakBefore w:val="0"/>
        <w:kinsoku/>
        <w:overflowPunct/>
        <w:bidi w:val="0"/>
        <w:snapToGrid w:val="0"/>
        <w:spacing w:line="360" w:lineRule="auto"/>
        <w:ind w:firstLine="420"/>
        <w:rPr>
          <w:rFonts w:hint="default"/>
          <w:highlight w:val="none"/>
          <w:lang w:val="en-US" w:eastAsia="zh-CN"/>
        </w:rPr>
      </w:pPr>
    </w:p>
    <w:p>
      <w:pPr>
        <w:pageBreakBefore w:val="0"/>
        <w:widowControl/>
        <w:numPr>
          <w:ilvl w:val="0"/>
          <w:numId w:val="0"/>
        </w:numPr>
        <w:kinsoku/>
        <w:overflowPunct/>
        <w:bidi w:val="0"/>
        <w:snapToGrid w:val="0"/>
        <w:spacing w:line="360" w:lineRule="auto"/>
        <w:ind w:leftChars="138"/>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p>
    <w:p>
      <w:pPr>
        <w:pStyle w:val="23"/>
        <w:pageBreakBefore w:val="0"/>
        <w:kinsoku/>
        <w:overflowPunct/>
        <w:bidi w:val="0"/>
        <w:snapToGrid w:val="0"/>
        <w:spacing w:line="360" w:lineRule="auto"/>
        <w:rPr>
          <w:highlight w:val="none"/>
        </w:rPr>
      </w:pPr>
    </w:p>
    <w:p>
      <w:pPr>
        <w:pageBreakBefore w:val="0"/>
        <w:kinsoku/>
        <w:overflowPunct/>
        <w:bidi w:val="0"/>
        <w:snapToGrid w:val="0"/>
        <w:spacing w:line="360" w:lineRule="auto"/>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rPr>
        <w:br w:type="page"/>
      </w:r>
      <w:bookmarkStart w:id="682" w:name="_Toc359335288"/>
      <w:bookmarkStart w:id="683" w:name="_Toc332619160"/>
      <w:bookmarkStart w:id="684" w:name="_Toc342383089"/>
      <w:bookmarkStart w:id="685" w:name="_Toc287429354"/>
      <w:bookmarkStart w:id="686" w:name="_Toc359491508"/>
      <w:bookmarkStart w:id="687" w:name="_Toc297276710"/>
      <w:bookmarkStart w:id="688" w:name="_Toc332620066"/>
      <w:bookmarkStart w:id="689" w:name="_Toc332619673"/>
      <w:bookmarkStart w:id="690" w:name="_Toc483345517"/>
      <w:r>
        <w:rPr>
          <w:rFonts w:hint="eastAsia" w:ascii="仿宋" w:hAnsi="仿宋" w:eastAsia="仿宋" w:cs="仿宋"/>
          <w:b/>
          <w:bCs/>
          <w:color w:val="auto"/>
          <w:sz w:val="21"/>
          <w:szCs w:val="21"/>
          <w:highlight w:val="none"/>
        </w:rPr>
        <w:t>（三）近年完成的类似项目情况表</w:t>
      </w:r>
      <w:bookmarkEnd w:id="682"/>
      <w:bookmarkEnd w:id="683"/>
      <w:bookmarkEnd w:id="684"/>
      <w:bookmarkEnd w:id="685"/>
      <w:bookmarkEnd w:id="686"/>
      <w:bookmarkEnd w:id="687"/>
      <w:bookmarkEnd w:id="688"/>
      <w:bookmarkEnd w:id="689"/>
      <w:bookmarkEnd w:id="690"/>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如有</w:t>
      </w:r>
      <w:r>
        <w:rPr>
          <w:rFonts w:hint="eastAsia" w:ascii="仿宋" w:hAnsi="仿宋" w:eastAsia="仿宋" w:cs="仿宋"/>
          <w:b/>
          <w:bCs/>
          <w:color w:val="auto"/>
          <w:sz w:val="21"/>
          <w:szCs w:val="21"/>
          <w:highlight w:val="none"/>
          <w:lang w:eastAsia="zh-CN"/>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项目所在地</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发包人名称</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发包人地址</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发包人联系人及电话</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合同价格</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开工日期</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竣工日期</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承担的工作</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工程质量</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项目经理</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技术负责人</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总监理工程师及电话</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项目描述</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094"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bl>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注：本表后附需提供中标通知书</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施工合同格证明材料复印件。每张表格只填写一个项目，并标明序号</w:t>
      </w:r>
      <w:r>
        <w:rPr>
          <w:rFonts w:hint="eastAsia" w:ascii="仿宋" w:hAnsi="仿宋" w:eastAsia="仿宋" w:cs="仿宋"/>
          <w:color w:val="auto"/>
          <w:sz w:val="21"/>
          <w:szCs w:val="21"/>
          <w:highlight w:val="none"/>
        </w:rPr>
        <w:br w:type="page"/>
      </w:r>
      <w:bookmarkStart w:id="691" w:name="_Toc332620067"/>
      <w:bookmarkStart w:id="692" w:name="_Toc483345518"/>
      <w:bookmarkStart w:id="693" w:name="_Toc359335289"/>
      <w:bookmarkStart w:id="694" w:name="_Toc359491509"/>
      <w:bookmarkStart w:id="695" w:name="_Toc342383090"/>
      <w:bookmarkStart w:id="696" w:name="_Toc332619674"/>
      <w:bookmarkStart w:id="697" w:name="_Toc287429355"/>
      <w:bookmarkStart w:id="698" w:name="_Toc332619161"/>
      <w:bookmarkStart w:id="699" w:name="_Toc297276711"/>
      <w:r>
        <w:rPr>
          <w:rFonts w:hint="eastAsia" w:ascii="仿宋" w:hAnsi="仿宋" w:eastAsia="仿宋" w:cs="仿宋"/>
          <w:b/>
          <w:bCs/>
          <w:color w:val="auto"/>
          <w:sz w:val="21"/>
          <w:szCs w:val="21"/>
          <w:highlight w:val="none"/>
        </w:rPr>
        <w:t>（四）正在施工的和新承接的项目情况表</w:t>
      </w:r>
      <w:bookmarkEnd w:id="691"/>
      <w:bookmarkEnd w:id="692"/>
      <w:bookmarkEnd w:id="693"/>
      <w:bookmarkEnd w:id="694"/>
      <w:bookmarkEnd w:id="695"/>
      <w:bookmarkEnd w:id="696"/>
      <w:bookmarkEnd w:id="697"/>
      <w:bookmarkEnd w:id="698"/>
      <w:bookmarkEnd w:id="699"/>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如有</w:t>
      </w:r>
      <w:r>
        <w:rPr>
          <w:rFonts w:hint="eastAsia" w:ascii="仿宋" w:hAnsi="仿宋" w:eastAsia="仿宋" w:cs="仿宋"/>
          <w:b/>
          <w:bCs/>
          <w:color w:val="auto"/>
          <w:sz w:val="21"/>
          <w:szCs w:val="21"/>
          <w:highlight w:val="none"/>
          <w:lang w:eastAsia="zh-CN"/>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项目所在地</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发包人名称</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发包人地址</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发包人联系人及电话</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签约合同价</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开工日期</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竣工日期</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承担的工作</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工程质量</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项目经理</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技术负责人</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总监理工程师及电话</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项目描述</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095" w:type="dxa"/>
            <w:vAlign w:val="center"/>
          </w:tcPr>
          <w:p>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仿宋" w:hAnsi="仿宋" w:eastAsia="仿宋" w:cs="仿宋"/>
                <w:color w:val="auto"/>
                <w:sz w:val="21"/>
                <w:szCs w:val="21"/>
                <w:highlight w:val="none"/>
              </w:rPr>
            </w:pPr>
          </w:p>
        </w:tc>
      </w:tr>
    </w:tbl>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备注：本表后附中标通知书</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合同协议书复印件。每张表格只填写一个项目，并标明序号。</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bookmarkStart w:id="700" w:name="_Toc342383091"/>
      <w:bookmarkStart w:id="701" w:name="_Toc297276712"/>
      <w:bookmarkStart w:id="702" w:name="_Toc332619162"/>
      <w:bookmarkStart w:id="703" w:name="_Toc332619675"/>
      <w:bookmarkStart w:id="704" w:name="_Toc359335290"/>
      <w:bookmarkStart w:id="705" w:name="_Toc287429356"/>
      <w:bookmarkStart w:id="706" w:name="_Toc332620068"/>
      <w:bookmarkStart w:id="707" w:name="_Toc359491510"/>
      <w:bookmarkStart w:id="708" w:name="_Toc483345519"/>
      <w:r>
        <w:rPr>
          <w:rFonts w:hint="eastAsia" w:ascii="仿宋" w:hAnsi="仿宋" w:eastAsia="仿宋" w:cs="仿宋"/>
          <w:b/>
          <w:bCs/>
          <w:color w:val="auto"/>
          <w:sz w:val="21"/>
          <w:szCs w:val="21"/>
          <w:highlight w:val="none"/>
        </w:rPr>
        <w:t>（五）近年发生的诉讼和仲裁情况</w:t>
      </w:r>
      <w:bookmarkEnd w:id="700"/>
      <w:bookmarkEnd w:id="701"/>
      <w:bookmarkEnd w:id="702"/>
      <w:bookmarkEnd w:id="703"/>
      <w:bookmarkEnd w:id="704"/>
      <w:bookmarkEnd w:id="705"/>
      <w:bookmarkEnd w:id="706"/>
      <w:bookmarkEnd w:id="707"/>
      <w:bookmarkEnd w:id="708"/>
    </w:p>
    <w:p>
      <w:pPr>
        <w:pageBreakBefore w:val="0"/>
        <w:kinsoku/>
        <w:overflowPunct/>
        <w:bidi w:val="0"/>
        <w:snapToGrid w:val="0"/>
        <w:spacing w:line="360" w:lineRule="auto"/>
        <w:ind w:left="630" w:hanging="630" w:hangingChars="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说明：近年发生的诉讼和仲裁情况仅限于供应商败诉的，且与履行施工承包合同有关的案件，不包括调解结案以及未裁决的仲裁或未终审判决的诉讼。</w:t>
      </w:r>
    </w:p>
    <w:p>
      <w:pPr>
        <w:pageBreakBefore w:val="0"/>
        <w:kinsoku/>
        <w:overflowPunct/>
        <w:bidi w:val="0"/>
        <w:snapToGrid w:val="0"/>
        <w:spacing w:line="360" w:lineRule="auto"/>
        <w:rPr>
          <w:rFonts w:ascii="仿宋" w:hAnsi="仿宋" w:eastAsia="仿宋" w:cs="仿宋"/>
          <w:color w:val="auto"/>
          <w:sz w:val="21"/>
          <w:szCs w:val="21"/>
          <w:highlight w:val="none"/>
        </w:rPr>
      </w:pPr>
      <w:bookmarkStart w:id="709" w:name="_Toc332620069"/>
      <w:bookmarkStart w:id="710" w:name="_Toc297276713"/>
      <w:bookmarkStart w:id="711" w:name="_Toc359335291"/>
      <w:bookmarkStart w:id="712" w:name="_Toc332619163"/>
      <w:bookmarkStart w:id="713" w:name="_Toc342383092"/>
      <w:bookmarkStart w:id="714" w:name="_Toc287429357"/>
      <w:bookmarkStart w:id="715" w:name="_Toc332619676"/>
      <w:bookmarkStart w:id="716" w:name="_Toc359491511"/>
    </w:p>
    <w:p>
      <w:pPr>
        <w:pageBreakBefore w:val="0"/>
        <w:kinsoku/>
        <w:overflowPunct/>
        <w:bidi w:val="0"/>
        <w:snapToGrid w:val="0"/>
        <w:spacing w:line="360" w:lineRule="auto"/>
        <w:rPr>
          <w:rFonts w:ascii="仿宋" w:hAnsi="仿宋" w:eastAsia="仿宋" w:cs="仿宋"/>
          <w:b/>
          <w:bCs/>
          <w:color w:val="auto"/>
          <w:sz w:val="21"/>
          <w:szCs w:val="21"/>
          <w:highlight w:val="none"/>
        </w:rPr>
      </w:pPr>
      <w:bookmarkStart w:id="717" w:name="_Toc483345520"/>
      <w:r>
        <w:rPr>
          <w:rFonts w:hint="eastAsia" w:ascii="仿宋" w:hAnsi="仿宋" w:eastAsia="仿宋" w:cs="仿宋"/>
          <w:b/>
          <w:bCs/>
          <w:color w:val="auto"/>
          <w:sz w:val="21"/>
          <w:szCs w:val="21"/>
          <w:highlight w:val="none"/>
        </w:rPr>
        <w:t>（六）</w:t>
      </w:r>
      <w:bookmarkEnd w:id="709"/>
      <w:bookmarkEnd w:id="710"/>
      <w:bookmarkEnd w:id="711"/>
      <w:bookmarkEnd w:id="712"/>
      <w:bookmarkEnd w:id="713"/>
      <w:bookmarkEnd w:id="714"/>
      <w:bookmarkEnd w:id="715"/>
      <w:bookmarkEnd w:id="716"/>
      <w:bookmarkEnd w:id="717"/>
      <w:r>
        <w:rPr>
          <w:rFonts w:hint="eastAsia" w:ascii="仿宋" w:hAnsi="仿宋" w:eastAsia="仿宋" w:cs="仿宋"/>
          <w:b/>
          <w:bCs/>
          <w:color w:val="auto"/>
          <w:sz w:val="21"/>
          <w:szCs w:val="21"/>
          <w:highlight w:val="none"/>
        </w:rPr>
        <w:t>不拖欠农民工工资承诺（格式自拟）</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ind w:left="630" w:hanging="630" w:hangingChars="300"/>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ind w:left="630" w:hanging="630" w:hangingChars="300"/>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pPr>
      <w:bookmarkStart w:id="718" w:name="_Toc24187"/>
      <w:bookmarkStart w:id="719" w:name="_Toc332620070"/>
      <w:bookmarkStart w:id="720" w:name="_Toc483345521"/>
      <w:bookmarkStart w:id="721" w:name="_Toc332619677"/>
      <w:bookmarkStart w:id="722" w:name="_Toc359491512"/>
      <w:bookmarkStart w:id="723" w:name="_Toc332619164"/>
      <w:bookmarkStart w:id="724" w:name="_Toc10225"/>
      <w:r>
        <w:rPr>
          <w:rFonts w:hint="eastAsia" w:ascii="仿宋" w:hAnsi="仿宋" w:eastAsia="仿宋" w:cs="仿宋"/>
          <w:color w:val="auto"/>
          <w:sz w:val="21"/>
          <w:szCs w:val="21"/>
          <w:highlight w:val="none"/>
        </w:rPr>
        <w:t>八、项目管理机构</w:t>
      </w:r>
      <w:bookmarkEnd w:id="718"/>
      <w:bookmarkEnd w:id="719"/>
      <w:bookmarkEnd w:id="720"/>
      <w:bookmarkEnd w:id="721"/>
      <w:bookmarkEnd w:id="722"/>
      <w:bookmarkEnd w:id="723"/>
      <w:bookmarkEnd w:id="724"/>
    </w:p>
    <w:p>
      <w:pPr>
        <w:pageBreakBefore w:val="0"/>
        <w:numPr>
          <w:ilvl w:val="0"/>
          <w:numId w:val="3"/>
        </w:numPr>
        <w:kinsoku/>
        <w:overflowPunct/>
        <w:autoSpaceDE w:val="0"/>
        <w:autoSpaceDN w:val="0"/>
        <w:bidi w:val="0"/>
        <w:adjustRightInd w:val="0"/>
        <w:snapToGrid w:val="0"/>
        <w:spacing w:line="360" w:lineRule="auto"/>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项目管理机构组成表</w:t>
      </w:r>
    </w:p>
    <w:p>
      <w:pPr>
        <w:pageBreakBefore w:val="0"/>
        <w:kinsoku/>
        <w:overflowPunct/>
        <w:autoSpaceDE w:val="0"/>
        <w:autoSpaceDN w:val="0"/>
        <w:bidi w:val="0"/>
        <w:adjustRightInd w:val="0"/>
        <w:snapToGrid w:val="0"/>
        <w:spacing w:line="360" w:lineRule="auto"/>
        <w:jc w:val="left"/>
        <w:rPr>
          <w:rFonts w:ascii="仿宋" w:hAnsi="仿宋" w:eastAsia="仿宋" w:cs="仿宋"/>
          <w:color w:val="auto"/>
          <w:kern w:val="0"/>
          <w:sz w:val="21"/>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972"/>
        <w:gridCol w:w="1260"/>
        <w:gridCol w:w="873"/>
        <w:gridCol w:w="907"/>
        <w:gridCol w:w="972"/>
        <w:gridCol w:w="1440"/>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34" w:type="dxa"/>
            <w:vMerge w:val="restart"/>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职务</w:t>
            </w:r>
          </w:p>
        </w:tc>
        <w:tc>
          <w:tcPr>
            <w:tcW w:w="1034" w:type="dxa"/>
            <w:vMerge w:val="restart"/>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姓名</w:t>
            </w:r>
          </w:p>
        </w:tc>
        <w:tc>
          <w:tcPr>
            <w:tcW w:w="972" w:type="dxa"/>
            <w:vMerge w:val="restart"/>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职称</w:t>
            </w:r>
          </w:p>
        </w:tc>
        <w:tc>
          <w:tcPr>
            <w:tcW w:w="5452" w:type="dxa"/>
            <w:gridSpan w:val="5"/>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执业或职业资格证明</w:t>
            </w: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34" w:type="dxa"/>
            <w:vMerge w:val="continue"/>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Merge w:val="continue"/>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Merge w:val="continue"/>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证书名称</w:t>
            </w: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级别</w:t>
            </w: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证号</w:t>
            </w: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专业</w:t>
            </w: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养老保险</w:t>
            </w: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03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26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73"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07"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972"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44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821"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bl>
    <w:p>
      <w:pPr>
        <w:pageBreakBefore w:val="0"/>
        <w:kinsoku/>
        <w:overflowPunct/>
        <w:autoSpaceDE w:val="0"/>
        <w:autoSpaceDN w:val="0"/>
        <w:bidi w:val="0"/>
        <w:adjustRightInd w:val="0"/>
        <w:snapToGrid w:val="0"/>
        <w:spacing w:line="360" w:lineRule="auto"/>
        <w:jc w:val="left"/>
        <w:rPr>
          <w:rFonts w:ascii="仿宋" w:hAnsi="仿宋" w:eastAsia="仿宋" w:cs="仿宋"/>
          <w:b/>
          <w:color w:val="auto"/>
          <w:kern w:val="0"/>
          <w:sz w:val="21"/>
          <w:szCs w:val="21"/>
          <w:highlight w:val="none"/>
        </w:rPr>
      </w:pPr>
    </w:p>
    <w:p>
      <w:pPr>
        <w:pageBreakBefore w:val="0"/>
        <w:kinsoku/>
        <w:overflowPunct/>
        <w:autoSpaceDE w:val="0"/>
        <w:autoSpaceDN w:val="0"/>
        <w:bidi w:val="0"/>
        <w:adjustRightInd w:val="0"/>
        <w:snapToGrid w:val="0"/>
        <w:spacing w:line="360" w:lineRule="auto"/>
        <w:jc w:val="left"/>
        <w:rPr>
          <w:rFonts w:ascii="仿宋" w:hAnsi="仿宋" w:eastAsia="仿宋" w:cs="仿宋"/>
          <w:b/>
          <w:color w:val="auto"/>
          <w:kern w:val="0"/>
          <w:sz w:val="21"/>
          <w:szCs w:val="21"/>
          <w:highlight w:val="none"/>
        </w:rPr>
      </w:pPr>
    </w:p>
    <w:p>
      <w:pPr>
        <w:pageBreakBefore w:val="0"/>
        <w:kinsoku/>
        <w:overflowPunct/>
        <w:autoSpaceDE w:val="0"/>
        <w:autoSpaceDN w:val="0"/>
        <w:bidi w:val="0"/>
        <w:adjustRightInd w:val="0"/>
        <w:snapToGrid w:val="0"/>
        <w:spacing w:line="360" w:lineRule="auto"/>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（二）主要人员简历表</w:t>
      </w:r>
    </w:p>
    <w:p>
      <w:pPr>
        <w:pageBreakBefore w:val="0"/>
        <w:kinsoku/>
        <w:overflowPunct/>
        <w:autoSpaceDE w:val="0"/>
        <w:autoSpaceDN w:val="0"/>
        <w:bidi w:val="0"/>
        <w:adjustRightInd w:val="0"/>
        <w:snapToGrid w:val="0"/>
        <w:spacing w:line="360" w:lineRule="auto"/>
        <w:ind w:firstLine="420" w:firstLineChars="200"/>
        <w:jc w:val="left"/>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“主要人员简历表”中的项目经理应附注册建造师证、安全生产考核合格证、身份证、社保、劳动合同复印件，完成过的项目业绩须附中标通知书、施工合同复印件</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如有</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，项目经理必须附无在建项目承诺书；技术负责人应附身份证、职称证、劳动合同等复印件、其他主要人员应附职称证（执业证或上岗证书）、劳动合同复印件。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424"/>
        <w:gridCol w:w="904"/>
        <w:gridCol w:w="1276"/>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姓 名</w:t>
            </w:r>
          </w:p>
        </w:tc>
        <w:tc>
          <w:tcPr>
            <w:tcW w:w="1551"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55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龄</w:t>
            </w:r>
          </w:p>
        </w:tc>
        <w:tc>
          <w:tcPr>
            <w:tcW w:w="142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18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学 历</w:t>
            </w:r>
          </w:p>
        </w:tc>
        <w:tc>
          <w:tcPr>
            <w:tcW w:w="105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职 称</w:t>
            </w:r>
          </w:p>
        </w:tc>
        <w:tc>
          <w:tcPr>
            <w:tcW w:w="1551"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1555"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职 务</w:t>
            </w:r>
          </w:p>
        </w:tc>
        <w:tc>
          <w:tcPr>
            <w:tcW w:w="142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18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拟在本合同任职</w:t>
            </w:r>
          </w:p>
        </w:tc>
        <w:tc>
          <w:tcPr>
            <w:tcW w:w="1054"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毕业学校</w:t>
            </w:r>
          </w:p>
        </w:tc>
        <w:tc>
          <w:tcPr>
            <w:tcW w:w="7764" w:type="dxa"/>
            <w:gridSpan w:val="7"/>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时 间</w:t>
            </w: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参加过的类似建筑项目</w:t>
            </w: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担任职务</w:t>
            </w: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9"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28"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c>
          <w:tcPr>
            <w:tcW w:w="2330" w:type="dxa"/>
            <w:gridSpan w:val="2"/>
            <w:vAlign w:val="center"/>
          </w:tcPr>
          <w:p>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center"/>
              <w:rPr>
                <w:rFonts w:hint="default" w:ascii="仿宋" w:hAnsi="仿宋" w:eastAsia="仿宋" w:cs="仿宋"/>
                <w:color w:val="auto"/>
                <w:kern w:val="0"/>
                <w:sz w:val="21"/>
                <w:szCs w:val="21"/>
                <w:highlight w:val="none"/>
              </w:rPr>
            </w:pPr>
          </w:p>
        </w:tc>
      </w:tr>
    </w:tbl>
    <w:p>
      <w:pPr>
        <w:pageBreakBefore w:val="0"/>
        <w:kinsoku/>
        <w:overflowPunct/>
        <w:autoSpaceDE w:val="0"/>
        <w:autoSpaceDN w:val="0"/>
        <w:bidi w:val="0"/>
        <w:adjustRightInd w:val="0"/>
        <w:snapToGrid w:val="0"/>
        <w:spacing w:line="360" w:lineRule="auto"/>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注：表格可自行增加</w:t>
      </w:r>
    </w:p>
    <w:p>
      <w:pPr>
        <w:pageBreakBefore w:val="0"/>
        <w:kinsoku/>
        <w:overflowPunct/>
        <w:autoSpaceDE w:val="0"/>
        <w:autoSpaceDN w:val="0"/>
        <w:bidi w:val="0"/>
        <w:adjustRightInd w:val="0"/>
        <w:snapToGrid w:val="0"/>
        <w:spacing w:line="360" w:lineRule="auto"/>
        <w:jc w:val="center"/>
        <w:rPr>
          <w:rFonts w:ascii="仿宋" w:hAnsi="仿宋" w:eastAsia="仿宋" w:cs="仿宋"/>
          <w:b/>
          <w:color w:val="auto"/>
          <w:kern w:val="0"/>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before="240" w:beforeLines="100" w:after="240" w:afterLines="100" w:line="360" w:lineRule="auto"/>
        <w:jc w:val="center"/>
        <w:rPr>
          <w:rFonts w:ascii="仿宋" w:hAnsi="仿宋" w:eastAsia="仿宋" w:cs="仿宋"/>
          <w:color w:val="auto"/>
          <w:sz w:val="21"/>
          <w:szCs w:val="21"/>
          <w:highlight w:val="none"/>
        </w:rPr>
      </w:pPr>
    </w:p>
    <w:p>
      <w:pPr>
        <w:pageBreakBefore w:val="0"/>
        <w:kinsoku/>
        <w:overflowPunct/>
        <w:bidi w:val="0"/>
        <w:snapToGrid w:val="0"/>
        <w:spacing w:before="240" w:beforeLines="100" w:after="240" w:afterLines="100"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项目经理无在建承诺函</w:t>
      </w:r>
    </w:p>
    <w:p>
      <w:pPr>
        <w:pageBreakBefore w:val="0"/>
        <w:kinsoku/>
        <w:overflowPunct/>
        <w:bidi w:val="0"/>
        <w:snapToGrid w:val="0"/>
        <w:spacing w:after="240" w:afterLines="100" w:line="360" w:lineRule="auto"/>
        <w:rPr>
          <w:rFonts w:ascii="仿宋" w:hAnsi="仿宋" w:eastAsia="仿宋" w:cs="仿宋"/>
          <w:color w:val="auto"/>
          <w:sz w:val="21"/>
          <w:szCs w:val="21"/>
          <w:highlight w:val="none"/>
        </w:rPr>
      </w:pPr>
      <w:r>
        <w:rPr>
          <w:rFonts w:hint="eastAsia" w:ascii="仿宋" w:hAnsi="仿宋" w:eastAsia="仿宋" w:cs="仿宋"/>
          <w:color w:val="auto"/>
          <w:position w:val="-7"/>
          <w:sz w:val="21"/>
          <w:szCs w:val="21"/>
          <w:highlight w:val="none"/>
        </w:rPr>
        <w:t>————————</w:t>
      </w:r>
      <w:r>
        <w:rPr>
          <w:rFonts w:hint="eastAsia" w:ascii="仿宋" w:hAnsi="仿宋" w:eastAsia="仿宋" w:cs="仿宋"/>
          <w:color w:val="auto"/>
          <w:sz w:val="21"/>
          <w:szCs w:val="21"/>
          <w:highlight w:val="none"/>
        </w:rPr>
        <w:t>（采购人名称）：</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我方在此声明，我方拟派往</w:t>
      </w:r>
      <w:r>
        <w:rPr>
          <w:rFonts w:hint="eastAsia" w:ascii="仿宋" w:hAnsi="仿宋" w:eastAsia="仿宋" w:cs="仿宋"/>
          <w:color w:val="auto"/>
          <w:sz w:val="21"/>
          <w:szCs w:val="21"/>
          <w:highlight w:val="none"/>
          <w:u w:val="single"/>
        </w:rPr>
        <w:t xml:space="preserve">        （项目名称）  （以下简称“本工程”）</w:t>
      </w:r>
      <w:r>
        <w:rPr>
          <w:rFonts w:hint="eastAsia" w:ascii="仿宋" w:hAnsi="仿宋" w:eastAsia="仿宋" w:cs="仿宋"/>
          <w:color w:val="auto"/>
          <w:sz w:val="21"/>
          <w:szCs w:val="21"/>
          <w:highlight w:val="none"/>
        </w:rPr>
        <w:t>的项目经理</w:t>
      </w:r>
      <w:r>
        <w:rPr>
          <w:rFonts w:hint="eastAsia" w:ascii="仿宋" w:hAnsi="仿宋" w:eastAsia="仿宋" w:cs="仿宋"/>
          <w:color w:val="auto"/>
          <w:sz w:val="21"/>
          <w:szCs w:val="21"/>
          <w:highlight w:val="none"/>
          <w:u w:val="single"/>
        </w:rPr>
        <w:t xml:space="preserve">           （项目经理姓名）</w:t>
      </w:r>
      <w:r>
        <w:rPr>
          <w:rFonts w:hint="eastAsia" w:ascii="仿宋" w:hAnsi="仿宋" w:eastAsia="仿宋" w:cs="仿宋"/>
          <w:color w:val="auto"/>
          <w:sz w:val="21"/>
          <w:szCs w:val="21"/>
          <w:highlight w:val="none"/>
        </w:rPr>
        <w:t>现阶段没有担任任何在施建设工程项目的项目经理。</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我方保证上述信息的真实和准确，并愿意承担因我方就此弄虚作假所引起的一切法律后果。</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特此承诺</w:t>
      </w:r>
    </w:p>
    <w:p>
      <w:pPr>
        <w:pageBreakBefore w:val="0"/>
        <w:kinsoku/>
        <w:overflowPunct/>
        <w:bidi w:val="0"/>
        <w:snapToGrid w:val="0"/>
        <w:spacing w:line="360" w:lineRule="auto"/>
        <w:ind w:firstLine="420" w:firstLineChars="200"/>
        <w:rPr>
          <w:rFonts w:ascii="仿宋" w:hAnsi="仿宋" w:eastAsia="仿宋" w:cs="仿宋"/>
          <w:color w:val="auto"/>
          <w:sz w:val="21"/>
          <w:szCs w:val="21"/>
          <w:highlight w:val="none"/>
        </w:rPr>
      </w:pPr>
    </w:p>
    <w:p>
      <w:pPr>
        <w:pageBreakBefore w:val="0"/>
        <w:kinsoku/>
        <w:wordWrap w:val="0"/>
        <w:overflowPunct/>
        <w:bidi w:val="0"/>
        <w:snapToGrid w:val="0"/>
        <w:spacing w:line="360" w:lineRule="auto"/>
        <w:ind w:firstLine="420" w:firstLineChars="200"/>
        <w:jc w:val="right"/>
        <w:rPr>
          <w:rFonts w:ascii="仿宋" w:hAnsi="仿宋" w:eastAsia="仿宋" w:cs="仿宋"/>
          <w:color w:val="auto"/>
          <w:sz w:val="21"/>
          <w:szCs w:val="21"/>
          <w:highlight w:val="none"/>
        </w:rPr>
      </w:pPr>
      <w:r>
        <w:rPr>
          <w:rFonts w:hint="eastAsia" w:ascii="仿宋" w:hAnsi="仿宋" w:eastAsia="仿宋" w:cs="仿宋"/>
          <w:i/>
          <w:color w:val="auto"/>
          <w:sz w:val="21"/>
          <w:szCs w:val="21"/>
          <w:highlight w:val="none"/>
        </w:rPr>
        <w:t xml:space="preserve">    </w:t>
      </w:r>
      <w:r>
        <w:rPr>
          <w:rFonts w:hint="eastAsia" w:ascii="仿宋" w:hAnsi="仿宋" w:eastAsia="仿宋" w:cs="仿宋"/>
          <w:color w:val="auto"/>
          <w:sz w:val="21"/>
          <w:szCs w:val="21"/>
          <w:highlight w:val="none"/>
        </w:rPr>
        <w:t xml:space="preserve"> 供应商名称：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4"/>
          <w:highlight w:val="none"/>
        </w:rPr>
        <w:t>企业公章</w:t>
      </w:r>
      <w:r>
        <w:rPr>
          <w:rFonts w:hint="eastAsia" w:ascii="仿宋" w:hAnsi="仿宋" w:eastAsia="仿宋" w:cs="仿宋"/>
          <w:color w:val="auto"/>
          <w:sz w:val="21"/>
          <w:szCs w:val="21"/>
          <w:highlight w:val="none"/>
        </w:rPr>
        <w:t>）</w:t>
      </w:r>
    </w:p>
    <w:p>
      <w:pPr>
        <w:pageBreakBefore w:val="0"/>
        <w:kinsoku/>
        <w:wordWrap w:val="0"/>
        <w:overflowPunct/>
        <w:bidi w:val="0"/>
        <w:snapToGrid w:val="0"/>
        <w:spacing w:line="360" w:lineRule="auto"/>
        <w:ind w:firstLine="420" w:firstLineChars="200"/>
        <w:jc w:val="righ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年   月   日 </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p>
    <w:p>
      <w:pPr>
        <w:pStyle w:val="4"/>
        <w:pageBreakBefore w:val="0"/>
        <w:kinsoku/>
        <w:overflowPunct/>
        <w:bidi w:val="0"/>
        <w:snapToGrid w:val="0"/>
        <w:spacing w:line="360" w:lineRule="auto"/>
        <w:jc w:val="center"/>
        <w:rPr>
          <w:rFonts w:ascii="仿宋" w:hAnsi="仿宋" w:eastAsia="仿宋" w:cs="仿宋"/>
          <w:color w:val="auto"/>
          <w:sz w:val="21"/>
          <w:szCs w:val="21"/>
          <w:highlight w:val="none"/>
        </w:rPr>
      </w:pPr>
      <w:bookmarkStart w:id="725" w:name="_Toc993"/>
      <w:bookmarkStart w:id="726" w:name="_Toc483345522"/>
      <w:bookmarkStart w:id="727" w:name="_Toc15783"/>
      <w:r>
        <w:rPr>
          <w:rFonts w:hint="eastAsia" w:ascii="仿宋" w:hAnsi="仿宋" w:eastAsia="仿宋" w:cs="仿宋"/>
          <w:color w:val="auto"/>
          <w:sz w:val="21"/>
          <w:szCs w:val="21"/>
          <w:highlight w:val="none"/>
        </w:rPr>
        <w:t>九、其他材料</w:t>
      </w:r>
      <w:bookmarkEnd w:id="725"/>
      <w:bookmarkEnd w:id="726"/>
      <w:bookmarkEnd w:id="727"/>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包含但不限于以下资料：</w:t>
      </w:r>
    </w:p>
    <w:p>
      <w:pPr>
        <w:pageBreakBefore w:val="0"/>
        <w:kinsoku/>
        <w:overflowPunct/>
        <w:bidi w:val="0"/>
        <w:snapToGrid w:val="0"/>
        <w:spacing w:line="360" w:lineRule="auto"/>
        <w:ind w:left="4800" w:leftChars="1600" w:firstLine="1155" w:firstLineChars="55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pageBreakBefore w:val="0"/>
        <w:kinsoku/>
        <w:overflowPunct/>
        <w:bidi w:val="0"/>
        <w:snapToGrid w:val="0"/>
        <w:spacing w:line="360" w:lineRule="auto"/>
        <w:rPr>
          <w:rFonts w:ascii="仿宋" w:hAnsi="仿宋" w:eastAsia="仿宋" w:cs="仿宋"/>
          <w:color w:val="auto"/>
          <w:sz w:val="21"/>
          <w:szCs w:val="21"/>
          <w:highlight w:val="none"/>
          <w:lang w:bidi="ar"/>
        </w:rPr>
      </w:pPr>
      <w:r>
        <w:rPr>
          <w:rFonts w:hint="eastAsia" w:ascii="仿宋" w:hAnsi="仿宋" w:eastAsia="仿宋" w:cs="仿宋"/>
          <w:b/>
          <w:color w:val="auto"/>
          <w:sz w:val="21"/>
          <w:szCs w:val="21"/>
          <w:highlight w:val="none"/>
        </w:rPr>
        <w:t>1、供应商认为需要提供的其他资料。</w:t>
      </w: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Style w:val="26"/>
        <w:pageBreakBefore w:val="0"/>
        <w:kinsoku/>
        <w:overflowPunct/>
        <w:bidi w:val="0"/>
        <w:snapToGrid w:val="0"/>
        <w:spacing w:line="360" w:lineRule="auto"/>
        <w:rPr>
          <w:rFonts w:ascii="仿宋" w:hAnsi="仿宋" w:eastAsia="仿宋" w:cs="仿宋"/>
          <w:color w:val="auto"/>
          <w:sz w:val="21"/>
          <w:szCs w:val="21"/>
          <w:highlight w:val="none"/>
          <w:lang w:bidi="ar"/>
        </w:rPr>
      </w:pPr>
    </w:p>
    <w:p>
      <w:pPr>
        <w:pageBreakBefore w:val="0"/>
        <w:kinsoku/>
        <w:overflowPunct/>
        <w:bidi w:val="0"/>
        <w:snapToGrid w:val="0"/>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pageBreakBefore w:val="0"/>
        <w:kinsoku/>
        <w:overflowPunct/>
        <w:bidi w:val="0"/>
        <w:snapToGrid w:val="0"/>
        <w:spacing w:line="360" w:lineRule="auto"/>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2、反商业贿赂承诺书</w:t>
      </w:r>
    </w:p>
    <w:p>
      <w:pPr>
        <w:pageBreakBefore w:val="0"/>
        <w:kinsoku/>
        <w:overflowPunct/>
        <w:bidi w:val="0"/>
        <w:snapToGrid w:val="0"/>
        <w:spacing w:line="360" w:lineRule="auto"/>
        <w:jc w:val="center"/>
        <w:textAlignment w:val="baseline"/>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反商业贿赂承诺书</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我公司承诺：</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在</w:t>
      </w:r>
      <w:r>
        <w:rPr>
          <w:rFonts w:hint="eastAsia" w:ascii="仿宋" w:hAnsi="仿宋" w:eastAsia="仿宋" w:cs="仿宋"/>
          <w:color w:val="auto"/>
          <w:sz w:val="21"/>
          <w:szCs w:val="21"/>
          <w:highlight w:val="none"/>
          <w:u w:val="single"/>
        </w:rPr>
        <w:t xml:space="preserve">             项目名称         </w:t>
      </w:r>
      <w:r>
        <w:rPr>
          <w:rFonts w:hint="eastAsia" w:ascii="仿宋" w:hAnsi="仿宋" w:eastAsia="仿宋" w:cs="仿宋"/>
          <w:color w:val="auto"/>
          <w:sz w:val="21"/>
          <w:szCs w:val="21"/>
          <w:highlight w:val="none"/>
        </w:rPr>
        <w:t xml:space="preserve">（项目编号为：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）采购活动中，我方保证做到：</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一、公平竞争参加本次采购活动。</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pPr>
        <w:pageBreakBefore w:val="0"/>
        <w:kinsoku/>
        <w:overflowPunct/>
        <w:bidi w:val="0"/>
        <w:snapToGrid w:val="0"/>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三、若出现上述行为，我方及参与招标投标活动的工作人员愿意接受按照国家法律法规等有关规定给予的处罚。</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供应商名称：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4"/>
          <w:highlight w:val="none"/>
        </w:rPr>
        <w:t>企业公章</w:t>
      </w:r>
      <w:r>
        <w:rPr>
          <w:rFonts w:hint="eastAsia" w:ascii="仿宋" w:hAnsi="仿宋" w:eastAsia="仿宋" w:cs="仿宋"/>
          <w:color w:val="auto"/>
          <w:sz w:val="21"/>
          <w:szCs w:val="21"/>
          <w:highlight w:val="none"/>
        </w:rPr>
        <w:t xml:space="preserve">） </w:t>
      </w:r>
    </w:p>
    <w:p>
      <w:pPr>
        <w:pageBreakBefore w:val="0"/>
        <w:kinsoku/>
        <w:overflowPunct/>
        <w:bidi w:val="0"/>
        <w:snapToGrid w:val="0"/>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法定代表人或其委托代理人：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（个人签字或盖章）</w:t>
      </w:r>
    </w:p>
    <w:p>
      <w:pPr>
        <w:pageBreakBefore w:val="0"/>
        <w:kinsoku/>
        <w:overflowPunct/>
        <w:bidi w:val="0"/>
        <w:snapToGrid w:val="0"/>
        <w:spacing w:line="360" w:lineRule="auto"/>
        <w:jc w:val="center"/>
        <w:rPr>
          <w:rFonts w:ascii="仿宋" w:hAnsi="仿宋" w:eastAsia="仿宋" w:cs="仿宋"/>
          <w:color w:val="auto"/>
          <w:spacing w:val="20"/>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0"/>
          <w:sz w:val="21"/>
          <w:szCs w:val="21"/>
          <w:highlight w:val="none"/>
          <w:u w:val="single"/>
        </w:rPr>
        <w:t xml:space="preserve">      </w:t>
      </w:r>
      <w:r>
        <w:rPr>
          <w:rFonts w:hint="eastAsia" w:ascii="仿宋" w:hAnsi="仿宋" w:eastAsia="仿宋" w:cs="仿宋"/>
          <w:color w:val="auto"/>
          <w:spacing w:val="20"/>
          <w:sz w:val="21"/>
          <w:szCs w:val="21"/>
          <w:highlight w:val="none"/>
        </w:rPr>
        <w:t>年</w:t>
      </w:r>
      <w:r>
        <w:rPr>
          <w:rFonts w:hint="eastAsia" w:ascii="仿宋" w:hAnsi="仿宋" w:eastAsia="仿宋" w:cs="仿宋"/>
          <w:color w:val="auto"/>
          <w:spacing w:val="20"/>
          <w:sz w:val="21"/>
          <w:szCs w:val="21"/>
          <w:highlight w:val="none"/>
          <w:u w:val="single"/>
        </w:rPr>
        <w:t xml:space="preserve">    </w:t>
      </w:r>
      <w:r>
        <w:rPr>
          <w:rFonts w:hint="eastAsia" w:ascii="仿宋" w:hAnsi="仿宋" w:eastAsia="仿宋" w:cs="仿宋"/>
          <w:color w:val="auto"/>
          <w:spacing w:val="20"/>
          <w:sz w:val="21"/>
          <w:szCs w:val="21"/>
          <w:highlight w:val="none"/>
        </w:rPr>
        <w:t>月</w:t>
      </w:r>
      <w:r>
        <w:rPr>
          <w:rFonts w:hint="eastAsia" w:ascii="仿宋" w:hAnsi="仿宋" w:eastAsia="仿宋" w:cs="仿宋"/>
          <w:color w:val="auto"/>
          <w:spacing w:val="20"/>
          <w:sz w:val="21"/>
          <w:szCs w:val="21"/>
          <w:highlight w:val="none"/>
          <w:u w:val="single"/>
        </w:rPr>
        <w:t xml:space="preserve">    </w:t>
      </w:r>
      <w:r>
        <w:rPr>
          <w:rFonts w:hint="eastAsia" w:ascii="仿宋" w:hAnsi="仿宋" w:eastAsia="仿宋" w:cs="仿宋"/>
          <w:color w:val="auto"/>
          <w:spacing w:val="20"/>
          <w:sz w:val="21"/>
          <w:szCs w:val="21"/>
          <w:highlight w:val="none"/>
        </w:rPr>
        <w:t>日</w:t>
      </w:r>
    </w:p>
    <w:p>
      <w:pPr>
        <w:pageBreakBefore w:val="0"/>
        <w:kinsoku/>
        <w:overflowPunct/>
        <w:bidi w:val="0"/>
        <w:snapToGrid w:val="0"/>
        <w:spacing w:line="360" w:lineRule="auto"/>
        <w:jc w:val="center"/>
        <w:rPr>
          <w:rFonts w:ascii="仿宋" w:hAnsi="仿宋" w:eastAsia="仿宋" w:cs="仿宋"/>
          <w:b/>
          <w:color w:val="auto"/>
          <w:sz w:val="28"/>
          <w:szCs w:val="28"/>
          <w:highlight w:val="none"/>
        </w:rPr>
      </w:pPr>
    </w:p>
    <w:p>
      <w:pPr>
        <w:pageBreakBefore w:val="0"/>
        <w:kinsoku/>
        <w:overflowPunct/>
        <w:bidi w:val="0"/>
        <w:snapToGrid w:val="0"/>
        <w:spacing w:line="360" w:lineRule="auto"/>
        <w:rPr>
          <w:rFonts w:ascii="仿宋" w:hAnsi="仿宋" w:eastAsia="仿宋" w:cs="仿宋"/>
          <w:b/>
          <w:color w:val="auto"/>
          <w:sz w:val="21"/>
          <w:szCs w:val="21"/>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21"/>
          <w:szCs w:val="21"/>
          <w:highlight w:val="none"/>
        </w:rPr>
        <w:t>3、</w:t>
      </w:r>
      <w:r>
        <w:rPr>
          <w:rFonts w:hint="eastAsia" w:ascii="仿宋" w:hAnsi="仿宋" w:eastAsia="仿宋" w:cs="仿宋"/>
          <w:b/>
          <w:color w:val="auto"/>
          <w:sz w:val="21"/>
          <w:szCs w:val="21"/>
          <w:highlight w:val="none"/>
          <w:lang w:val="en-US" w:eastAsia="en-US"/>
        </w:rPr>
        <w:t>享受政府釆购政策扶持的证明材料</w:t>
      </w:r>
    </w:p>
    <w:p>
      <w:pPr>
        <w:pageBreakBefore w:val="0"/>
        <w:kinsoku/>
        <w:overflowPunct/>
        <w:bidi w:val="0"/>
        <w:snapToGrid w:val="0"/>
        <w:spacing w:line="360" w:lineRule="auto"/>
        <w:jc w:val="center"/>
        <w:textAlignment w:val="baseline"/>
        <w:rPr>
          <w:rFonts w:ascii="仿宋" w:hAnsi="仿宋" w:eastAsia="仿宋" w:cs="仿宋"/>
          <w:b/>
          <w:color w:val="auto"/>
          <w:sz w:val="21"/>
          <w:szCs w:val="21"/>
          <w:highlight w:val="none"/>
        </w:rPr>
      </w:pPr>
    </w:p>
    <w:p>
      <w:pPr>
        <w:pStyle w:val="31"/>
        <w:keepNext/>
        <w:keepLines/>
        <w:pageBreakBefore w:val="0"/>
        <w:widowControl w:val="0"/>
        <w:suppressLineNumbers w:val="0"/>
        <w:kinsoku/>
        <w:wordWrap/>
        <w:overflowPunct/>
        <w:topLinePunct w:val="0"/>
        <w:autoSpaceDE/>
        <w:autoSpaceDN/>
        <w:bidi w:val="0"/>
        <w:adjustRightInd/>
        <w:snapToGrid w:val="0"/>
        <w:spacing w:after="240" w:afterAutospacing="0" w:line="360" w:lineRule="auto"/>
        <w:jc w:val="center"/>
        <w:textAlignment w:val="auto"/>
        <w:rPr>
          <w:rFonts w:hint="eastAsia" w:ascii="仿宋" w:hAnsi="仿宋" w:eastAsia="仿宋" w:cs="仿宋"/>
          <w:i w:val="0"/>
          <w:iCs w:val="0"/>
          <w:color w:val="auto"/>
          <w:highlight w:val="none"/>
          <w:lang w:eastAsia="zh-TW"/>
        </w:rPr>
      </w:pPr>
      <w:bookmarkStart w:id="728" w:name="bookmark937"/>
      <w:bookmarkStart w:id="729" w:name="bookmark938"/>
      <w:bookmarkStart w:id="730" w:name="_Toc31321"/>
      <w:bookmarkStart w:id="731" w:name="bookmark936"/>
      <w:bookmarkStart w:id="732" w:name="bookmark935"/>
      <w:r>
        <w:rPr>
          <w:rFonts w:hint="eastAsia" w:ascii="仿宋" w:hAnsi="仿宋" w:eastAsia="仿宋" w:cs="仿宋"/>
          <w:i w:val="0"/>
          <w:iCs w:val="0"/>
          <w:color w:val="auto"/>
          <w:highlight w:val="none"/>
          <w:lang w:eastAsia="zh-TW"/>
        </w:rPr>
        <w:t>（</w:t>
      </w:r>
      <w:bookmarkEnd w:id="728"/>
      <w:r>
        <w:rPr>
          <w:rFonts w:hint="eastAsia" w:ascii="仿宋" w:hAnsi="仿宋" w:eastAsia="仿宋" w:cs="仿宋"/>
          <w:i w:val="0"/>
          <w:iCs w:val="0"/>
          <w:color w:val="auto"/>
          <w:highlight w:val="none"/>
          <w:lang w:eastAsia="zh-TW"/>
        </w:rPr>
        <w:t>1）中小企业声明函（工程）</w:t>
      </w:r>
      <w:bookmarkEnd w:id="729"/>
      <w:bookmarkEnd w:id="730"/>
      <w:bookmarkEnd w:id="731"/>
      <w:bookmarkEnd w:id="732"/>
    </w:p>
    <w:p>
      <w:pPr>
        <w:pStyle w:val="28"/>
        <w:pageBreakBefore w:val="0"/>
        <w:widowControl/>
        <w:kinsoku/>
        <w:wordWrap/>
        <w:overflowPunct/>
        <w:topLinePunct w:val="0"/>
        <w:autoSpaceDE/>
        <w:autoSpaceDN/>
        <w:bidi w:val="0"/>
        <w:adjustRightInd/>
        <w:snapToGrid w:val="0"/>
        <w:spacing w:before="0" w:beforeAutospacing="0" w:after="180" w:afterAutospacing="0" w:line="360" w:lineRule="auto"/>
        <w:ind w:left="600" w:right="0" w:firstLine="700"/>
        <w:jc w:val="both"/>
        <w:textAlignment w:val="auto"/>
        <w:rPr>
          <w:rFonts w:hint="eastAsia" w:ascii="仿宋" w:hAnsi="仿宋" w:eastAsia="仿宋" w:cs="仿宋"/>
          <w:color w:val="auto"/>
          <w:highlight w:val="none"/>
          <w:lang w:eastAsia="zh-TW"/>
        </w:rPr>
      </w:pPr>
      <w:r>
        <w:rPr>
          <w:rFonts w:hint="eastAsia" w:ascii="仿宋" w:hAnsi="仿宋" w:eastAsia="仿宋" w:cs="仿宋"/>
          <w:color w:val="auto"/>
          <w:highlight w:val="none"/>
          <w:lang w:eastAsia="zh-TW"/>
        </w:rPr>
        <w:t>本公司（联合体）郑重声明，根据《政府采购促进中小企业发展管理法》（财库（2020）46号）的规定，本公司（联合体）参加</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TW"/>
        </w:rPr>
        <w:t>（单立名称）的</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TW"/>
        </w:rPr>
        <w:t>（项目名称）采购活动,工程的施工单位全部为符合政策要求的中小企业。相关企业（含联合体中的中小企业、签订分包意向协议的中小企业 ）的具体情况如下：</w:t>
      </w:r>
    </w:p>
    <w:p>
      <w:pPr>
        <w:pStyle w:val="28"/>
        <w:pageBreakBefore w:val="0"/>
        <w:widowControl/>
        <w:numPr>
          <w:ilvl w:val="0"/>
          <w:numId w:val="4"/>
        </w:numPr>
        <w:tabs>
          <w:tab w:val="left" w:pos="1320"/>
          <w:tab w:val="left" w:pos="1677"/>
        </w:tabs>
        <w:kinsoku/>
        <w:wordWrap/>
        <w:overflowPunct/>
        <w:topLinePunct w:val="0"/>
        <w:autoSpaceDE/>
        <w:autoSpaceDN/>
        <w:bidi w:val="0"/>
        <w:adjustRightInd/>
        <w:snapToGrid w:val="0"/>
        <w:spacing w:line="360" w:lineRule="auto"/>
        <w:ind w:left="600" w:firstLine="700"/>
        <w:textAlignment w:val="auto"/>
        <w:rPr>
          <w:rFonts w:hint="eastAsia" w:ascii="仿宋" w:hAnsi="仿宋" w:eastAsia="仿宋" w:cs="仿宋"/>
          <w:i w:val="0"/>
          <w:iCs w:val="0"/>
          <w:color w:val="auto"/>
          <w:highlight w:val="none"/>
          <w:lang w:eastAsia="zh-TW"/>
        </w:rPr>
      </w:pPr>
      <w:bookmarkStart w:id="733" w:name="bookmark939"/>
      <w:bookmarkEnd w:id="733"/>
      <w:r>
        <w:rPr>
          <w:rFonts w:hint="eastAsia" w:ascii="仿宋" w:hAnsi="仿宋" w:eastAsia="仿宋" w:cs="仿宋"/>
          <w:i w:val="0"/>
          <w:iCs w:val="0"/>
          <w:color w:val="auto"/>
          <w:highlight w:val="none"/>
          <w:u w:val="single"/>
          <w:lang w:eastAsia="zh-TW"/>
        </w:rPr>
        <w:t>（标的名称）</w:t>
      </w:r>
      <w:r>
        <w:rPr>
          <w:rFonts w:hint="eastAsia" w:ascii="仿宋" w:hAnsi="仿宋" w:eastAsia="仿宋" w:cs="仿宋"/>
          <w:i w:val="0"/>
          <w:iCs w:val="0"/>
          <w:color w:val="auto"/>
          <w:highlight w:val="none"/>
          <w:lang w:eastAsia="zh-TW"/>
        </w:rPr>
        <w:t>,属</w:t>
      </w:r>
      <w:r>
        <w:rPr>
          <w:rFonts w:hint="eastAsia" w:ascii="仿宋" w:hAnsi="仿宋" w:eastAsia="仿宋" w:cs="仿宋"/>
          <w:i w:val="0"/>
          <w:iCs w:val="0"/>
          <w:color w:val="auto"/>
          <w:highlight w:val="none"/>
          <w:u w:val="single"/>
          <w:lang w:eastAsia="zh-TW"/>
        </w:rPr>
        <w:t>于（采购件中明确的所属行业</w:t>
      </w:r>
      <w:r>
        <w:rPr>
          <w:rFonts w:hint="eastAsia" w:ascii="仿宋" w:hAnsi="仿宋" w:eastAsia="仿宋" w:cs="仿宋"/>
          <w:i w:val="0"/>
          <w:iCs w:val="0"/>
          <w:color w:val="auto"/>
          <w:highlight w:val="none"/>
          <w:lang w:eastAsia="zh-TW"/>
        </w:rPr>
        <w:t>）:承建（承接）企业为</w:t>
      </w:r>
      <w:r>
        <w:rPr>
          <w:rFonts w:hint="eastAsia" w:ascii="仿宋" w:hAnsi="仿宋" w:eastAsia="仿宋" w:cs="仿宋"/>
          <w:i w:val="0"/>
          <w:iCs w:val="0"/>
          <w:color w:val="auto"/>
          <w:highlight w:val="none"/>
          <w:u w:val="single"/>
          <w:lang w:eastAsia="zh-TW"/>
        </w:rPr>
        <w:t>（企业名称</w:t>
      </w:r>
      <w:r>
        <w:rPr>
          <w:rFonts w:hint="eastAsia" w:ascii="仿宋" w:hAnsi="仿宋" w:eastAsia="仿宋" w:cs="仿宋"/>
          <w:i w:val="0"/>
          <w:iCs w:val="0"/>
          <w:color w:val="auto"/>
          <w:highlight w:val="none"/>
          <w:lang w:eastAsia="zh-TW"/>
        </w:rPr>
        <w:t>）</w:t>
      </w:r>
      <w:r>
        <w:rPr>
          <w:rFonts w:hint="eastAsia" w:ascii="仿宋" w:hAnsi="仿宋" w:eastAsia="仿宋" w:cs="仿宋"/>
          <w:i w:val="0"/>
          <w:iCs w:val="0"/>
          <w:color w:val="auto"/>
          <w:highlight w:val="none"/>
          <w:lang w:val="en-US" w:eastAsia="zh-CN"/>
        </w:rPr>
        <w:t>从</w:t>
      </w:r>
      <w:r>
        <w:rPr>
          <w:rFonts w:hint="eastAsia" w:ascii="仿宋" w:hAnsi="仿宋" w:eastAsia="仿宋" w:cs="仿宋"/>
          <w:i w:val="0"/>
          <w:iCs w:val="0"/>
          <w:color w:val="auto"/>
          <w:highlight w:val="none"/>
          <w:lang w:eastAsia="zh-TW"/>
        </w:rPr>
        <w:t>业人员</w:t>
      </w:r>
      <w:r>
        <w:rPr>
          <w:rFonts w:hint="eastAsia" w:ascii="仿宋" w:hAnsi="仿宋" w:eastAsia="仿宋" w:cs="仿宋"/>
          <w:i w:val="0"/>
          <w:iCs w:val="0"/>
          <w:color w:val="auto"/>
          <w:highlight w:val="none"/>
          <w:u w:val="single"/>
          <w:lang w:eastAsia="zh-TW"/>
        </w:rPr>
        <w:t xml:space="preserve"> </w:t>
      </w:r>
      <w:r>
        <w:rPr>
          <w:rFonts w:hint="eastAsia" w:ascii="仿宋" w:hAnsi="仿宋" w:eastAsia="仿宋" w:cs="仿宋"/>
          <w:i w:val="0"/>
          <w:iCs w:val="0"/>
          <w:color w:val="auto"/>
          <w:highlight w:val="none"/>
          <w:u w:val="single"/>
          <w:lang w:eastAsia="zh-TW"/>
        </w:rPr>
        <w:tab/>
      </w:r>
      <w:r>
        <w:rPr>
          <w:rFonts w:hint="eastAsia" w:ascii="仿宋" w:hAnsi="仿宋" w:eastAsia="仿宋" w:cs="仿宋"/>
          <w:i w:val="0"/>
          <w:iCs w:val="0"/>
          <w:color w:val="auto"/>
          <w:highlight w:val="none"/>
          <w:lang w:eastAsia="zh-TW"/>
        </w:rPr>
        <w:t>人，营业收入为</w:t>
      </w:r>
      <w:r>
        <w:rPr>
          <w:rFonts w:hint="eastAsia" w:ascii="仿宋" w:hAnsi="仿宋" w:eastAsia="仿宋" w:cs="仿宋"/>
          <w:i w:val="0"/>
          <w:iCs w:val="0"/>
          <w:color w:val="auto"/>
          <w:highlight w:val="none"/>
          <w:u w:val="single"/>
          <w:lang w:val="en-US" w:eastAsia="zh-CN"/>
        </w:rPr>
        <w:t xml:space="preserve">         </w:t>
      </w:r>
      <w:r>
        <w:rPr>
          <w:rFonts w:hint="eastAsia" w:ascii="仿宋" w:hAnsi="仿宋" w:eastAsia="仿宋" w:cs="仿宋"/>
          <w:i w:val="0"/>
          <w:iCs w:val="0"/>
          <w:color w:val="auto"/>
          <w:highlight w:val="none"/>
          <w:lang w:eastAsia="zh-TW"/>
        </w:rPr>
        <w:t>万元,资产总额为</w:t>
      </w:r>
      <w:r>
        <w:rPr>
          <w:rFonts w:hint="eastAsia" w:ascii="仿宋" w:hAnsi="仿宋" w:eastAsia="仿宋" w:cs="仿宋"/>
          <w:i w:val="0"/>
          <w:iCs w:val="0"/>
          <w:color w:val="auto"/>
          <w:highlight w:val="none"/>
          <w:u w:val="single"/>
          <w:lang w:eastAsia="zh-TW"/>
        </w:rPr>
        <w:t xml:space="preserve"> </w:t>
      </w:r>
      <w:r>
        <w:rPr>
          <w:rFonts w:hint="eastAsia" w:ascii="仿宋" w:hAnsi="仿宋" w:eastAsia="仿宋" w:cs="仿宋"/>
          <w:i w:val="0"/>
          <w:iCs w:val="0"/>
          <w:color w:val="auto"/>
          <w:highlight w:val="none"/>
          <w:u w:val="single"/>
          <w:lang w:val="en-US" w:eastAsia="zh-CN"/>
        </w:rPr>
        <w:t xml:space="preserve">      </w:t>
      </w:r>
      <w:r>
        <w:rPr>
          <w:rFonts w:hint="eastAsia" w:ascii="仿宋" w:hAnsi="仿宋" w:eastAsia="仿宋" w:cs="仿宋"/>
          <w:i w:val="0"/>
          <w:iCs w:val="0"/>
          <w:color w:val="auto"/>
          <w:highlight w:val="none"/>
          <w:lang w:eastAsia="zh-TW"/>
        </w:rPr>
        <w:t>万元,属于</w:t>
      </w:r>
      <w:r>
        <w:rPr>
          <w:rFonts w:hint="eastAsia" w:ascii="仿宋" w:hAnsi="仿宋" w:eastAsia="仿宋" w:cs="仿宋"/>
          <w:i w:val="0"/>
          <w:iCs w:val="0"/>
          <w:color w:val="auto"/>
          <w:highlight w:val="none"/>
          <w:u w:val="single"/>
          <w:lang w:val="en-US" w:eastAsia="zh-CN"/>
        </w:rPr>
        <w:t xml:space="preserve">     </w:t>
      </w:r>
      <w:r>
        <w:rPr>
          <w:rFonts w:hint="eastAsia" w:ascii="仿宋" w:hAnsi="仿宋" w:eastAsia="仿宋" w:cs="仿宋"/>
          <w:i w:val="0"/>
          <w:iCs w:val="0"/>
          <w:color w:val="auto"/>
          <w:highlight w:val="none"/>
          <w:u w:val="none"/>
          <w:lang w:eastAsia="zh-TW"/>
        </w:rPr>
        <w:t>（中型企业、小型企业、微型企业）</w:t>
      </w:r>
      <w:r>
        <w:rPr>
          <w:rFonts w:hint="eastAsia" w:ascii="仿宋" w:hAnsi="仿宋" w:eastAsia="仿宋" w:cs="仿宋"/>
          <w:i w:val="0"/>
          <w:iCs w:val="0"/>
          <w:color w:val="auto"/>
          <w:highlight w:val="none"/>
          <w:lang w:eastAsia="zh-CN"/>
        </w:rPr>
        <w:t>；</w:t>
      </w:r>
      <w:r>
        <w:rPr>
          <w:rFonts w:hint="eastAsia" w:ascii="仿宋" w:hAnsi="仿宋" w:eastAsia="仿宋" w:cs="仿宋"/>
          <w:i w:val="0"/>
          <w:iCs w:val="0"/>
          <w:color w:val="auto"/>
          <w:highlight w:val="none"/>
          <w:lang w:val="en-US" w:eastAsia="zh-CN"/>
        </w:rPr>
        <w:t xml:space="preserve"> </w:t>
      </w:r>
    </w:p>
    <w:p>
      <w:pPr>
        <w:pStyle w:val="28"/>
        <w:pageBreakBefore w:val="0"/>
        <w:widowControl/>
        <w:numPr>
          <w:ilvl w:val="0"/>
          <w:numId w:val="4"/>
        </w:numPr>
        <w:tabs>
          <w:tab w:val="left" w:pos="1320"/>
          <w:tab w:val="left" w:pos="1677"/>
        </w:tabs>
        <w:kinsoku/>
        <w:wordWrap/>
        <w:overflowPunct/>
        <w:topLinePunct w:val="0"/>
        <w:autoSpaceDE/>
        <w:autoSpaceDN/>
        <w:bidi w:val="0"/>
        <w:adjustRightInd/>
        <w:snapToGrid w:val="0"/>
        <w:spacing w:line="360" w:lineRule="auto"/>
        <w:ind w:left="600" w:firstLine="700"/>
        <w:jc w:val="left"/>
        <w:textAlignment w:val="auto"/>
        <w:rPr>
          <w:rFonts w:hint="eastAsia" w:ascii="仿宋" w:hAnsi="仿宋" w:eastAsia="仿宋" w:cs="仿宋"/>
          <w:i w:val="0"/>
          <w:iCs w:val="0"/>
          <w:color w:val="auto"/>
          <w:highlight w:val="none"/>
          <w:u w:val="single"/>
          <w:lang w:eastAsia="zh-TW"/>
        </w:rPr>
      </w:pPr>
      <w:bookmarkStart w:id="734" w:name="bookmark940"/>
      <w:bookmarkEnd w:id="734"/>
      <w:r>
        <w:rPr>
          <w:rFonts w:hint="eastAsia" w:ascii="仿宋" w:hAnsi="仿宋" w:eastAsia="仿宋" w:cs="仿宋"/>
          <w:i w:val="0"/>
          <w:iCs w:val="0"/>
          <w:color w:val="auto"/>
          <w:highlight w:val="none"/>
          <w:u w:val="single"/>
          <w:lang w:eastAsia="zh-TW"/>
        </w:rPr>
        <w:t>（标的名称）</w:t>
      </w:r>
      <w:r>
        <w:rPr>
          <w:rFonts w:hint="eastAsia" w:ascii="仿宋" w:hAnsi="仿宋" w:eastAsia="仿宋" w:cs="仿宋"/>
          <w:i w:val="0"/>
          <w:iCs w:val="0"/>
          <w:color w:val="auto"/>
          <w:highlight w:val="none"/>
          <w:u w:val="none"/>
          <w:lang w:eastAsia="zh-TW"/>
        </w:rPr>
        <w:t>属</w:t>
      </w:r>
      <w:r>
        <w:rPr>
          <w:rFonts w:hint="eastAsia" w:ascii="仿宋" w:hAnsi="仿宋" w:eastAsia="仿宋" w:cs="仿宋"/>
          <w:i w:val="0"/>
          <w:iCs w:val="0"/>
          <w:color w:val="auto"/>
          <w:highlight w:val="none"/>
          <w:u w:val="none"/>
          <w:lang w:val="en-US" w:eastAsia="zh-CN"/>
        </w:rPr>
        <w:t>于</w:t>
      </w:r>
      <w:r>
        <w:rPr>
          <w:rFonts w:hint="eastAsia" w:ascii="仿宋" w:hAnsi="仿宋" w:eastAsia="仿宋" w:cs="仿宋"/>
          <w:i w:val="0"/>
          <w:iCs w:val="0"/>
          <w:color w:val="auto"/>
          <w:highlight w:val="none"/>
          <w:u w:val="single"/>
          <w:lang w:eastAsia="zh-TW"/>
        </w:rPr>
        <w:t>（采购件中明确的所属行业）</w:t>
      </w:r>
      <w:r>
        <w:rPr>
          <w:rFonts w:hint="eastAsia" w:ascii="仿宋" w:hAnsi="仿宋" w:eastAsia="仿宋" w:cs="仿宋"/>
          <w:i w:val="0"/>
          <w:iCs w:val="0"/>
          <w:color w:val="auto"/>
          <w:highlight w:val="none"/>
          <w:u w:val="none"/>
          <w:lang w:eastAsia="zh-TW"/>
        </w:rPr>
        <w:t>承建（承接）企业为</w:t>
      </w:r>
      <w:r>
        <w:rPr>
          <w:rFonts w:hint="eastAsia" w:ascii="仿宋" w:hAnsi="仿宋" w:eastAsia="仿宋" w:cs="仿宋"/>
          <w:i w:val="0"/>
          <w:iCs w:val="0"/>
          <w:color w:val="auto"/>
          <w:highlight w:val="none"/>
          <w:u w:val="single"/>
          <w:lang w:eastAsia="zh-TW"/>
        </w:rPr>
        <w:t>（企业名称</w:t>
      </w:r>
      <w:r>
        <w:rPr>
          <w:rFonts w:hint="eastAsia" w:ascii="仿宋" w:hAnsi="仿宋" w:eastAsia="仿宋" w:cs="仿宋"/>
          <w:i w:val="0"/>
          <w:iCs w:val="0"/>
          <w:color w:val="auto"/>
          <w:highlight w:val="none"/>
          <w:u w:val="single"/>
          <w:lang w:eastAsia="zh-CN"/>
        </w:rPr>
        <w:t>）</w:t>
      </w:r>
      <w:r>
        <w:rPr>
          <w:rFonts w:hint="eastAsia" w:ascii="仿宋" w:hAnsi="仿宋" w:eastAsia="仿宋" w:cs="仿宋"/>
          <w:i w:val="0"/>
          <w:iCs w:val="0"/>
          <w:color w:val="auto"/>
          <w:highlight w:val="none"/>
          <w:u w:val="none"/>
          <w:lang w:eastAsia="zh-TW"/>
        </w:rPr>
        <w:t>从业人员</w:t>
      </w:r>
      <w:r>
        <w:rPr>
          <w:rFonts w:hint="eastAsia" w:ascii="仿宋" w:hAnsi="仿宋" w:eastAsia="仿宋" w:cs="仿宋"/>
          <w:i w:val="0"/>
          <w:iCs w:val="0"/>
          <w:color w:val="auto"/>
          <w:highlight w:val="none"/>
          <w:u w:val="single"/>
          <w:lang w:val="en-US" w:eastAsia="zh-CN"/>
        </w:rPr>
        <w:t xml:space="preserve">    </w:t>
      </w:r>
      <w:r>
        <w:rPr>
          <w:rFonts w:hint="eastAsia" w:ascii="仿宋" w:hAnsi="仿宋" w:eastAsia="仿宋" w:cs="仿宋"/>
          <w:i w:val="0"/>
          <w:iCs w:val="0"/>
          <w:color w:val="auto"/>
          <w:highlight w:val="none"/>
          <w:u w:val="none"/>
          <w:lang w:eastAsia="zh-TW"/>
        </w:rPr>
        <w:t>人，营业收入为</w:t>
      </w:r>
      <w:r>
        <w:rPr>
          <w:rFonts w:hint="eastAsia" w:ascii="仿宋" w:hAnsi="仿宋" w:eastAsia="仿宋" w:cs="仿宋"/>
          <w:i w:val="0"/>
          <w:iCs w:val="0"/>
          <w:color w:val="auto"/>
          <w:highlight w:val="none"/>
          <w:u w:val="single"/>
          <w:lang w:val="en-US" w:eastAsia="zh-CN"/>
        </w:rPr>
        <w:t xml:space="preserve">         </w:t>
      </w:r>
      <w:r>
        <w:rPr>
          <w:rFonts w:hint="eastAsia" w:ascii="仿宋" w:hAnsi="仿宋" w:eastAsia="仿宋" w:cs="仿宋"/>
          <w:i w:val="0"/>
          <w:iCs w:val="0"/>
          <w:color w:val="auto"/>
          <w:highlight w:val="none"/>
          <w:u w:val="none"/>
          <w:lang w:eastAsia="zh-TW"/>
        </w:rPr>
        <w:t>万元,资产总额为</w:t>
      </w:r>
      <w:r>
        <w:rPr>
          <w:rFonts w:hint="eastAsia" w:ascii="仿宋" w:hAnsi="仿宋" w:eastAsia="仿宋" w:cs="仿宋"/>
          <w:i w:val="0"/>
          <w:iCs w:val="0"/>
          <w:color w:val="auto"/>
          <w:highlight w:val="none"/>
          <w:u w:val="single"/>
          <w:lang w:val="en-US" w:eastAsia="zh-CN"/>
        </w:rPr>
        <w:t xml:space="preserve">         </w:t>
      </w:r>
      <w:r>
        <w:rPr>
          <w:rFonts w:hint="eastAsia" w:ascii="仿宋" w:hAnsi="仿宋" w:eastAsia="仿宋" w:cs="仿宋"/>
          <w:i w:val="0"/>
          <w:iCs w:val="0"/>
          <w:color w:val="auto"/>
          <w:highlight w:val="none"/>
          <w:u w:val="none"/>
          <w:lang w:eastAsia="zh-TW"/>
        </w:rPr>
        <w:t>万元,属于</w:t>
      </w:r>
      <w:r>
        <w:rPr>
          <w:rFonts w:hint="eastAsia" w:ascii="仿宋" w:hAnsi="仿宋" w:eastAsia="仿宋" w:cs="仿宋"/>
          <w:i w:val="0"/>
          <w:iCs w:val="0"/>
          <w:color w:val="auto"/>
          <w:highlight w:val="none"/>
          <w:u w:val="single"/>
          <w:lang w:val="en-US" w:eastAsia="zh-CN"/>
        </w:rPr>
        <w:t xml:space="preserve">      </w:t>
      </w:r>
      <w:r>
        <w:rPr>
          <w:rFonts w:hint="eastAsia" w:ascii="仿宋" w:hAnsi="仿宋" w:eastAsia="仿宋" w:cs="仿宋"/>
          <w:i w:val="0"/>
          <w:iCs w:val="0"/>
          <w:color w:val="auto"/>
          <w:highlight w:val="none"/>
          <w:u w:val="none"/>
          <w:lang w:eastAsia="zh-TW"/>
        </w:rPr>
        <w:t>（中型企业、小型企业、微型企业）</w:t>
      </w:r>
      <w:r>
        <w:rPr>
          <w:rFonts w:hint="eastAsia" w:ascii="仿宋" w:hAnsi="仿宋" w:eastAsia="仿宋" w:cs="仿宋"/>
          <w:i w:val="0"/>
          <w:iCs w:val="0"/>
          <w:color w:val="auto"/>
          <w:highlight w:val="none"/>
          <w:u w:val="none"/>
          <w:lang w:eastAsia="zh-CN"/>
        </w:rPr>
        <w:t>；</w:t>
      </w:r>
    </w:p>
    <w:p>
      <w:pPr>
        <w:pStyle w:val="28"/>
        <w:pageBreakBefore w:val="0"/>
        <w:widowControl/>
        <w:kinsoku/>
        <w:wordWrap/>
        <w:overflowPunct/>
        <w:topLinePunct w:val="0"/>
        <w:autoSpaceDE/>
        <w:autoSpaceDN/>
        <w:bidi w:val="0"/>
        <w:adjustRightInd/>
        <w:snapToGrid w:val="0"/>
        <w:spacing w:before="0" w:beforeAutospacing="0" w:after="180" w:afterAutospacing="0" w:line="360" w:lineRule="auto"/>
        <w:ind w:left="600" w:right="0" w:firstLine="700"/>
        <w:jc w:val="both"/>
        <w:textAlignment w:val="auto"/>
        <w:rPr>
          <w:rFonts w:hint="eastAsia" w:ascii="仿宋" w:hAnsi="仿宋" w:eastAsia="仿宋" w:cs="仿宋"/>
          <w:color w:val="auto"/>
          <w:highlight w:val="none"/>
          <w:lang w:eastAsia="zh-TW"/>
        </w:rPr>
      </w:pPr>
      <w:r>
        <w:rPr>
          <w:rFonts w:hint="eastAsia" w:ascii="仿宋" w:hAnsi="仿宋" w:eastAsia="仿宋" w:cs="仿宋"/>
          <w:color w:val="auto"/>
          <w:highlight w:val="none"/>
          <w:lang w:eastAsia="zh-TW"/>
        </w:rPr>
        <w:t>以上企业，不属于大企业的分支机构，不存在控股股东为大企业的情形，也不存在与大 企业的负责人为同一人的情形。</w:t>
      </w:r>
    </w:p>
    <w:p>
      <w:pPr>
        <w:pStyle w:val="28"/>
        <w:pageBreakBefore w:val="0"/>
        <w:widowControl/>
        <w:kinsoku/>
        <w:wordWrap/>
        <w:overflowPunct/>
        <w:topLinePunct w:val="0"/>
        <w:autoSpaceDE/>
        <w:autoSpaceDN/>
        <w:bidi w:val="0"/>
        <w:adjustRightInd/>
        <w:snapToGrid w:val="0"/>
        <w:spacing w:line="360" w:lineRule="auto"/>
        <w:ind w:left="1280" w:firstLine="0"/>
        <w:jc w:val="both"/>
        <w:textAlignment w:val="auto"/>
        <w:rPr>
          <w:rFonts w:hint="eastAsia" w:ascii="仿宋" w:hAnsi="仿宋" w:eastAsia="仿宋" w:cs="仿宋"/>
          <w:color w:val="auto"/>
          <w:highlight w:val="none"/>
          <w:lang w:eastAsia="zh-TW"/>
        </w:rPr>
      </w:pPr>
      <w:r>
        <w:rPr>
          <w:rFonts w:hint="eastAsia" w:ascii="仿宋" w:hAnsi="仿宋" w:eastAsia="仿宋" w:cs="仿宋"/>
          <w:color w:val="auto"/>
          <w:highlight w:val="none"/>
          <w:lang w:eastAsia="zh-TW"/>
        </w:rPr>
        <w:t>本企业对上述声明内容的真实性负责。如有虚假，将依法承担相应责任。</w:t>
      </w:r>
    </w:p>
    <w:p>
      <w:pPr>
        <w:pStyle w:val="28"/>
        <w:pageBreakBefore w:val="0"/>
        <w:widowControl/>
        <w:kinsoku/>
        <w:wordWrap/>
        <w:overflowPunct/>
        <w:topLinePunct w:val="0"/>
        <w:autoSpaceDE/>
        <w:autoSpaceDN/>
        <w:bidi w:val="0"/>
        <w:adjustRightInd/>
        <w:snapToGrid w:val="0"/>
        <w:spacing w:before="0" w:beforeAutospacing="0" w:after="180" w:afterAutospacing="0" w:line="360" w:lineRule="auto"/>
        <w:ind w:left="4480" w:right="0" w:firstLine="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TW"/>
        </w:rPr>
        <w:t>企业名称（盖章）：</w:t>
      </w:r>
      <w:r>
        <w:rPr>
          <w:rFonts w:hint="eastAsia" w:ascii="仿宋" w:hAnsi="仿宋" w:eastAsia="仿宋" w:cs="仿宋"/>
          <w:i w:val="0"/>
          <w:iCs w:val="0"/>
          <w:color w:val="auto"/>
          <w:highlight w:val="none"/>
          <w:u w:val="single"/>
          <w:lang w:val="en-US" w:eastAsia="zh-CN"/>
        </w:rPr>
        <w:t xml:space="preserve">                   </w:t>
      </w:r>
    </w:p>
    <w:p>
      <w:pPr>
        <w:pStyle w:val="28"/>
        <w:pageBreakBefore w:val="0"/>
        <w:widowControl/>
        <w:kinsoku/>
        <w:wordWrap/>
        <w:overflowPunct/>
        <w:topLinePunct w:val="0"/>
        <w:autoSpaceDE/>
        <w:autoSpaceDN/>
        <w:bidi w:val="0"/>
        <w:adjustRightInd/>
        <w:snapToGrid w:val="0"/>
        <w:spacing w:line="360" w:lineRule="auto"/>
        <w:ind w:left="0" w:firstLine="0"/>
        <w:jc w:val="center"/>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TW"/>
        </w:rPr>
        <w:t>日期：</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w:t>
      </w:r>
    </w:p>
    <w:p>
      <w:pPr>
        <w:pStyle w:val="28"/>
        <w:pageBreakBefore w:val="0"/>
        <w:widowControl/>
        <w:kinsoku/>
        <w:wordWrap/>
        <w:overflowPunct/>
        <w:topLinePunct w:val="0"/>
        <w:autoSpaceDE/>
        <w:autoSpaceDN/>
        <w:bidi w:val="0"/>
        <w:adjustRightInd/>
        <w:snapToGrid w:val="0"/>
        <w:spacing w:before="0" w:beforeAutospacing="0" w:after="100" w:afterAutospacing="0" w:line="360" w:lineRule="auto"/>
        <w:ind w:left="1040" w:right="0" w:firstLine="0"/>
        <w:jc w:val="both"/>
        <w:textAlignment w:val="auto"/>
        <w:rPr>
          <w:rFonts w:hint="eastAsia" w:ascii="仿宋" w:hAnsi="仿宋" w:eastAsia="仿宋" w:cs="仿宋"/>
          <w:color w:val="auto"/>
          <w:highlight w:val="none"/>
          <w:lang w:eastAsia="zh-TW"/>
        </w:rPr>
      </w:pPr>
      <w:r>
        <w:rPr>
          <w:rFonts w:hint="eastAsia" w:ascii="仿宋" w:hAnsi="仿宋" w:eastAsia="仿宋" w:cs="仿宋"/>
          <w:color w:val="auto"/>
          <w:highlight w:val="none"/>
          <w:lang w:eastAsia="zh-TW"/>
        </w:rPr>
        <w:t>说明：</w:t>
      </w:r>
    </w:p>
    <w:p>
      <w:pPr>
        <w:pStyle w:val="28"/>
        <w:pageBreakBefore w:val="0"/>
        <w:widowControl/>
        <w:tabs>
          <w:tab w:val="left" w:pos="1386"/>
        </w:tabs>
        <w:kinsoku/>
        <w:overflowPunct/>
        <w:bidi w:val="0"/>
        <w:snapToGrid w:val="0"/>
        <w:spacing w:before="0" w:beforeAutospacing="0" w:after="100" w:afterAutospacing="0" w:line="360" w:lineRule="auto"/>
        <w:ind w:left="600" w:right="0" w:firstLine="440"/>
        <w:jc w:val="both"/>
        <w:rPr>
          <w:rFonts w:hint="eastAsia" w:ascii="仿宋" w:hAnsi="仿宋" w:eastAsia="仿宋" w:cs="仿宋"/>
          <w:color w:val="auto"/>
          <w:highlight w:val="none"/>
          <w:lang w:eastAsia="zh-TW"/>
        </w:rPr>
      </w:pPr>
      <w:bookmarkStart w:id="735" w:name="bookmark941"/>
      <w:r>
        <w:rPr>
          <w:rFonts w:hint="eastAsia" w:ascii="仿宋" w:hAnsi="仿宋" w:eastAsia="仿宋" w:cs="仿宋"/>
          <w:color w:val="auto"/>
          <w:highlight w:val="none"/>
          <w:lang w:eastAsia="zh-TW"/>
        </w:rPr>
        <w:t>1</w:t>
      </w:r>
      <w:bookmarkEnd w:id="735"/>
      <w:r>
        <w:rPr>
          <w:rFonts w:hint="eastAsia" w:ascii="仿宋" w:hAnsi="仿宋" w:eastAsia="仿宋" w:cs="仿宋"/>
          <w:color w:val="auto"/>
          <w:highlight w:val="none"/>
          <w:lang w:eastAsia="zh-TW"/>
        </w:rPr>
        <w:t>、</w:t>
      </w:r>
      <w:r>
        <w:rPr>
          <w:rFonts w:hint="eastAsia" w:ascii="仿宋" w:hAnsi="仿宋" w:eastAsia="仿宋" w:cs="仿宋"/>
          <w:color w:val="auto"/>
          <w:highlight w:val="none"/>
          <w:lang w:eastAsia="zh-TW"/>
        </w:rPr>
        <w:tab/>
      </w:r>
      <w:r>
        <w:rPr>
          <w:rFonts w:hint="eastAsia" w:ascii="仿宋" w:hAnsi="仿宋" w:eastAsia="仿宋" w:cs="仿宋"/>
          <w:color w:val="auto"/>
          <w:highlight w:val="none"/>
          <w:lang w:eastAsia="zh-TW"/>
        </w:rPr>
        <w:t>从业人员、营业收入、资产总额填报上一年度数据，无上一年度数据的新成立企业可不填报。</w:t>
      </w:r>
    </w:p>
    <w:p>
      <w:pPr>
        <w:pStyle w:val="28"/>
        <w:pageBreakBefore w:val="0"/>
        <w:widowControl/>
        <w:tabs>
          <w:tab w:val="left" w:pos="1408"/>
        </w:tabs>
        <w:kinsoku/>
        <w:overflowPunct/>
        <w:bidi w:val="0"/>
        <w:snapToGrid w:val="0"/>
        <w:spacing w:before="0" w:beforeAutospacing="0" w:after="100" w:afterAutospacing="0" w:line="360" w:lineRule="auto"/>
        <w:ind w:left="1040" w:right="0" w:firstLine="0"/>
        <w:rPr>
          <w:rFonts w:hint="eastAsia" w:ascii="仿宋" w:hAnsi="仿宋" w:eastAsia="仿宋" w:cs="仿宋"/>
          <w:color w:val="auto"/>
          <w:highlight w:val="none"/>
          <w:lang w:eastAsia="zh-TW"/>
        </w:rPr>
      </w:pPr>
      <w:bookmarkStart w:id="736" w:name="bookmark942"/>
      <w:r>
        <w:rPr>
          <w:rFonts w:hint="eastAsia" w:ascii="仿宋" w:hAnsi="仿宋" w:eastAsia="仿宋" w:cs="仿宋"/>
          <w:color w:val="auto"/>
          <w:highlight w:val="none"/>
          <w:lang w:eastAsia="zh-TW"/>
        </w:rPr>
        <w:t>2</w:t>
      </w:r>
      <w:bookmarkEnd w:id="736"/>
      <w:r>
        <w:rPr>
          <w:rFonts w:hint="eastAsia" w:ascii="仿宋" w:hAnsi="仿宋" w:eastAsia="仿宋" w:cs="仿宋"/>
          <w:color w:val="auto"/>
          <w:highlight w:val="none"/>
          <w:lang w:eastAsia="zh-TW"/>
        </w:rPr>
        <w:t>、</w:t>
      </w:r>
      <w:r>
        <w:rPr>
          <w:rFonts w:hint="eastAsia" w:ascii="仿宋" w:hAnsi="仿宋" w:eastAsia="仿宋" w:cs="仿宋"/>
          <w:color w:val="auto"/>
          <w:highlight w:val="none"/>
          <w:lang w:eastAsia="zh-TW"/>
        </w:rPr>
        <w:tab/>
      </w:r>
      <w:r>
        <w:rPr>
          <w:rFonts w:hint="eastAsia" w:ascii="仿宋" w:hAnsi="仿宋" w:eastAsia="仿宋" w:cs="仿宋"/>
          <w:color w:val="auto"/>
          <w:highlight w:val="none"/>
          <w:lang w:eastAsia="zh-TW"/>
        </w:rPr>
        <w:t>该声明函是针对小微型企业的，非小型、微型企业投标时不用提供该声明。</w:t>
      </w:r>
    </w:p>
    <w:p>
      <w:pPr>
        <w:pageBreakBefore w:val="0"/>
        <w:kinsoku/>
        <w:overflowPunct/>
        <w:bidi w:val="0"/>
        <w:snapToGrid w:val="0"/>
        <w:spacing w:line="360" w:lineRule="auto"/>
        <w:rPr>
          <w:rFonts w:ascii="仿宋" w:hAnsi="仿宋" w:eastAsia="仿宋" w:cs="仿宋"/>
          <w:color w:val="auto"/>
          <w:sz w:val="21"/>
          <w:szCs w:val="21"/>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ageBreakBefore w:val="0"/>
        <w:kinsoku/>
        <w:overflowPunct/>
        <w:bidi w:val="0"/>
        <w:snapToGrid w:val="0"/>
        <w:spacing w:line="360" w:lineRule="auto"/>
        <w:rPr>
          <w:rFonts w:ascii="仿宋" w:hAnsi="仿宋" w:eastAsia="仿宋" w:cs="仿宋"/>
          <w:color w:val="auto"/>
          <w:highlight w:val="none"/>
        </w:rPr>
      </w:pPr>
    </w:p>
    <w:p>
      <w:pPr>
        <w:pStyle w:val="16"/>
        <w:keepNext/>
        <w:keepLines/>
        <w:pageBreakBefore w:val="0"/>
        <w:widowControl w:val="0"/>
        <w:suppressLineNumbers w:val="0"/>
        <w:kinsoku/>
        <w:overflowPunct/>
        <w:bidi w:val="0"/>
        <w:snapToGrid w:val="0"/>
        <w:spacing w:before="0" w:beforeAutospacing="0" w:after="300" w:afterAutospacing="0" w:line="360" w:lineRule="auto"/>
        <w:ind w:left="0" w:right="0"/>
        <w:jc w:val="center"/>
        <w:outlineLvl w:val="2"/>
        <w:rPr>
          <w:rFonts w:hint="eastAsia" w:ascii="仿宋" w:hAnsi="仿宋" w:eastAsia="仿宋" w:cs="仿宋"/>
          <w:color w:val="auto"/>
          <w:highlight w:val="none"/>
          <w:lang w:eastAsia="zh-TW"/>
        </w:rPr>
      </w:pPr>
      <w:bookmarkStart w:id="737" w:name="_Toc14859"/>
      <w:r>
        <w:rPr>
          <w:rFonts w:hint="eastAsia" w:ascii="仿宋" w:hAnsi="仿宋" w:eastAsia="仿宋" w:cs="仿宋"/>
          <w:b/>
          <w:bCs/>
          <w:color w:val="auto"/>
          <w:kern w:val="0"/>
          <w:sz w:val="20"/>
          <w:szCs w:val="20"/>
          <w:highlight w:val="none"/>
          <w:lang w:val="en-US" w:eastAsia="zh-TW" w:bidi="ar"/>
        </w:rPr>
        <w:t>（2）残疾人福利性单位声明函</w:t>
      </w:r>
      <w:bookmarkEnd w:id="737"/>
    </w:p>
    <w:p>
      <w:pPr>
        <w:pStyle w:val="16"/>
        <w:keepNext w:val="0"/>
        <w:keepLines w:val="0"/>
        <w:pageBreakBefore w:val="0"/>
        <w:widowControl w:val="0"/>
        <w:suppressLineNumbers w:val="0"/>
        <w:tabs>
          <w:tab w:val="left" w:pos="2038"/>
          <w:tab w:val="left" w:pos="3421"/>
        </w:tabs>
        <w:kinsoku/>
        <w:overflowPunct/>
        <w:bidi w:val="0"/>
        <w:snapToGrid w:val="0"/>
        <w:spacing w:before="0" w:beforeAutospacing="0" w:after="0" w:afterAutospacing="0" w:line="360" w:lineRule="auto"/>
        <w:ind w:left="320" w:right="0" w:firstLine="440"/>
        <w:jc w:val="both"/>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本单位郑重声明，根据《财政部民政部中国残疾人联合会关于促进残疾人就业政府采购 政策的通知》（财库〔2017） 141号）的规定，本单位为符合条件的残疾人福利性单位，且本单位参加</w:t>
      </w:r>
      <w:r>
        <w:rPr>
          <w:rFonts w:hint="eastAsia" w:ascii="仿宋" w:hAnsi="仿宋" w:eastAsia="仿宋" w:cs="仿宋"/>
          <w:color w:val="auto"/>
          <w:kern w:val="0"/>
          <w:sz w:val="20"/>
          <w:szCs w:val="20"/>
          <w:highlight w:val="none"/>
          <w:u w:val="single"/>
          <w:lang w:val="en-US" w:eastAsia="zh-TW" w:bidi="ar"/>
        </w:rPr>
        <w:t xml:space="preserve"> </w:t>
      </w:r>
      <w:r>
        <w:rPr>
          <w:rFonts w:hint="eastAsia" w:ascii="仿宋" w:hAnsi="仿宋" w:eastAsia="仿宋" w:cs="仿宋"/>
          <w:color w:val="auto"/>
          <w:kern w:val="0"/>
          <w:sz w:val="20"/>
          <w:szCs w:val="20"/>
          <w:highlight w:val="none"/>
          <w:u w:val="single"/>
          <w:lang w:val="en-US" w:eastAsia="zh-CN" w:bidi="ar"/>
        </w:rPr>
        <w:t xml:space="preserve">       </w:t>
      </w:r>
      <w:r>
        <w:rPr>
          <w:rFonts w:hint="eastAsia" w:ascii="仿宋" w:hAnsi="仿宋" w:eastAsia="仿宋" w:cs="仿宋"/>
          <w:color w:val="auto"/>
          <w:kern w:val="0"/>
          <w:sz w:val="20"/>
          <w:szCs w:val="20"/>
          <w:highlight w:val="none"/>
          <w:u w:val="single"/>
          <w:lang w:val="en-US" w:eastAsia="zh-TW" w:bidi="ar"/>
        </w:rPr>
        <w:tab/>
      </w:r>
      <w:r>
        <w:rPr>
          <w:rFonts w:hint="eastAsia" w:ascii="仿宋" w:hAnsi="仿宋" w:eastAsia="仿宋" w:cs="仿宋"/>
          <w:color w:val="auto"/>
          <w:kern w:val="0"/>
          <w:sz w:val="20"/>
          <w:szCs w:val="20"/>
          <w:highlight w:val="none"/>
          <w:lang w:val="en-US" w:eastAsia="zh-TW" w:bidi="ar"/>
        </w:rPr>
        <w:t>单位的</w:t>
      </w:r>
      <w:r>
        <w:rPr>
          <w:rFonts w:hint="eastAsia" w:ascii="仿宋" w:hAnsi="仿宋" w:eastAsia="仿宋" w:cs="仿宋"/>
          <w:color w:val="auto"/>
          <w:kern w:val="0"/>
          <w:sz w:val="20"/>
          <w:szCs w:val="20"/>
          <w:highlight w:val="none"/>
          <w:u w:val="single"/>
          <w:lang w:val="en-US" w:eastAsia="zh-TW" w:bidi="ar"/>
        </w:rPr>
        <w:t xml:space="preserve"> </w:t>
      </w:r>
      <w:r>
        <w:rPr>
          <w:rFonts w:hint="eastAsia" w:ascii="仿宋" w:hAnsi="仿宋" w:eastAsia="仿宋" w:cs="仿宋"/>
          <w:color w:val="auto"/>
          <w:kern w:val="0"/>
          <w:sz w:val="20"/>
          <w:szCs w:val="20"/>
          <w:highlight w:val="none"/>
          <w:u w:val="single"/>
          <w:lang w:val="en-US" w:eastAsia="zh-TW" w:bidi="ar"/>
        </w:rPr>
        <w:tab/>
      </w:r>
      <w:r>
        <w:rPr>
          <w:rFonts w:hint="eastAsia" w:ascii="仿宋" w:hAnsi="仿宋" w:eastAsia="仿宋" w:cs="仿宋"/>
          <w:color w:val="auto"/>
          <w:kern w:val="0"/>
          <w:sz w:val="20"/>
          <w:szCs w:val="20"/>
          <w:highlight w:val="none"/>
          <w:lang w:val="en-US" w:eastAsia="zh-TW" w:bidi="ar"/>
        </w:rPr>
        <w:t>项目采购活动提供本单位制造的货物（由本单位承担工程/提供服务），或者提供其他残疾人福利性单位制造的货物（不包括使用非残疾人福利性单位注册商标的货物）。</w:t>
      </w:r>
    </w:p>
    <w:p>
      <w:pPr>
        <w:pStyle w:val="16"/>
        <w:keepNext w:val="0"/>
        <w:keepLines w:val="0"/>
        <w:pageBreakBefore w:val="0"/>
        <w:widowControl w:val="0"/>
        <w:suppressLineNumbers w:val="0"/>
        <w:kinsoku/>
        <w:overflowPunct/>
        <w:bidi w:val="0"/>
        <w:snapToGrid w:val="0"/>
        <w:spacing w:before="0" w:beforeAutospacing="0" w:after="940" w:afterAutospacing="0" w:line="360" w:lineRule="auto"/>
        <w:ind w:left="0" w:right="0" w:firstLine="740"/>
        <w:jc w:val="left"/>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本单位对上述声明的真实性负责。如有虚假，将依法承担相应责任。</w:t>
      </w:r>
    </w:p>
    <w:p>
      <w:pPr>
        <w:pStyle w:val="16"/>
        <w:keepNext w:val="0"/>
        <w:keepLines w:val="0"/>
        <w:pageBreakBefore w:val="0"/>
        <w:widowControl w:val="0"/>
        <w:suppressLineNumbers w:val="0"/>
        <w:kinsoku/>
        <w:overflowPunct/>
        <w:bidi w:val="0"/>
        <w:snapToGrid w:val="0"/>
        <w:spacing w:before="0" w:beforeAutospacing="0" w:after="0" w:afterAutospacing="0" w:line="360" w:lineRule="auto"/>
        <w:ind w:left="0" w:right="0" w:firstLine="0"/>
        <w:jc w:val="center"/>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单位名称（盖章）：</w:t>
      </w:r>
    </w:p>
    <w:p>
      <w:pPr>
        <w:pStyle w:val="16"/>
        <w:keepNext w:val="0"/>
        <w:keepLines w:val="0"/>
        <w:pageBreakBefore w:val="0"/>
        <w:widowControl w:val="0"/>
        <w:suppressLineNumbers w:val="0"/>
        <w:kinsoku/>
        <w:overflowPunct/>
        <w:bidi w:val="0"/>
        <w:snapToGrid w:val="0"/>
        <w:spacing w:before="0" w:beforeAutospacing="0" w:after="440" w:afterAutospacing="0" w:line="360" w:lineRule="auto"/>
        <w:ind w:left="0" w:right="0" w:firstLine="0"/>
        <w:jc w:val="center"/>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日期：</w:t>
      </w:r>
    </w:p>
    <w:p>
      <w:pPr>
        <w:pStyle w:val="32"/>
        <w:keepNext/>
        <w:keepLines/>
        <w:pageBreakBefore w:val="0"/>
        <w:widowControl w:val="0"/>
        <w:suppressLineNumbers w:val="0"/>
        <w:kinsoku/>
        <w:overflowPunct/>
        <w:bidi w:val="0"/>
        <w:snapToGrid w:val="0"/>
        <w:spacing w:after="0" w:afterAutospacing="0" w:line="360" w:lineRule="auto"/>
        <w:ind w:left="0" w:firstLine="320"/>
        <w:rPr>
          <w:rFonts w:hint="eastAsia" w:ascii="仿宋" w:hAnsi="仿宋" w:eastAsia="仿宋" w:cs="仿宋"/>
          <w:color w:val="auto"/>
          <w:highlight w:val="none"/>
          <w:lang w:eastAsia="zh-TW"/>
        </w:rPr>
      </w:pPr>
      <w:bookmarkStart w:id="738" w:name="bookmark950"/>
      <w:bookmarkStart w:id="739" w:name="bookmark949"/>
      <w:bookmarkStart w:id="740" w:name="bookmark948"/>
      <w:r>
        <w:rPr>
          <w:rFonts w:hint="eastAsia" w:ascii="仿宋" w:hAnsi="仿宋" w:eastAsia="仿宋" w:cs="仿宋"/>
          <w:color w:val="auto"/>
          <w:highlight w:val="none"/>
          <w:lang w:eastAsia="zh-TW"/>
        </w:rPr>
        <w:t>（提醒：如果供应商不是残疾人福利性单位，则不需要提供《残疾人福利性单位声明函</w:t>
      </w:r>
      <w:bookmarkEnd w:id="738"/>
      <w:bookmarkStart w:id="741" w:name="bookmark951"/>
      <w:r>
        <w:rPr>
          <w:rFonts w:hint="eastAsia" w:ascii="仿宋" w:hAnsi="仿宋" w:eastAsia="仿宋" w:cs="仿宋"/>
          <w:color w:val="auto"/>
          <w:highlight w:val="none"/>
          <w:lang w:eastAsia="zh-TW"/>
        </w:rPr>
        <w:t>》。否则，因此导致虚假投标的后果由供应商自行承担。）</w:t>
      </w:r>
      <w:bookmarkEnd w:id="739"/>
      <w:bookmarkEnd w:id="740"/>
      <w:bookmarkEnd w:id="741"/>
    </w:p>
    <w:p>
      <w:pPr>
        <w:pStyle w:val="16"/>
        <w:keepNext w:val="0"/>
        <w:keepLines w:val="0"/>
        <w:pageBreakBefore w:val="0"/>
        <w:widowControl w:val="0"/>
        <w:suppressLineNumbers w:val="0"/>
        <w:kinsoku/>
        <w:overflowPunct/>
        <w:bidi w:val="0"/>
        <w:snapToGrid w:val="0"/>
        <w:spacing w:before="0" w:beforeAutospacing="0" w:after="0" w:afterAutospacing="0" w:line="360" w:lineRule="auto"/>
        <w:ind w:left="0" w:right="0" w:firstLine="320"/>
        <w:jc w:val="both"/>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《财政部民政部中国残疾人联合会关于促进残疾人就业政府采购政策的通知》（财库（2017〔141）</w:t>
      </w:r>
    </w:p>
    <w:p>
      <w:pPr>
        <w:pStyle w:val="16"/>
        <w:keepNext w:val="0"/>
        <w:keepLines w:val="0"/>
        <w:pageBreakBefore w:val="0"/>
        <w:widowControl w:val="0"/>
        <w:suppressLineNumbers w:val="0"/>
        <w:kinsoku/>
        <w:overflowPunct/>
        <w:bidi w:val="0"/>
        <w:snapToGrid w:val="0"/>
        <w:spacing w:before="0" w:beforeAutospacing="0" w:after="0" w:afterAutospacing="0" w:line="360" w:lineRule="auto"/>
        <w:ind w:left="0" w:right="0" w:firstLine="320"/>
        <w:jc w:val="both"/>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号）的规定：</w:t>
      </w:r>
    </w:p>
    <w:p>
      <w:pPr>
        <w:pStyle w:val="16"/>
        <w:keepNext w:val="0"/>
        <w:keepLines w:val="0"/>
        <w:pageBreakBefore w:val="0"/>
        <w:widowControl w:val="0"/>
        <w:numPr>
          <w:ilvl w:val="0"/>
          <w:numId w:val="5"/>
        </w:numPr>
        <w:suppressLineNumbers w:val="0"/>
        <w:tabs>
          <w:tab w:val="left" w:pos="1060"/>
        </w:tabs>
        <w:kinsoku/>
        <w:overflowPunct/>
        <w:bidi w:val="0"/>
        <w:snapToGrid w:val="0"/>
        <w:spacing w:before="0" w:beforeAutospacing="0" w:after="0" w:afterAutospacing="0" w:line="360" w:lineRule="auto"/>
        <w:ind w:left="0" w:right="0" w:firstLine="740"/>
        <w:jc w:val="both"/>
        <w:rPr>
          <w:rFonts w:hint="eastAsia" w:ascii="仿宋" w:hAnsi="仿宋" w:eastAsia="仿宋" w:cs="仿宋"/>
          <w:color w:val="auto"/>
          <w:highlight w:val="none"/>
          <w:lang w:eastAsia="zh-TW"/>
        </w:rPr>
      </w:pPr>
      <w:bookmarkStart w:id="742" w:name="bookmark952"/>
      <w:bookmarkEnd w:id="742"/>
      <w:r>
        <w:rPr>
          <w:rFonts w:hint="eastAsia" w:ascii="仿宋" w:hAnsi="仿宋" w:eastAsia="仿宋" w:cs="仿宋"/>
          <w:color w:val="auto"/>
          <w:kern w:val="0"/>
          <w:sz w:val="20"/>
          <w:szCs w:val="20"/>
          <w:highlight w:val="none"/>
          <w:lang w:val="en-US" w:eastAsia="zh-TW" w:bidi="ar"/>
        </w:rPr>
        <w:t>享受政府采购支持政策的残疾人福利性单位应当同时满足以下条件：</w:t>
      </w:r>
    </w:p>
    <w:p>
      <w:pPr>
        <w:pStyle w:val="16"/>
        <w:keepNext w:val="0"/>
        <w:keepLines w:val="0"/>
        <w:pageBreakBefore w:val="0"/>
        <w:widowControl w:val="0"/>
        <w:suppressLineNumbers w:val="0"/>
        <w:tabs>
          <w:tab w:val="left" w:pos="803"/>
        </w:tabs>
        <w:kinsoku/>
        <w:overflowPunct/>
        <w:bidi w:val="0"/>
        <w:snapToGrid w:val="0"/>
        <w:spacing w:before="0" w:beforeAutospacing="0" w:after="0" w:afterAutospacing="0" w:line="360" w:lineRule="auto"/>
        <w:ind w:left="0" w:right="0" w:firstLine="320"/>
        <w:jc w:val="both"/>
        <w:rPr>
          <w:rFonts w:hint="eastAsia" w:ascii="仿宋" w:hAnsi="仿宋" w:eastAsia="仿宋" w:cs="仿宋"/>
          <w:color w:val="auto"/>
          <w:highlight w:val="none"/>
          <w:lang w:eastAsia="zh-TW"/>
        </w:rPr>
      </w:pPr>
      <w:bookmarkStart w:id="743" w:name="bookmark953"/>
      <w:r>
        <w:rPr>
          <w:rFonts w:hint="eastAsia" w:ascii="仿宋" w:hAnsi="仿宋" w:eastAsia="仿宋" w:cs="仿宋"/>
          <w:color w:val="auto"/>
          <w:kern w:val="0"/>
          <w:sz w:val="20"/>
          <w:szCs w:val="20"/>
          <w:highlight w:val="none"/>
          <w:lang w:val="en-US" w:eastAsia="zh-TW" w:bidi="ar"/>
        </w:rPr>
        <w:t>（</w:t>
      </w:r>
      <w:bookmarkEnd w:id="743"/>
      <w:r>
        <w:rPr>
          <w:rFonts w:hint="eastAsia" w:ascii="仿宋" w:hAnsi="仿宋" w:eastAsia="仿宋" w:cs="仿宋"/>
          <w:color w:val="auto"/>
          <w:kern w:val="0"/>
          <w:sz w:val="20"/>
          <w:szCs w:val="20"/>
          <w:highlight w:val="none"/>
          <w:lang w:val="en-US" w:eastAsia="zh-TW" w:bidi="ar"/>
        </w:rPr>
        <w:t>1）</w:t>
      </w:r>
      <w:r>
        <w:rPr>
          <w:rFonts w:hint="eastAsia" w:ascii="仿宋" w:hAnsi="仿宋" w:eastAsia="仿宋" w:cs="仿宋"/>
          <w:color w:val="auto"/>
          <w:kern w:val="0"/>
          <w:sz w:val="20"/>
          <w:szCs w:val="20"/>
          <w:highlight w:val="none"/>
          <w:lang w:val="en-US" w:eastAsia="zh-TW" w:bidi="ar"/>
        </w:rPr>
        <w:tab/>
      </w:r>
      <w:r>
        <w:rPr>
          <w:rFonts w:hint="eastAsia" w:ascii="仿宋" w:hAnsi="仿宋" w:eastAsia="仿宋" w:cs="仿宋"/>
          <w:color w:val="auto"/>
          <w:kern w:val="0"/>
          <w:sz w:val="20"/>
          <w:szCs w:val="20"/>
          <w:highlight w:val="none"/>
          <w:lang w:val="en-US" w:eastAsia="zh-TW" w:bidi="ar"/>
        </w:rPr>
        <w:t>安置的残疾人占本单位在职职工人数的比例不低于25% （含25%），并且安置的残疾人人数不少</w:t>
      </w:r>
    </w:p>
    <w:p>
      <w:pPr>
        <w:pStyle w:val="16"/>
        <w:keepNext w:val="0"/>
        <w:keepLines w:val="0"/>
        <w:pageBreakBefore w:val="0"/>
        <w:widowControl w:val="0"/>
        <w:suppressLineNumbers w:val="0"/>
        <w:kinsoku/>
        <w:overflowPunct/>
        <w:bidi w:val="0"/>
        <w:snapToGrid w:val="0"/>
        <w:spacing w:before="0" w:beforeAutospacing="0" w:after="0" w:afterAutospacing="0" w:line="360" w:lineRule="auto"/>
        <w:ind w:left="0" w:right="0" w:firstLine="320"/>
        <w:jc w:val="both"/>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于10人（含10人）；</w:t>
      </w:r>
    </w:p>
    <w:p>
      <w:pPr>
        <w:pStyle w:val="16"/>
        <w:keepNext w:val="0"/>
        <w:keepLines w:val="0"/>
        <w:pageBreakBefore w:val="0"/>
        <w:widowControl w:val="0"/>
        <w:suppressLineNumbers w:val="0"/>
        <w:tabs>
          <w:tab w:val="left" w:pos="803"/>
        </w:tabs>
        <w:kinsoku/>
        <w:overflowPunct/>
        <w:bidi w:val="0"/>
        <w:snapToGrid w:val="0"/>
        <w:spacing w:before="0" w:beforeAutospacing="0" w:after="0" w:afterAutospacing="0" w:line="360" w:lineRule="auto"/>
        <w:ind w:left="0" w:right="0" w:firstLine="320"/>
        <w:jc w:val="both"/>
        <w:rPr>
          <w:rFonts w:hint="eastAsia" w:ascii="仿宋" w:hAnsi="仿宋" w:eastAsia="仿宋" w:cs="仿宋"/>
          <w:color w:val="auto"/>
          <w:highlight w:val="none"/>
          <w:lang w:eastAsia="zh-TW"/>
        </w:rPr>
      </w:pPr>
      <w:bookmarkStart w:id="744" w:name="bookmark954"/>
      <w:r>
        <w:rPr>
          <w:rFonts w:hint="eastAsia" w:ascii="仿宋" w:hAnsi="仿宋" w:eastAsia="仿宋" w:cs="仿宋"/>
          <w:color w:val="auto"/>
          <w:kern w:val="0"/>
          <w:sz w:val="20"/>
          <w:szCs w:val="20"/>
          <w:highlight w:val="none"/>
          <w:lang w:val="en-US" w:eastAsia="zh-TW" w:bidi="ar"/>
        </w:rPr>
        <w:t>（</w:t>
      </w:r>
      <w:bookmarkEnd w:id="744"/>
      <w:r>
        <w:rPr>
          <w:rFonts w:hint="eastAsia" w:ascii="仿宋" w:hAnsi="仿宋" w:eastAsia="仿宋" w:cs="仿宋"/>
          <w:color w:val="auto"/>
          <w:kern w:val="0"/>
          <w:sz w:val="20"/>
          <w:szCs w:val="20"/>
          <w:highlight w:val="none"/>
          <w:lang w:val="en-US" w:eastAsia="zh-TW" w:bidi="ar"/>
        </w:rPr>
        <w:t>2）</w:t>
      </w:r>
      <w:r>
        <w:rPr>
          <w:rFonts w:hint="eastAsia" w:ascii="仿宋" w:hAnsi="仿宋" w:eastAsia="仿宋" w:cs="仿宋"/>
          <w:color w:val="auto"/>
          <w:kern w:val="0"/>
          <w:sz w:val="20"/>
          <w:szCs w:val="20"/>
          <w:highlight w:val="none"/>
          <w:lang w:val="en-US" w:eastAsia="zh-TW" w:bidi="ar"/>
        </w:rPr>
        <w:tab/>
      </w:r>
      <w:r>
        <w:rPr>
          <w:rFonts w:hint="eastAsia" w:ascii="仿宋" w:hAnsi="仿宋" w:eastAsia="仿宋" w:cs="仿宋"/>
          <w:color w:val="auto"/>
          <w:kern w:val="0"/>
          <w:sz w:val="20"/>
          <w:szCs w:val="20"/>
          <w:highlight w:val="none"/>
          <w:lang w:val="en-US" w:eastAsia="zh-TW" w:bidi="ar"/>
        </w:rPr>
        <w:t>依法与安置的每位残疾人签订了一年以上（含一年）的劳动合同或服务协议；</w:t>
      </w:r>
    </w:p>
    <w:p>
      <w:pPr>
        <w:pStyle w:val="16"/>
        <w:keepNext w:val="0"/>
        <w:keepLines w:val="0"/>
        <w:pageBreakBefore w:val="0"/>
        <w:widowControl w:val="0"/>
        <w:suppressLineNumbers w:val="0"/>
        <w:tabs>
          <w:tab w:val="left" w:pos="803"/>
        </w:tabs>
        <w:kinsoku/>
        <w:overflowPunct/>
        <w:bidi w:val="0"/>
        <w:snapToGrid w:val="0"/>
        <w:spacing w:before="0" w:beforeAutospacing="0" w:after="0" w:afterAutospacing="0" w:line="360" w:lineRule="auto"/>
        <w:ind w:left="0" w:right="0" w:firstLine="320"/>
        <w:jc w:val="both"/>
        <w:rPr>
          <w:rFonts w:hint="eastAsia" w:ascii="仿宋" w:hAnsi="仿宋" w:eastAsia="仿宋" w:cs="仿宋"/>
          <w:color w:val="auto"/>
          <w:highlight w:val="none"/>
          <w:lang w:eastAsia="zh-TW"/>
        </w:rPr>
      </w:pPr>
      <w:bookmarkStart w:id="745" w:name="bookmark955"/>
      <w:r>
        <w:rPr>
          <w:rFonts w:hint="eastAsia" w:ascii="仿宋" w:hAnsi="仿宋" w:eastAsia="仿宋" w:cs="仿宋"/>
          <w:color w:val="auto"/>
          <w:kern w:val="0"/>
          <w:sz w:val="20"/>
          <w:szCs w:val="20"/>
          <w:highlight w:val="none"/>
          <w:lang w:val="en-US" w:eastAsia="zh-TW" w:bidi="ar"/>
        </w:rPr>
        <w:t>（</w:t>
      </w:r>
      <w:bookmarkEnd w:id="745"/>
      <w:r>
        <w:rPr>
          <w:rFonts w:hint="eastAsia" w:ascii="仿宋" w:hAnsi="仿宋" w:eastAsia="仿宋" w:cs="仿宋"/>
          <w:color w:val="auto"/>
          <w:kern w:val="0"/>
          <w:sz w:val="20"/>
          <w:szCs w:val="20"/>
          <w:highlight w:val="none"/>
          <w:lang w:val="en-US" w:eastAsia="zh-TW" w:bidi="ar"/>
        </w:rPr>
        <w:t>3）</w:t>
      </w:r>
      <w:r>
        <w:rPr>
          <w:rFonts w:hint="eastAsia" w:ascii="仿宋" w:hAnsi="仿宋" w:eastAsia="仿宋" w:cs="仿宋"/>
          <w:color w:val="auto"/>
          <w:kern w:val="0"/>
          <w:sz w:val="20"/>
          <w:szCs w:val="20"/>
          <w:highlight w:val="none"/>
          <w:lang w:val="en-US" w:eastAsia="zh-TW" w:bidi="ar"/>
        </w:rPr>
        <w:tab/>
      </w:r>
      <w:r>
        <w:rPr>
          <w:rFonts w:hint="eastAsia" w:ascii="仿宋" w:hAnsi="仿宋" w:eastAsia="仿宋" w:cs="仿宋"/>
          <w:color w:val="auto"/>
          <w:kern w:val="0"/>
          <w:sz w:val="20"/>
          <w:szCs w:val="20"/>
          <w:highlight w:val="none"/>
          <w:lang w:val="en-US" w:eastAsia="zh-TW" w:bidi="ar"/>
        </w:rPr>
        <w:t>为安置的每位残疾人按月足额缴纳了基本养老保险、基本医疗保险、失业保险、工伤保险和生育保险等社会保险费；</w:t>
      </w:r>
    </w:p>
    <w:p>
      <w:pPr>
        <w:pStyle w:val="16"/>
        <w:keepNext w:val="0"/>
        <w:keepLines w:val="0"/>
        <w:pageBreakBefore w:val="0"/>
        <w:widowControl w:val="0"/>
        <w:suppressLineNumbers w:val="0"/>
        <w:tabs>
          <w:tab w:val="left" w:pos="803"/>
        </w:tabs>
        <w:kinsoku/>
        <w:overflowPunct/>
        <w:bidi w:val="0"/>
        <w:snapToGrid w:val="0"/>
        <w:spacing w:before="0" w:beforeAutospacing="0" w:after="0" w:afterAutospacing="0" w:line="360" w:lineRule="auto"/>
        <w:ind w:left="0" w:right="0" w:firstLine="320"/>
        <w:jc w:val="both"/>
        <w:rPr>
          <w:rFonts w:hint="eastAsia" w:ascii="仿宋" w:hAnsi="仿宋" w:eastAsia="仿宋" w:cs="仿宋"/>
          <w:color w:val="auto"/>
          <w:highlight w:val="none"/>
          <w:lang w:eastAsia="zh-TW"/>
        </w:rPr>
      </w:pPr>
      <w:bookmarkStart w:id="746" w:name="bookmark956"/>
      <w:r>
        <w:rPr>
          <w:rFonts w:hint="eastAsia" w:ascii="仿宋" w:hAnsi="仿宋" w:eastAsia="仿宋" w:cs="仿宋"/>
          <w:color w:val="auto"/>
          <w:kern w:val="0"/>
          <w:sz w:val="20"/>
          <w:szCs w:val="20"/>
          <w:highlight w:val="none"/>
          <w:lang w:val="en-US" w:eastAsia="zh-TW" w:bidi="ar"/>
        </w:rPr>
        <w:t>（</w:t>
      </w:r>
      <w:bookmarkEnd w:id="746"/>
      <w:r>
        <w:rPr>
          <w:rFonts w:hint="eastAsia" w:ascii="仿宋" w:hAnsi="仿宋" w:eastAsia="仿宋" w:cs="仿宋"/>
          <w:color w:val="auto"/>
          <w:kern w:val="0"/>
          <w:sz w:val="20"/>
          <w:szCs w:val="20"/>
          <w:highlight w:val="none"/>
          <w:lang w:val="en-US" w:eastAsia="zh-TW" w:bidi="ar"/>
        </w:rPr>
        <w:t>4）</w:t>
      </w:r>
      <w:r>
        <w:rPr>
          <w:rFonts w:hint="eastAsia" w:ascii="仿宋" w:hAnsi="仿宋" w:eastAsia="仿宋" w:cs="仿宋"/>
          <w:color w:val="auto"/>
          <w:kern w:val="0"/>
          <w:sz w:val="20"/>
          <w:szCs w:val="20"/>
          <w:highlight w:val="none"/>
          <w:lang w:val="en-US" w:eastAsia="zh-TW" w:bidi="ar"/>
        </w:rPr>
        <w:tab/>
      </w:r>
      <w:r>
        <w:rPr>
          <w:rFonts w:hint="eastAsia" w:ascii="仿宋" w:hAnsi="仿宋" w:eastAsia="仿宋" w:cs="仿宋"/>
          <w:color w:val="auto"/>
          <w:kern w:val="0"/>
          <w:sz w:val="20"/>
          <w:szCs w:val="20"/>
          <w:highlight w:val="none"/>
          <w:lang w:val="en-US" w:eastAsia="zh-TW" w:bidi="ar"/>
        </w:rPr>
        <w:t>通过银行等金融机构向安置的每位残疾人，按月支付了不低于单位所在区县适用的经省级人民政府批准的月最低工资标准的工资；</w:t>
      </w:r>
    </w:p>
    <w:p>
      <w:pPr>
        <w:pStyle w:val="16"/>
        <w:keepNext w:val="0"/>
        <w:keepLines w:val="0"/>
        <w:pageBreakBefore w:val="0"/>
        <w:widowControl w:val="0"/>
        <w:suppressLineNumbers w:val="0"/>
        <w:tabs>
          <w:tab w:val="left" w:pos="808"/>
        </w:tabs>
        <w:kinsoku/>
        <w:overflowPunct/>
        <w:bidi w:val="0"/>
        <w:snapToGrid w:val="0"/>
        <w:spacing w:before="0" w:beforeAutospacing="0" w:after="0" w:afterAutospacing="0" w:line="360" w:lineRule="auto"/>
        <w:ind w:left="320" w:right="0" w:firstLine="20"/>
        <w:jc w:val="both"/>
        <w:rPr>
          <w:rFonts w:hint="eastAsia" w:ascii="仿宋" w:hAnsi="仿宋" w:eastAsia="仿宋" w:cs="仿宋"/>
          <w:color w:val="auto"/>
          <w:highlight w:val="none"/>
          <w:lang w:eastAsia="zh-TW"/>
        </w:rPr>
      </w:pPr>
      <w:bookmarkStart w:id="747" w:name="bookmark957"/>
      <w:r>
        <w:rPr>
          <w:rFonts w:hint="eastAsia" w:ascii="仿宋" w:hAnsi="仿宋" w:eastAsia="仿宋" w:cs="仿宋"/>
          <w:color w:val="auto"/>
          <w:kern w:val="0"/>
          <w:sz w:val="20"/>
          <w:szCs w:val="20"/>
          <w:highlight w:val="none"/>
          <w:lang w:val="en-US" w:eastAsia="zh-TW" w:bidi="ar"/>
        </w:rPr>
        <w:t>（</w:t>
      </w:r>
      <w:bookmarkEnd w:id="747"/>
      <w:r>
        <w:rPr>
          <w:rFonts w:hint="eastAsia" w:ascii="仿宋" w:hAnsi="仿宋" w:eastAsia="仿宋" w:cs="仿宋"/>
          <w:color w:val="auto"/>
          <w:kern w:val="0"/>
          <w:sz w:val="20"/>
          <w:szCs w:val="20"/>
          <w:highlight w:val="none"/>
          <w:lang w:val="en-US" w:eastAsia="zh-TW" w:bidi="ar"/>
        </w:rPr>
        <w:t>5）</w:t>
      </w:r>
      <w:r>
        <w:rPr>
          <w:rFonts w:hint="eastAsia" w:ascii="仿宋" w:hAnsi="仿宋" w:eastAsia="仿宋" w:cs="仿宋"/>
          <w:color w:val="auto"/>
          <w:kern w:val="0"/>
          <w:sz w:val="20"/>
          <w:szCs w:val="20"/>
          <w:highlight w:val="none"/>
          <w:lang w:val="en-US" w:eastAsia="zh-TW" w:bidi="ar"/>
        </w:rPr>
        <w:tab/>
      </w:r>
      <w:r>
        <w:rPr>
          <w:rFonts w:hint="eastAsia" w:ascii="仿宋" w:hAnsi="仿宋" w:eastAsia="仿宋" w:cs="仿宋"/>
          <w:color w:val="auto"/>
          <w:kern w:val="0"/>
          <w:sz w:val="20"/>
          <w:szCs w:val="20"/>
          <w:highlight w:val="none"/>
          <w:lang w:val="en-US" w:eastAsia="zh-TW" w:bidi="ar"/>
        </w:rPr>
        <w:t>提供本单位制造的货物、承担的工程或者服务（以下简称产品），或者提供其他残疾人福利性 单位制造的货物（不包括使用非残疾人福利性单位注册商标的货物）。</w:t>
      </w:r>
    </w:p>
    <w:p>
      <w:pPr>
        <w:pStyle w:val="16"/>
        <w:keepNext w:val="0"/>
        <w:keepLines w:val="0"/>
        <w:pageBreakBefore w:val="0"/>
        <w:widowControl w:val="0"/>
        <w:numPr>
          <w:ilvl w:val="0"/>
          <w:numId w:val="5"/>
        </w:numPr>
        <w:suppressLineNumbers w:val="0"/>
        <w:tabs>
          <w:tab w:val="left" w:pos="1074"/>
        </w:tabs>
        <w:kinsoku/>
        <w:overflowPunct/>
        <w:bidi w:val="0"/>
        <w:snapToGrid w:val="0"/>
        <w:spacing w:before="0" w:beforeAutospacing="0" w:after="0" w:afterAutospacing="0" w:line="360" w:lineRule="auto"/>
        <w:ind w:left="0" w:right="0" w:firstLine="740"/>
        <w:jc w:val="both"/>
        <w:rPr>
          <w:rFonts w:hint="eastAsia" w:ascii="仿宋" w:hAnsi="仿宋" w:eastAsia="仿宋" w:cs="仿宋"/>
          <w:color w:val="auto"/>
          <w:highlight w:val="none"/>
          <w:lang w:eastAsia="zh-TW"/>
        </w:rPr>
      </w:pPr>
      <w:bookmarkStart w:id="748" w:name="bookmark958"/>
      <w:bookmarkEnd w:id="748"/>
      <w:r>
        <w:rPr>
          <w:rFonts w:hint="eastAsia" w:ascii="仿宋" w:hAnsi="仿宋" w:eastAsia="仿宋" w:cs="仿宋"/>
          <w:color w:val="auto"/>
          <w:kern w:val="0"/>
          <w:sz w:val="20"/>
          <w:szCs w:val="20"/>
          <w:highlight w:val="none"/>
          <w:lang w:val="en-US" w:eastAsia="zh-TW" w:bidi="ar"/>
        </w:rPr>
        <w:t>成交人为残疾人福利性单位的，采购人或者其委托的采购代理机构应当随成交结果同时公告其《残疾人福利性单位声明函》，接受社会监督。</w:t>
      </w:r>
    </w:p>
    <w:p>
      <w:pPr>
        <w:pageBreakBefore w:val="0"/>
        <w:kinsoku/>
        <w:overflowPunct/>
        <w:bidi w:val="0"/>
        <w:snapToGrid w:val="0"/>
        <w:spacing w:line="360" w:lineRule="auto"/>
        <w:rPr>
          <w:rFonts w:hint="eastAsia" w:ascii="仿宋" w:hAnsi="仿宋" w:eastAsia="仿宋" w:cs="仿宋"/>
          <w:color w:val="auto"/>
          <w:sz w:val="20"/>
          <w:szCs w:val="20"/>
          <w:highlight w:val="none"/>
          <w:lang w:val="zh-TW" w:eastAsia="zh-TW" w:bidi="zh-TW"/>
        </w:rPr>
        <w:sectPr>
          <w:pgSz w:w="11900" w:h="16840"/>
          <w:pgMar w:top="1260" w:right="1075" w:bottom="1670" w:left="1076" w:header="1" w:footer="850" w:gutter="0"/>
          <w:pgBorders>
            <w:top w:val="none" w:sz="0" w:space="0"/>
            <w:left w:val="none" w:sz="0" w:space="0"/>
            <w:bottom w:val="none" w:sz="0" w:space="0"/>
            <w:right w:val="none" w:sz="0" w:space="0"/>
          </w:pgBorders>
          <w:cols w:space="720" w:num="1"/>
          <w:docGrid w:linePitch="408" w:charSpace="0"/>
        </w:sectPr>
      </w:pPr>
    </w:p>
    <w:p>
      <w:pPr>
        <w:pStyle w:val="16"/>
        <w:keepNext/>
        <w:keepLines/>
        <w:pageBreakBefore w:val="0"/>
        <w:widowControl w:val="0"/>
        <w:suppressLineNumbers w:val="0"/>
        <w:kinsoku/>
        <w:overflowPunct/>
        <w:bidi w:val="0"/>
        <w:snapToGrid w:val="0"/>
        <w:spacing w:before="0" w:beforeAutospacing="0" w:after="240" w:afterAutospacing="0" w:line="360" w:lineRule="auto"/>
        <w:ind w:left="0" w:right="0"/>
        <w:jc w:val="center"/>
        <w:outlineLvl w:val="2"/>
        <w:rPr>
          <w:rFonts w:hint="eastAsia" w:ascii="仿宋" w:hAnsi="仿宋" w:eastAsia="仿宋" w:cs="仿宋"/>
          <w:color w:val="auto"/>
          <w:highlight w:val="none"/>
          <w:lang w:eastAsia="zh-TW"/>
        </w:rPr>
      </w:pPr>
      <w:bookmarkStart w:id="749" w:name="bookmark961"/>
      <w:bookmarkStart w:id="750" w:name="bookmark960"/>
      <w:bookmarkStart w:id="751" w:name="bookmark959"/>
      <w:bookmarkStart w:id="752" w:name="_Toc3033"/>
      <w:bookmarkStart w:id="753" w:name="bookmark962"/>
      <w:r>
        <w:rPr>
          <w:rFonts w:hint="eastAsia" w:ascii="仿宋" w:hAnsi="仿宋" w:eastAsia="仿宋" w:cs="仿宋"/>
          <w:b/>
          <w:bCs/>
          <w:color w:val="auto"/>
          <w:kern w:val="0"/>
          <w:sz w:val="20"/>
          <w:szCs w:val="20"/>
          <w:highlight w:val="none"/>
          <w:lang w:val="en-US" w:eastAsia="zh-TW" w:bidi="ar"/>
        </w:rPr>
        <w:t>（</w:t>
      </w:r>
      <w:bookmarkEnd w:id="749"/>
      <w:r>
        <w:rPr>
          <w:rFonts w:hint="eastAsia" w:ascii="仿宋" w:hAnsi="仿宋" w:eastAsia="仿宋" w:cs="仿宋"/>
          <w:b/>
          <w:bCs/>
          <w:color w:val="auto"/>
          <w:kern w:val="0"/>
          <w:sz w:val="20"/>
          <w:szCs w:val="20"/>
          <w:highlight w:val="none"/>
          <w:lang w:val="en-US" w:eastAsia="zh-TW" w:bidi="ar"/>
        </w:rPr>
        <w:t>3）监狱企业证明文件</w:t>
      </w:r>
      <w:bookmarkEnd w:id="750"/>
      <w:bookmarkEnd w:id="751"/>
      <w:bookmarkEnd w:id="752"/>
      <w:bookmarkEnd w:id="753"/>
    </w:p>
    <w:p>
      <w:pPr>
        <w:pStyle w:val="16"/>
        <w:keepNext w:val="0"/>
        <w:keepLines w:val="0"/>
        <w:pageBreakBefore w:val="0"/>
        <w:widowControl w:val="0"/>
        <w:suppressLineNumbers w:val="0"/>
        <w:kinsoku/>
        <w:overflowPunct/>
        <w:bidi w:val="0"/>
        <w:snapToGrid w:val="0"/>
        <w:spacing w:before="0" w:beforeAutospacing="0" w:after="1160" w:afterAutospacing="0" w:line="360" w:lineRule="auto"/>
        <w:ind w:left="0" w:right="0" w:firstLine="740"/>
        <w:jc w:val="left"/>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省级以上监狱管理局、戒毒管理局（含新疆生产建设兵团）出具的属于监狱企业的证明文件。</w:t>
      </w:r>
    </w:p>
    <w:p>
      <w:pPr>
        <w:pStyle w:val="16"/>
        <w:keepNext/>
        <w:keepLines/>
        <w:pageBreakBefore w:val="0"/>
        <w:widowControl w:val="0"/>
        <w:suppressLineNumbers w:val="0"/>
        <w:kinsoku/>
        <w:overflowPunct/>
        <w:bidi w:val="0"/>
        <w:snapToGrid w:val="0"/>
        <w:spacing w:before="0" w:beforeAutospacing="0" w:after="700" w:afterAutospacing="0" w:line="360" w:lineRule="auto"/>
        <w:ind w:left="0" w:right="0"/>
        <w:jc w:val="center"/>
        <w:outlineLvl w:val="2"/>
        <w:rPr>
          <w:rFonts w:hint="eastAsia" w:ascii="仿宋" w:hAnsi="仿宋" w:eastAsia="仿宋" w:cs="仿宋"/>
          <w:color w:val="auto"/>
          <w:highlight w:val="none"/>
          <w:lang w:eastAsia="zh-TW"/>
        </w:rPr>
      </w:pPr>
      <w:bookmarkStart w:id="754" w:name="bookmark965"/>
      <w:bookmarkStart w:id="755" w:name="bookmark966"/>
      <w:bookmarkStart w:id="756" w:name="bookmark964"/>
      <w:bookmarkStart w:id="757" w:name="_Toc13613"/>
      <w:bookmarkStart w:id="758" w:name="bookmark963"/>
      <w:r>
        <w:rPr>
          <w:rFonts w:hint="eastAsia" w:ascii="仿宋" w:hAnsi="仿宋" w:eastAsia="仿宋" w:cs="仿宋"/>
          <w:b/>
          <w:bCs/>
          <w:color w:val="auto"/>
          <w:kern w:val="0"/>
          <w:sz w:val="20"/>
          <w:szCs w:val="20"/>
          <w:highlight w:val="none"/>
          <w:lang w:val="en-US" w:eastAsia="zh-TW" w:bidi="ar"/>
        </w:rPr>
        <w:t>（</w:t>
      </w:r>
      <w:bookmarkEnd w:id="754"/>
      <w:r>
        <w:rPr>
          <w:rFonts w:hint="eastAsia" w:ascii="仿宋" w:hAnsi="仿宋" w:eastAsia="仿宋" w:cs="仿宋"/>
          <w:b/>
          <w:bCs/>
          <w:color w:val="auto"/>
          <w:kern w:val="0"/>
          <w:sz w:val="20"/>
          <w:szCs w:val="20"/>
          <w:highlight w:val="none"/>
          <w:lang w:val="en-US" w:eastAsia="zh-TW" w:bidi="ar"/>
        </w:rPr>
        <w:t>4）节能、环保产品证明文件</w:t>
      </w:r>
      <w:bookmarkEnd w:id="755"/>
      <w:bookmarkEnd w:id="756"/>
      <w:bookmarkEnd w:id="757"/>
      <w:bookmarkEnd w:id="758"/>
    </w:p>
    <w:p>
      <w:pPr>
        <w:pStyle w:val="16"/>
        <w:keepNext w:val="0"/>
        <w:keepLines w:val="0"/>
        <w:pageBreakBefore w:val="0"/>
        <w:widowControl w:val="0"/>
        <w:suppressLineNumbers w:val="0"/>
        <w:kinsoku/>
        <w:overflowPunct/>
        <w:bidi w:val="0"/>
        <w:snapToGrid w:val="0"/>
        <w:spacing w:before="0" w:beforeAutospacing="0" w:after="1160" w:afterAutospacing="0" w:line="360" w:lineRule="auto"/>
        <w:ind w:left="0" w:right="0" w:firstLine="0"/>
        <w:jc w:val="center"/>
        <w:rPr>
          <w:rFonts w:hint="eastAsia" w:ascii="仿宋" w:hAnsi="仿宋" w:eastAsia="仿宋" w:cs="仿宋"/>
          <w:color w:val="auto"/>
          <w:highlight w:val="none"/>
          <w:lang w:eastAsia="zh-TW"/>
        </w:rPr>
      </w:pPr>
      <w:r>
        <w:rPr>
          <w:rFonts w:hint="eastAsia" w:ascii="仿宋" w:hAnsi="仿宋" w:eastAsia="仿宋" w:cs="仿宋"/>
          <w:color w:val="auto"/>
          <w:kern w:val="0"/>
          <w:sz w:val="20"/>
          <w:szCs w:val="20"/>
          <w:highlight w:val="none"/>
          <w:lang w:val="en-US" w:eastAsia="zh-TW" w:bidi="ar"/>
        </w:rPr>
        <w:t>国家确定的认证机构出具的、处于有效期之内的节能产品、环境标志产品认证证书。</w:t>
      </w:r>
    </w:p>
    <w:p>
      <w:pPr>
        <w:pageBreakBefore w:val="0"/>
        <w:kinsoku/>
        <w:overflowPunct/>
        <w:bidi w:val="0"/>
        <w:snapToGrid w:val="0"/>
        <w:spacing w:line="360" w:lineRule="auto"/>
        <w:rPr>
          <w:color w:val="auto"/>
          <w:highlight w:val="none"/>
        </w:rPr>
      </w:pPr>
    </w:p>
    <w:p>
      <w:pPr>
        <w:pageBreakBefore w:val="0"/>
        <w:kinsoku/>
        <w:overflowPunct/>
        <w:bidi w:val="0"/>
        <w:snapToGrid w:val="0"/>
        <w:spacing w:line="360" w:lineRule="auto"/>
        <w:rPr>
          <w:color w:val="auto"/>
          <w:highlight w:val="none"/>
        </w:rPr>
      </w:pPr>
    </w:p>
    <w:sectPr>
      <w:pgSz w:w="11907" w:h="16840"/>
      <w:pgMar w:top="1418" w:right="1304" w:bottom="1191" w:left="1418" w:header="851" w:footer="992" w:gutter="0"/>
      <w:pgBorders>
        <w:top w:val="none" w:sz="0" w:space="0"/>
        <w:left w:val="none" w:sz="0" w:space="0"/>
        <w:bottom w:val="none" w:sz="0" w:space="0"/>
        <w:right w:val="none" w:sz="0" w:space="0"/>
      </w:pgBorders>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8"/>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398"/>
      <w:rPr>
        <w:rStyle w:val="21"/>
      </w:rPr>
    </w:pPr>
    <w:r>
      <w:fldChar w:fldCharType="begin"/>
    </w:r>
    <w:r>
      <w:rPr>
        <w:rStyle w:val="21"/>
      </w:rPr>
      <w:instrText xml:space="preserve">PAGE  </w:instrText>
    </w:r>
    <w:r>
      <w:fldChar w:fldCharType="end"/>
    </w:r>
  </w:p>
  <w:p>
    <w:pPr>
      <w:pStyle w:val="12"/>
      <w:ind w:right="360" w:firstLine="39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66</w:t>
                    </w:r>
                    <w:r>
                      <w:fldChar w:fldCharType="end"/>
                    </w:r>
                    <w:r>
                      <w:rPr>
                        <w:rFonts w:hint="eastAsia"/>
                      </w:rPr>
                      <w:t xml:space="preserve"> 页</w:t>
                    </w:r>
                  </w:p>
                </w:txbxContent>
              </v:textbox>
            </v:shape>
          </w:pict>
        </mc:Fallback>
      </mc:AlternateContent>
    </w:r>
  </w:p>
  <w:p>
    <w:pPr>
      <w:pStyle w:val="12"/>
      <w:ind w:right="360"/>
      <w:rPr>
        <w:kern w:val="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0490" cy="131445"/>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8.7pt;mso-position-horizontal:center;mso-position-horizontal-relative:margin;mso-wrap-style:none;z-index:251660288;mso-width-relative:page;mso-height-relative:page;" filled="f" stroked="f" coordsize="21600,21600" o:gfxdata="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q3CnPRAAAAAwEAAA8AAAAAAAAAAQAgAAAAIgAAAGRycy9kb3ducmV2LnhtbFBL&#10;AQIUABQAAAAIAIdO4kDLhcuHNgIAAGEEAAAOAAAAAAAAAAEAIAAAACABAABkcnMvZTJvRG9jLnht&#10;bFBLBQYAAAAABgAGAFkBAADIBQ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ind w:firstLine="398"/>
    </w:pPr>
    <w:r>
      <w:rPr>
        <w:rFonts w:hint="eastAsia"/>
      </w:rPr>
      <w:t>中州大道、南三环及紫荆山南路绿道连通提质工程项目景观设计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F1B64"/>
    <w:multiLevelType w:val="multilevel"/>
    <w:tmpl w:val="8F6F1B64"/>
    <w:lvl w:ilvl="0" w:tentative="0">
      <w:start w:val="1"/>
      <w:numFmt w:val="decimal"/>
      <w:lvlText w:val="%1."/>
      <w:lvlJc w:val="left"/>
      <w:pPr>
        <w:ind w:left="0" w:firstLine="0"/>
      </w:pPr>
      <w:rPr>
        <w:rFonts w:ascii="宋体" w:hAnsi="宋体" w:eastAsia="宋体" w:cs="宋体"/>
        <w:b w:val="0"/>
        <w:bCs w:val="0"/>
        <w:i w:val="0"/>
        <w:iCs w:val="0"/>
        <w:strike w:val="0"/>
        <w:dstrike w:val="0"/>
        <w:color w:val="000000"/>
        <w:spacing w:val="0"/>
        <w:w w:val="100"/>
        <w:position w:val="0"/>
        <w:sz w:val="20"/>
        <w:szCs w:val="20"/>
        <w:u w:val="none"/>
        <w:lang w:val="en-US" w:eastAsia="en-US" w:bidi="en-U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92315288"/>
    <w:multiLevelType w:val="multilevel"/>
    <w:tmpl w:val="92315288"/>
    <w:lvl w:ilvl="0" w:tentative="0">
      <w:start w:val="1"/>
      <w:numFmt w:val="decimal"/>
      <w:lvlText w:val="%1."/>
      <w:lvlJc w:val="left"/>
      <w:pPr>
        <w:ind w:left="0" w:firstLine="0"/>
      </w:pPr>
      <w:rPr>
        <w:rFonts w:ascii="宋体" w:hAnsi="宋体" w:eastAsia="宋体" w:cs="宋体"/>
        <w:b w:val="0"/>
        <w:bCs w:val="0"/>
        <w:i w:val="0"/>
        <w:iCs w:val="0"/>
        <w:strike w:val="0"/>
        <w:dstrike w:val="0"/>
        <w:color w:val="000000"/>
        <w:spacing w:val="0"/>
        <w:w w:val="100"/>
        <w:position w:val="0"/>
        <w:sz w:val="20"/>
        <w:szCs w:val="20"/>
        <w:u w:val="none"/>
        <w:lang w:val="en-US" w:eastAsia="en-US" w:bidi="en-U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0000000C"/>
    <w:multiLevelType w:val="multilevel"/>
    <w:tmpl w:val="0000000C"/>
    <w:lvl w:ilvl="0" w:tentative="0">
      <w:start w:val="1"/>
      <w:numFmt w:val="japaneseCounting"/>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911E25F"/>
    <w:multiLevelType w:val="singleLevel"/>
    <w:tmpl w:val="4911E25F"/>
    <w:lvl w:ilvl="0" w:tentative="0">
      <w:start w:val="7"/>
      <w:numFmt w:val="chineseCounting"/>
      <w:suff w:val="nothing"/>
      <w:lvlText w:val="%1、"/>
      <w:lvlJc w:val="left"/>
      <w:rPr>
        <w:rFonts w:hint="eastAsia"/>
      </w:rPr>
    </w:lvl>
  </w:abstractNum>
  <w:abstractNum w:abstractNumId="4">
    <w:nsid w:val="6832E3E2"/>
    <w:multiLevelType w:val="singleLevel"/>
    <w:tmpl w:val="6832E3E2"/>
    <w:lvl w:ilvl="0" w:tentative="0">
      <w:start w:val="5"/>
      <w:numFmt w:val="chineseCounting"/>
      <w:suff w:val="space"/>
      <w:lvlText w:val="第%1章"/>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OTdjODkyMjIwZmM5ZmIxNzlkMDk2ODUwYWNjMzYifQ=="/>
    <w:docVar w:name="KSO_WPS_MARK_KEY" w:val="e16dea95-a3b6-4584-b0a0-8e30712a8e15"/>
  </w:docVars>
  <w:rsids>
    <w:rsidRoot w:val="5FD00712"/>
    <w:rsid w:val="000007B7"/>
    <w:rsid w:val="000D71AE"/>
    <w:rsid w:val="001432CE"/>
    <w:rsid w:val="001C740D"/>
    <w:rsid w:val="001E04EA"/>
    <w:rsid w:val="001E7ED6"/>
    <w:rsid w:val="00284447"/>
    <w:rsid w:val="002B524F"/>
    <w:rsid w:val="00402A7B"/>
    <w:rsid w:val="004E4B7B"/>
    <w:rsid w:val="0051492A"/>
    <w:rsid w:val="005F7A16"/>
    <w:rsid w:val="00624C98"/>
    <w:rsid w:val="00645643"/>
    <w:rsid w:val="00CC0B15"/>
    <w:rsid w:val="00D527C9"/>
    <w:rsid w:val="02186A33"/>
    <w:rsid w:val="026E0D49"/>
    <w:rsid w:val="039E11BA"/>
    <w:rsid w:val="041D7DD9"/>
    <w:rsid w:val="04877EA0"/>
    <w:rsid w:val="051756C8"/>
    <w:rsid w:val="061158EB"/>
    <w:rsid w:val="06C30D88"/>
    <w:rsid w:val="073F4A62"/>
    <w:rsid w:val="078405A3"/>
    <w:rsid w:val="0805367D"/>
    <w:rsid w:val="092B1AF3"/>
    <w:rsid w:val="09304FAA"/>
    <w:rsid w:val="09F06F2B"/>
    <w:rsid w:val="0A3C24F6"/>
    <w:rsid w:val="0B510545"/>
    <w:rsid w:val="0B7218AA"/>
    <w:rsid w:val="0BBE048A"/>
    <w:rsid w:val="0DA63A8D"/>
    <w:rsid w:val="0EE95140"/>
    <w:rsid w:val="0F8D5320"/>
    <w:rsid w:val="103871E0"/>
    <w:rsid w:val="116752E1"/>
    <w:rsid w:val="11991213"/>
    <w:rsid w:val="12394ECF"/>
    <w:rsid w:val="12BA4BDF"/>
    <w:rsid w:val="1330766D"/>
    <w:rsid w:val="14C52A4A"/>
    <w:rsid w:val="14FE03D3"/>
    <w:rsid w:val="1639213A"/>
    <w:rsid w:val="16543119"/>
    <w:rsid w:val="165761AE"/>
    <w:rsid w:val="16CD4B69"/>
    <w:rsid w:val="173B6FF4"/>
    <w:rsid w:val="18D2736B"/>
    <w:rsid w:val="18F558C8"/>
    <w:rsid w:val="190D305F"/>
    <w:rsid w:val="19A31B3A"/>
    <w:rsid w:val="19C81E92"/>
    <w:rsid w:val="1A0E6C42"/>
    <w:rsid w:val="1A492573"/>
    <w:rsid w:val="1ACE63D1"/>
    <w:rsid w:val="1B862240"/>
    <w:rsid w:val="1B914B12"/>
    <w:rsid w:val="1B9D4BDD"/>
    <w:rsid w:val="1C251AE1"/>
    <w:rsid w:val="1D3544E5"/>
    <w:rsid w:val="1D481291"/>
    <w:rsid w:val="1D6F2CFE"/>
    <w:rsid w:val="1E7D4396"/>
    <w:rsid w:val="1F3D3B25"/>
    <w:rsid w:val="1F3D4FE4"/>
    <w:rsid w:val="1FFA5732"/>
    <w:rsid w:val="20731C35"/>
    <w:rsid w:val="20957617"/>
    <w:rsid w:val="213A67F6"/>
    <w:rsid w:val="21863927"/>
    <w:rsid w:val="21DC2D7B"/>
    <w:rsid w:val="21E8421C"/>
    <w:rsid w:val="22600256"/>
    <w:rsid w:val="226C6BFB"/>
    <w:rsid w:val="22963C78"/>
    <w:rsid w:val="234731C4"/>
    <w:rsid w:val="240D3AC6"/>
    <w:rsid w:val="2423778D"/>
    <w:rsid w:val="24C57CFF"/>
    <w:rsid w:val="24D17D91"/>
    <w:rsid w:val="2512435E"/>
    <w:rsid w:val="25865187"/>
    <w:rsid w:val="25A246E2"/>
    <w:rsid w:val="26341C92"/>
    <w:rsid w:val="26A31435"/>
    <w:rsid w:val="271C2272"/>
    <w:rsid w:val="28FE0CC5"/>
    <w:rsid w:val="29B43DD1"/>
    <w:rsid w:val="29C72969"/>
    <w:rsid w:val="29E17ECF"/>
    <w:rsid w:val="2B031D4B"/>
    <w:rsid w:val="2C4360A7"/>
    <w:rsid w:val="2C6E531E"/>
    <w:rsid w:val="2C915484"/>
    <w:rsid w:val="2CB103C0"/>
    <w:rsid w:val="2CCE64CA"/>
    <w:rsid w:val="2D54076E"/>
    <w:rsid w:val="2EC92CDF"/>
    <w:rsid w:val="2EDE0EB5"/>
    <w:rsid w:val="2FBF0737"/>
    <w:rsid w:val="3037755F"/>
    <w:rsid w:val="306C64F1"/>
    <w:rsid w:val="31A05D12"/>
    <w:rsid w:val="32761D99"/>
    <w:rsid w:val="34A97E32"/>
    <w:rsid w:val="34D16D92"/>
    <w:rsid w:val="34D60E98"/>
    <w:rsid w:val="36466B68"/>
    <w:rsid w:val="372031BB"/>
    <w:rsid w:val="37A173DF"/>
    <w:rsid w:val="38E92883"/>
    <w:rsid w:val="39AA2428"/>
    <w:rsid w:val="39E41315"/>
    <w:rsid w:val="3A021B0A"/>
    <w:rsid w:val="3A0C7FBB"/>
    <w:rsid w:val="3A14308B"/>
    <w:rsid w:val="3A7366F4"/>
    <w:rsid w:val="3AC727C9"/>
    <w:rsid w:val="3C0B4937"/>
    <w:rsid w:val="3E8E7C3B"/>
    <w:rsid w:val="3EB355BA"/>
    <w:rsid w:val="3ED71449"/>
    <w:rsid w:val="3EE002FD"/>
    <w:rsid w:val="3F5B3E28"/>
    <w:rsid w:val="3F626F64"/>
    <w:rsid w:val="4085132E"/>
    <w:rsid w:val="4090365D"/>
    <w:rsid w:val="41263FC1"/>
    <w:rsid w:val="413374BE"/>
    <w:rsid w:val="418B46A6"/>
    <w:rsid w:val="41C13F62"/>
    <w:rsid w:val="41F61808"/>
    <w:rsid w:val="434D1E89"/>
    <w:rsid w:val="43D971F8"/>
    <w:rsid w:val="442B48D1"/>
    <w:rsid w:val="456D48E9"/>
    <w:rsid w:val="45DB6963"/>
    <w:rsid w:val="46533CA9"/>
    <w:rsid w:val="4872646B"/>
    <w:rsid w:val="48775B90"/>
    <w:rsid w:val="48F6071D"/>
    <w:rsid w:val="490746D8"/>
    <w:rsid w:val="49975A5C"/>
    <w:rsid w:val="49981993"/>
    <w:rsid w:val="4A2A2D74"/>
    <w:rsid w:val="4A582A30"/>
    <w:rsid w:val="4B0709C0"/>
    <w:rsid w:val="4B782C65"/>
    <w:rsid w:val="4B8E10E1"/>
    <w:rsid w:val="4BF36893"/>
    <w:rsid w:val="4CE52905"/>
    <w:rsid w:val="4EA40C60"/>
    <w:rsid w:val="4F117C5A"/>
    <w:rsid w:val="4F6073DF"/>
    <w:rsid w:val="4F7008F7"/>
    <w:rsid w:val="4F772200"/>
    <w:rsid w:val="50014495"/>
    <w:rsid w:val="50986CF5"/>
    <w:rsid w:val="50AF1D93"/>
    <w:rsid w:val="529E4F59"/>
    <w:rsid w:val="52A82A88"/>
    <w:rsid w:val="52D00497"/>
    <w:rsid w:val="538805CD"/>
    <w:rsid w:val="53C65340"/>
    <w:rsid w:val="54C54F15"/>
    <w:rsid w:val="553D7E00"/>
    <w:rsid w:val="55560EC1"/>
    <w:rsid w:val="55894DF3"/>
    <w:rsid w:val="55C220B3"/>
    <w:rsid w:val="564716B3"/>
    <w:rsid w:val="567248C2"/>
    <w:rsid w:val="579655A5"/>
    <w:rsid w:val="57B27F05"/>
    <w:rsid w:val="58566972"/>
    <w:rsid w:val="58855C53"/>
    <w:rsid w:val="58923ED4"/>
    <w:rsid w:val="59064E18"/>
    <w:rsid w:val="59B14918"/>
    <w:rsid w:val="59F168CA"/>
    <w:rsid w:val="5A0233C6"/>
    <w:rsid w:val="5A491606"/>
    <w:rsid w:val="5A5E7EA7"/>
    <w:rsid w:val="5B0A0784"/>
    <w:rsid w:val="5B3524FD"/>
    <w:rsid w:val="5BFE64DA"/>
    <w:rsid w:val="5DFE4DA2"/>
    <w:rsid w:val="5E420235"/>
    <w:rsid w:val="5E643B4F"/>
    <w:rsid w:val="5EAE0929"/>
    <w:rsid w:val="5FD00712"/>
    <w:rsid w:val="5FED1471"/>
    <w:rsid w:val="6092691D"/>
    <w:rsid w:val="6142054C"/>
    <w:rsid w:val="61BD5430"/>
    <w:rsid w:val="61C62F2B"/>
    <w:rsid w:val="62DA4EE0"/>
    <w:rsid w:val="63A10666"/>
    <w:rsid w:val="640731F0"/>
    <w:rsid w:val="652266CA"/>
    <w:rsid w:val="65EE0D87"/>
    <w:rsid w:val="67495C12"/>
    <w:rsid w:val="67DD5B35"/>
    <w:rsid w:val="69252C2D"/>
    <w:rsid w:val="699356DB"/>
    <w:rsid w:val="69B875FD"/>
    <w:rsid w:val="6A0E36C1"/>
    <w:rsid w:val="6D97577B"/>
    <w:rsid w:val="6DCF3079"/>
    <w:rsid w:val="6DD87754"/>
    <w:rsid w:val="6ED712DA"/>
    <w:rsid w:val="70B35559"/>
    <w:rsid w:val="70D51CB4"/>
    <w:rsid w:val="70F15267"/>
    <w:rsid w:val="712C20C0"/>
    <w:rsid w:val="71B40FF2"/>
    <w:rsid w:val="72C74EE5"/>
    <w:rsid w:val="732B7092"/>
    <w:rsid w:val="733F0D8F"/>
    <w:rsid w:val="73BB6668"/>
    <w:rsid w:val="75466405"/>
    <w:rsid w:val="77517BF3"/>
    <w:rsid w:val="77804233"/>
    <w:rsid w:val="7827593F"/>
    <w:rsid w:val="78D43185"/>
    <w:rsid w:val="79E376B4"/>
    <w:rsid w:val="7A837D49"/>
    <w:rsid w:val="7B3A0121"/>
    <w:rsid w:val="7C105077"/>
    <w:rsid w:val="7C117C8C"/>
    <w:rsid w:val="7C281C74"/>
    <w:rsid w:val="7E1F720E"/>
    <w:rsid w:val="7FB244C8"/>
    <w:rsid w:val="7FF96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30"/>
      <w:lang w:val="en-US" w:eastAsia="zh-CN" w:bidi="ar-SA"/>
    </w:rPr>
  </w:style>
  <w:style w:type="paragraph" w:styleId="3">
    <w:name w:val="heading 1"/>
    <w:basedOn w:val="1"/>
    <w:next w:val="1"/>
    <w:autoRedefine/>
    <w:qFormat/>
    <w:uiPriority w:val="0"/>
    <w:pPr>
      <w:keepNext/>
      <w:jc w:val="center"/>
      <w:outlineLvl w:val="0"/>
    </w:pPr>
    <w:rPr>
      <w:b/>
      <w:bCs/>
      <w:color w:val="000000"/>
      <w:sz w:val="32"/>
    </w:rPr>
  </w:style>
  <w:style w:type="paragraph" w:styleId="4">
    <w:name w:val="heading 2"/>
    <w:basedOn w:val="1"/>
    <w:next w:val="1"/>
    <w:autoRedefine/>
    <w:qFormat/>
    <w:uiPriority w:val="0"/>
    <w:pPr>
      <w:keepNext/>
      <w:keepLines/>
      <w:spacing w:line="460" w:lineRule="exact"/>
      <w:outlineLvl w:val="1"/>
    </w:pPr>
    <w:rPr>
      <w:rFonts w:ascii="宋体" w:hAnsi="宋体"/>
      <w:b/>
      <w:szCs w:val="30"/>
    </w:rPr>
  </w:style>
  <w:style w:type="paragraph" w:styleId="5">
    <w:name w:val="heading 3"/>
    <w:basedOn w:val="1"/>
    <w:next w:val="1"/>
    <w:autoRedefine/>
    <w:qFormat/>
    <w:uiPriority w:val="0"/>
    <w:pPr>
      <w:keepNext/>
      <w:keepLines/>
      <w:spacing w:line="460" w:lineRule="exact"/>
      <w:jc w:val="left"/>
      <w:outlineLvl w:val="2"/>
    </w:pPr>
    <w:rPr>
      <w:b/>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Plain Text1"/>
    <w:basedOn w:val="1"/>
    <w:autoRedefine/>
    <w:qFormat/>
    <w:uiPriority w:val="0"/>
    <w:rPr>
      <w:rFonts w:hAnsi="Courier New" w:cs="Courier New"/>
      <w:szCs w:val="21"/>
    </w:rPr>
  </w:style>
  <w:style w:type="paragraph" w:styleId="6">
    <w:name w:val="Body Text"/>
    <w:basedOn w:val="1"/>
    <w:next w:val="7"/>
    <w:autoRedefine/>
    <w:qFormat/>
    <w:uiPriority w:val="0"/>
    <w:pPr>
      <w:spacing w:after="120"/>
    </w:pPr>
    <w:rPr>
      <w:sz w:val="21"/>
    </w:rPr>
  </w:style>
  <w:style w:type="paragraph" w:styleId="7">
    <w:name w:val="Body Text 2"/>
    <w:basedOn w:val="1"/>
    <w:autoRedefine/>
    <w:qFormat/>
    <w:uiPriority w:val="0"/>
    <w:pPr>
      <w:spacing w:after="120" w:line="480" w:lineRule="auto"/>
    </w:pPr>
    <w:rPr>
      <w:sz w:val="21"/>
    </w:rPr>
  </w:style>
  <w:style w:type="paragraph" w:styleId="8">
    <w:name w:val="Body Text Indent"/>
    <w:basedOn w:val="1"/>
    <w:next w:val="9"/>
    <w:autoRedefine/>
    <w:qFormat/>
    <w:uiPriority w:val="0"/>
    <w:pPr>
      <w:spacing w:line="312" w:lineRule="auto"/>
      <w:ind w:firstLine="735" w:firstLineChars="245"/>
    </w:pPr>
  </w:style>
  <w:style w:type="paragraph" w:styleId="9">
    <w:name w:val="envelope return"/>
    <w:basedOn w:val="1"/>
    <w:autoRedefine/>
    <w:qFormat/>
    <w:uiPriority w:val="0"/>
    <w:pPr>
      <w:tabs>
        <w:tab w:val="left" w:pos="420"/>
      </w:tabs>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0"/>
    <w:rPr>
      <w:rFonts w:ascii="宋体" w:hAnsi="Courier New"/>
      <w:sz w:val="21"/>
    </w:rPr>
  </w:style>
  <w:style w:type="paragraph" w:styleId="12">
    <w:name w:val="footer"/>
    <w:basedOn w:val="1"/>
    <w:link w:val="34"/>
    <w:autoRedefine/>
    <w:qFormat/>
    <w:uiPriority w:val="99"/>
    <w:pPr>
      <w:tabs>
        <w:tab w:val="center" w:pos="4153"/>
        <w:tab w:val="right" w:pos="8306"/>
      </w:tabs>
      <w:snapToGrid w:val="0"/>
      <w:jc w:val="left"/>
    </w:pPr>
    <w:rPr>
      <w:sz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autoRedefine/>
    <w:qFormat/>
    <w:uiPriority w:val="39"/>
  </w:style>
  <w:style w:type="paragraph" w:styleId="15">
    <w:name w:val="toc 2"/>
    <w:basedOn w:val="1"/>
    <w:next w:val="1"/>
    <w:autoRedefine/>
    <w:qFormat/>
    <w:uiPriority w:val="39"/>
    <w:pPr>
      <w:tabs>
        <w:tab w:val="right" w:leader="dot" w:pos="9232"/>
      </w:tabs>
      <w:spacing w:line="300" w:lineRule="exact"/>
      <w:ind w:left="600" w:leftChars="200"/>
    </w:p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6"/>
    <w:next w:val="1"/>
    <w:autoRedefine/>
    <w:qFormat/>
    <w:uiPriority w:val="0"/>
    <w:pPr>
      <w:ind w:firstLine="420" w:firstLineChars="100"/>
    </w:pPr>
  </w:style>
  <w:style w:type="paragraph" w:styleId="18">
    <w:name w:val="Body Text First Indent 2"/>
    <w:basedOn w:val="8"/>
    <w:next w:val="1"/>
    <w:autoRedefine/>
    <w:qFormat/>
    <w:uiPriority w:val="0"/>
    <w:pPr>
      <w:spacing w:after="120" w:line="240" w:lineRule="auto"/>
      <w:ind w:left="420" w:leftChars="200" w:firstLine="420" w:firstLineChars="200"/>
    </w:pPr>
  </w:style>
  <w:style w:type="character" w:styleId="21">
    <w:name w:val="page number"/>
    <w:autoRedefine/>
    <w:qFormat/>
    <w:uiPriority w:val="0"/>
  </w:style>
  <w:style w:type="character" w:styleId="22">
    <w:name w:val="Hyperlink"/>
    <w:autoRedefine/>
    <w:qFormat/>
    <w:uiPriority w:val="99"/>
    <w:rPr>
      <w:color w:val="333333"/>
      <w:u w:val="none"/>
    </w:rPr>
  </w:style>
  <w:style w:type="paragraph" w:customStyle="1" w:styleId="23">
    <w:name w:val="无间隔1"/>
    <w:basedOn w:val="1"/>
    <w:next w:val="24"/>
    <w:autoRedefine/>
    <w:qFormat/>
    <w:uiPriority w:val="1"/>
    <w:pPr>
      <w:spacing w:line="400" w:lineRule="exact"/>
    </w:pPr>
    <w:rPr>
      <w:sz w:val="24"/>
    </w:rPr>
  </w:style>
  <w:style w:type="paragraph" w:customStyle="1" w:styleId="24">
    <w:name w:val="TOC Heading1"/>
    <w:next w:val="1"/>
    <w:autoRedefine/>
    <w:qFormat/>
    <w:uiPriority w:val="0"/>
    <w:pPr>
      <w:wordWrap w:val="0"/>
    </w:pPr>
    <w:rPr>
      <w:rFonts w:ascii="Calibri" w:hAnsi="Calibri" w:eastAsia="宋体" w:cs="Times New Roman"/>
      <w:sz w:val="32"/>
      <w:szCs w:val="22"/>
      <w:lang w:val="en-US" w:eastAsia="zh-CN" w:bidi="ar-SA"/>
    </w:rPr>
  </w:style>
  <w:style w:type="paragraph" w:customStyle="1" w:styleId="25">
    <w:name w:val="Message Header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2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Table Paragraph"/>
    <w:basedOn w:val="1"/>
    <w:autoRedefine/>
    <w:qFormat/>
    <w:uiPriority w:val="1"/>
    <w:rPr>
      <w:rFonts w:ascii="宋体" w:hAnsi="宋体" w:cs="宋体"/>
      <w:lang w:val="zh-CN" w:bidi="zh-CN"/>
    </w:rPr>
  </w:style>
  <w:style w:type="paragraph" w:customStyle="1" w:styleId="28">
    <w:name w:val="Body text|1"/>
    <w:basedOn w:val="1"/>
    <w:link w:val="29"/>
    <w:autoRedefine/>
    <w:qFormat/>
    <w:uiPriority w:val="0"/>
    <w:pPr>
      <w:keepNext w:val="0"/>
      <w:keepLines w:val="0"/>
      <w:widowControl w:val="0"/>
      <w:suppressLineNumbers w:val="0"/>
      <w:spacing w:before="0" w:beforeAutospacing="0" w:after="0" w:afterAutospacing="0" w:line="480" w:lineRule="auto"/>
      <w:ind w:left="0" w:right="0" w:firstLine="400"/>
      <w:jc w:val="left"/>
    </w:pPr>
    <w:rPr>
      <w:rFonts w:hint="eastAsia" w:ascii="宋体" w:hAnsi="宋体" w:eastAsia="宋体" w:cs="宋体"/>
      <w:color w:val="auto"/>
      <w:kern w:val="0"/>
      <w:sz w:val="20"/>
      <w:szCs w:val="20"/>
      <w:lang w:val="en-US" w:eastAsia="zh-CN" w:bidi="ar"/>
    </w:rPr>
  </w:style>
  <w:style w:type="character" w:customStyle="1" w:styleId="29">
    <w:name w:val="Body text|1_"/>
    <w:basedOn w:val="20"/>
    <w:link w:val="28"/>
    <w:autoRedefine/>
    <w:qFormat/>
    <w:uiPriority w:val="0"/>
    <w:rPr>
      <w:rFonts w:hint="eastAsia" w:ascii="宋体" w:hAnsi="宋体" w:eastAsia="宋体" w:cs="宋体"/>
      <w:lang w:val="zh-TW" w:eastAsia="zh-TW" w:bidi="zh-TW"/>
    </w:rPr>
  </w:style>
  <w:style w:type="character" w:customStyle="1" w:styleId="30">
    <w:name w:val="Heading #3|1_"/>
    <w:basedOn w:val="20"/>
    <w:link w:val="31"/>
    <w:autoRedefine/>
    <w:qFormat/>
    <w:uiPriority w:val="0"/>
    <w:rPr>
      <w:rFonts w:hint="eastAsia" w:ascii="宋体" w:hAnsi="宋体" w:eastAsia="宋体" w:cs="宋体"/>
      <w:b/>
      <w:bCs/>
      <w:lang w:val="zh-TW" w:eastAsia="zh-TW" w:bidi="zh-TW"/>
    </w:rPr>
  </w:style>
  <w:style w:type="paragraph" w:customStyle="1" w:styleId="31">
    <w:name w:val="Heading #3|1"/>
    <w:basedOn w:val="1"/>
    <w:link w:val="30"/>
    <w:autoRedefine/>
    <w:qFormat/>
    <w:uiPriority w:val="0"/>
    <w:pPr>
      <w:keepNext w:val="0"/>
      <w:keepLines w:val="0"/>
      <w:widowControl w:val="0"/>
      <w:suppressLineNumbers w:val="0"/>
      <w:spacing w:before="0" w:beforeAutospacing="0" w:after="0" w:afterAutospacing="0" w:line="475" w:lineRule="exact"/>
      <w:ind w:left="0" w:right="0"/>
      <w:jc w:val="left"/>
      <w:outlineLvl w:val="2"/>
    </w:pPr>
    <w:rPr>
      <w:rFonts w:hint="eastAsia" w:ascii="宋体" w:hAnsi="宋体" w:eastAsia="宋体" w:cs="宋体"/>
      <w:b/>
      <w:bCs/>
      <w:color w:val="auto"/>
      <w:kern w:val="0"/>
      <w:sz w:val="20"/>
      <w:szCs w:val="20"/>
      <w:lang w:val="en-US" w:eastAsia="zh-CN" w:bidi="ar"/>
    </w:rPr>
  </w:style>
  <w:style w:type="paragraph" w:customStyle="1" w:styleId="32">
    <w:name w:val="Heading #4|1"/>
    <w:basedOn w:val="1"/>
    <w:link w:val="35"/>
    <w:autoRedefine/>
    <w:qFormat/>
    <w:uiPriority w:val="0"/>
    <w:pPr>
      <w:keepNext w:val="0"/>
      <w:keepLines w:val="0"/>
      <w:widowControl w:val="0"/>
      <w:suppressLineNumbers w:val="0"/>
      <w:spacing w:before="0" w:beforeAutospacing="0" w:after="110" w:afterAutospacing="0" w:line="468" w:lineRule="exact"/>
      <w:ind w:left="0" w:right="0" w:firstLine="440"/>
      <w:jc w:val="left"/>
      <w:outlineLvl w:val="3"/>
    </w:pPr>
    <w:rPr>
      <w:rFonts w:hint="eastAsia" w:ascii="宋体" w:hAnsi="宋体" w:eastAsia="宋体" w:cs="宋体"/>
      <w:b/>
      <w:bCs/>
      <w:color w:val="auto"/>
      <w:kern w:val="0"/>
      <w:sz w:val="20"/>
      <w:szCs w:val="20"/>
      <w:lang w:val="en-US" w:eastAsia="zh-CN" w:bidi="ar"/>
    </w:rPr>
  </w:style>
  <w:style w:type="character" w:customStyle="1" w:styleId="33">
    <w:name w:val="Header or footer|1_"/>
    <w:basedOn w:val="20"/>
    <w:autoRedefine/>
    <w:qFormat/>
    <w:uiPriority w:val="0"/>
    <w:rPr>
      <w:rFonts w:hint="eastAsia" w:ascii="宋体" w:hAnsi="宋体" w:eastAsia="宋体" w:cs="宋体"/>
      <w:sz w:val="18"/>
      <w:szCs w:val="18"/>
      <w:lang w:val="zh-TW" w:eastAsia="zh-TW" w:bidi="zh-TW"/>
    </w:rPr>
  </w:style>
  <w:style w:type="character" w:customStyle="1" w:styleId="34">
    <w:name w:val="页脚 字符"/>
    <w:basedOn w:val="20"/>
    <w:link w:val="12"/>
    <w:autoRedefine/>
    <w:qFormat/>
    <w:uiPriority w:val="0"/>
    <w:rPr>
      <w:rFonts w:hint="default" w:ascii="Times New Roman" w:hAnsi="Times New Roman" w:eastAsia="Times New Roman" w:cs="Times New Roman"/>
      <w:color w:val="000000"/>
      <w:sz w:val="18"/>
      <w:szCs w:val="24"/>
      <w:lang w:eastAsia="en-US" w:bidi="en-US"/>
    </w:rPr>
  </w:style>
  <w:style w:type="character" w:customStyle="1" w:styleId="35">
    <w:name w:val="Heading #4|1_"/>
    <w:basedOn w:val="20"/>
    <w:link w:val="32"/>
    <w:autoRedefine/>
    <w:qFormat/>
    <w:uiPriority w:val="0"/>
    <w:rPr>
      <w:rFonts w:hint="eastAsia" w:ascii="宋体" w:hAnsi="宋体" w:eastAsia="宋体" w:cs="宋体"/>
      <w:b/>
      <w:bCs/>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24485</Words>
  <Characters>26428</Characters>
  <Lines>264</Lines>
  <Paragraphs>74</Paragraphs>
  <TotalTime>7</TotalTime>
  <ScaleCrop>false</ScaleCrop>
  <LinksUpToDate>false</LinksUpToDate>
  <CharactersWithSpaces>31080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2022-12-05T12:07:00Z</dcterms:created>
  <dc:creator>空</dc:creator>
  <cp:lastModifiedBy>一</cp:lastModifiedBy>
  <dcterms:modified xsi:type="dcterms:W3CDTF">2023-12-22T02:48:33Z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716639EF121F43DAAAC02F9873E1C9F3_13</vt:lpwstr>
  </property>
</Properties>
</file>