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楷体_GB2312" w:eastAsia="楷体_GB2312"/>
          <w:b/>
          <w:color w:val="auto"/>
          <w:sz w:val="52"/>
          <w:szCs w:val="52"/>
          <w:highlight w:val="none"/>
        </w:rPr>
      </w:pPr>
      <w:bookmarkStart w:id="0" w:name="_Toc247085669"/>
      <w:bookmarkStart w:id="1" w:name="_Toc246996898"/>
      <w:bookmarkStart w:id="2" w:name="_Toc296602400"/>
      <w:bookmarkStart w:id="782" w:name="_GoBack"/>
      <w:bookmarkEnd w:id="782"/>
    </w:p>
    <w:p>
      <w:pPr>
        <w:spacing w:line="560" w:lineRule="exact"/>
        <w:jc w:val="center"/>
        <w:rPr>
          <w:rFonts w:hint="eastAsia"/>
          <w:color w:val="auto"/>
          <w:sz w:val="32"/>
          <w:szCs w:val="32"/>
          <w:highlight w:val="none"/>
        </w:rPr>
      </w:pPr>
      <w:r>
        <w:rPr>
          <w:rFonts w:hint="eastAsia"/>
          <w:color w:val="auto"/>
          <w:sz w:val="32"/>
          <w:szCs w:val="32"/>
          <w:highlight w:val="none"/>
        </w:rPr>
        <w:t>开封市机关事务中心八大街办公区保安、保洁、消防及</w:t>
      </w:r>
    </w:p>
    <w:p>
      <w:pPr>
        <w:spacing w:line="560" w:lineRule="exact"/>
        <w:jc w:val="center"/>
        <w:rPr>
          <w:rFonts w:hint="eastAsia"/>
          <w:color w:val="auto"/>
          <w:sz w:val="32"/>
          <w:szCs w:val="32"/>
          <w:highlight w:val="none"/>
        </w:rPr>
      </w:pPr>
      <w:r>
        <w:rPr>
          <w:rFonts w:hint="eastAsia"/>
          <w:color w:val="auto"/>
          <w:sz w:val="32"/>
          <w:szCs w:val="32"/>
          <w:highlight w:val="none"/>
        </w:rPr>
        <w:t>监控维保项目第</w:t>
      </w:r>
      <w:r>
        <w:rPr>
          <w:rFonts w:hint="eastAsia"/>
          <w:color w:val="auto"/>
          <w:sz w:val="32"/>
          <w:szCs w:val="32"/>
          <w:highlight w:val="none"/>
          <w:lang w:val="en-US" w:eastAsia="zh-CN"/>
        </w:rPr>
        <w:t>二</w:t>
      </w:r>
      <w:r>
        <w:rPr>
          <w:rFonts w:hint="eastAsia"/>
          <w:color w:val="auto"/>
          <w:sz w:val="32"/>
          <w:szCs w:val="32"/>
          <w:highlight w:val="none"/>
        </w:rPr>
        <w:t>标段</w:t>
      </w: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rFonts w:ascii="楷体_GB2312" w:eastAsia="楷体_GB2312"/>
          <w:color w:val="auto"/>
          <w:sz w:val="96"/>
          <w:szCs w:val="96"/>
          <w:highlight w:val="none"/>
        </w:rPr>
      </w:pPr>
      <w:r>
        <w:rPr>
          <w:rFonts w:hint="eastAsia" w:ascii="楷体_GB2312" w:hAnsi="宋体" w:eastAsia="楷体_GB2312"/>
          <w:b/>
          <w:bCs/>
          <w:color w:val="auto"/>
          <w:sz w:val="120"/>
          <w:szCs w:val="120"/>
          <w:highlight w:val="none"/>
        </w:rPr>
        <w:t>招标文件</w:t>
      </w:r>
    </w:p>
    <w:p>
      <w:pPr>
        <w:jc w:val="center"/>
        <w:rPr>
          <w:rFonts w:hint="eastAsia" w:ascii="宋体" w:hAnsi="宋体" w:eastAsia="楷体_GB2312"/>
          <w:color w:val="auto"/>
          <w:sz w:val="48"/>
          <w:szCs w:val="48"/>
          <w:highlight w:val="none"/>
          <w:lang w:val="en-US" w:eastAsia="zh-CN"/>
        </w:rPr>
      </w:pPr>
      <w:r>
        <w:rPr>
          <w:rFonts w:hint="eastAsia" w:ascii="楷体_GB2312" w:hAnsi="宋体" w:eastAsia="楷体_GB2312"/>
          <w:b/>
          <w:color w:val="auto"/>
          <w:sz w:val="32"/>
          <w:szCs w:val="32"/>
          <w:highlight w:val="none"/>
        </w:rPr>
        <w:t>项目编号：汴财招标</w:t>
      </w:r>
      <w:r>
        <w:rPr>
          <w:rFonts w:hint="eastAsia" w:ascii="楷体_GB2312" w:hAnsi="宋体" w:eastAsia="楷体_GB2312" w:cs="宋体"/>
          <w:b/>
          <w:color w:val="auto"/>
          <w:sz w:val="32"/>
          <w:szCs w:val="32"/>
          <w:highlight w:val="none"/>
        </w:rPr>
        <w:t>采购-202</w:t>
      </w:r>
      <w:r>
        <w:rPr>
          <w:rFonts w:hint="eastAsia" w:ascii="楷体_GB2312" w:hAnsi="宋体" w:eastAsia="楷体_GB2312" w:cs="宋体"/>
          <w:b/>
          <w:color w:val="auto"/>
          <w:sz w:val="32"/>
          <w:szCs w:val="32"/>
          <w:highlight w:val="none"/>
          <w:lang w:val="en-US" w:eastAsia="zh-CN"/>
        </w:rPr>
        <w:t>5</w:t>
      </w:r>
      <w:r>
        <w:rPr>
          <w:rFonts w:hint="eastAsia" w:ascii="楷体_GB2312" w:hAnsi="宋体" w:eastAsia="楷体_GB2312" w:cs="宋体"/>
          <w:b/>
          <w:color w:val="auto"/>
          <w:sz w:val="32"/>
          <w:szCs w:val="32"/>
          <w:highlight w:val="none"/>
        </w:rPr>
        <w:t>-</w:t>
      </w:r>
      <w:r>
        <w:rPr>
          <w:rFonts w:hint="eastAsia" w:ascii="楷体_GB2312" w:hAnsi="宋体" w:eastAsia="楷体_GB2312" w:cs="宋体"/>
          <w:b/>
          <w:color w:val="auto"/>
          <w:sz w:val="32"/>
          <w:szCs w:val="32"/>
          <w:highlight w:val="none"/>
          <w:lang w:val="en-US" w:eastAsia="zh-CN"/>
        </w:rPr>
        <w:t>6</w:t>
      </w:r>
    </w:p>
    <w:p>
      <w:pPr>
        <w:jc w:val="center"/>
        <w:rPr>
          <w:rFonts w:ascii="楷体_GB2312" w:eastAsia="楷体_GB2312"/>
          <w:color w:val="auto"/>
          <w:sz w:val="32"/>
          <w:szCs w:val="32"/>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560" w:lineRule="exact"/>
        <w:jc w:val="center"/>
        <w:rPr>
          <w:rFonts w:ascii="楷体_GB2312" w:eastAsia="楷体_GB2312"/>
          <w:b/>
          <w:color w:val="auto"/>
          <w:spacing w:val="40"/>
          <w:sz w:val="36"/>
          <w:szCs w:val="36"/>
          <w:highlight w:val="none"/>
        </w:rPr>
      </w:pPr>
      <w:r>
        <w:rPr>
          <w:rFonts w:hint="eastAsia" w:ascii="楷体_GB2312" w:eastAsia="楷体_GB2312"/>
          <w:b/>
          <w:color w:val="auto"/>
          <w:spacing w:val="40"/>
          <w:sz w:val="36"/>
          <w:szCs w:val="36"/>
          <w:highlight w:val="none"/>
        </w:rPr>
        <w:t>开封市政府采购中心</w:t>
      </w:r>
    </w:p>
    <w:p>
      <w:pPr>
        <w:pStyle w:val="24"/>
        <w:tabs>
          <w:tab w:val="right" w:leader="dot" w:pos="8834"/>
        </w:tabs>
        <w:jc w:val="center"/>
        <w:rPr>
          <w:rFonts w:ascii="宋体" w:hAnsi="宋体"/>
          <w:color w:val="auto"/>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p>
    <w:p>
      <w:pPr>
        <w:pStyle w:val="6"/>
        <w:tabs>
          <w:tab w:val="right" w:leader="dot" w:pos="8834"/>
        </w:tabs>
        <w:jc w:val="center"/>
        <w:rPr>
          <w:rFonts w:ascii="宋体" w:hAnsi="宋体"/>
          <w:b w:val="0"/>
          <w:bCs w:val="0"/>
          <w:iCs/>
          <w:caps/>
          <w:color w:val="auto"/>
          <w:highlight w:val="none"/>
        </w:rPr>
      </w:pPr>
      <w:bookmarkStart w:id="3" w:name="_Toc29393"/>
      <w:bookmarkStart w:id="4" w:name="_Toc29748"/>
      <w:r>
        <w:rPr>
          <w:rFonts w:hint="eastAsia" w:ascii="宋体" w:hAnsi="宋体"/>
          <w:color w:val="auto"/>
          <w:highlight w:val="none"/>
        </w:rPr>
        <w:t>目   录</w:t>
      </w:r>
      <w:bookmarkEnd w:id="0"/>
      <w:bookmarkEnd w:id="1"/>
      <w:bookmarkEnd w:id="2"/>
      <w:bookmarkEnd w:id="3"/>
      <w:bookmarkEnd w:id="4"/>
      <w:bookmarkStart w:id="5" w:name="_Toc289241344"/>
      <w:bookmarkStart w:id="6" w:name="_Toc289241521"/>
      <w:bookmarkStart w:id="7" w:name="_Toc338840184"/>
      <w:bookmarkStart w:id="8" w:name="_Toc338840439"/>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TOC \o "1-2" \h \z \u</w:instrText>
      </w:r>
      <w:r>
        <w:rPr>
          <w:rFonts w:ascii="宋体" w:hAnsi="宋体"/>
          <w:color w:val="auto"/>
          <w:highlight w:val="none"/>
        </w:rPr>
        <w:instrText xml:space="preserve"> </w:instrText>
      </w:r>
      <w:r>
        <w:rPr>
          <w:rFonts w:ascii="宋体" w:hAnsi="宋体"/>
          <w:color w:val="auto"/>
          <w:highlight w:val="none"/>
        </w:rPr>
        <w:fldChar w:fldCharType="separate"/>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"_Toc26571" </w:instrText>
      </w:r>
      <w:r>
        <w:rPr>
          <w:color w:val="auto"/>
          <w:highlight w:val="none"/>
        </w:rPr>
        <w:fldChar w:fldCharType="separate"/>
      </w:r>
      <w:r>
        <w:rPr>
          <w:rFonts w:hint="eastAsia" w:ascii="宋体" w:hAnsi="宋体" w:cs="宋体"/>
          <w:color w:val="auto"/>
          <w:sz w:val="28"/>
          <w:szCs w:val="28"/>
          <w:highlight w:val="none"/>
        </w:rPr>
        <w:t>第一章 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_Toc26571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"_Toc13151" </w:instrText>
      </w:r>
      <w:r>
        <w:rPr>
          <w:color w:val="auto"/>
          <w:highlight w:val="none"/>
        </w:rPr>
        <w:fldChar w:fldCharType="separate"/>
      </w:r>
      <w:r>
        <w:rPr>
          <w:rFonts w:hint="eastAsia" w:ascii="宋体" w:hAnsi="宋体" w:cs="宋体"/>
          <w:color w:val="auto"/>
          <w:sz w:val="28"/>
          <w:szCs w:val="28"/>
          <w:highlight w:val="none"/>
        </w:rPr>
        <w:t>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_Toc13151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"_Toc18827" </w:instrText>
      </w:r>
      <w:r>
        <w:rPr>
          <w:color w:val="auto"/>
          <w:highlight w:val="none"/>
        </w:rPr>
        <w:fldChar w:fldCharType="separate"/>
      </w:r>
      <w:r>
        <w:rPr>
          <w:rFonts w:hint="eastAsia" w:ascii="宋体" w:hAnsi="宋体" w:cs="宋体"/>
          <w:color w:val="auto"/>
          <w:sz w:val="28"/>
          <w:szCs w:val="28"/>
          <w:highlight w:val="none"/>
        </w:rPr>
        <w:t>供应商须知前附表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_Toc18827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"_Toc29445" </w:instrText>
      </w:r>
      <w:r>
        <w:rPr>
          <w:color w:val="auto"/>
          <w:highlight w:val="none"/>
        </w:rPr>
        <w:fldChar w:fldCharType="separate"/>
      </w:r>
      <w:r>
        <w:rPr>
          <w:rFonts w:hint="eastAsia" w:ascii="宋体" w:hAnsi="宋体" w:cs="宋体"/>
          <w:color w:val="auto"/>
          <w:sz w:val="28"/>
          <w:szCs w:val="28"/>
          <w:highlight w:val="none"/>
        </w:rPr>
        <w:t>1. 总则</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_Toc29445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"_Toc28300" </w:instrText>
      </w:r>
      <w:r>
        <w:rPr>
          <w:color w:val="auto"/>
          <w:highlight w:val="none"/>
        </w:rPr>
        <w:fldChar w:fldCharType="separate"/>
      </w:r>
      <w:r>
        <w:rPr>
          <w:rFonts w:hint="eastAsia" w:ascii="宋体" w:hAnsi="宋体" w:cs="宋体"/>
          <w:color w:val="auto"/>
          <w:sz w:val="28"/>
          <w:szCs w:val="28"/>
          <w:highlight w:val="none"/>
        </w:rPr>
        <w:t>2. 招标文件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_Toc28300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"_Toc8262" </w:instrText>
      </w:r>
      <w:r>
        <w:rPr>
          <w:color w:val="auto"/>
          <w:highlight w:val="none"/>
        </w:rPr>
        <w:fldChar w:fldCharType="separate"/>
      </w:r>
      <w:r>
        <w:rPr>
          <w:rFonts w:hint="eastAsia" w:ascii="宋体" w:hAnsi="宋体" w:cs="宋体"/>
          <w:color w:val="auto"/>
          <w:sz w:val="28"/>
          <w:szCs w:val="28"/>
          <w:highlight w:val="none"/>
        </w:rPr>
        <w:t>3. 投标文件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_Toc8262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"_Toc14743" </w:instrText>
      </w:r>
      <w:r>
        <w:rPr>
          <w:color w:val="auto"/>
          <w:highlight w:val="none"/>
        </w:rPr>
        <w:fldChar w:fldCharType="separate"/>
      </w:r>
      <w:r>
        <w:rPr>
          <w:rFonts w:hint="eastAsia" w:ascii="宋体" w:hAnsi="宋体" w:cs="宋体"/>
          <w:color w:val="auto"/>
          <w:sz w:val="28"/>
          <w:szCs w:val="28"/>
          <w:highlight w:val="none"/>
        </w:rPr>
        <w:t>4. 投标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_Toc14743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"_Toc20438" </w:instrText>
      </w:r>
      <w:r>
        <w:rPr>
          <w:color w:val="auto"/>
          <w:highlight w:val="none"/>
        </w:rPr>
        <w:fldChar w:fldCharType="separate"/>
      </w:r>
      <w:r>
        <w:rPr>
          <w:rFonts w:hint="eastAsia" w:ascii="宋体" w:hAnsi="宋体" w:cs="宋体"/>
          <w:color w:val="auto"/>
          <w:sz w:val="28"/>
          <w:szCs w:val="28"/>
          <w:highlight w:val="none"/>
        </w:rPr>
        <w:t>5. 开标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_Toc20438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"_Toc23925" </w:instrText>
      </w:r>
      <w:r>
        <w:rPr>
          <w:color w:val="auto"/>
          <w:highlight w:val="none"/>
        </w:rPr>
        <w:fldChar w:fldCharType="separate"/>
      </w:r>
      <w:r>
        <w:rPr>
          <w:rFonts w:hint="eastAsia" w:ascii="宋体" w:hAnsi="宋体" w:cs="宋体"/>
          <w:color w:val="auto"/>
          <w:sz w:val="28"/>
          <w:szCs w:val="28"/>
          <w:highlight w:val="none"/>
        </w:rPr>
        <w:t>6. 评标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_Toc23925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"_Toc7858" </w:instrText>
      </w:r>
      <w:r>
        <w:rPr>
          <w:color w:val="auto"/>
          <w:highlight w:val="none"/>
        </w:rPr>
        <w:fldChar w:fldCharType="separate"/>
      </w:r>
      <w:r>
        <w:rPr>
          <w:rFonts w:hint="eastAsia" w:ascii="宋体" w:hAnsi="宋体" w:cs="宋体"/>
          <w:color w:val="auto"/>
          <w:sz w:val="28"/>
          <w:szCs w:val="28"/>
          <w:highlight w:val="none"/>
        </w:rPr>
        <w:t>7. 合同授予</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_Toc7858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"_Toc19232" </w:instrText>
      </w:r>
      <w:r>
        <w:rPr>
          <w:color w:val="auto"/>
          <w:highlight w:val="none"/>
        </w:rPr>
        <w:fldChar w:fldCharType="separate"/>
      </w:r>
      <w:r>
        <w:rPr>
          <w:rFonts w:hint="eastAsia" w:ascii="宋体" w:hAnsi="宋体" w:cs="宋体"/>
          <w:color w:val="auto"/>
          <w:sz w:val="28"/>
          <w:szCs w:val="28"/>
          <w:highlight w:val="none"/>
        </w:rPr>
        <w:t>8. 纪律和监督</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_Toc19232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"_Toc10773" </w:instrText>
      </w:r>
      <w:r>
        <w:rPr>
          <w:color w:val="auto"/>
          <w:highlight w:val="none"/>
        </w:rPr>
        <w:fldChar w:fldCharType="separate"/>
      </w:r>
      <w:r>
        <w:rPr>
          <w:rFonts w:hint="eastAsia" w:ascii="宋体" w:hAnsi="宋体" w:cs="宋体"/>
          <w:color w:val="auto"/>
          <w:sz w:val="28"/>
          <w:szCs w:val="28"/>
          <w:highlight w:val="none"/>
        </w:rPr>
        <w:t>9. 关于中小企业、监狱企业、残疾人福利性单位投标的说明</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_Toc10773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"_Toc615" </w:instrText>
      </w:r>
      <w:r>
        <w:rPr>
          <w:color w:val="auto"/>
          <w:highlight w:val="none"/>
        </w:rPr>
        <w:fldChar w:fldCharType="separate"/>
      </w:r>
      <w:r>
        <w:rPr>
          <w:rFonts w:hint="eastAsia" w:ascii="宋体" w:hAnsi="宋体" w:cs="宋体"/>
          <w:color w:val="auto"/>
          <w:sz w:val="28"/>
          <w:szCs w:val="28"/>
          <w:highlight w:val="none"/>
        </w:rPr>
        <w:t>10. 需要补充的其他内容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_Toc615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"_Toc29712" </w:instrText>
      </w:r>
      <w:r>
        <w:rPr>
          <w:color w:val="auto"/>
          <w:highlight w:val="none"/>
        </w:rPr>
        <w:fldChar w:fldCharType="separate"/>
      </w:r>
      <w:r>
        <w:rPr>
          <w:rFonts w:hint="eastAsia" w:ascii="宋体" w:hAnsi="宋体" w:cs="宋体"/>
          <w:color w:val="auto"/>
          <w:sz w:val="28"/>
          <w:szCs w:val="28"/>
          <w:highlight w:val="none"/>
        </w:rPr>
        <w:t>11．电子招标投标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_Toc29712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"_Toc24747" </w:instrText>
      </w:r>
      <w:r>
        <w:rPr>
          <w:color w:val="auto"/>
          <w:highlight w:val="none"/>
        </w:rPr>
        <w:fldChar w:fldCharType="separate"/>
      </w:r>
      <w:r>
        <w:rPr>
          <w:rFonts w:hint="eastAsia" w:ascii="宋体" w:hAnsi="宋体" w:cs="宋体"/>
          <w:color w:val="auto"/>
          <w:sz w:val="28"/>
          <w:szCs w:val="28"/>
          <w:highlight w:val="none"/>
        </w:rPr>
        <w:t>第三章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_Toc24747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"_Toc452" </w:instrText>
      </w:r>
      <w:r>
        <w:rPr>
          <w:color w:val="auto"/>
          <w:highlight w:val="none"/>
        </w:rPr>
        <w:fldChar w:fldCharType="separate"/>
      </w:r>
      <w:r>
        <w:rPr>
          <w:rFonts w:hint="eastAsia" w:ascii="宋体" w:hAnsi="宋体" w:cs="宋体"/>
          <w:color w:val="auto"/>
          <w:sz w:val="28"/>
          <w:szCs w:val="28"/>
          <w:highlight w:val="none"/>
        </w:rPr>
        <w:t>评标办法前附表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_Toc452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"_Toc9899" </w:instrText>
      </w:r>
      <w:r>
        <w:rPr>
          <w:color w:val="auto"/>
          <w:highlight w:val="none"/>
        </w:rPr>
        <w:fldChar w:fldCharType="separate"/>
      </w:r>
      <w:r>
        <w:rPr>
          <w:rFonts w:hint="eastAsia" w:ascii="宋体" w:hAnsi="宋体" w:cs="宋体"/>
          <w:color w:val="auto"/>
          <w:sz w:val="28"/>
          <w:szCs w:val="28"/>
          <w:highlight w:val="none"/>
        </w:rPr>
        <w:t>1. 评标方法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_Toc9899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"_Toc10387" </w:instrText>
      </w:r>
      <w:r>
        <w:rPr>
          <w:color w:val="auto"/>
          <w:highlight w:val="none"/>
        </w:rPr>
        <w:fldChar w:fldCharType="separate"/>
      </w:r>
      <w:r>
        <w:rPr>
          <w:rFonts w:hint="eastAsia" w:ascii="宋体" w:hAnsi="宋体" w:cs="宋体"/>
          <w:color w:val="auto"/>
          <w:sz w:val="28"/>
          <w:szCs w:val="28"/>
          <w:highlight w:val="none"/>
        </w:rPr>
        <w:t>2. 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_Toc10387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"_Toc30064" </w:instrText>
      </w:r>
      <w:r>
        <w:rPr>
          <w:color w:val="auto"/>
          <w:highlight w:val="none"/>
        </w:rPr>
        <w:fldChar w:fldCharType="separate"/>
      </w:r>
      <w:r>
        <w:rPr>
          <w:rFonts w:hint="eastAsia" w:ascii="宋体" w:hAnsi="宋体" w:cs="宋体"/>
          <w:color w:val="auto"/>
          <w:sz w:val="28"/>
          <w:szCs w:val="28"/>
          <w:highlight w:val="none"/>
        </w:rPr>
        <w:t>3. 评标程序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_Toc30064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"_Toc27082" </w:instrText>
      </w:r>
      <w:r>
        <w:rPr>
          <w:color w:val="auto"/>
          <w:highlight w:val="none"/>
        </w:rPr>
        <w:fldChar w:fldCharType="separate"/>
      </w:r>
      <w:r>
        <w:rPr>
          <w:rFonts w:hint="eastAsia" w:ascii="宋体" w:hAnsi="宋体" w:cs="宋体"/>
          <w:color w:val="auto"/>
          <w:sz w:val="28"/>
          <w:szCs w:val="28"/>
          <w:highlight w:val="none"/>
        </w:rPr>
        <w:t>附件Ａ：</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_Toc27082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"_Toc17369" </w:instrText>
      </w:r>
      <w:r>
        <w:rPr>
          <w:color w:val="auto"/>
          <w:highlight w:val="none"/>
        </w:rPr>
        <w:fldChar w:fldCharType="separate"/>
      </w:r>
      <w:r>
        <w:rPr>
          <w:rFonts w:hint="eastAsia" w:ascii="宋体" w:hAnsi="宋体" w:cs="宋体"/>
          <w:color w:val="auto"/>
          <w:sz w:val="28"/>
          <w:szCs w:val="28"/>
          <w:highlight w:val="none"/>
        </w:rPr>
        <w:t>第四章 合同条款及格式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_Toc17369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"_Toc30854" </w:instrText>
      </w:r>
      <w:r>
        <w:rPr>
          <w:color w:val="auto"/>
          <w:highlight w:val="none"/>
        </w:rPr>
        <w:fldChar w:fldCharType="separate"/>
      </w:r>
      <w:r>
        <w:rPr>
          <w:rFonts w:hint="eastAsia" w:ascii="宋体" w:hAnsi="宋体" w:cs="宋体"/>
          <w:color w:val="auto"/>
          <w:sz w:val="28"/>
          <w:szCs w:val="28"/>
          <w:highlight w:val="none"/>
        </w:rPr>
        <w:t>开封政府采购合同融资政策告知函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_Toc30854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"_Toc6494" </w:instrText>
      </w:r>
      <w:r>
        <w:rPr>
          <w:color w:val="auto"/>
          <w:highlight w:val="none"/>
        </w:rPr>
        <w:fldChar w:fldCharType="separate"/>
      </w:r>
      <w:r>
        <w:rPr>
          <w:rFonts w:hint="eastAsia" w:ascii="宋体" w:hAnsi="宋体" w:cs="宋体"/>
          <w:bCs/>
          <w:color w:val="auto"/>
          <w:sz w:val="28"/>
          <w:szCs w:val="28"/>
          <w:highlight w:val="none"/>
        </w:rPr>
        <w:t>开封政府采购合同履约保函政策告知函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_Toc6494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"_Toc9194" </w:instrText>
      </w:r>
      <w:r>
        <w:rPr>
          <w:color w:val="auto"/>
          <w:highlight w:val="none"/>
        </w:rPr>
        <w:fldChar w:fldCharType="separate"/>
      </w:r>
      <w:r>
        <w:rPr>
          <w:rFonts w:hint="eastAsia" w:ascii="宋体" w:hAnsi="宋体" w:cs="宋体"/>
          <w:color w:val="auto"/>
          <w:sz w:val="28"/>
          <w:szCs w:val="28"/>
          <w:highlight w:val="none"/>
        </w:rPr>
        <w:t>第五章  招标内容及商务技术要求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_Toc9194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"_Toc32761" </w:instrText>
      </w:r>
      <w:r>
        <w:rPr>
          <w:color w:val="auto"/>
          <w:highlight w:val="none"/>
        </w:rPr>
        <w:fldChar w:fldCharType="separate"/>
      </w:r>
      <w:r>
        <w:rPr>
          <w:rFonts w:hint="eastAsia" w:ascii="宋体" w:hAnsi="宋体" w:cs="宋体"/>
          <w:color w:val="auto"/>
          <w:sz w:val="28"/>
          <w:szCs w:val="28"/>
          <w:highlight w:val="none"/>
        </w:rPr>
        <w:t>第六章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_Toc32761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34"/>
        </w:tabs>
        <w:jc w:val="center"/>
        <w:rPr>
          <w:rFonts w:ascii="宋体" w:hAnsi="宋体"/>
          <w:b w:val="0"/>
          <w:bCs w:val="0"/>
          <w:iCs/>
          <w:caps w:val="0"/>
          <w:color w:val="auto"/>
          <w:highlight w:val="none"/>
        </w:rPr>
        <w:sectPr>
          <w:footerReference r:id="rId6" w:type="default"/>
          <w:pgSz w:w="11906" w:h="16838"/>
          <w:pgMar w:top="1417" w:right="1474" w:bottom="1417" w:left="1588" w:header="851" w:footer="992" w:gutter="0"/>
          <w:pgNumType w:start="1"/>
          <w:cols w:space="720" w:num="1"/>
          <w:docGrid w:type="lines" w:linePitch="312" w:charSpace="0"/>
        </w:sectPr>
      </w:pPr>
      <w:r>
        <w:rPr>
          <w:rFonts w:ascii="宋体" w:hAnsi="宋体"/>
          <w:b w:val="0"/>
          <w:bCs w:val="0"/>
          <w:iCs/>
          <w:caps w:val="0"/>
          <w:color w:val="auto"/>
          <w:sz w:val="44"/>
          <w:szCs w:val="44"/>
          <w:highlight w:val="none"/>
        </w:rPr>
        <w:fldChar w:fldCharType="end"/>
      </w:r>
      <w:bookmarkStart w:id="9" w:name="_Toc1607"/>
      <w:bookmarkStart w:id="10" w:name="_Toc338840478"/>
      <w:bookmarkStart w:id="11" w:name="_Toc494526398"/>
      <w:bookmarkStart w:id="12" w:name="_Toc346523462"/>
      <w:bookmarkStart w:id="13" w:name="_Toc494526397"/>
      <w:bookmarkStart w:id="14" w:name="_Toc346523399"/>
      <w:bookmarkStart w:id="15" w:name="_Toc494093426"/>
    </w:p>
    <w:p>
      <w:pPr>
        <w:pStyle w:val="6"/>
        <w:numPr>
          <w:ilvl w:val="0"/>
          <w:numId w:val="1"/>
        </w:numPr>
        <w:jc w:val="center"/>
        <w:rPr>
          <w:rFonts w:ascii="宋体" w:hAnsi="宋体"/>
          <w:color w:val="auto"/>
          <w:highlight w:val="none"/>
        </w:rPr>
      </w:pPr>
      <w:bookmarkStart w:id="16" w:name="_Toc17934"/>
      <w:r>
        <w:rPr>
          <w:rFonts w:hint="eastAsia" w:ascii="宋体" w:hAnsi="宋体"/>
          <w:color w:val="auto"/>
          <w:highlight w:val="none"/>
        </w:rPr>
        <w:t xml:space="preserve"> </w:t>
      </w:r>
      <w:bookmarkEnd w:id="5"/>
      <w:bookmarkEnd w:id="6"/>
      <w:bookmarkStart w:id="17" w:name="_Toc26571"/>
      <w:bookmarkStart w:id="18" w:name="_Toc2387"/>
      <w:r>
        <w:rPr>
          <w:rFonts w:hint="eastAsia" w:ascii="宋体" w:hAnsi="宋体"/>
          <w:color w:val="auto"/>
          <w:highlight w:val="none"/>
        </w:rPr>
        <w:t>招标公告</w:t>
      </w:r>
      <w:bookmarkEnd w:id="7"/>
      <w:bookmarkEnd w:id="8"/>
      <w:bookmarkEnd w:id="9"/>
      <w:bookmarkEnd w:id="10"/>
      <w:bookmarkEnd w:id="11"/>
      <w:bookmarkEnd w:id="12"/>
      <w:bookmarkEnd w:id="13"/>
      <w:bookmarkEnd w:id="14"/>
      <w:bookmarkEnd w:id="15"/>
      <w:bookmarkEnd w:id="16"/>
      <w:bookmarkEnd w:id="17"/>
      <w:bookmarkEnd w:id="18"/>
    </w:p>
    <w:p>
      <w:pPr>
        <w:spacing w:line="560" w:lineRule="exact"/>
        <w:jc w:val="center"/>
        <w:rPr>
          <w:rFonts w:hint="eastAsia"/>
          <w:color w:val="auto"/>
          <w:sz w:val="32"/>
          <w:szCs w:val="32"/>
          <w:highlight w:val="none"/>
        </w:rPr>
      </w:pPr>
      <w:r>
        <w:rPr>
          <w:rFonts w:hint="eastAsia"/>
          <w:color w:val="auto"/>
          <w:sz w:val="32"/>
          <w:szCs w:val="32"/>
          <w:highlight w:val="none"/>
        </w:rPr>
        <w:t>开封市机关事务中心八大街办公区保安、保洁、消防及</w:t>
      </w:r>
    </w:p>
    <w:p>
      <w:pPr>
        <w:jc w:val="center"/>
        <w:rPr>
          <w:rFonts w:ascii="宋体" w:hAnsi="宋体" w:cs="宋体"/>
          <w:bCs/>
          <w:color w:val="auto"/>
          <w:kern w:val="0"/>
          <w:sz w:val="32"/>
          <w:szCs w:val="32"/>
          <w:highlight w:val="none"/>
        </w:rPr>
      </w:pPr>
      <w:r>
        <w:rPr>
          <w:rFonts w:hint="eastAsia"/>
          <w:color w:val="auto"/>
          <w:sz w:val="32"/>
          <w:szCs w:val="32"/>
          <w:highlight w:val="none"/>
        </w:rPr>
        <w:t>监控维保项目</w:t>
      </w:r>
      <w:r>
        <w:rPr>
          <w:rFonts w:hint="eastAsia" w:ascii="宋体" w:hAnsi="宋体" w:cs="宋体"/>
          <w:bCs/>
          <w:color w:val="auto"/>
          <w:spacing w:val="-10"/>
          <w:kern w:val="0"/>
          <w:sz w:val="32"/>
          <w:szCs w:val="32"/>
          <w:highlight w:val="none"/>
        </w:rPr>
        <w:t>公开招标</w:t>
      </w:r>
      <w:r>
        <w:rPr>
          <w:rFonts w:hint="eastAsia" w:ascii="宋体" w:hAnsi="宋体" w:cs="宋体"/>
          <w:bCs/>
          <w:color w:val="auto"/>
          <w:kern w:val="0"/>
          <w:sz w:val="32"/>
          <w:szCs w:val="32"/>
          <w:highlight w:val="none"/>
        </w:rPr>
        <w:t>公告</w:t>
      </w:r>
    </w:p>
    <w:p>
      <w:pPr>
        <w:jc w:val="center"/>
        <w:rPr>
          <w:rFonts w:ascii="宋体" w:hAnsi="宋体" w:cs="宋体"/>
          <w:bCs/>
          <w:color w:val="auto"/>
          <w:kern w:val="0"/>
          <w:sz w:val="32"/>
          <w:szCs w:val="32"/>
          <w:highlight w:val="none"/>
        </w:rPr>
      </w:pP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一、项目基本情况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1、项目编号：</w:t>
      </w:r>
      <w:r>
        <w:rPr>
          <w:rFonts w:hint="eastAsia" w:ascii="宋体" w:hAnsi="宋体"/>
          <w:color w:val="auto"/>
          <w:sz w:val="24"/>
          <w:highlight w:val="none"/>
        </w:rPr>
        <w:t>汴财招标</w:t>
      </w:r>
      <w:r>
        <w:rPr>
          <w:rFonts w:hint="eastAsia" w:ascii="宋体" w:hAnsi="宋体" w:cs="宋体"/>
          <w:color w:val="auto"/>
          <w:sz w:val="24"/>
          <w:highlight w:val="none"/>
        </w:rPr>
        <w:t>采购</w:t>
      </w:r>
      <w:r>
        <w:rPr>
          <w:rFonts w:hint="eastAsia" w:ascii="宋体" w:hAnsi="宋体" w:cs="宋体"/>
          <w:color w:val="auto"/>
          <w:sz w:val="24"/>
          <w:highlight w:val="none"/>
          <w:lang w:val="en-US" w:eastAsia="zh-CN"/>
        </w:rPr>
        <w:t>-2025-6</w:t>
      </w:r>
      <w:r>
        <w:rPr>
          <w:rFonts w:hint="eastAsia" w:ascii="宋体" w:hAnsi="宋体" w:cs="宋体"/>
          <w:color w:val="auto"/>
          <w:sz w:val="24"/>
          <w:highlight w:val="none"/>
        </w:rPr>
        <w:t xml:space="preserve"> </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2、项目名称：开封市机关事务中心八大街办公区保安、保洁、消防及</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监控维保项目</w:t>
      </w:r>
      <w:r>
        <w:rPr>
          <w:rFonts w:hint="eastAsia"/>
          <w:color w:val="auto"/>
          <w:sz w:val="24"/>
          <w:highlight w:val="none"/>
        </w:rPr>
        <w:t xml:space="preserve"> </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3、采购方式：公开招标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4、预算金额：</w:t>
      </w:r>
      <w:r>
        <w:rPr>
          <w:rFonts w:hint="eastAsia" w:ascii="宋体" w:hAnsi="宋体" w:cs="宋体"/>
          <w:color w:val="auto"/>
          <w:kern w:val="0"/>
          <w:sz w:val="24"/>
          <w:highlight w:val="none"/>
          <w:lang w:val="en-US" w:eastAsia="zh-CN"/>
        </w:rPr>
        <w:t>2634000元</w:t>
      </w:r>
      <w:r>
        <w:rPr>
          <w:rFonts w:hint="eastAsia" w:ascii="宋体" w:hAnsi="宋体" w:cs="宋体"/>
          <w:color w:val="auto"/>
          <w:kern w:val="0"/>
          <w:sz w:val="24"/>
          <w:highlight w:val="none"/>
        </w:rPr>
        <w:t xml:space="preserve">   </w:t>
      </w:r>
    </w:p>
    <w:p>
      <w:pPr>
        <w:widowControl/>
        <w:adjustRightInd w:val="0"/>
        <w:snapToGrid w:val="0"/>
        <w:spacing w:line="360" w:lineRule="auto"/>
        <w:ind w:firstLine="840"/>
        <w:jc w:val="left"/>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val="en-US" w:eastAsia="zh-CN"/>
        </w:rPr>
        <w:t>2634000元</w:t>
      </w:r>
      <w:r>
        <w:rPr>
          <w:rFonts w:hint="eastAsia" w:ascii="宋体" w:hAnsi="宋体" w:cs="宋体"/>
          <w:color w:val="auto"/>
          <w:kern w:val="0"/>
          <w:sz w:val="24"/>
          <w:highlight w:val="none"/>
        </w:rPr>
        <w:t xml:space="preserve">    </w:t>
      </w:r>
    </w:p>
    <w:tbl>
      <w:tblPr>
        <w:tblStyle w:val="34"/>
        <w:tblW w:w="8683"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357"/>
        <w:gridCol w:w="1582"/>
        <w:gridCol w:w="1905"/>
        <w:gridCol w:w="1582"/>
        <w:gridCol w:w="2257"/>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1582"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包号</w:t>
            </w:r>
          </w:p>
        </w:tc>
        <w:tc>
          <w:tcPr>
            <w:tcW w:w="1905"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包名称</w:t>
            </w:r>
          </w:p>
        </w:tc>
        <w:tc>
          <w:tcPr>
            <w:tcW w:w="1582"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2257"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包最高限价（元）</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第一标段</w:t>
            </w:r>
          </w:p>
        </w:tc>
        <w:tc>
          <w:tcPr>
            <w:tcW w:w="1905"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保安</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1164</w:t>
            </w:r>
            <w:r>
              <w:rPr>
                <w:rFonts w:hint="eastAsia" w:ascii="宋体" w:hAnsi="宋体" w:eastAsia="宋体" w:cs="宋体"/>
                <w:color w:val="auto"/>
                <w:kern w:val="0"/>
                <w:sz w:val="24"/>
                <w:highlight w:val="none"/>
              </w:rPr>
              <w:t>000</w:t>
            </w:r>
          </w:p>
        </w:tc>
        <w:tc>
          <w:tcPr>
            <w:tcW w:w="22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1164</w:t>
            </w:r>
            <w:r>
              <w:rPr>
                <w:rFonts w:hint="eastAsia" w:ascii="宋体" w:hAnsi="宋体" w:eastAsia="宋体" w:cs="宋体"/>
                <w:color w:val="auto"/>
                <w:kern w:val="0"/>
                <w:sz w:val="24"/>
                <w:highlight w:val="none"/>
              </w:rPr>
              <w:t>000</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第二标段</w:t>
            </w:r>
          </w:p>
        </w:tc>
        <w:tc>
          <w:tcPr>
            <w:tcW w:w="1905"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保洁</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02</w:t>
            </w:r>
            <w:r>
              <w:rPr>
                <w:rFonts w:hint="eastAsia" w:ascii="宋体" w:hAnsi="宋体" w:eastAsia="宋体" w:cs="宋体"/>
                <w:color w:val="auto"/>
                <w:kern w:val="0"/>
                <w:sz w:val="24"/>
                <w:highlight w:val="none"/>
              </w:rPr>
              <w:t>0000</w:t>
            </w:r>
          </w:p>
        </w:tc>
        <w:tc>
          <w:tcPr>
            <w:tcW w:w="22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02</w:t>
            </w:r>
            <w:r>
              <w:rPr>
                <w:rFonts w:hint="eastAsia" w:ascii="宋体" w:hAnsi="宋体" w:eastAsia="宋体" w:cs="宋体"/>
                <w:color w:val="auto"/>
                <w:kern w:val="0"/>
                <w:sz w:val="24"/>
                <w:highlight w:val="none"/>
              </w:rPr>
              <w:t>0000</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第三标段</w:t>
            </w:r>
          </w:p>
        </w:tc>
        <w:tc>
          <w:tcPr>
            <w:tcW w:w="1905"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消防及监控维保</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450</w:t>
            </w:r>
            <w:r>
              <w:rPr>
                <w:rFonts w:hint="eastAsia" w:ascii="宋体" w:hAnsi="宋体" w:eastAsia="宋体" w:cs="宋体"/>
                <w:color w:val="auto"/>
                <w:kern w:val="0"/>
                <w:sz w:val="24"/>
                <w:highlight w:val="none"/>
              </w:rPr>
              <w:t>000</w:t>
            </w:r>
          </w:p>
        </w:tc>
        <w:tc>
          <w:tcPr>
            <w:tcW w:w="22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450</w:t>
            </w:r>
            <w:r>
              <w:rPr>
                <w:rFonts w:hint="eastAsia" w:ascii="宋体" w:hAnsi="宋体" w:eastAsia="宋体" w:cs="宋体"/>
                <w:color w:val="auto"/>
                <w:kern w:val="0"/>
                <w:sz w:val="24"/>
                <w:highlight w:val="none"/>
              </w:rPr>
              <w:t>000</w:t>
            </w:r>
          </w:p>
        </w:tc>
      </w:tr>
    </w:tbl>
    <w:p>
      <w:pPr>
        <w:widowControl/>
        <w:adjustRightInd w:val="0"/>
        <w:snapToGrid w:val="0"/>
        <w:spacing w:line="360" w:lineRule="auto"/>
        <w:ind w:firstLine="840"/>
        <w:jc w:val="left"/>
        <w:rPr>
          <w:rFonts w:ascii="宋体" w:hAnsi="宋体" w:cs="宋体"/>
          <w:color w:val="auto"/>
          <w:kern w:val="0"/>
          <w:sz w:val="24"/>
          <w:highlight w:val="none"/>
        </w:rPr>
      </w:pPr>
    </w:p>
    <w:p>
      <w:pPr>
        <w:widowControl/>
        <w:numPr>
          <w:ilvl w:val="0"/>
          <w:numId w:val="2"/>
        </w:numPr>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采购需求（包括但不限于标的的名称、数量、简要技术需求或服务要求等）    </w:t>
      </w:r>
    </w:p>
    <w:p>
      <w:pPr>
        <w:widowControl/>
        <w:numPr>
          <w:ilvl w:val="0"/>
          <w:numId w:val="0"/>
        </w:numPr>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八大街办公区保安、保洁、消防及监控维保(本项目所列预算金额及最高限价均为18个月)</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6、合同履行期限：</w:t>
      </w:r>
      <w:r>
        <w:rPr>
          <w:rFonts w:hint="eastAsia" w:ascii="宋体" w:hAnsi="宋体" w:eastAsia="宋体" w:cs="宋体"/>
          <w:color w:val="auto"/>
          <w:kern w:val="0"/>
          <w:sz w:val="24"/>
          <w:highlight w:val="none"/>
          <w:lang w:val="en-US" w:eastAsia="zh-CN"/>
        </w:rPr>
        <w:t>18个月</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二、申请人资格要求：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详见招标文件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3、本项目的特定资格要求 </w:t>
      </w:r>
    </w:p>
    <w:p>
      <w:pPr>
        <w:widowControl/>
        <w:numPr>
          <w:ilvl w:val="0"/>
          <w:numId w:val="3"/>
        </w:numPr>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供应商应具备下列条件，并提供相应材料：</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税收的证明材料。【提供距开标不超过半年（缴款日期、入库日期等）任意一次经营缴税凭据或税务部门出具的“无欠税证明”相关证明材料。属于免税对象者，自行出具免税声明或提供其他证明材料。】</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依法缴纳社会保障资金的证明材料。（提供距开标不超过半年任意一次为职工缴纳社会保险的缴纳凭据或清单或社保部门证明。）</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具备履行合同所必需的设备和专业技术能力的承诺。</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供应商开标前三年内在经营活动中无重大违法记录的书面声明。</w:t>
      </w:r>
    </w:p>
    <w:p>
      <w:pPr>
        <w:widowControl/>
        <w:numPr>
          <w:ilvl w:val="0"/>
          <w:numId w:val="3"/>
        </w:numPr>
        <w:adjustRightInd w:val="0"/>
        <w:snapToGrid w:val="0"/>
        <w:spacing w:line="360" w:lineRule="auto"/>
        <w:ind w:left="5" w:firstLine="415"/>
        <w:jc w:val="left"/>
        <w:rPr>
          <w:rFonts w:ascii="宋体" w:hAnsi="宋体" w:cs="宋体"/>
          <w:color w:val="auto"/>
          <w:kern w:val="0"/>
          <w:sz w:val="24"/>
          <w:highlight w:val="none"/>
        </w:rPr>
      </w:pPr>
      <w:r>
        <w:rPr>
          <w:rFonts w:hint="eastAsia" w:ascii="宋体" w:hAnsi="宋体" w:cs="宋体"/>
          <w:color w:val="auto"/>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http://www.creditchina.gov.cn）、中国政府采购网（http://www.ccgp.gov.cn）。】</w:t>
      </w:r>
    </w:p>
    <w:p>
      <w:pPr>
        <w:widowControl/>
        <w:numPr>
          <w:ilvl w:val="0"/>
          <w:numId w:val="3"/>
        </w:numPr>
        <w:adjustRightInd w:val="0"/>
        <w:snapToGrid w:val="0"/>
        <w:spacing w:line="360" w:lineRule="auto"/>
        <w:ind w:left="5" w:firstLine="415"/>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第一标段保安 具有公安机关部门颁发的《保安服务许可证》。</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三、获取招标文件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日 至202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26</w:t>
      </w:r>
      <w:r>
        <w:rPr>
          <w:rFonts w:hint="eastAsia" w:ascii="宋体" w:hAnsi="宋体" w:cs="宋体"/>
          <w:color w:val="auto"/>
          <w:kern w:val="0"/>
          <w:sz w:val="24"/>
          <w:highlight w:val="none"/>
        </w:rPr>
        <w:t xml:space="preserve">日，每天上午00:00至12:00，下午12:00至23:59（北京时间，法定节假日除外。）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2.地点：《开封市公共资源交易信息网》电子交易系统。 </w:t>
      </w:r>
    </w:p>
    <w:p>
      <w:pPr>
        <w:widowControl/>
        <w:adjustRightInd w:val="0"/>
        <w:snapToGrid w:val="0"/>
        <w:spacing w:line="360" w:lineRule="auto"/>
        <w:ind w:firstLine="420"/>
        <w:jc w:val="left"/>
        <w:rPr>
          <w:rFonts w:ascii="宋体" w:hAnsi="宋体" w:eastAsia="微软雅黑" w:cs="宋体"/>
          <w:color w:val="auto"/>
          <w:kern w:val="0"/>
          <w:sz w:val="24"/>
          <w:highlight w:val="none"/>
        </w:rPr>
      </w:pPr>
      <w:r>
        <w:rPr>
          <w:rFonts w:hint="eastAsia" w:ascii="宋体" w:hAnsi="宋体" w:cs="宋体"/>
          <w:color w:val="auto"/>
          <w:kern w:val="0"/>
          <w:sz w:val="24"/>
          <w:highlight w:val="none"/>
        </w:rPr>
        <w:t>3.方式：凭CA密钥登录电子交易系统“政采、工程业务系统”自行下载招标文件及资料（详见http://www.kfsggzyjyw.cn办事指南-操作规程)。</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4.售价：0元 </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四、投标截止时间及地点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w:t>
      </w:r>
      <w:r>
        <w:rPr>
          <w:rFonts w:hint="eastAsia" w:ascii="宋体" w:hAnsi="宋体" w:cs="宋体"/>
          <w:color w:val="auto"/>
          <w:kern w:val="0"/>
          <w:sz w:val="24"/>
          <w:highlight w:val="none"/>
          <w:lang w:val="zh-CN"/>
        </w:rPr>
        <w:t>在投标截止时间前，通过原下载招标文件的电子交易系统按提示上传、提交投标文件。</w:t>
      </w:r>
      <w:r>
        <w:rPr>
          <w:rFonts w:hint="eastAsia" w:ascii="宋体" w:hAnsi="宋体" w:cs="宋体"/>
          <w:color w:val="auto"/>
          <w:kern w:val="0"/>
          <w:sz w:val="24"/>
          <w:highlight w:val="none"/>
        </w:rPr>
        <w:t xml:space="preserve"> </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五、开标时间及地点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 xml:space="preserve">日09时 </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 分（北京时间）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2.地点：《开封市公共资源交易信息网》（http://www.kfsggzyjyw.cn）</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六、发布公告的媒介及招标公告期限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本次招标公告在《河南省政府采购网》《开封市公共资源交易信息网》上发布。招标公告期限为五个工作日。  </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七、其他补充事宜 </w:t>
      </w:r>
    </w:p>
    <w:p>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1、供应商须提前注册成为《开封市公共资源交易信息网》会员并取得CA密钥（登录网站首页&gt;办事指南&gt;数字证书），已办理的请确保在有效期内，需更新的请联系CA服务机构。</w:t>
      </w:r>
    </w:p>
    <w:p>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电话：0371-23859291；采购人及采购中心仅作为平台使用方不负责解决技术问题。</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八、凡对本次招标提出询问，请按照以下方式联系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 采购人信息 </w:t>
      </w:r>
    </w:p>
    <w:p>
      <w:pPr>
        <w:widowControl/>
        <w:adjustRightInd w:val="0"/>
        <w:snapToGrid w:val="0"/>
        <w:spacing w:line="360" w:lineRule="auto"/>
        <w:ind w:left="420"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名称：开封市机关事务中心 </w:t>
      </w:r>
    </w:p>
    <w:p>
      <w:pPr>
        <w:widowControl/>
        <w:adjustRightInd w:val="0"/>
        <w:snapToGrid w:val="0"/>
        <w:spacing w:line="360" w:lineRule="auto"/>
        <w:ind w:left="420"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地址：开封市金明区晋安路158号</w:t>
      </w:r>
    </w:p>
    <w:p>
      <w:pPr>
        <w:widowControl/>
        <w:adjustRightInd w:val="0"/>
        <w:snapToGrid w:val="0"/>
        <w:spacing w:line="360" w:lineRule="auto"/>
        <w:ind w:left="420"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联系人：</w:t>
      </w:r>
      <w:r>
        <w:rPr>
          <w:rFonts w:hint="eastAsia" w:ascii="宋体" w:hAnsi="宋体" w:eastAsia="宋体" w:cs="宋体"/>
          <w:color w:val="auto"/>
          <w:kern w:val="0"/>
          <w:sz w:val="24"/>
          <w:highlight w:val="none"/>
          <w:lang w:eastAsia="zh-CN"/>
        </w:rPr>
        <w:t>李</w:t>
      </w:r>
      <w:r>
        <w:rPr>
          <w:rFonts w:hint="eastAsia" w:ascii="宋体" w:hAnsi="宋体" w:eastAsia="宋体" w:cs="宋体"/>
          <w:color w:val="auto"/>
          <w:kern w:val="0"/>
          <w:sz w:val="24"/>
          <w:highlight w:val="none"/>
          <w:lang w:val="en-US" w:eastAsia="zh-CN"/>
        </w:rPr>
        <w:t>先生</w:t>
      </w:r>
    </w:p>
    <w:p>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eastAsia="宋体" w:cs="宋体"/>
          <w:color w:val="auto"/>
          <w:kern w:val="0"/>
          <w:sz w:val="24"/>
          <w:highlight w:val="none"/>
        </w:rPr>
        <w:t>联系方式：0371—238750</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 xml:space="preserve">2     </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2.采购代理机构信息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名称：开封市政府采购中心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地址：开封市民之家6楼西头向北6067房间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联系人：李女士  </w:t>
      </w:r>
    </w:p>
    <w:p>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联系方式：0371—23856102  23856103</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3.项目联系方式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项目联系人：李女士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联系方式：0371—23856102  23856103  </w:t>
      </w:r>
    </w:p>
    <w:p>
      <w:pPr>
        <w:spacing w:line="312" w:lineRule="auto"/>
        <w:ind w:firstLine="421"/>
        <w:rPr>
          <w:rFonts w:ascii="宋体" w:hAnsi="宋体"/>
          <w:color w:val="auto"/>
          <w:sz w:val="24"/>
          <w:highlight w:val="none"/>
          <w:lang w:val="zh-CN"/>
        </w:rPr>
      </w:pPr>
    </w:p>
    <w:p>
      <w:pPr>
        <w:pStyle w:val="6"/>
        <w:jc w:val="center"/>
        <w:rPr>
          <w:rFonts w:ascii="宋体" w:hAnsi="宋体"/>
          <w:color w:val="auto"/>
          <w:highlight w:val="none"/>
        </w:rPr>
      </w:pPr>
      <w:bookmarkStart w:id="19" w:name="_Toc494526399"/>
      <w:bookmarkStart w:id="20" w:name="_Toc179632544"/>
      <w:bookmarkStart w:id="21" w:name="_Toc246996916"/>
      <w:bookmarkStart w:id="22" w:name="_Toc247085687"/>
      <w:bookmarkStart w:id="23" w:name="_Toc346523463"/>
      <w:bookmarkStart w:id="24" w:name="_Toc338840479"/>
      <w:bookmarkStart w:id="25" w:name="_Toc346523400"/>
      <w:bookmarkStart w:id="26" w:name="_Toc3179"/>
      <w:bookmarkStart w:id="27" w:name="_Toc152045527"/>
      <w:bookmarkStart w:id="28" w:name="_Toc28703"/>
      <w:bookmarkStart w:id="29" w:name="_Toc144974495"/>
      <w:bookmarkStart w:id="30" w:name="_Toc494093427"/>
      <w:bookmarkStart w:id="31" w:name="_Toc8884"/>
      <w:bookmarkStart w:id="32" w:name="_Toc338840440"/>
      <w:bookmarkStart w:id="33" w:name="_Toc152042303"/>
      <w:bookmarkStart w:id="34" w:name="_Toc338840185"/>
      <w:bookmarkStart w:id="35" w:name="_Toc246996173"/>
      <w:r>
        <w:rPr>
          <w:rFonts w:hint="eastAsia" w:ascii="宋体" w:hAnsi="宋体"/>
          <w:color w:val="auto"/>
          <w:highlight w:val="none"/>
        </w:rPr>
        <w:br w:type="page"/>
      </w:r>
      <w:bookmarkStart w:id="36" w:name="_Toc13151"/>
      <w:r>
        <w:rPr>
          <w:rFonts w:hint="eastAsia" w:ascii="宋体" w:hAnsi="宋体"/>
          <w:color w:val="auto"/>
          <w:highlight w:val="none"/>
        </w:rPr>
        <w:t>第二章 供应商须知</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pPr>
        <w:pStyle w:val="7"/>
        <w:jc w:val="center"/>
        <w:rPr>
          <w:rFonts w:ascii="宋体" w:hAnsi="宋体" w:eastAsia="宋体"/>
          <w:color w:val="auto"/>
          <w:highlight w:val="none"/>
        </w:rPr>
      </w:pPr>
      <w:bookmarkStart w:id="37" w:name="_Toc11060"/>
      <w:bookmarkStart w:id="38" w:name="_Toc152045528"/>
      <w:bookmarkStart w:id="39" w:name="_Toc152042304"/>
      <w:bookmarkStart w:id="40" w:name="_Toc144974496"/>
      <w:bookmarkStart w:id="41" w:name="_Toc179632545"/>
      <w:bookmarkStart w:id="42" w:name="_Toc346523401"/>
      <w:bookmarkStart w:id="43" w:name="_Toc346523464"/>
      <w:bookmarkStart w:id="44" w:name="_Toc246996174"/>
      <w:bookmarkStart w:id="45" w:name="_Toc247085688"/>
      <w:bookmarkStart w:id="46" w:name="_Toc18827"/>
      <w:bookmarkStart w:id="47" w:name="_Toc494093428"/>
      <w:bookmarkStart w:id="48" w:name="_Toc23185"/>
      <w:bookmarkStart w:id="49" w:name="_Toc494526400"/>
      <w:bookmarkStart w:id="50" w:name="_Toc18612"/>
      <w:bookmarkStart w:id="51" w:name="_Toc338840441"/>
      <w:bookmarkStart w:id="52" w:name="_Toc246996917"/>
      <w:bookmarkStart w:id="53" w:name="_Toc338840480"/>
      <w:bookmarkStart w:id="54" w:name="_Toc338840186"/>
      <w:r>
        <w:rPr>
          <w:rFonts w:hint="eastAsia" w:ascii="宋体" w:hAnsi="宋体" w:eastAsia="宋体"/>
          <w:color w:val="auto"/>
          <w:highlight w:val="none"/>
        </w:rPr>
        <w:t>供应商须知前附表</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pPr>
        <w:rPr>
          <w:rFonts w:ascii="宋体" w:hAnsi="宋体"/>
          <w:color w:val="auto"/>
          <w:highlight w:val="none"/>
        </w:rPr>
      </w:pPr>
      <w:r>
        <w:rPr>
          <w:rFonts w:hint="eastAsia" w:ascii="宋体" w:hAnsi="宋体"/>
          <w:color w:val="auto"/>
          <w:highlight w:val="none"/>
        </w:rPr>
        <w:t>注：本供应商须知前附表内容与供应商须知正文内容不一致时以本前附表内容为准。</w:t>
      </w:r>
    </w:p>
    <w:tbl>
      <w:tblPr>
        <w:tblStyle w:val="34"/>
        <w:tblW w:w="0" w:type="auto"/>
        <w:tblInd w:w="0" w:type="dxa"/>
        <w:tblLayout w:type="fixed"/>
        <w:tblCellMar>
          <w:top w:w="0" w:type="dxa"/>
          <w:left w:w="108" w:type="dxa"/>
          <w:bottom w:w="0" w:type="dxa"/>
          <w:right w:w="108" w:type="dxa"/>
        </w:tblCellMar>
      </w:tblPr>
      <w:tblGrid>
        <w:gridCol w:w="1008"/>
        <w:gridCol w:w="1980"/>
        <w:gridCol w:w="5534"/>
      </w:tblGrid>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ascii="宋体" w:hAnsi="宋体"/>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ascii="宋体" w:hAnsi="宋体"/>
                <w:b/>
                <w:color w:val="auto"/>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ascii="宋体" w:hAnsi="宋体"/>
                <w:b/>
                <w:color w:val="auto"/>
                <w:szCs w:val="21"/>
                <w:highlight w:val="none"/>
              </w:rPr>
              <w:t>编  列  内  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名称：开封市机关事务中心</w:t>
            </w:r>
          </w:p>
          <w:p>
            <w:pPr>
              <w:spacing w:line="44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地址：开封市金明区晋安路158号</w:t>
            </w:r>
          </w:p>
          <w:p>
            <w:pPr>
              <w:spacing w:line="44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联系人：</w:t>
            </w:r>
            <w:r>
              <w:rPr>
                <w:rFonts w:hint="eastAsia" w:ascii="宋体" w:hAnsi="宋体" w:eastAsia="宋体" w:cs="Times New Roman"/>
                <w:color w:val="auto"/>
                <w:szCs w:val="21"/>
                <w:highlight w:val="none"/>
                <w:lang w:eastAsia="zh-CN"/>
              </w:rPr>
              <w:t>李</w:t>
            </w:r>
            <w:r>
              <w:rPr>
                <w:rFonts w:hint="eastAsia" w:ascii="宋体" w:hAnsi="宋体" w:cs="Times New Roman"/>
                <w:color w:val="auto"/>
                <w:szCs w:val="21"/>
                <w:highlight w:val="none"/>
                <w:lang w:val="en-US" w:eastAsia="zh-CN"/>
              </w:rPr>
              <w:t>先生</w:t>
            </w:r>
          </w:p>
          <w:p>
            <w:pPr>
              <w:spacing w:line="440" w:lineRule="atLeast"/>
              <w:rPr>
                <w:rFonts w:ascii="宋体" w:hAnsi="宋体"/>
                <w:color w:val="auto"/>
                <w:szCs w:val="21"/>
                <w:highlight w:val="none"/>
              </w:rPr>
            </w:pPr>
            <w:r>
              <w:rPr>
                <w:rFonts w:hint="eastAsia" w:ascii="宋体" w:hAnsi="宋体" w:eastAsia="宋体" w:cs="Times New Roman"/>
                <w:color w:val="auto"/>
                <w:szCs w:val="21"/>
                <w:highlight w:val="none"/>
              </w:rPr>
              <w:t>电话：0371—238750</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2　</w:t>
            </w:r>
            <w:r>
              <w:rPr>
                <w:rFonts w:hint="eastAsia" w:ascii="宋体" w:hAnsi="宋体"/>
                <w:color w:val="auto"/>
                <w:szCs w:val="21"/>
                <w:highlight w:val="none"/>
              </w:rPr>
              <w:t>　</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ascii="宋体" w:hAnsi="宋体"/>
                <w:color w:val="auto"/>
                <w:szCs w:val="21"/>
                <w:highlight w:val="none"/>
              </w:rPr>
              <w:t>名称：</w:t>
            </w:r>
            <w:r>
              <w:rPr>
                <w:rFonts w:hint="eastAsia" w:ascii="宋体" w:hAnsi="宋体"/>
                <w:color w:val="auto"/>
                <w:szCs w:val="21"/>
                <w:highlight w:val="none"/>
              </w:rPr>
              <w:t>开封市政府采购中心</w:t>
            </w:r>
          </w:p>
          <w:p>
            <w:pPr>
              <w:spacing w:line="440" w:lineRule="atLeast"/>
              <w:rPr>
                <w:rFonts w:hint="eastAsia" w:ascii="宋体" w:hAnsi="宋体" w:eastAsia="宋体" w:cs="Times New Roman"/>
                <w:color w:val="auto"/>
                <w:szCs w:val="21"/>
                <w:highlight w:val="none"/>
              </w:rPr>
            </w:pPr>
            <w:r>
              <w:rPr>
                <w:rFonts w:ascii="宋体" w:hAnsi="宋体"/>
                <w:color w:val="auto"/>
                <w:szCs w:val="21"/>
                <w:highlight w:val="none"/>
              </w:rPr>
              <w:t>地址：</w:t>
            </w:r>
            <w:r>
              <w:rPr>
                <w:rFonts w:hint="eastAsia" w:ascii="宋体" w:hAnsi="宋体"/>
                <w:color w:val="auto"/>
                <w:szCs w:val="21"/>
                <w:highlight w:val="none"/>
              </w:rPr>
              <w:t>开封市</w:t>
            </w:r>
            <w:r>
              <w:rPr>
                <w:rFonts w:hint="eastAsia" w:ascii="宋体" w:hAnsi="宋体" w:eastAsia="宋体" w:cs="Times New Roman"/>
                <w:color w:val="auto"/>
                <w:szCs w:val="21"/>
                <w:highlight w:val="none"/>
              </w:rPr>
              <w:t>郑开大道与三大街交汇处路北，开封市民之家6楼西头向北6067房间（政府采购）</w:t>
            </w:r>
          </w:p>
          <w:p>
            <w:pPr>
              <w:spacing w:line="440" w:lineRule="atLeas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w:t>
            </w:r>
            <w:r>
              <w:rPr>
                <w:rFonts w:hint="eastAsia" w:ascii="宋体" w:hAnsi="宋体" w:eastAsia="宋体" w:cs="Times New Roman"/>
                <w:color w:val="auto"/>
                <w:szCs w:val="21"/>
                <w:highlight w:val="none"/>
                <w:lang w:val="en-US" w:eastAsia="zh-CN"/>
              </w:rPr>
              <w:t>李女士</w:t>
            </w:r>
          </w:p>
          <w:p>
            <w:pPr>
              <w:spacing w:line="440" w:lineRule="atLeast"/>
              <w:rPr>
                <w:rFonts w:ascii="宋体" w:hAnsi="宋体"/>
                <w:color w:val="auto"/>
                <w:szCs w:val="21"/>
                <w:highlight w:val="none"/>
              </w:rPr>
            </w:pPr>
            <w:r>
              <w:rPr>
                <w:rFonts w:hint="eastAsia" w:ascii="宋体" w:hAnsi="宋体" w:eastAsia="宋体" w:cs="Times New Roman"/>
                <w:color w:val="auto"/>
                <w:szCs w:val="21"/>
                <w:highlight w:val="none"/>
              </w:rPr>
              <w:t>电话：0371—23856102   23856103</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lang w:val="en-US" w:eastAsia="zh-CN"/>
              </w:rPr>
              <w:t>开封市机关事务中心八大街办公区保安、保洁、消防及监控维保</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合同履行</w:t>
            </w:r>
            <w:r>
              <w:rPr>
                <w:rFonts w:ascii="宋体" w:hAnsi="宋体"/>
                <w:color w:val="auto"/>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开封市机关事务中心八大街办公区</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资金来源</w:t>
            </w:r>
            <w:r>
              <w:rPr>
                <w:rFonts w:hint="eastAsia" w:ascii="宋体" w:hAnsi="宋体"/>
                <w:color w:val="auto"/>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rPr>
              <w:t>100%财政资金</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资金</w:t>
            </w:r>
            <w:r>
              <w:rPr>
                <w:rFonts w:ascii="宋体" w:hAnsi="宋体"/>
                <w:color w:val="auto"/>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招标</w:t>
            </w:r>
            <w:r>
              <w:rPr>
                <w:rFonts w:hint="eastAsia" w:ascii="宋体" w:hAnsi="宋体"/>
                <w:color w:val="auto"/>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lang w:val="en-US" w:eastAsia="zh-CN"/>
              </w:rPr>
              <w:t>18个月</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供应商资</w:t>
            </w:r>
            <w:r>
              <w:rPr>
                <w:rFonts w:hint="eastAsia" w:ascii="宋体" w:hAnsi="宋体"/>
                <w:color w:val="auto"/>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color w:val="auto"/>
                <w:highlight w:val="none"/>
              </w:rPr>
            </w:pPr>
            <w:r>
              <w:rPr>
                <w:rFonts w:hint="eastAsia"/>
                <w:color w:val="auto"/>
                <w:highlight w:val="none"/>
              </w:rPr>
              <w:t xml:space="preserve">1、满足《中华人民共和国政府采购法》第二十二条规定； </w:t>
            </w:r>
          </w:p>
          <w:p>
            <w:pPr>
              <w:spacing w:line="440" w:lineRule="atLeast"/>
              <w:rPr>
                <w:color w:val="auto"/>
                <w:highlight w:val="none"/>
              </w:rPr>
            </w:pPr>
            <w:r>
              <w:rPr>
                <w:rFonts w:hint="eastAsia"/>
                <w:color w:val="auto"/>
                <w:highlight w:val="none"/>
              </w:rPr>
              <w:t>2、落实政府采购政策满足的资格要求：</w:t>
            </w:r>
          </w:p>
          <w:p>
            <w:pPr>
              <w:spacing w:line="440" w:lineRule="atLeast"/>
              <w:jc w:val="left"/>
              <w:rPr>
                <w:rFonts w:hint="eastAsia"/>
                <w:color w:val="auto"/>
                <w:highlight w:val="none"/>
              </w:rPr>
            </w:pPr>
            <w:r>
              <w:rPr>
                <w:rFonts w:hint="eastAsia"/>
                <w:color w:val="auto"/>
                <w:highlight w:val="none"/>
              </w:rPr>
              <w:t xml:space="preserve">详见招标文件 </w:t>
            </w:r>
          </w:p>
          <w:p>
            <w:pPr>
              <w:spacing w:line="440" w:lineRule="atLeast"/>
              <w:rPr>
                <w:color w:val="auto"/>
                <w:highlight w:val="none"/>
              </w:rPr>
            </w:pPr>
            <w:r>
              <w:rPr>
                <w:rFonts w:hint="eastAsia"/>
                <w:color w:val="auto"/>
                <w:highlight w:val="none"/>
              </w:rPr>
              <w:t xml:space="preserve">3、本项目的特定资格要求 </w:t>
            </w:r>
          </w:p>
          <w:p>
            <w:pPr>
              <w:spacing w:line="440" w:lineRule="atLeast"/>
              <w:rPr>
                <w:color w:val="auto"/>
                <w:highlight w:val="none"/>
              </w:rPr>
            </w:pPr>
            <w:r>
              <w:rPr>
                <w:rFonts w:hint="eastAsia"/>
                <w:color w:val="auto"/>
                <w:highlight w:val="none"/>
              </w:rPr>
              <w:t>1)供应商应具备下列条件，并提供相应材料：</w:t>
            </w:r>
          </w:p>
          <w:p>
            <w:pPr>
              <w:spacing w:line="440" w:lineRule="atLeast"/>
              <w:jc w:val="left"/>
              <w:rPr>
                <w:color w:val="auto"/>
                <w:highlight w:val="none"/>
              </w:rPr>
            </w:pPr>
            <w:r>
              <w:rPr>
                <w:rFonts w:hint="eastAsia"/>
                <w:color w:val="auto"/>
                <w:highlight w:val="none"/>
              </w:rPr>
              <w:t>(1)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pPr>
              <w:spacing w:line="440" w:lineRule="atLeast"/>
              <w:jc w:val="left"/>
              <w:rPr>
                <w:color w:val="auto"/>
                <w:highlight w:val="none"/>
              </w:rPr>
            </w:pPr>
            <w:r>
              <w:rPr>
                <w:rFonts w:hint="eastAsia"/>
                <w:color w:val="auto"/>
                <w:highlight w:val="none"/>
              </w:rPr>
              <w:t>(2)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pPr>
              <w:spacing w:line="440" w:lineRule="atLeast"/>
              <w:jc w:val="left"/>
              <w:rPr>
                <w:rFonts w:hint="eastAsia"/>
                <w:color w:val="auto"/>
                <w:highlight w:val="none"/>
              </w:rPr>
            </w:pPr>
            <w:r>
              <w:rPr>
                <w:rFonts w:hint="eastAsia"/>
                <w:color w:val="auto"/>
                <w:highlight w:val="none"/>
              </w:rPr>
              <w:t>(3)依法缴纳税收的证明材料。【提供距开标不超过半年（缴款日期、入库日期等）任意一次经营缴税凭据或税务部门出具的“无欠税证明”相关证明材料。属于免税对象者，自行出具免税声明或提供其他证明材料。】</w:t>
            </w:r>
          </w:p>
          <w:p>
            <w:pPr>
              <w:spacing w:line="440" w:lineRule="atLeast"/>
              <w:jc w:val="left"/>
              <w:rPr>
                <w:color w:val="auto"/>
                <w:highlight w:val="none"/>
              </w:rPr>
            </w:pPr>
            <w:r>
              <w:rPr>
                <w:rFonts w:hint="eastAsia"/>
                <w:color w:val="auto"/>
                <w:highlight w:val="none"/>
              </w:rPr>
              <w:t>(4)依法缴纳社会保障资金的证明材料。（提供距开标不超过半年任意一次为职工缴纳社会保险的缴纳凭据或清单或社保部门证明。）(5)具备履行合同所必需的设备和专业技术能力的承诺。</w:t>
            </w:r>
          </w:p>
          <w:p>
            <w:pPr>
              <w:spacing w:line="440" w:lineRule="atLeast"/>
              <w:jc w:val="left"/>
              <w:rPr>
                <w:color w:val="auto"/>
                <w:highlight w:val="none"/>
              </w:rPr>
            </w:pPr>
            <w:r>
              <w:rPr>
                <w:rFonts w:hint="eastAsia"/>
                <w:color w:val="auto"/>
                <w:highlight w:val="none"/>
              </w:rPr>
              <w:t>(6)供应商开标前三年内在经营活动中无重大违法记录的书面声明。</w:t>
            </w:r>
          </w:p>
          <w:p>
            <w:pPr>
              <w:spacing w:line="440" w:lineRule="atLeast"/>
              <w:jc w:val="left"/>
              <w:rPr>
                <w:rFonts w:hint="eastAsia"/>
                <w:color w:val="auto"/>
                <w:highlight w:val="none"/>
              </w:rPr>
            </w:pPr>
            <w:r>
              <w:rPr>
                <w:rFonts w:hint="eastAsia"/>
                <w:color w:val="auto"/>
                <w:highlight w:val="none"/>
              </w:rPr>
              <w:t>2)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http://www.creditchina.gov.cn）、中国政府采购网（http://www.ccgp.gov.cn）。】</w:t>
            </w:r>
          </w:p>
          <w:p>
            <w:pPr>
              <w:spacing w:line="440" w:lineRule="atLeast"/>
              <w:jc w:val="left"/>
              <w:rPr>
                <w:color w:val="auto"/>
                <w:highlight w:val="none"/>
              </w:rPr>
            </w:pPr>
            <w:r>
              <w:rPr>
                <w:rFonts w:hint="eastAsia"/>
                <w:color w:val="auto"/>
                <w:highlight w:val="none"/>
                <w:lang w:val="en-US" w:eastAsia="zh-CN"/>
              </w:rPr>
              <w:t>3）第一标段保安 具有公安机关部门颁发的《保安服务许可证》。</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9</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pPr>
              <w:pStyle w:val="13"/>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10</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pPr>
              <w:pStyle w:val="13"/>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pPr>
              <w:pStyle w:val="13"/>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pPr>
              <w:pStyle w:val="13"/>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pPr>
              <w:pStyle w:val="13"/>
              <w:topLinePunct/>
              <w:spacing w:line="440" w:lineRule="atLeast"/>
              <w:rPr>
                <w:rFonts w:hAnsi="宋体"/>
                <w:color w:val="auto"/>
                <w:sz w:val="21"/>
                <w:szCs w:val="21"/>
                <w:highlight w:val="none"/>
              </w:rPr>
            </w:pPr>
            <w:r>
              <w:rPr>
                <w:rFonts w:hint="eastAsia" w:hAnsi="宋体"/>
                <w:color w:val="auto"/>
                <w:sz w:val="21"/>
                <w:szCs w:val="21"/>
                <w:highlight w:val="none"/>
              </w:rPr>
              <w:t>3、采购文件列明的其他构成无效投标的内容。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要求对</w:t>
            </w:r>
            <w:r>
              <w:rPr>
                <w:rFonts w:ascii="宋体" w:hAnsi="宋体"/>
                <w:color w:val="auto"/>
                <w:szCs w:val="21"/>
                <w:highlight w:val="none"/>
              </w:rPr>
              <w:t>招标文件</w:t>
            </w:r>
            <w:r>
              <w:rPr>
                <w:rFonts w:hint="eastAsia" w:ascii="宋体" w:hAnsi="宋体"/>
                <w:color w:val="auto"/>
                <w:szCs w:val="21"/>
                <w:highlight w:val="none"/>
              </w:rPr>
              <w:t>澄清</w:t>
            </w:r>
            <w:r>
              <w:rPr>
                <w:rFonts w:ascii="宋体" w:hAnsi="宋体"/>
                <w:color w:val="auto"/>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r>
              <w:rPr>
                <w:rFonts w:hint="eastAsia" w:ascii="宋体" w:hAnsi="宋体"/>
                <w:color w:val="auto"/>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r>
              <w:rPr>
                <w:rFonts w:ascii="宋体" w:hAnsi="宋体"/>
                <w:color w:val="auto"/>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pPr>
              <w:rPr>
                <w:color w:val="auto"/>
                <w:szCs w:val="21"/>
                <w:highlight w:val="none"/>
              </w:rPr>
            </w:pPr>
            <w:r>
              <w:rPr>
                <w:rFonts w:hint="eastAsia" w:ascii="宋体" w:hAnsi="宋体"/>
                <w:color w:val="auto"/>
                <w:szCs w:val="21"/>
                <w:highlight w:val="none"/>
              </w:rPr>
              <w:t>投标人应按第五章“招标内容及商务技术要求”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最高限价</w:t>
            </w:r>
          </w:p>
          <w:p>
            <w:pPr>
              <w:spacing w:line="440" w:lineRule="atLeast"/>
              <w:jc w:val="center"/>
              <w:rPr>
                <w:rFonts w:ascii="宋体" w:hAnsi="宋体"/>
                <w:color w:val="auto"/>
                <w:szCs w:val="21"/>
                <w:highlight w:val="none"/>
              </w:rPr>
            </w:pPr>
            <w:r>
              <w:rPr>
                <w:rFonts w:hint="eastAsia" w:ascii="宋体" w:hAnsi="宋体"/>
                <w:color w:val="auto"/>
                <w:sz w:val="32"/>
                <w:szCs w:val="32"/>
                <w:highlight w:val="none"/>
              </w:rPr>
              <w:t>/</w:t>
            </w:r>
            <w:r>
              <w:rPr>
                <w:rFonts w:hint="eastAsia" w:ascii="宋体" w:hAnsi="宋体"/>
                <w:color w:val="auto"/>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w:t>
            </w:r>
            <w:r>
              <w:rPr>
                <w:rFonts w:hint="eastAsia" w:ascii="宋体" w:hAnsi="宋体"/>
                <w:color w:val="auto"/>
                <w:szCs w:val="21"/>
                <w:highlight w:val="none"/>
                <w:u w:val="single"/>
              </w:rPr>
              <w:t>　</w:t>
            </w:r>
            <w:r>
              <w:rPr>
                <w:rFonts w:hint="eastAsia" w:ascii="宋体" w:hAnsi="宋体" w:eastAsia="宋体" w:cs="Times New Roman"/>
                <w:color w:val="auto"/>
                <w:szCs w:val="21"/>
                <w:highlight w:val="none"/>
                <w:u w:val="single"/>
              </w:rPr>
              <w:t>第二标段 保洁1</w:t>
            </w:r>
            <w:r>
              <w:rPr>
                <w:rFonts w:hint="eastAsia" w:ascii="宋体" w:hAnsi="宋体" w:eastAsia="宋体" w:cs="Times New Roman"/>
                <w:color w:val="auto"/>
                <w:szCs w:val="21"/>
                <w:highlight w:val="none"/>
                <w:u w:val="single"/>
                <w:lang w:val="en-US" w:eastAsia="zh-CN"/>
              </w:rPr>
              <w:t>02</w:t>
            </w:r>
            <w:r>
              <w:rPr>
                <w:rFonts w:hint="eastAsia" w:ascii="宋体" w:hAnsi="宋体" w:eastAsia="宋体" w:cs="Times New Roman"/>
                <w:color w:val="auto"/>
                <w:szCs w:val="21"/>
                <w:highlight w:val="none"/>
                <w:u w:val="single"/>
              </w:rPr>
              <w:t>0000</w:t>
            </w:r>
            <w:r>
              <w:rPr>
                <w:rFonts w:hint="eastAsia" w:ascii="宋体" w:hAnsi="宋体"/>
                <w:color w:val="auto"/>
                <w:szCs w:val="21"/>
                <w:highlight w:val="none"/>
              </w:rPr>
              <w:t>元。</w:t>
            </w:r>
          </w:p>
          <w:p>
            <w:pPr>
              <w:spacing w:line="440" w:lineRule="atLeast"/>
              <w:rPr>
                <w:rFonts w:ascii="宋体" w:hAnsi="宋体"/>
                <w:color w:val="auto"/>
                <w:szCs w:val="21"/>
                <w:highlight w:val="none"/>
              </w:rPr>
            </w:pPr>
            <w:r>
              <w:rPr>
                <w:rFonts w:hint="eastAsia" w:ascii="宋体" w:hAnsi="宋体"/>
                <w:color w:val="auto"/>
                <w:szCs w:val="21"/>
                <w:highlight w:val="none"/>
              </w:rPr>
              <w:t>项目预算金额：</w:t>
            </w:r>
            <w:r>
              <w:rPr>
                <w:rFonts w:hint="eastAsia" w:ascii="宋体" w:hAnsi="宋体" w:eastAsia="宋体" w:cs="Times New Roman"/>
                <w:color w:val="auto"/>
                <w:szCs w:val="21"/>
                <w:highlight w:val="none"/>
                <w:u w:val="single"/>
              </w:rPr>
              <w:t>第二标段 保洁1</w:t>
            </w:r>
            <w:r>
              <w:rPr>
                <w:rFonts w:hint="eastAsia" w:ascii="宋体" w:hAnsi="宋体" w:eastAsia="宋体" w:cs="Times New Roman"/>
                <w:color w:val="auto"/>
                <w:szCs w:val="21"/>
                <w:highlight w:val="none"/>
                <w:u w:val="single"/>
                <w:lang w:val="en-US" w:eastAsia="zh-CN"/>
              </w:rPr>
              <w:t>02</w:t>
            </w:r>
            <w:r>
              <w:rPr>
                <w:rFonts w:hint="eastAsia" w:ascii="宋体" w:hAnsi="宋体" w:eastAsia="宋体" w:cs="Times New Roman"/>
                <w:color w:val="auto"/>
                <w:szCs w:val="21"/>
                <w:highlight w:val="none"/>
                <w:u w:val="single"/>
              </w:rPr>
              <w:t>0000</w:t>
            </w:r>
            <w:r>
              <w:rPr>
                <w:rFonts w:hint="eastAsia" w:ascii="宋体" w:hAnsi="宋体"/>
                <w:color w:val="auto"/>
                <w:szCs w:val="21"/>
                <w:highlight w:val="none"/>
              </w:rPr>
              <w:t>元。</w:t>
            </w:r>
          </w:p>
          <w:p>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免收。</w:t>
            </w:r>
          </w:p>
        </w:tc>
      </w:tr>
      <w:tr>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6</w:t>
            </w:r>
            <w:r>
              <w:rPr>
                <w:rFonts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签字</w:t>
            </w:r>
            <w:r>
              <w:rPr>
                <w:rFonts w:hint="eastAsia" w:ascii="宋体" w:hAnsi="宋体"/>
                <w:color w:val="auto"/>
                <w:szCs w:val="21"/>
                <w:highlight w:val="none"/>
              </w:rPr>
              <w:t>、</w:t>
            </w:r>
            <w:r>
              <w:rPr>
                <w:rFonts w:ascii="宋体" w:hAnsi="宋体"/>
                <w:color w:val="auto"/>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投标截止及</w:t>
            </w:r>
            <w:r>
              <w:rPr>
                <w:rFonts w:ascii="宋体" w:hAnsi="宋体"/>
                <w:color w:val="auto"/>
                <w:szCs w:val="21"/>
                <w:highlight w:val="none"/>
              </w:rPr>
              <w:t>开标时间</w:t>
            </w:r>
            <w:r>
              <w:rPr>
                <w:rFonts w:hint="eastAsia" w:ascii="宋体" w:hAnsi="宋体"/>
                <w:color w:val="auto"/>
                <w:szCs w:val="21"/>
                <w:highlight w:val="none"/>
              </w:rPr>
              <w:t>：</w:t>
            </w:r>
            <w:r>
              <w:rPr>
                <w:rFonts w:hint="eastAsia" w:ascii="宋体" w:hAnsi="宋体"/>
                <w:color w:val="auto"/>
                <w:szCs w:val="21"/>
                <w:highlight w:val="none"/>
                <w:u w:val="single"/>
                <w:lang w:val="en-US" w:eastAsia="zh-CN"/>
              </w:rPr>
              <w:t>2025</w:t>
            </w:r>
            <w:r>
              <w:rPr>
                <w:rFonts w:hint="eastAsia" w:ascii="宋体" w:hAnsi="宋体"/>
                <w:color w:val="auto"/>
                <w:szCs w:val="21"/>
                <w:highlight w:val="none"/>
              </w:rPr>
              <w:t>年</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lang w:val="en-US" w:eastAsia="zh-CN"/>
              </w:rPr>
              <w:t>27</w:t>
            </w:r>
            <w:r>
              <w:rPr>
                <w:rFonts w:hint="eastAsia" w:ascii="宋体" w:hAnsi="宋体"/>
                <w:color w:val="auto"/>
                <w:szCs w:val="21"/>
                <w:highlight w:val="none"/>
              </w:rPr>
              <w:t>日</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 xml:space="preserve"> 时</w:t>
            </w:r>
            <w:r>
              <w:rPr>
                <w:rFonts w:hint="eastAsia" w:ascii="宋体" w:hAnsi="宋体"/>
                <w:color w:val="auto"/>
                <w:szCs w:val="21"/>
                <w:highlight w:val="none"/>
                <w:u w:val="single"/>
                <w:lang w:val="en-US" w:eastAsia="zh-CN"/>
              </w:rPr>
              <w:t>30</w:t>
            </w:r>
            <w:r>
              <w:rPr>
                <w:rFonts w:hint="eastAsia" w:ascii="宋体" w:hAnsi="宋体"/>
                <w:color w:val="auto"/>
                <w:szCs w:val="21"/>
                <w:highlight w:val="none"/>
                <w:u w:val="single"/>
              </w:rPr>
              <w:t xml:space="preserve"> 分</w:t>
            </w:r>
          </w:p>
          <w:p>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rPr>
              <w:t>　</w:t>
            </w:r>
            <w:r>
              <w:rPr>
                <w:rFonts w:hint="eastAsia" w:ascii="宋体" w:hAnsi="宋体"/>
                <w:color w:val="auto"/>
                <w:szCs w:val="21"/>
                <w:highlight w:val="none"/>
              </w:rPr>
              <w:t>人组成，其中评审专家不少于成员总数的三分之二。</w:t>
            </w:r>
          </w:p>
          <w:p>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7.1</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7.2</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7.3</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中标通知书</w:t>
            </w:r>
          </w:p>
        </w:tc>
        <w:tc>
          <w:tcPr>
            <w:tcW w:w="5534"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4</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询问和质疑</w:t>
            </w:r>
          </w:p>
          <w:p>
            <w:pPr>
              <w:spacing w:line="440" w:lineRule="atLeast"/>
              <w:jc w:val="center"/>
              <w:rPr>
                <w:rFonts w:ascii="宋体" w:hAnsi="宋体"/>
                <w:color w:val="auto"/>
                <w:szCs w:val="21"/>
                <w:highlight w:val="none"/>
              </w:rPr>
            </w:pPr>
          </w:p>
          <w:p>
            <w:pPr>
              <w:spacing w:line="440" w:lineRule="atLeast"/>
              <w:jc w:val="center"/>
              <w:rPr>
                <w:rFonts w:ascii="宋体" w:hAnsi="宋体"/>
                <w:color w:val="auto"/>
                <w:szCs w:val="21"/>
                <w:highlight w:val="none"/>
              </w:rPr>
            </w:pPr>
            <w:r>
              <w:rPr>
                <w:rFonts w:hint="eastAsia" w:ascii="宋体" w:hAnsi="宋体"/>
                <w:color w:val="auto"/>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w:t>
            </w:r>
            <w:r>
              <w:rPr>
                <w:rFonts w:hint="eastAsia" w:ascii="宋体" w:hAnsi="宋体"/>
                <w:color w:val="auto"/>
                <w:szCs w:val="21"/>
                <w:highlight w:val="none"/>
                <w:lang w:val="en-US" w:eastAsia="zh-CN"/>
              </w:rPr>
              <w:t>且在开标时间前</w:t>
            </w:r>
            <w:r>
              <w:rPr>
                <w:rFonts w:hint="eastAsia" w:ascii="宋体" w:hAnsi="宋体"/>
                <w:color w:val="auto"/>
                <w:szCs w:val="21"/>
                <w:highlight w:val="none"/>
              </w:rPr>
              <w:t>提出（</w:t>
            </w:r>
            <w:r>
              <w:rPr>
                <w:rFonts w:hint="eastAsia" w:ascii="宋体" w:hAnsi="宋体" w:cs="宋体"/>
                <w:color w:val="auto"/>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color w:val="auto"/>
                <w:szCs w:val="21"/>
                <w:highlight w:val="none"/>
              </w:rPr>
              <w:t>）；对</w:t>
            </w:r>
            <w:r>
              <w:rPr>
                <w:rFonts w:hint="eastAsia" w:ascii="宋体" w:hAnsi="宋体"/>
                <w:color w:val="auto"/>
                <w:szCs w:val="21"/>
                <w:highlight w:val="none"/>
                <w:lang w:val="en-US" w:eastAsia="zh-CN"/>
              </w:rPr>
              <w:t>采购</w:t>
            </w:r>
            <w:r>
              <w:rPr>
                <w:rFonts w:hint="eastAsia" w:ascii="宋体" w:hAnsi="宋体"/>
                <w:color w:val="auto"/>
                <w:szCs w:val="21"/>
                <w:highlight w:val="none"/>
              </w:rPr>
              <w:t>过程的质疑，应在知道或者应知其权益受到损害之日起7个工作日内提出； 对</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或成交结果有质疑的，应在</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或成交公告期满之日起7个工作日内提出。通过《开封市公共资源交易信息网》凭CA密钥登录，线上提起，并同时打电话提醒采购人和采购代理机构注意及时查收。</w:t>
            </w:r>
          </w:p>
          <w:p>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hint="eastAsia" w:ascii="宋体" w:hAnsi="宋体"/>
                <w:b/>
                <w:color w:val="auto"/>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按月付款</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免收。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szCs w:val="21"/>
                <w:highlight w:val="none"/>
              </w:rPr>
            </w:pPr>
            <w:r>
              <w:rPr>
                <w:rFonts w:ascii="宋体" w:hAnsi="宋体" w:cs="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电子招标投标</w:t>
            </w:r>
          </w:p>
        </w:tc>
      </w:tr>
      <w:tr>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本项目采用电子招标投标</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ascii="宋体" w:hAnsi="宋体"/>
                <w:color w:val="auto"/>
                <w:highlight w:val="none"/>
              </w:rPr>
            </w:pPr>
            <w:r>
              <w:rPr>
                <w:rFonts w:hint="eastAsia" w:ascii="宋体" w:hAnsi="宋体"/>
                <w:color w:val="auto"/>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原件扫描件</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本项目所要求提供的原件扫描件均应为能准确反映原件色彩原貌的彩色扫描件。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r>
    </w:tbl>
    <w:p>
      <w:pPr>
        <w:pStyle w:val="7"/>
        <w:rPr>
          <w:rFonts w:ascii="宋体" w:hAnsi="宋体" w:eastAsia="宋体"/>
          <w:color w:val="auto"/>
          <w:highlight w:val="none"/>
        </w:rPr>
      </w:pPr>
      <w:bookmarkStart w:id="55" w:name="_Toc494526401"/>
      <w:bookmarkStart w:id="56" w:name="_Toc338840481"/>
      <w:bookmarkStart w:id="57" w:name="_Toc494093429"/>
      <w:bookmarkStart w:id="58" w:name="_Toc346523402"/>
      <w:bookmarkStart w:id="59" w:name="_Toc247085689"/>
      <w:bookmarkStart w:id="60" w:name="_Toc179632546"/>
      <w:bookmarkStart w:id="61" w:name="_Toc338840187"/>
      <w:bookmarkStart w:id="62" w:name="_Toc144974497"/>
      <w:bookmarkStart w:id="63" w:name="_Toc152045529"/>
      <w:bookmarkStart w:id="64" w:name="_Toc246996175"/>
      <w:bookmarkStart w:id="65" w:name="_Toc152042305"/>
      <w:bookmarkStart w:id="66" w:name="_Toc346523465"/>
      <w:bookmarkStart w:id="67" w:name="_Toc246996918"/>
      <w:bookmarkStart w:id="68" w:name="_Toc338840442"/>
      <w:r>
        <w:rPr>
          <w:rFonts w:hint="eastAsia" w:ascii="宋体" w:hAnsi="宋体" w:eastAsia="宋体"/>
          <w:color w:val="auto"/>
          <w:highlight w:val="none"/>
        </w:rPr>
        <w:br w:type="page"/>
      </w:r>
      <w:bookmarkStart w:id="69" w:name="_Toc28332"/>
      <w:bookmarkStart w:id="70" w:name="_Toc18686"/>
      <w:bookmarkStart w:id="71" w:name="_Toc25787"/>
      <w:bookmarkStart w:id="72" w:name="_Toc29445"/>
      <w:r>
        <w:rPr>
          <w:rFonts w:hint="eastAsia" w:ascii="宋体" w:hAnsi="宋体" w:eastAsia="宋体"/>
          <w:color w:val="auto"/>
          <w:highlight w:val="none"/>
        </w:rPr>
        <w:t>1. 总则</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pStyle w:val="8"/>
        <w:rPr>
          <w:rFonts w:ascii="宋体" w:hAnsi="宋体"/>
          <w:color w:val="auto"/>
          <w:highlight w:val="none"/>
        </w:rPr>
      </w:pPr>
      <w:bookmarkStart w:id="73" w:name="_Toc338840188"/>
      <w:bookmarkStart w:id="74" w:name="_Toc152042306"/>
      <w:bookmarkStart w:id="75" w:name="_Toc179632547"/>
      <w:bookmarkStart w:id="76" w:name="_Toc247085690"/>
      <w:bookmarkStart w:id="77" w:name="_Toc246996919"/>
      <w:bookmarkStart w:id="78" w:name="_Toc144974498"/>
      <w:bookmarkStart w:id="79" w:name="_Toc152045530"/>
      <w:bookmarkStart w:id="80" w:name="_Toc246996176"/>
      <w:r>
        <w:rPr>
          <w:rFonts w:hint="eastAsia" w:ascii="宋体" w:hAnsi="宋体"/>
          <w:color w:val="auto"/>
          <w:highlight w:val="none"/>
        </w:rPr>
        <w:t>1.1 项目概况</w:t>
      </w:r>
      <w:bookmarkEnd w:id="73"/>
      <w:bookmarkEnd w:id="74"/>
      <w:bookmarkEnd w:id="75"/>
      <w:bookmarkEnd w:id="76"/>
      <w:bookmarkEnd w:id="77"/>
      <w:bookmarkEnd w:id="78"/>
      <w:bookmarkEnd w:id="79"/>
      <w:bookmarkEnd w:id="80"/>
    </w:p>
    <w:p>
      <w:pPr>
        <w:spacing w:line="400" w:lineRule="exact"/>
        <w:ind w:firstLine="420" w:firstLineChars="200"/>
        <w:rPr>
          <w:rFonts w:ascii="宋体" w:hAnsi="宋体"/>
          <w:color w:val="auto"/>
          <w:highlight w:val="none"/>
        </w:rPr>
      </w:pPr>
      <w:r>
        <w:rPr>
          <w:rFonts w:hint="eastAsia" w:ascii="宋体" w:hAnsi="宋体"/>
          <w:color w:val="auto"/>
          <w:highlight w:val="none"/>
        </w:rPr>
        <w:t>1.1.1根据《中华人民共和国政府采购法》、《中华人民共和国招标投标法》等有关法律、法规和规章的规定，本招标项目已具备招标条件，现对本项目进行招标。</w:t>
      </w:r>
    </w:p>
    <w:p>
      <w:pPr>
        <w:spacing w:line="400" w:lineRule="exact"/>
        <w:ind w:firstLine="420" w:firstLineChars="200"/>
        <w:rPr>
          <w:rFonts w:ascii="宋体" w:hAnsi="宋体"/>
          <w:color w:val="auto"/>
          <w:highlight w:val="none"/>
        </w:rPr>
      </w:pPr>
      <w:r>
        <w:rPr>
          <w:rFonts w:hint="eastAsia" w:ascii="宋体" w:hAnsi="宋体"/>
          <w:color w:val="auto"/>
          <w:highlight w:val="none"/>
        </w:rPr>
        <w:t>1.1.2 本招标项目采购人：见供应商须知前附表。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1.1.3 本招标项目采购代理机构：见供应商须知前附表。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1.1.4 本招标项目名称：见供应商须知前附表。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1.1.5 本招标项目</w:t>
      </w:r>
      <w:r>
        <w:rPr>
          <w:rFonts w:hint="eastAsia" w:ascii="宋体" w:hAnsi="宋体"/>
          <w:color w:val="auto"/>
          <w:szCs w:val="21"/>
          <w:highlight w:val="none"/>
        </w:rPr>
        <w:t>合同履行地点</w:t>
      </w:r>
      <w:r>
        <w:rPr>
          <w:rFonts w:hint="eastAsia" w:ascii="宋体" w:hAnsi="宋体"/>
          <w:color w:val="auto"/>
          <w:highlight w:val="none"/>
        </w:rPr>
        <w:t>：见供应商须知前附表。</w:t>
      </w:r>
    </w:p>
    <w:p>
      <w:pPr>
        <w:pStyle w:val="8"/>
        <w:rPr>
          <w:rFonts w:ascii="宋体" w:hAnsi="宋体"/>
          <w:color w:val="auto"/>
          <w:highlight w:val="none"/>
        </w:rPr>
      </w:pPr>
      <w:bookmarkStart w:id="81" w:name="_Toc246996177"/>
      <w:bookmarkStart w:id="82" w:name="_Toc247085691"/>
      <w:bookmarkStart w:id="83" w:name="_Toc246996920"/>
      <w:bookmarkStart w:id="84" w:name="_Toc179632548"/>
      <w:bookmarkStart w:id="85" w:name="_Toc152042307"/>
      <w:bookmarkStart w:id="86" w:name="_Toc144974499"/>
      <w:bookmarkStart w:id="87" w:name="_Toc152045531"/>
      <w:bookmarkStart w:id="88" w:name="_Toc338840189"/>
      <w:r>
        <w:rPr>
          <w:rFonts w:hint="eastAsia" w:ascii="宋体" w:hAnsi="宋体"/>
          <w:color w:val="auto"/>
          <w:highlight w:val="none"/>
        </w:rPr>
        <w:t>1.2 资金来源和落实情况</w:t>
      </w:r>
      <w:bookmarkEnd w:id="81"/>
      <w:bookmarkEnd w:id="82"/>
      <w:bookmarkEnd w:id="83"/>
      <w:bookmarkEnd w:id="84"/>
      <w:bookmarkEnd w:id="85"/>
      <w:bookmarkEnd w:id="86"/>
      <w:bookmarkEnd w:id="87"/>
      <w:bookmarkEnd w:id="88"/>
    </w:p>
    <w:p>
      <w:pPr>
        <w:spacing w:line="400" w:lineRule="exact"/>
        <w:ind w:firstLine="420" w:firstLineChars="200"/>
        <w:rPr>
          <w:rFonts w:ascii="宋体" w:hAnsi="宋体"/>
          <w:color w:val="auto"/>
          <w:highlight w:val="none"/>
        </w:rPr>
      </w:pPr>
      <w:r>
        <w:rPr>
          <w:rFonts w:hint="eastAsia" w:ascii="宋体" w:hAnsi="宋体"/>
          <w:color w:val="auto"/>
          <w:highlight w:val="none"/>
        </w:rPr>
        <w:t>1.2.1 本招标项目的资金来源及出资比例：见供应商须知前附表。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1.2.2 本招标项目的资金落实情况：见供应商须知前附表。</w:t>
      </w:r>
    </w:p>
    <w:p>
      <w:pPr>
        <w:pStyle w:val="8"/>
        <w:rPr>
          <w:rFonts w:ascii="宋体" w:hAnsi="宋体"/>
          <w:color w:val="auto"/>
          <w:highlight w:val="none"/>
        </w:rPr>
      </w:pPr>
      <w:bookmarkStart w:id="89" w:name="_Toc247085692"/>
      <w:bookmarkStart w:id="90" w:name="_Toc246996178"/>
      <w:bookmarkStart w:id="91" w:name="_Toc144974500"/>
      <w:bookmarkStart w:id="92" w:name="_Toc246996921"/>
      <w:bookmarkStart w:id="93" w:name="_Toc338840190"/>
      <w:bookmarkStart w:id="94" w:name="_Toc152045532"/>
      <w:bookmarkStart w:id="95" w:name="_Toc179632549"/>
      <w:bookmarkStart w:id="96" w:name="_Toc152042308"/>
      <w:r>
        <w:rPr>
          <w:rFonts w:hint="eastAsia" w:ascii="宋体" w:hAnsi="宋体"/>
          <w:color w:val="auto"/>
          <w:highlight w:val="none"/>
        </w:rPr>
        <w:t>1.3 招标范围、合同履行期限、质量要求</w:t>
      </w:r>
      <w:bookmarkEnd w:id="89"/>
      <w:bookmarkEnd w:id="90"/>
      <w:bookmarkEnd w:id="91"/>
      <w:bookmarkEnd w:id="92"/>
      <w:bookmarkEnd w:id="93"/>
      <w:bookmarkEnd w:id="94"/>
      <w:bookmarkEnd w:id="95"/>
      <w:bookmarkEnd w:id="96"/>
    </w:p>
    <w:p>
      <w:pPr>
        <w:spacing w:line="400" w:lineRule="exact"/>
        <w:ind w:firstLine="420" w:firstLineChars="200"/>
        <w:rPr>
          <w:rFonts w:ascii="宋体" w:hAnsi="宋体"/>
          <w:color w:val="auto"/>
          <w:highlight w:val="none"/>
        </w:rPr>
      </w:pPr>
      <w:r>
        <w:rPr>
          <w:rFonts w:hint="eastAsia" w:ascii="宋体" w:hAnsi="宋体"/>
          <w:color w:val="auto"/>
          <w:highlight w:val="none"/>
        </w:rPr>
        <w:t>1.3.1 本次招标范围：见供应商须知前附表。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1.3.2 本招标项目的合同履行期限：见供应商须知前附表。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1.3.3 本招标项目的质量要求：见供应商须知前附表。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1.3.4本招标项目的质量保证期：见供应商须知前附表。</w:t>
      </w:r>
    </w:p>
    <w:p>
      <w:pPr>
        <w:pStyle w:val="8"/>
        <w:rPr>
          <w:rFonts w:ascii="宋体" w:hAnsi="宋体"/>
          <w:color w:val="auto"/>
          <w:highlight w:val="none"/>
        </w:rPr>
      </w:pPr>
      <w:bookmarkStart w:id="97" w:name="_Toc246996179"/>
      <w:bookmarkStart w:id="98" w:name="_Toc144974502"/>
      <w:bookmarkStart w:id="99" w:name="_Toc179632551"/>
      <w:bookmarkStart w:id="100" w:name="_Toc152045534"/>
      <w:bookmarkStart w:id="101" w:name="_Toc338840191"/>
      <w:bookmarkStart w:id="102" w:name="_Toc152042310"/>
      <w:bookmarkStart w:id="103" w:name="_Toc247085693"/>
      <w:bookmarkStart w:id="104" w:name="_Toc246996922"/>
      <w:r>
        <w:rPr>
          <w:rFonts w:hint="eastAsia" w:ascii="宋体" w:hAnsi="宋体"/>
          <w:color w:val="auto"/>
          <w:highlight w:val="none"/>
        </w:rPr>
        <w:t>1.4 供应商资格要求</w:t>
      </w:r>
      <w:bookmarkEnd w:id="97"/>
      <w:bookmarkEnd w:id="98"/>
      <w:bookmarkEnd w:id="99"/>
      <w:bookmarkEnd w:id="100"/>
      <w:bookmarkEnd w:id="101"/>
      <w:bookmarkEnd w:id="102"/>
      <w:bookmarkEnd w:id="103"/>
      <w:bookmarkEnd w:id="104"/>
    </w:p>
    <w:p>
      <w:pPr>
        <w:spacing w:line="400" w:lineRule="exact"/>
        <w:ind w:firstLine="359" w:firstLineChars="171"/>
        <w:rPr>
          <w:rFonts w:ascii="宋体" w:hAnsi="宋体"/>
          <w:color w:val="auto"/>
          <w:highlight w:val="none"/>
        </w:rPr>
      </w:pPr>
      <w:r>
        <w:rPr>
          <w:rFonts w:hint="eastAsia" w:ascii="宋体" w:hAnsi="宋体"/>
          <w:color w:val="auto"/>
          <w:highlight w:val="none"/>
        </w:rPr>
        <w:t>1.4.1 供应商应具备承担本项目的资格条件。见供应商须知前附表；</w:t>
      </w:r>
    </w:p>
    <w:p>
      <w:pPr>
        <w:spacing w:line="400" w:lineRule="exact"/>
        <w:ind w:firstLine="359" w:firstLineChars="171"/>
        <w:rPr>
          <w:rFonts w:ascii="宋体" w:hAnsi="宋体"/>
          <w:color w:val="auto"/>
          <w:highlight w:val="none"/>
        </w:rPr>
      </w:pPr>
      <w:r>
        <w:rPr>
          <w:rFonts w:hint="eastAsia" w:ascii="宋体" w:hAnsi="宋体"/>
          <w:color w:val="auto"/>
          <w:highlight w:val="none"/>
        </w:rPr>
        <w:t>1.4.2 供应商不得存在下列情形之一：</w:t>
      </w:r>
    </w:p>
    <w:p>
      <w:pPr>
        <w:spacing w:line="400" w:lineRule="exact"/>
        <w:ind w:firstLine="359" w:firstLineChars="171"/>
        <w:rPr>
          <w:rFonts w:ascii="宋体" w:hAnsi="宋体"/>
          <w:color w:val="auto"/>
          <w:highlight w:val="none"/>
        </w:rPr>
      </w:pPr>
      <w:r>
        <w:rPr>
          <w:rFonts w:hint="eastAsia" w:ascii="宋体" w:hAnsi="宋体"/>
          <w:color w:val="auto"/>
          <w:highlight w:val="none"/>
        </w:rPr>
        <w:t>（1）为采购人不具有独立法人资格的附属机构（单位）；</w:t>
      </w:r>
    </w:p>
    <w:p>
      <w:pPr>
        <w:spacing w:line="400" w:lineRule="exact"/>
        <w:ind w:firstLine="359" w:firstLineChars="171"/>
        <w:rPr>
          <w:rFonts w:ascii="宋体" w:hAnsi="宋体"/>
          <w:color w:val="auto"/>
          <w:highlight w:val="none"/>
        </w:rPr>
      </w:pPr>
      <w:r>
        <w:rPr>
          <w:rFonts w:hint="eastAsia" w:ascii="宋体" w:hAnsi="宋体"/>
          <w:color w:val="auto"/>
          <w:highlight w:val="none"/>
        </w:rPr>
        <w:t xml:space="preserve">（2）为本招标项目前期准备提供专业设计或专业咨询服务的； </w:t>
      </w:r>
    </w:p>
    <w:p>
      <w:pPr>
        <w:spacing w:line="400" w:lineRule="exact"/>
        <w:ind w:firstLine="359" w:firstLineChars="171"/>
        <w:rPr>
          <w:rFonts w:ascii="宋体" w:hAnsi="宋体"/>
          <w:color w:val="auto"/>
          <w:highlight w:val="none"/>
        </w:rPr>
      </w:pPr>
      <w:r>
        <w:rPr>
          <w:rFonts w:hint="eastAsia" w:ascii="宋体" w:hAnsi="宋体"/>
          <w:color w:val="auto"/>
          <w:highlight w:val="none"/>
        </w:rPr>
        <w:t>（3）为本招标项目提供招标代理服务的；</w:t>
      </w:r>
    </w:p>
    <w:p>
      <w:pPr>
        <w:spacing w:line="400" w:lineRule="exact"/>
        <w:ind w:firstLine="359" w:firstLineChars="171"/>
        <w:rPr>
          <w:rFonts w:ascii="宋体" w:hAnsi="宋体"/>
          <w:color w:val="auto"/>
          <w:highlight w:val="none"/>
        </w:rPr>
      </w:pPr>
      <w:r>
        <w:rPr>
          <w:rFonts w:hint="eastAsia" w:ascii="宋体" w:hAnsi="宋体"/>
          <w:color w:val="auto"/>
          <w:highlight w:val="none"/>
        </w:rPr>
        <w:t>（4）被责令停业的；</w:t>
      </w:r>
    </w:p>
    <w:p>
      <w:pPr>
        <w:spacing w:line="400" w:lineRule="exact"/>
        <w:ind w:firstLine="359" w:firstLineChars="171"/>
        <w:rPr>
          <w:rFonts w:ascii="宋体" w:hAnsi="宋体"/>
          <w:color w:val="auto"/>
          <w:highlight w:val="none"/>
        </w:rPr>
      </w:pPr>
      <w:r>
        <w:rPr>
          <w:rFonts w:hint="eastAsia" w:ascii="宋体" w:hAnsi="宋体"/>
          <w:color w:val="auto"/>
          <w:highlight w:val="none"/>
        </w:rPr>
        <w:t>（5）被暂停或取消投标资格的；</w:t>
      </w:r>
    </w:p>
    <w:p>
      <w:pPr>
        <w:spacing w:line="400" w:lineRule="exact"/>
        <w:ind w:firstLine="359" w:firstLineChars="171"/>
        <w:rPr>
          <w:rFonts w:ascii="宋体" w:hAnsi="宋体"/>
          <w:color w:val="auto"/>
          <w:highlight w:val="none"/>
        </w:rPr>
      </w:pPr>
      <w:r>
        <w:rPr>
          <w:rFonts w:hint="eastAsia" w:ascii="宋体" w:hAnsi="宋体"/>
          <w:color w:val="auto"/>
          <w:highlight w:val="none"/>
        </w:rPr>
        <w:t>（6）财产被接管或冻结的；</w:t>
      </w:r>
    </w:p>
    <w:p>
      <w:pPr>
        <w:spacing w:line="400" w:lineRule="exact"/>
        <w:ind w:firstLine="359" w:firstLineChars="171"/>
        <w:rPr>
          <w:rFonts w:ascii="宋体" w:hAnsi="宋体"/>
          <w:color w:val="auto"/>
          <w:highlight w:val="none"/>
        </w:rPr>
      </w:pPr>
      <w:r>
        <w:rPr>
          <w:rFonts w:hint="eastAsia" w:ascii="宋体" w:hAnsi="宋体"/>
          <w:color w:val="auto"/>
          <w:highlight w:val="none"/>
        </w:rPr>
        <w:t>（7）在最近三年内有骗取中标或严重违约或重大质量问题的。</w:t>
      </w:r>
    </w:p>
    <w:p>
      <w:pPr>
        <w:pStyle w:val="8"/>
        <w:rPr>
          <w:rFonts w:ascii="宋体" w:hAnsi="宋体"/>
          <w:color w:val="auto"/>
          <w:highlight w:val="none"/>
        </w:rPr>
      </w:pPr>
      <w:bookmarkStart w:id="105" w:name="_Toc152042311"/>
      <w:bookmarkStart w:id="106" w:name="_Toc246996180"/>
      <w:bookmarkStart w:id="107" w:name="_Toc338840192"/>
      <w:bookmarkStart w:id="108" w:name="_Toc246996923"/>
      <w:bookmarkStart w:id="109" w:name="_Toc152045535"/>
      <w:bookmarkStart w:id="110" w:name="_Toc247085694"/>
      <w:bookmarkStart w:id="111" w:name="_Toc179632552"/>
      <w:bookmarkStart w:id="112" w:name="_Toc144974503"/>
      <w:r>
        <w:rPr>
          <w:rFonts w:hint="eastAsia" w:ascii="宋体" w:hAnsi="宋体"/>
          <w:color w:val="auto"/>
          <w:highlight w:val="none"/>
        </w:rPr>
        <w:t>1.5 费用承担</w:t>
      </w:r>
      <w:bookmarkEnd w:id="105"/>
      <w:bookmarkEnd w:id="106"/>
      <w:bookmarkEnd w:id="107"/>
      <w:bookmarkEnd w:id="108"/>
      <w:bookmarkEnd w:id="109"/>
      <w:bookmarkEnd w:id="110"/>
      <w:bookmarkEnd w:id="111"/>
      <w:bookmarkEnd w:id="112"/>
    </w:p>
    <w:p>
      <w:pPr>
        <w:spacing w:line="400" w:lineRule="exact"/>
        <w:ind w:firstLine="420" w:firstLineChars="200"/>
        <w:rPr>
          <w:rFonts w:ascii="宋体" w:hAnsi="宋体"/>
          <w:color w:val="auto"/>
          <w:highlight w:val="none"/>
        </w:rPr>
      </w:pPr>
      <w:r>
        <w:rPr>
          <w:rFonts w:hint="eastAsia" w:ascii="宋体" w:hAnsi="宋体"/>
          <w:color w:val="auto"/>
          <w:highlight w:val="none"/>
        </w:rPr>
        <w:t>供应商准备和参加投标活动发生的费用自理。</w:t>
      </w:r>
    </w:p>
    <w:p>
      <w:pPr>
        <w:pStyle w:val="8"/>
        <w:rPr>
          <w:rFonts w:ascii="宋体" w:hAnsi="宋体"/>
          <w:color w:val="auto"/>
          <w:highlight w:val="none"/>
        </w:rPr>
      </w:pPr>
      <w:bookmarkStart w:id="113" w:name="_Toc246996181"/>
      <w:bookmarkStart w:id="114" w:name="_Toc179632553"/>
      <w:bookmarkStart w:id="115" w:name="_Toc338840193"/>
      <w:bookmarkStart w:id="116" w:name="_Toc152042312"/>
      <w:bookmarkStart w:id="117" w:name="_Toc247085695"/>
      <w:bookmarkStart w:id="118" w:name="_Toc152045536"/>
      <w:bookmarkStart w:id="119" w:name="_Toc246996924"/>
      <w:bookmarkStart w:id="120" w:name="_Toc144974504"/>
      <w:r>
        <w:rPr>
          <w:rFonts w:hint="eastAsia" w:ascii="宋体" w:hAnsi="宋体"/>
          <w:color w:val="auto"/>
          <w:highlight w:val="none"/>
        </w:rPr>
        <w:t>1.6 保密</w:t>
      </w:r>
      <w:bookmarkEnd w:id="113"/>
      <w:bookmarkEnd w:id="114"/>
      <w:bookmarkEnd w:id="115"/>
      <w:bookmarkEnd w:id="116"/>
      <w:bookmarkEnd w:id="117"/>
      <w:bookmarkEnd w:id="118"/>
      <w:bookmarkEnd w:id="119"/>
      <w:bookmarkEnd w:id="120"/>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参与招标投标活动的各方应对招标文件和投标文件中的商业和技术等秘密保密，违者应对由此造成的后果承担法律责任。 </w:t>
      </w:r>
    </w:p>
    <w:p>
      <w:pPr>
        <w:pStyle w:val="8"/>
        <w:rPr>
          <w:rFonts w:ascii="宋体" w:hAnsi="宋体"/>
          <w:color w:val="auto"/>
          <w:highlight w:val="none"/>
        </w:rPr>
      </w:pPr>
      <w:bookmarkStart w:id="121" w:name="_Toc144974505"/>
      <w:bookmarkStart w:id="122" w:name="_Toc338840194"/>
      <w:bookmarkStart w:id="123" w:name="_Toc152045537"/>
      <w:bookmarkStart w:id="124" w:name="_Toc246996925"/>
      <w:bookmarkStart w:id="125" w:name="_Toc152042313"/>
      <w:bookmarkStart w:id="126" w:name="_Toc246996182"/>
      <w:bookmarkStart w:id="127" w:name="_Toc247085696"/>
      <w:bookmarkStart w:id="128" w:name="_Toc179632554"/>
      <w:r>
        <w:rPr>
          <w:rFonts w:hint="eastAsia" w:ascii="宋体" w:hAnsi="宋体"/>
          <w:color w:val="auto"/>
          <w:highlight w:val="none"/>
        </w:rPr>
        <w:t>1.7 语言</w:t>
      </w:r>
      <w:bookmarkEnd w:id="121"/>
      <w:r>
        <w:rPr>
          <w:rFonts w:hint="eastAsia" w:ascii="宋体" w:hAnsi="宋体"/>
          <w:color w:val="auto"/>
          <w:highlight w:val="none"/>
        </w:rPr>
        <w:t>文字</w:t>
      </w:r>
      <w:bookmarkEnd w:id="122"/>
      <w:bookmarkEnd w:id="123"/>
      <w:bookmarkEnd w:id="124"/>
      <w:bookmarkEnd w:id="125"/>
      <w:bookmarkEnd w:id="126"/>
      <w:bookmarkEnd w:id="127"/>
      <w:bookmarkEnd w:id="128"/>
    </w:p>
    <w:p>
      <w:pPr>
        <w:spacing w:line="400" w:lineRule="exact"/>
        <w:ind w:firstLine="420" w:firstLineChars="200"/>
        <w:rPr>
          <w:rFonts w:ascii="宋体" w:hAnsi="宋体"/>
          <w:color w:val="auto"/>
          <w:highlight w:val="none"/>
        </w:rPr>
      </w:pPr>
      <w:bookmarkStart w:id="129" w:name="_Toc152042314"/>
      <w:bookmarkStart w:id="130" w:name="_Toc144974506"/>
      <w:bookmarkStart w:id="131" w:name="_Toc179632555"/>
      <w:bookmarkStart w:id="132" w:name="_Toc247085697"/>
      <w:bookmarkStart w:id="133" w:name="_Toc246996183"/>
      <w:bookmarkStart w:id="134" w:name="_Toc246996926"/>
      <w:bookmarkStart w:id="135" w:name="_Toc152045538"/>
      <w:r>
        <w:rPr>
          <w:rFonts w:hint="eastAsia" w:ascii="宋体" w:hAnsi="宋体"/>
          <w:color w:val="auto"/>
          <w:highlight w:val="none"/>
        </w:rPr>
        <w:t>招标投标文件使用的语言文字为中文。专用术语使用外文的，应附有中文注释。证书证件应使用中文版本，无中文版本的应附相应的中文注释。</w:t>
      </w:r>
    </w:p>
    <w:p>
      <w:pPr>
        <w:pStyle w:val="8"/>
        <w:rPr>
          <w:rFonts w:ascii="宋体" w:hAnsi="宋体"/>
          <w:color w:val="auto"/>
          <w:highlight w:val="none"/>
        </w:rPr>
      </w:pPr>
      <w:bookmarkStart w:id="136" w:name="_Toc338840195"/>
      <w:r>
        <w:rPr>
          <w:rFonts w:hint="eastAsia" w:ascii="宋体" w:hAnsi="宋体"/>
          <w:color w:val="auto"/>
          <w:highlight w:val="none"/>
        </w:rPr>
        <w:t>1.8 计量单位</w:t>
      </w:r>
      <w:bookmarkEnd w:id="129"/>
      <w:bookmarkEnd w:id="130"/>
      <w:bookmarkEnd w:id="131"/>
      <w:bookmarkEnd w:id="132"/>
      <w:bookmarkEnd w:id="133"/>
      <w:bookmarkEnd w:id="134"/>
      <w:bookmarkEnd w:id="135"/>
      <w:bookmarkEnd w:id="136"/>
    </w:p>
    <w:p>
      <w:pPr>
        <w:spacing w:line="400" w:lineRule="exact"/>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pPr>
        <w:pStyle w:val="8"/>
        <w:rPr>
          <w:rFonts w:ascii="宋体" w:hAnsi="宋体"/>
          <w:color w:val="auto"/>
          <w:highlight w:val="none"/>
        </w:rPr>
      </w:pPr>
      <w:bookmarkStart w:id="137" w:name="_Toc247527563"/>
      <w:bookmarkStart w:id="138" w:name="_Toc152042315"/>
      <w:bookmarkStart w:id="139" w:name="_Toc338840196"/>
      <w:bookmarkStart w:id="140" w:name="_Toc152045539"/>
      <w:bookmarkStart w:id="141" w:name="_Toc247513962"/>
      <w:bookmarkStart w:id="142" w:name="_Toc144974507"/>
      <w:bookmarkStart w:id="143" w:name="_Toc247592876"/>
      <w:r>
        <w:rPr>
          <w:rFonts w:hint="eastAsia" w:ascii="宋体" w:hAnsi="宋体"/>
          <w:color w:val="auto"/>
          <w:highlight w:val="none"/>
        </w:rPr>
        <w:t>1.9 踏勘现场</w:t>
      </w:r>
      <w:bookmarkEnd w:id="137"/>
      <w:bookmarkEnd w:id="138"/>
      <w:bookmarkEnd w:id="139"/>
      <w:bookmarkEnd w:id="140"/>
      <w:bookmarkEnd w:id="141"/>
      <w:bookmarkEnd w:id="142"/>
      <w:bookmarkEnd w:id="143"/>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pPr>
        <w:spacing w:line="400" w:lineRule="exact"/>
        <w:ind w:firstLine="420" w:firstLineChars="200"/>
        <w:rPr>
          <w:rFonts w:ascii="宋体" w:hAnsi="宋体"/>
          <w:color w:val="auto"/>
          <w:highlight w:val="none"/>
        </w:rPr>
      </w:pPr>
      <w:r>
        <w:rPr>
          <w:rFonts w:hint="eastAsia" w:ascii="宋体" w:hAnsi="宋体"/>
          <w:color w:val="auto"/>
          <w:highlight w:val="none"/>
        </w:rPr>
        <w:t>1.9.2 供应商踏勘现场发生的费用自理。</w:t>
      </w:r>
    </w:p>
    <w:p>
      <w:pPr>
        <w:spacing w:line="400" w:lineRule="exact"/>
        <w:ind w:firstLine="420" w:firstLineChars="200"/>
        <w:rPr>
          <w:rFonts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pPr>
        <w:spacing w:line="400" w:lineRule="exact"/>
        <w:ind w:firstLine="420" w:firstLineChars="200"/>
        <w:rPr>
          <w:rFonts w:ascii="宋体" w:hAnsi="宋体"/>
          <w:color w:val="auto"/>
          <w:highlight w:val="none"/>
        </w:rPr>
      </w:pPr>
      <w:r>
        <w:rPr>
          <w:rFonts w:hint="eastAsia" w:ascii="宋体" w:hAnsi="宋体"/>
          <w:color w:val="auto"/>
          <w:highlight w:val="none"/>
        </w:rPr>
        <w:t>1.9.4 采购人在踏勘现场中介绍的有关情况和相关的周边环境情况，供应商在编制投标文件时参考，采购人不对供应商据此作出的判断和决策负责。</w:t>
      </w:r>
    </w:p>
    <w:p>
      <w:pPr>
        <w:pStyle w:val="8"/>
        <w:rPr>
          <w:rFonts w:ascii="宋体" w:hAnsi="宋体"/>
          <w:color w:val="auto"/>
          <w:highlight w:val="none"/>
        </w:rPr>
      </w:pPr>
      <w:bookmarkStart w:id="144" w:name="_Toc247592877"/>
      <w:bookmarkStart w:id="145" w:name="_Toc152045540"/>
      <w:bookmarkStart w:id="146" w:name="_Toc247527564"/>
      <w:bookmarkStart w:id="147" w:name="_Toc338840197"/>
      <w:bookmarkStart w:id="148" w:name="_Toc152042316"/>
      <w:bookmarkStart w:id="149" w:name="_Toc144974508"/>
      <w:bookmarkStart w:id="150" w:name="_Toc247513963"/>
      <w:r>
        <w:rPr>
          <w:rFonts w:hint="eastAsia" w:ascii="宋体" w:hAnsi="宋体"/>
          <w:color w:val="auto"/>
          <w:highlight w:val="none"/>
        </w:rPr>
        <w:t>1.10 投标预备会</w:t>
      </w:r>
      <w:bookmarkEnd w:id="144"/>
      <w:bookmarkEnd w:id="145"/>
      <w:bookmarkEnd w:id="146"/>
      <w:bookmarkEnd w:id="147"/>
      <w:bookmarkEnd w:id="148"/>
      <w:bookmarkEnd w:id="149"/>
      <w:bookmarkEnd w:id="150"/>
    </w:p>
    <w:p>
      <w:pPr>
        <w:spacing w:line="400" w:lineRule="exact"/>
        <w:ind w:firstLine="420" w:firstLineChars="200"/>
        <w:rPr>
          <w:rFonts w:ascii="宋体" w:hAnsi="宋体"/>
          <w:color w:val="auto"/>
          <w:highlight w:val="none"/>
        </w:rPr>
      </w:pPr>
      <w:r>
        <w:rPr>
          <w:rFonts w:hint="eastAsia" w:ascii="宋体" w:hAnsi="宋体"/>
          <w:color w:val="auto"/>
          <w:highlight w:val="none"/>
        </w:rPr>
        <w:t>1.10.1 供应商须知前附表规定召开投标预备会的，采购人按供应商须知前附表规定的时间和地点召开投标预备会，澄清供应商提出的问题。</w:t>
      </w:r>
    </w:p>
    <w:p>
      <w:pPr>
        <w:spacing w:line="400" w:lineRule="exact"/>
        <w:ind w:firstLine="420" w:firstLineChars="200"/>
        <w:rPr>
          <w:rFonts w:ascii="宋体" w:hAnsi="宋体"/>
          <w:color w:val="auto"/>
          <w:highlight w:val="none"/>
        </w:rPr>
      </w:pPr>
      <w:r>
        <w:rPr>
          <w:rFonts w:hint="eastAsia" w:ascii="宋体" w:hAnsi="宋体"/>
          <w:color w:val="auto"/>
          <w:highlight w:val="none"/>
        </w:rPr>
        <w:t>1.10.2 供应商应在供应商须知前附表规定的时间，以书面形式将提出的问题送达采购人，以便采购人在会议期间澄清。</w:t>
      </w:r>
    </w:p>
    <w:p>
      <w:pPr>
        <w:spacing w:line="400" w:lineRule="exact"/>
        <w:ind w:firstLine="420" w:firstLineChars="200"/>
        <w:rPr>
          <w:rFonts w:ascii="宋体" w:hAnsi="宋体"/>
          <w:color w:val="auto"/>
          <w:highlight w:val="none"/>
        </w:rPr>
      </w:pPr>
      <w:r>
        <w:rPr>
          <w:rFonts w:hint="eastAsia" w:ascii="宋体" w:hAnsi="宋体"/>
          <w:color w:val="auto"/>
          <w:highlight w:val="none"/>
        </w:rPr>
        <w:t>1.10.3 投标预备会后，采购人在供应商须知前附表规定的时间内，将对供应商所提问题的澄清，以书面形式通知所有获取招标文件的供应商。该澄清内容为招标文件的组成部分。</w:t>
      </w:r>
    </w:p>
    <w:p>
      <w:pPr>
        <w:pStyle w:val="8"/>
        <w:rPr>
          <w:rFonts w:ascii="宋体" w:hAnsi="宋体"/>
          <w:color w:val="auto"/>
          <w:highlight w:val="none"/>
        </w:rPr>
      </w:pPr>
      <w:bookmarkStart w:id="151" w:name="_Toc338840198"/>
      <w:r>
        <w:rPr>
          <w:rFonts w:hint="eastAsia" w:ascii="宋体" w:hAnsi="宋体"/>
          <w:color w:val="auto"/>
          <w:highlight w:val="none"/>
        </w:rPr>
        <w:t>1.11 响应和偏差</w:t>
      </w:r>
      <w:bookmarkEnd w:id="151"/>
    </w:p>
    <w:p>
      <w:pPr>
        <w:spacing w:line="400" w:lineRule="exact"/>
        <w:ind w:firstLine="420" w:firstLineChars="200"/>
        <w:rPr>
          <w:rFonts w:ascii="宋体" w:hAnsi="宋体"/>
          <w:color w:val="auto"/>
          <w:highlight w:val="none"/>
        </w:rPr>
      </w:pPr>
      <w:r>
        <w:rPr>
          <w:rFonts w:hint="eastAsia" w:ascii="宋体" w:hAnsi="宋体"/>
          <w:color w:val="auto"/>
          <w:highlight w:val="none"/>
        </w:rPr>
        <w:t>1.11.1 投标文件应当对招标文件的实质性要求和条件做出实质性响应或更有利于采购人的响应，未实质性响应的投标为无效投标。实质性要求和条件见供应商须知前附表。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1.11.2 供应商应详细写明投标设备的技术性能指标，详细写明服务计划和服务内容。针对投标设备的技术性能指标，提供生产企业关于该投标产品的相应技术支持资料。</w:t>
      </w:r>
    </w:p>
    <w:p>
      <w:pPr>
        <w:spacing w:line="400" w:lineRule="exact"/>
        <w:ind w:firstLine="420" w:firstLineChars="200"/>
        <w:rPr>
          <w:rFonts w:ascii="宋体" w:hAnsi="宋体"/>
          <w:color w:val="auto"/>
          <w:highlight w:val="none"/>
        </w:rPr>
      </w:pPr>
      <w:r>
        <w:rPr>
          <w:rFonts w:hint="eastAsia" w:ascii="宋体" w:hAnsi="宋体"/>
          <w:color w:val="auto"/>
          <w:highlight w:val="none"/>
        </w:rPr>
        <w:t>1.11.3</w:t>
      </w:r>
      <w:r>
        <w:rPr>
          <w:rFonts w:ascii="宋体" w:hAnsi="宋体"/>
          <w:color w:val="auto"/>
          <w:highlight w:val="none"/>
        </w:rPr>
        <w:t xml:space="preserve"> </w:t>
      </w:r>
      <w:r>
        <w:rPr>
          <w:rFonts w:hint="eastAsia" w:ascii="宋体" w:hAnsi="宋体"/>
          <w:color w:val="auto"/>
          <w:highlight w:val="none"/>
        </w:rPr>
        <w:t>投标文件</w:t>
      </w:r>
      <w:r>
        <w:rPr>
          <w:rFonts w:ascii="宋体" w:hAnsi="宋体"/>
          <w:color w:val="auto"/>
          <w:highlight w:val="none"/>
        </w:rPr>
        <w:t>对</w:t>
      </w:r>
      <w:r>
        <w:rPr>
          <w:rFonts w:hint="eastAsia" w:ascii="宋体" w:hAnsi="宋体"/>
          <w:color w:val="auto"/>
          <w:highlight w:val="none"/>
        </w:rPr>
        <w:t>招标文件的全部偏差，均应在投标文件的商务和技术偏差表中列明并做出详细说明。</w:t>
      </w:r>
    </w:p>
    <w:p>
      <w:pPr>
        <w:pStyle w:val="7"/>
        <w:rPr>
          <w:rFonts w:ascii="宋体" w:hAnsi="宋体" w:eastAsia="宋体"/>
          <w:color w:val="auto"/>
          <w:highlight w:val="none"/>
        </w:rPr>
      </w:pPr>
      <w:bookmarkStart w:id="152" w:name="_Toc338840199"/>
      <w:bookmarkStart w:id="153" w:name="_Toc144974510"/>
      <w:bookmarkStart w:id="154" w:name="_Toc247085701"/>
      <w:bookmarkStart w:id="155" w:name="_Toc346523466"/>
      <w:bookmarkStart w:id="156" w:name="_Toc494526402"/>
      <w:bookmarkStart w:id="157" w:name="_Toc338840482"/>
      <w:bookmarkStart w:id="158" w:name="_Toc246996187"/>
      <w:bookmarkStart w:id="159" w:name="_Toc338840443"/>
      <w:bookmarkStart w:id="160" w:name="_Toc152045542"/>
      <w:bookmarkStart w:id="161" w:name="_Toc9338"/>
      <w:bookmarkStart w:id="162" w:name="_Toc25958"/>
      <w:bookmarkStart w:id="163" w:name="_Toc179632560"/>
      <w:bookmarkStart w:id="164" w:name="_Toc346523403"/>
      <w:bookmarkStart w:id="165" w:name="_Toc246996930"/>
      <w:bookmarkStart w:id="166" w:name="_Toc494093430"/>
      <w:bookmarkStart w:id="167" w:name="_Toc28300"/>
      <w:bookmarkStart w:id="168" w:name="_Toc152042318"/>
      <w:bookmarkStart w:id="169" w:name="_Toc22322"/>
      <w:r>
        <w:rPr>
          <w:rFonts w:hint="eastAsia" w:ascii="宋体" w:hAnsi="宋体" w:eastAsia="宋体"/>
          <w:color w:val="auto"/>
          <w:highlight w:val="none"/>
        </w:rPr>
        <w:t>2. 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pStyle w:val="8"/>
        <w:rPr>
          <w:rFonts w:ascii="宋体" w:hAnsi="宋体"/>
          <w:color w:val="auto"/>
          <w:highlight w:val="none"/>
        </w:rPr>
      </w:pPr>
      <w:bookmarkStart w:id="170" w:name="_Toc246996188"/>
      <w:bookmarkStart w:id="171" w:name="_Toc152042319"/>
      <w:bookmarkStart w:id="172" w:name="_Toc179632561"/>
      <w:bookmarkStart w:id="173" w:name="_Toc152045543"/>
      <w:bookmarkStart w:id="174" w:name="_Toc338840200"/>
      <w:bookmarkStart w:id="175" w:name="_Toc247085702"/>
      <w:bookmarkStart w:id="176" w:name="_Toc144974511"/>
      <w:bookmarkStart w:id="177" w:name="_Toc246996931"/>
      <w:r>
        <w:rPr>
          <w:rFonts w:hint="eastAsia" w:ascii="宋体" w:hAnsi="宋体"/>
          <w:color w:val="auto"/>
          <w:highlight w:val="none"/>
        </w:rPr>
        <w:t>2.1 招标文件的组成</w:t>
      </w:r>
      <w:bookmarkEnd w:id="170"/>
      <w:bookmarkEnd w:id="171"/>
      <w:bookmarkEnd w:id="172"/>
      <w:bookmarkEnd w:id="173"/>
      <w:bookmarkEnd w:id="174"/>
      <w:bookmarkEnd w:id="175"/>
      <w:bookmarkEnd w:id="176"/>
      <w:bookmarkEnd w:id="177"/>
    </w:p>
    <w:p>
      <w:pPr>
        <w:spacing w:line="400" w:lineRule="exact"/>
        <w:rPr>
          <w:rFonts w:ascii="宋体" w:hAnsi="宋体"/>
          <w:color w:val="auto"/>
          <w:highlight w:val="none"/>
        </w:rPr>
      </w:pPr>
      <w:r>
        <w:rPr>
          <w:rFonts w:hint="eastAsia" w:ascii="宋体" w:hAnsi="宋体"/>
          <w:color w:val="auto"/>
          <w:highlight w:val="none"/>
        </w:rPr>
        <w:t>　　2.1.1 本招标文件包括：</w:t>
      </w:r>
    </w:p>
    <w:p>
      <w:pPr>
        <w:spacing w:line="400" w:lineRule="exact"/>
        <w:ind w:firstLine="359" w:firstLineChars="171"/>
        <w:rPr>
          <w:rFonts w:ascii="宋体" w:hAnsi="宋体"/>
          <w:color w:val="auto"/>
          <w:highlight w:val="none"/>
        </w:rPr>
      </w:pPr>
      <w:r>
        <w:rPr>
          <w:rFonts w:hint="eastAsia" w:ascii="宋体" w:hAnsi="宋体"/>
          <w:color w:val="auto"/>
          <w:highlight w:val="none"/>
        </w:rPr>
        <w:t>（1）招标公告；</w:t>
      </w:r>
    </w:p>
    <w:p>
      <w:pPr>
        <w:spacing w:line="400" w:lineRule="exact"/>
        <w:ind w:firstLine="359" w:firstLineChars="171"/>
        <w:rPr>
          <w:rFonts w:ascii="宋体" w:hAnsi="宋体"/>
          <w:color w:val="auto"/>
          <w:highlight w:val="none"/>
        </w:rPr>
      </w:pPr>
      <w:r>
        <w:rPr>
          <w:rFonts w:hint="eastAsia" w:ascii="宋体" w:hAnsi="宋体"/>
          <w:color w:val="auto"/>
          <w:highlight w:val="none"/>
        </w:rPr>
        <w:t>（2）供应商须知；</w:t>
      </w:r>
    </w:p>
    <w:p>
      <w:pPr>
        <w:spacing w:line="400" w:lineRule="exact"/>
        <w:ind w:firstLine="359" w:firstLineChars="171"/>
        <w:rPr>
          <w:rFonts w:ascii="宋体" w:hAnsi="宋体"/>
          <w:color w:val="auto"/>
          <w:highlight w:val="none"/>
        </w:rPr>
      </w:pPr>
      <w:r>
        <w:rPr>
          <w:rFonts w:hint="eastAsia" w:ascii="宋体" w:hAnsi="宋体"/>
          <w:color w:val="auto"/>
          <w:highlight w:val="none"/>
        </w:rPr>
        <w:t>（3）评标办法；</w:t>
      </w:r>
    </w:p>
    <w:p>
      <w:pPr>
        <w:spacing w:line="400" w:lineRule="exact"/>
        <w:ind w:firstLine="359" w:firstLineChars="171"/>
        <w:rPr>
          <w:rFonts w:ascii="宋体" w:hAnsi="宋体"/>
          <w:color w:val="auto"/>
          <w:highlight w:val="none"/>
        </w:rPr>
      </w:pPr>
      <w:r>
        <w:rPr>
          <w:rFonts w:hint="eastAsia" w:ascii="宋体" w:hAnsi="宋体"/>
          <w:color w:val="auto"/>
          <w:highlight w:val="none"/>
        </w:rPr>
        <w:t>（4）合同条款及格式；</w:t>
      </w:r>
    </w:p>
    <w:p>
      <w:pPr>
        <w:spacing w:line="400" w:lineRule="exact"/>
        <w:ind w:firstLine="359" w:firstLineChars="171"/>
        <w:rPr>
          <w:rFonts w:ascii="宋体" w:hAnsi="宋体"/>
          <w:color w:val="auto"/>
          <w:highlight w:val="none"/>
        </w:rPr>
      </w:pPr>
      <w:r>
        <w:rPr>
          <w:rFonts w:hint="eastAsia" w:ascii="宋体" w:hAnsi="宋体"/>
          <w:color w:val="auto"/>
          <w:highlight w:val="none"/>
        </w:rPr>
        <w:t xml:space="preserve">（5）招标内容及商务技术要求； </w:t>
      </w:r>
    </w:p>
    <w:p>
      <w:pPr>
        <w:spacing w:line="400" w:lineRule="exact"/>
        <w:ind w:firstLine="359" w:firstLineChars="171"/>
        <w:rPr>
          <w:rFonts w:ascii="宋体" w:hAnsi="宋体"/>
          <w:color w:val="auto"/>
          <w:highlight w:val="none"/>
        </w:rPr>
      </w:pPr>
      <w:r>
        <w:rPr>
          <w:rFonts w:hint="eastAsia" w:ascii="宋体" w:hAnsi="宋体"/>
          <w:color w:val="auto"/>
          <w:highlight w:val="none"/>
        </w:rPr>
        <w:t>（6）投标文件格式；</w:t>
      </w:r>
    </w:p>
    <w:p>
      <w:pPr>
        <w:spacing w:line="400" w:lineRule="exact"/>
        <w:ind w:firstLine="359" w:firstLineChars="171"/>
        <w:rPr>
          <w:rFonts w:ascii="宋体" w:hAnsi="宋体"/>
          <w:color w:val="auto"/>
          <w:highlight w:val="none"/>
        </w:rPr>
      </w:pPr>
      <w:r>
        <w:rPr>
          <w:rFonts w:hint="eastAsia" w:ascii="宋体" w:hAnsi="宋体"/>
          <w:color w:val="auto"/>
          <w:highlight w:val="none"/>
        </w:rPr>
        <w:t>（7）供应商须知前附表规定的其他材料。</w:t>
      </w:r>
    </w:p>
    <w:p>
      <w:pPr>
        <w:spacing w:line="400" w:lineRule="exact"/>
        <w:ind w:firstLine="420" w:firstLineChars="200"/>
        <w:rPr>
          <w:rFonts w:ascii="宋体" w:hAnsi="宋体"/>
          <w:color w:val="auto"/>
          <w:highlight w:val="none"/>
        </w:rPr>
      </w:pPr>
      <w:r>
        <w:rPr>
          <w:rFonts w:hint="eastAsia" w:ascii="宋体" w:hAnsi="宋体"/>
          <w:color w:val="auto"/>
          <w:highlight w:val="none"/>
        </w:rPr>
        <w:t>2.1.2 根据本章第1.10款、第2.2款对招标文件所作的澄清、修改，构成招标文件的组成部分。</w:t>
      </w:r>
    </w:p>
    <w:p>
      <w:pPr>
        <w:pStyle w:val="8"/>
        <w:rPr>
          <w:rFonts w:ascii="宋体" w:hAnsi="宋体"/>
          <w:color w:val="auto"/>
          <w:highlight w:val="none"/>
        </w:rPr>
      </w:pPr>
      <w:bookmarkStart w:id="178" w:name="_Toc246996189"/>
      <w:bookmarkStart w:id="179" w:name="_Toc179632562"/>
      <w:bookmarkStart w:id="180" w:name="_Toc144974512"/>
      <w:bookmarkStart w:id="181" w:name="_Toc246996932"/>
      <w:bookmarkStart w:id="182" w:name="_Toc152045544"/>
      <w:bookmarkStart w:id="183" w:name="_Toc338840201"/>
      <w:bookmarkStart w:id="184" w:name="_Toc152042320"/>
      <w:bookmarkStart w:id="185" w:name="_Toc247085703"/>
      <w:r>
        <w:rPr>
          <w:rFonts w:hint="eastAsia" w:ascii="宋体" w:hAnsi="宋体"/>
          <w:color w:val="auto"/>
          <w:highlight w:val="none"/>
        </w:rPr>
        <w:t>2.2 招标文件的澄清</w:t>
      </w:r>
      <w:bookmarkEnd w:id="178"/>
      <w:bookmarkEnd w:id="179"/>
      <w:bookmarkEnd w:id="180"/>
      <w:bookmarkEnd w:id="181"/>
      <w:bookmarkEnd w:id="182"/>
      <w:bookmarkEnd w:id="183"/>
      <w:bookmarkEnd w:id="184"/>
      <w:bookmarkEnd w:id="185"/>
      <w:r>
        <w:rPr>
          <w:rFonts w:hint="eastAsia" w:ascii="宋体" w:hAnsi="宋体"/>
          <w:color w:val="auto"/>
          <w:highlight w:val="none"/>
        </w:rPr>
        <w:t xml:space="preserve">和修改 </w:t>
      </w:r>
    </w:p>
    <w:p>
      <w:pPr>
        <w:spacing w:line="400" w:lineRule="exact"/>
        <w:ind w:firstLine="420" w:firstLineChars="200"/>
        <w:rPr>
          <w:rFonts w:ascii="宋体" w:hAnsi="宋体"/>
          <w:color w:val="auto"/>
          <w:highlight w:val="none"/>
        </w:rPr>
      </w:pPr>
      <w:r>
        <w:rPr>
          <w:rFonts w:hint="eastAsia" w:ascii="宋体" w:hAnsi="宋体"/>
          <w:color w:val="auto"/>
          <w:highlight w:val="none"/>
        </w:rPr>
        <w:t>2.2.1 供应商应仔细阅读和检查招标文件的全部内容。</w:t>
      </w:r>
      <w:r>
        <w:rPr>
          <w:rFonts w:hint="eastAsia" w:ascii="宋体" w:hAnsi="宋体"/>
          <w:color w:val="auto"/>
          <w:szCs w:val="21"/>
          <w:highlight w:val="none"/>
        </w:rPr>
        <w:t>如发现缺页或附件不全，应及时向采购人提出，以便补齐。</w:t>
      </w:r>
      <w:r>
        <w:rPr>
          <w:rFonts w:hint="eastAsia" w:ascii="宋体" w:hAnsi="宋体"/>
          <w:color w:val="auto"/>
          <w:highlight w:val="none"/>
        </w:rPr>
        <w:t>如有疑问，应在供应商须知前附表规定的时间前以书面形式提出，要求采购人对招标文件予以澄清。</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pPr>
        <w:spacing w:line="400" w:lineRule="exact"/>
        <w:ind w:firstLine="420" w:firstLineChars="200"/>
        <w:rPr>
          <w:rFonts w:ascii="宋体" w:hAnsi="宋体"/>
          <w:color w:val="auto"/>
          <w:highlight w:val="none"/>
        </w:rPr>
      </w:pPr>
      <w:r>
        <w:rPr>
          <w:rFonts w:hint="eastAsia" w:ascii="宋体" w:hAnsi="宋体"/>
          <w:color w:val="auto"/>
          <w:highlight w:val="none"/>
        </w:rPr>
        <w:t>2.2.3 供应商应及时关注相关媒体，查看澄清和修改公告后无需以书面形式回复通知采购人。</w:t>
      </w:r>
    </w:p>
    <w:p>
      <w:pPr>
        <w:spacing w:line="400" w:lineRule="exact"/>
        <w:ind w:firstLine="420" w:firstLineChars="200"/>
        <w:rPr>
          <w:rFonts w:ascii="宋体" w:hAnsi="宋体"/>
          <w:color w:val="auto"/>
          <w:highlight w:val="none"/>
        </w:rPr>
      </w:pPr>
      <w:r>
        <w:rPr>
          <w:rFonts w:hint="eastAsia" w:ascii="宋体" w:hAnsi="宋体"/>
          <w:color w:val="auto"/>
          <w:highlight w:val="none"/>
        </w:rPr>
        <w:t>2.2.4 除非采购人认为确有必要答复，否则，采购人有权拒绝回复供应商在本章第 2.2.1 项规定的时间后的任何澄清要求。</w:t>
      </w:r>
    </w:p>
    <w:p>
      <w:pPr>
        <w:pStyle w:val="7"/>
        <w:rPr>
          <w:rFonts w:ascii="宋体" w:hAnsi="宋体" w:eastAsia="宋体"/>
          <w:color w:val="auto"/>
          <w:highlight w:val="none"/>
        </w:rPr>
      </w:pPr>
      <w:bookmarkStart w:id="186" w:name="_Toc338840203"/>
      <w:bookmarkStart w:id="187" w:name="_Toc152045546"/>
      <w:bookmarkStart w:id="188" w:name="_Toc246996934"/>
      <w:bookmarkStart w:id="189" w:name="_Toc8262"/>
      <w:bookmarkStart w:id="190" w:name="_Toc494526403"/>
      <w:bookmarkStart w:id="191" w:name="_Toc9061"/>
      <w:bookmarkStart w:id="192" w:name="_Toc144974514"/>
      <w:bookmarkStart w:id="193" w:name="_Toc338840444"/>
      <w:bookmarkStart w:id="194" w:name="_Toc494093431"/>
      <w:bookmarkStart w:id="195" w:name="_Toc152042322"/>
      <w:bookmarkStart w:id="196" w:name="_Toc179632564"/>
      <w:bookmarkStart w:id="197" w:name="_Toc14285"/>
      <w:bookmarkStart w:id="198" w:name="_Toc338840483"/>
      <w:bookmarkStart w:id="199" w:name="_Toc247085705"/>
      <w:bookmarkStart w:id="200" w:name="_Toc10395"/>
      <w:bookmarkStart w:id="201" w:name="_Toc346523467"/>
      <w:bookmarkStart w:id="202" w:name="_Toc246996191"/>
      <w:bookmarkStart w:id="203" w:name="_Toc346523404"/>
      <w:r>
        <w:rPr>
          <w:rFonts w:hint="eastAsia" w:ascii="宋体" w:hAnsi="宋体" w:eastAsia="宋体"/>
          <w:color w:val="auto"/>
          <w:highlight w:val="none"/>
        </w:rPr>
        <w:t>3. 投标文件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pStyle w:val="8"/>
        <w:rPr>
          <w:rFonts w:ascii="宋体" w:hAnsi="宋体"/>
          <w:color w:val="auto"/>
          <w:highlight w:val="none"/>
        </w:rPr>
      </w:pPr>
      <w:bookmarkStart w:id="204" w:name="_Toc246996192"/>
      <w:bookmarkStart w:id="205" w:name="_Toc247085706"/>
      <w:bookmarkStart w:id="206" w:name="_Toc152045547"/>
      <w:bookmarkStart w:id="207" w:name="_Toc246996935"/>
      <w:bookmarkStart w:id="208" w:name="_Toc179632565"/>
      <w:bookmarkStart w:id="209" w:name="_Toc338840204"/>
      <w:bookmarkStart w:id="210" w:name="_Toc144974515"/>
      <w:bookmarkStart w:id="211" w:name="_Toc152042323"/>
      <w:r>
        <w:rPr>
          <w:rFonts w:hint="eastAsia" w:ascii="宋体" w:hAnsi="宋体"/>
          <w:color w:val="auto"/>
          <w:highlight w:val="none"/>
        </w:rPr>
        <w:t>3.1 投标文件的组成</w:t>
      </w:r>
      <w:bookmarkEnd w:id="204"/>
      <w:bookmarkEnd w:id="205"/>
      <w:bookmarkEnd w:id="206"/>
      <w:bookmarkEnd w:id="207"/>
      <w:bookmarkEnd w:id="208"/>
      <w:bookmarkEnd w:id="209"/>
      <w:bookmarkEnd w:id="210"/>
      <w:bookmarkEnd w:id="211"/>
    </w:p>
    <w:p>
      <w:pPr>
        <w:spacing w:line="400" w:lineRule="exact"/>
        <w:ind w:firstLine="420" w:firstLineChars="200"/>
        <w:rPr>
          <w:rFonts w:ascii="宋体" w:hAnsi="宋体"/>
          <w:color w:val="auto"/>
          <w:highlight w:val="none"/>
        </w:rPr>
      </w:pPr>
      <w:r>
        <w:rPr>
          <w:rFonts w:hint="eastAsia" w:ascii="宋体" w:hAnsi="宋体"/>
          <w:color w:val="auto"/>
          <w:highlight w:val="none"/>
        </w:rPr>
        <w:t>投标文件应包括的内容：见第六章投标文件格式。</w:t>
      </w:r>
    </w:p>
    <w:p>
      <w:pPr>
        <w:pStyle w:val="8"/>
        <w:rPr>
          <w:rFonts w:ascii="宋体" w:hAnsi="宋体"/>
          <w:color w:val="auto"/>
          <w:sz w:val="21"/>
          <w:szCs w:val="21"/>
          <w:highlight w:val="none"/>
        </w:rPr>
      </w:pPr>
      <w:bookmarkStart w:id="212" w:name="_Toc144974516"/>
      <w:bookmarkStart w:id="213" w:name="_Toc152045548"/>
      <w:bookmarkStart w:id="214" w:name="_Toc338840205"/>
      <w:bookmarkStart w:id="215" w:name="_Toc179632566"/>
      <w:bookmarkStart w:id="216" w:name="_Toc152042324"/>
      <w:bookmarkStart w:id="217" w:name="_Toc247085707"/>
      <w:bookmarkStart w:id="218" w:name="_Toc246996193"/>
      <w:bookmarkStart w:id="219" w:name="_Toc246996936"/>
      <w:r>
        <w:rPr>
          <w:rFonts w:hint="eastAsia" w:ascii="宋体" w:hAnsi="宋体"/>
          <w:color w:val="auto"/>
          <w:highlight w:val="none"/>
        </w:rPr>
        <w:t>3.2 投标报价</w:t>
      </w:r>
      <w:bookmarkEnd w:id="212"/>
      <w:bookmarkEnd w:id="213"/>
      <w:bookmarkEnd w:id="214"/>
      <w:bookmarkEnd w:id="215"/>
      <w:bookmarkEnd w:id="216"/>
      <w:bookmarkEnd w:id="217"/>
      <w:bookmarkEnd w:id="218"/>
      <w:bookmarkEnd w:id="219"/>
    </w:p>
    <w:p>
      <w:pPr>
        <w:spacing w:line="400" w:lineRule="exact"/>
        <w:ind w:firstLine="420" w:firstLineChars="200"/>
        <w:rPr>
          <w:rFonts w:ascii="宋体" w:hAnsi="宋体"/>
          <w:color w:val="auto"/>
          <w:highlight w:val="none"/>
        </w:rPr>
      </w:pPr>
      <w:r>
        <w:rPr>
          <w:rFonts w:hint="eastAsia" w:ascii="宋体" w:hAnsi="宋体"/>
          <w:color w:val="auto"/>
          <w:highlight w:val="none"/>
        </w:rPr>
        <w:t>3.2.1 报价范围：见供应商须知前附表。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3.2.2 </w:t>
      </w:r>
      <w:r>
        <w:rPr>
          <w:rFonts w:hint="eastAsia" w:ascii="宋体" w:hAnsi="宋体"/>
          <w:color w:val="auto"/>
          <w:szCs w:val="21"/>
          <w:highlight w:val="none"/>
        </w:rPr>
        <w:t>报价应具有唯一性，即投标函中只能有一个有效投标报价（招标文件另有要求的除外）。本项目</w:t>
      </w:r>
      <w:r>
        <w:rPr>
          <w:rFonts w:hint="eastAsia" w:ascii="宋体" w:hAnsi="宋体"/>
          <w:color w:val="auto"/>
          <w:kern w:val="0"/>
          <w:szCs w:val="21"/>
          <w:highlight w:val="none"/>
        </w:rPr>
        <w:t>不接受任何有选择性的报价</w:t>
      </w:r>
      <w:bookmarkStart w:id="220" w:name="_Toc152045549"/>
      <w:bookmarkStart w:id="221" w:name="_Toc179632567"/>
      <w:bookmarkStart w:id="222" w:name="_Toc152042325"/>
      <w:bookmarkStart w:id="223" w:name="_Toc144974517"/>
      <w:r>
        <w:rPr>
          <w:rFonts w:hint="eastAsia" w:ascii="宋体" w:hAnsi="宋体"/>
          <w:color w:val="auto"/>
          <w:kern w:val="0"/>
          <w:szCs w:val="21"/>
          <w:highlight w:val="none"/>
        </w:rPr>
        <w:t>。</w:t>
      </w:r>
    </w:p>
    <w:p>
      <w:pPr>
        <w:spacing w:line="400" w:lineRule="exact"/>
        <w:ind w:firstLine="420" w:firstLineChars="200"/>
        <w:rPr>
          <w:rFonts w:ascii="宋体" w:hAnsi="宋体"/>
          <w:color w:val="auto"/>
          <w:highlight w:val="none"/>
        </w:rPr>
      </w:pPr>
      <w:r>
        <w:rPr>
          <w:rFonts w:hint="eastAsia" w:ascii="宋体" w:hAnsi="宋体"/>
          <w:color w:val="auto"/>
          <w:highlight w:val="none"/>
        </w:rPr>
        <w:t>3.2.3 采购人设有最高限价的，最高限价在供应商须知前附表中载明。</w:t>
      </w:r>
    </w:p>
    <w:p>
      <w:pPr>
        <w:spacing w:line="400" w:lineRule="exact"/>
        <w:ind w:firstLine="420" w:firstLineChars="200"/>
        <w:rPr>
          <w:rFonts w:ascii="宋体" w:hAnsi="宋体"/>
          <w:color w:val="auto"/>
          <w:highlight w:val="none"/>
        </w:rPr>
      </w:pPr>
      <w:r>
        <w:rPr>
          <w:rFonts w:hint="eastAsia" w:ascii="宋体" w:hAnsi="宋体"/>
          <w:color w:val="auto"/>
          <w:highlight w:val="none"/>
        </w:rPr>
        <w:t>3.2.4 报价币种：见供应商须知前附表。</w:t>
      </w:r>
    </w:p>
    <w:p>
      <w:pPr>
        <w:pStyle w:val="8"/>
        <w:rPr>
          <w:rFonts w:ascii="宋体" w:hAnsi="宋体"/>
          <w:color w:val="auto"/>
          <w:highlight w:val="none"/>
        </w:rPr>
      </w:pPr>
      <w:bookmarkStart w:id="224" w:name="_Toc247085708"/>
      <w:bookmarkStart w:id="225" w:name="_Toc246996937"/>
      <w:bookmarkStart w:id="226" w:name="_Toc338840206"/>
      <w:bookmarkStart w:id="227" w:name="_Toc246996194"/>
      <w:r>
        <w:rPr>
          <w:rFonts w:hint="eastAsia" w:ascii="宋体" w:hAnsi="宋体"/>
          <w:color w:val="auto"/>
          <w:highlight w:val="none"/>
        </w:rPr>
        <w:t>3.3 投标有效期</w:t>
      </w:r>
      <w:bookmarkEnd w:id="220"/>
      <w:bookmarkEnd w:id="221"/>
      <w:bookmarkEnd w:id="222"/>
      <w:bookmarkEnd w:id="223"/>
      <w:bookmarkEnd w:id="224"/>
      <w:bookmarkEnd w:id="225"/>
      <w:bookmarkEnd w:id="226"/>
      <w:bookmarkEnd w:id="227"/>
    </w:p>
    <w:p>
      <w:pPr>
        <w:spacing w:line="400" w:lineRule="exact"/>
        <w:ind w:firstLine="420" w:firstLineChars="200"/>
        <w:rPr>
          <w:rFonts w:ascii="宋体" w:hAnsi="宋体"/>
          <w:color w:val="auto"/>
          <w:highlight w:val="none"/>
        </w:rPr>
      </w:pPr>
      <w:r>
        <w:rPr>
          <w:rFonts w:hint="eastAsia" w:ascii="宋体" w:hAnsi="宋体"/>
          <w:color w:val="auto"/>
          <w:highlight w:val="none"/>
        </w:rPr>
        <w:t>3.3.1 除供应商须知前附表另有规定外，投标有效期为60天。</w:t>
      </w:r>
    </w:p>
    <w:p>
      <w:pPr>
        <w:spacing w:line="400" w:lineRule="exact"/>
        <w:ind w:firstLine="420" w:firstLineChars="200"/>
        <w:rPr>
          <w:rFonts w:ascii="宋体" w:hAnsi="宋体"/>
          <w:color w:val="auto"/>
          <w:highlight w:val="none"/>
        </w:rPr>
      </w:pPr>
      <w:r>
        <w:rPr>
          <w:rFonts w:hint="eastAsia" w:ascii="宋体" w:hAnsi="宋体"/>
          <w:color w:val="auto"/>
          <w:highlight w:val="none"/>
        </w:rPr>
        <w:t>3.3.2在投标有效期内，供应商撤销或修改其投标文件的，应承担招标文件和法律规定的责任。</w:t>
      </w:r>
    </w:p>
    <w:p>
      <w:pPr>
        <w:spacing w:line="400" w:lineRule="exact"/>
        <w:ind w:firstLine="420" w:firstLineChars="200"/>
        <w:rPr>
          <w:rFonts w:ascii="宋体" w:hAnsi="宋体"/>
          <w:color w:val="auto"/>
          <w:szCs w:val="21"/>
          <w:highlight w:val="none"/>
        </w:rPr>
      </w:pPr>
      <w:r>
        <w:rPr>
          <w:rFonts w:hint="eastAsia" w:ascii="宋体" w:hAnsi="宋体"/>
          <w:color w:val="auto"/>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pPr>
        <w:pStyle w:val="8"/>
        <w:rPr>
          <w:rFonts w:ascii="宋体" w:hAnsi="宋体"/>
          <w:color w:val="auto"/>
          <w:highlight w:val="none"/>
        </w:rPr>
      </w:pPr>
      <w:bookmarkStart w:id="228" w:name="_Toc338840207"/>
      <w:bookmarkStart w:id="229" w:name="_Toc246996195"/>
      <w:bookmarkStart w:id="230" w:name="_Toc247085709"/>
      <w:bookmarkStart w:id="231" w:name="_Toc179632568"/>
      <w:bookmarkStart w:id="232" w:name="_Toc144974518"/>
      <w:bookmarkStart w:id="233" w:name="_Toc246996938"/>
      <w:bookmarkStart w:id="234" w:name="_Toc152042326"/>
      <w:bookmarkStart w:id="235" w:name="_Toc152045550"/>
      <w:r>
        <w:rPr>
          <w:rFonts w:hint="eastAsia" w:ascii="宋体" w:hAnsi="宋体"/>
          <w:color w:val="auto"/>
          <w:highlight w:val="none"/>
        </w:rPr>
        <w:t xml:space="preserve"> </w:t>
      </w:r>
      <w:bookmarkEnd w:id="228"/>
      <w:bookmarkEnd w:id="229"/>
      <w:bookmarkEnd w:id="230"/>
      <w:bookmarkEnd w:id="231"/>
      <w:bookmarkEnd w:id="232"/>
      <w:bookmarkEnd w:id="233"/>
      <w:bookmarkEnd w:id="234"/>
      <w:bookmarkEnd w:id="235"/>
      <w:r>
        <w:rPr>
          <w:rFonts w:hint="eastAsia" w:ascii="宋体" w:hAnsi="宋体"/>
          <w:color w:val="auto"/>
          <w:highlight w:val="none"/>
        </w:rPr>
        <w:t>3.4 投标保证金</w:t>
      </w:r>
    </w:p>
    <w:p>
      <w:pPr>
        <w:spacing w:line="400" w:lineRule="exact"/>
        <w:ind w:firstLine="420" w:firstLineChars="200"/>
        <w:rPr>
          <w:rFonts w:ascii="宋体" w:hAnsi="宋体"/>
          <w:color w:val="auto"/>
          <w:highlight w:val="none"/>
        </w:rPr>
      </w:pPr>
      <w:r>
        <w:rPr>
          <w:rFonts w:hint="eastAsia" w:ascii="宋体" w:hAnsi="宋体"/>
          <w:color w:val="auto"/>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pPr>
        <w:spacing w:line="400" w:lineRule="exact"/>
        <w:ind w:firstLine="420" w:firstLineChars="200"/>
        <w:rPr>
          <w:rFonts w:ascii="宋体" w:hAnsi="宋体"/>
          <w:color w:val="auto"/>
          <w:highlight w:val="none"/>
        </w:rPr>
      </w:pPr>
      <w:r>
        <w:rPr>
          <w:rFonts w:hint="eastAsia" w:ascii="宋体" w:hAnsi="宋体"/>
          <w:color w:val="auto"/>
          <w:highlight w:val="none"/>
        </w:rPr>
        <w:t>3.4.2供应商不按本章第3.4.1项要求提交保证金的，评标委员会将否决其投标。</w:t>
      </w:r>
    </w:p>
    <w:p>
      <w:pPr>
        <w:spacing w:line="400" w:lineRule="exact"/>
        <w:ind w:firstLine="420" w:firstLineChars="200"/>
        <w:rPr>
          <w:rFonts w:ascii="宋体" w:hAnsi="宋体"/>
          <w:color w:val="auto"/>
          <w:highlight w:val="none"/>
        </w:rPr>
      </w:pPr>
      <w:r>
        <w:rPr>
          <w:rFonts w:hint="eastAsia" w:ascii="宋体" w:hAnsi="宋体"/>
          <w:color w:val="auto"/>
          <w:highlight w:val="none"/>
        </w:rPr>
        <w:t>3.4.3在中标人确定后5个工作日内退还未中标供应商的保证金；合同签订后5个工作日内退还中标人的保证金。</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3.4.4有下列情形之一的，投标保证金将不予退还： </w:t>
      </w:r>
    </w:p>
    <w:p>
      <w:pPr>
        <w:spacing w:line="400" w:lineRule="exact"/>
        <w:ind w:firstLine="718" w:firstLineChars="342"/>
        <w:rPr>
          <w:rFonts w:ascii="宋体" w:hAnsi="宋体"/>
          <w:color w:val="auto"/>
          <w:highlight w:val="none"/>
        </w:rPr>
      </w:pPr>
      <w:r>
        <w:rPr>
          <w:rFonts w:hint="eastAsia" w:ascii="宋体" w:hAnsi="宋体"/>
          <w:color w:val="auto"/>
          <w:highlight w:val="none"/>
        </w:rPr>
        <w:t>（1）供应商在规定的投标有效期内撤销或修改其投标文件；</w:t>
      </w:r>
    </w:p>
    <w:p>
      <w:pPr>
        <w:spacing w:line="400" w:lineRule="exact"/>
        <w:ind w:firstLine="718" w:firstLineChars="342"/>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pPr>
        <w:spacing w:line="400" w:lineRule="exact"/>
        <w:ind w:firstLine="718" w:firstLineChars="342"/>
        <w:rPr>
          <w:rFonts w:ascii="宋体" w:hAnsi="宋体"/>
          <w:color w:val="auto"/>
          <w:highlight w:val="none"/>
        </w:rPr>
      </w:pPr>
      <w:r>
        <w:rPr>
          <w:rFonts w:hint="eastAsia" w:ascii="宋体" w:hAnsi="宋体"/>
          <w:color w:val="auto"/>
          <w:highlight w:val="none"/>
        </w:rPr>
        <w:t>（3）提供虚假资料或存在违法违规行为的。</w:t>
      </w:r>
    </w:p>
    <w:p>
      <w:pPr>
        <w:pStyle w:val="8"/>
        <w:rPr>
          <w:rFonts w:ascii="宋体" w:hAnsi="宋体"/>
          <w:color w:val="auto"/>
          <w:highlight w:val="none"/>
        </w:rPr>
      </w:pPr>
      <w:bookmarkStart w:id="236" w:name="_Toc338840208"/>
      <w:bookmarkStart w:id="237" w:name="_Toc152042328"/>
      <w:bookmarkStart w:id="238" w:name="_Toc152045552"/>
      <w:bookmarkStart w:id="239" w:name="_Toc246996939"/>
      <w:bookmarkStart w:id="240" w:name="_Toc247085710"/>
      <w:bookmarkStart w:id="241" w:name="_Toc144974520"/>
      <w:bookmarkStart w:id="242" w:name="_Toc246996196"/>
      <w:bookmarkStart w:id="243" w:name="_Toc179632570"/>
      <w:r>
        <w:rPr>
          <w:rFonts w:hint="eastAsia" w:ascii="宋体" w:hAnsi="宋体"/>
          <w:color w:val="auto"/>
          <w:highlight w:val="none"/>
        </w:rPr>
        <w:t>3.5 资格审查资料</w:t>
      </w:r>
      <w:bookmarkEnd w:id="236"/>
      <w:bookmarkEnd w:id="237"/>
      <w:bookmarkEnd w:id="238"/>
      <w:bookmarkEnd w:id="239"/>
      <w:bookmarkEnd w:id="240"/>
      <w:bookmarkEnd w:id="241"/>
      <w:bookmarkEnd w:id="242"/>
      <w:bookmarkEnd w:id="243"/>
    </w:p>
    <w:p>
      <w:pPr>
        <w:spacing w:line="400" w:lineRule="exact"/>
        <w:ind w:firstLine="420" w:firstLineChars="200"/>
        <w:rPr>
          <w:rFonts w:ascii="宋体" w:hAnsi="宋体"/>
          <w:color w:val="auto"/>
          <w:highlight w:val="none"/>
        </w:rPr>
      </w:pPr>
      <w:r>
        <w:rPr>
          <w:rFonts w:hint="eastAsia" w:ascii="宋体" w:hAnsi="宋体"/>
          <w:color w:val="auto"/>
          <w:highlight w:val="none"/>
        </w:rPr>
        <w:t>3.5.1 资格要求：见供应商须知前附表。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供应商须知前附表中要求的供应商资格审查材料应将</w:t>
      </w:r>
      <w:r>
        <w:rPr>
          <w:rFonts w:ascii="宋体" w:hAnsi="宋体"/>
          <w:color w:val="auto"/>
          <w:highlight w:val="none"/>
        </w:rPr>
        <w:t>原件</w:t>
      </w:r>
      <w:r>
        <w:rPr>
          <w:rFonts w:hint="eastAsia" w:ascii="宋体" w:hAnsi="宋体"/>
          <w:color w:val="auto"/>
          <w:highlight w:val="none"/>
        </w:rPr>
        <w:t>扫描件附到投标文件中。</w:t>
      </w:r>
    </w:p>
    <w:p>
      <w:pPr>
        <w:pStyle w:val="8"/>
        <w:rPr>
          <w:rFonts w:ascii="宋体" w:hAnsi="宋体"/>
          <w:color w:val="auto"/>
          <w:highlight w:val="none"/>
        </w:rPr>
      </w:pPr>
      <w:bookmarkStart w:id="244" w:name="_Toc338840209"/>
      <w:bookmarkStart w:id="245" w:name="_Toc152042329"/>
      <w:bookmarkStart w:id="246" w:name="_Toc247085711"/>
      <w:bookmarkStart w:id="247" w:name="_Toc144974521"/>
      <w:bookmarkStart w:id="248" w:name="_Toc246996940"/>
      <w:bookmarkStart w:id="249" w:name="_Toc179632571"/>
      <w:bookmarkStart w:id="250" w:name="_Toc152045553"/>
      <w:bookmarkStart w:id="251" w:name="_Toc246996197"/>
      <w:r>
        <w:rPr>
          <w:rFonts w:hint="eastAsia" w:ascii="宋体" w:hAnsi="宋体"/>
          <w:color w:val="auto"/>
          <w:highlight w:val="none"/>
        </w:rPr>
        <w:t>3.6投标文件的编制</w:t>
      </w:r>
      <w:bookmarkEnd w:id="244"/>
    </w:p>
    <w:p>
      <w:pPr>
        <w:spacing w:line="400" w:lineRule="exact"/>
        <w:ind w:firstLine="420" w:firstLineChars="200"/>
        <w:rPr>
          <w:rFonts w:ascii="宋体" w:hAnsi="宋体"/>
          <w:color w:val="auto"/>
          <w:highlight w:val="none"/>
        </w:rPr>
      </w:pPr>
      <w:r>
        <w:rPr>
          <w:rFonts w:hint="eastAsia" w:ascii="宋体" w:hAnsi="宋体"/>
          <w:color w:val="auto"/>
          <w:highlight w:val="none"/>
        </w:rPr>
        <w:t>3.6.1投标文件应按第六章“投标文件格式”进行编写，如有必要，可以增加附页，作为投标文件的组成部分。在满足招标文件实质性要求的基础上，可以提出比招标文件要求更有利于采购人的承诺。</w:t>
      </w:r>
    </w:p>
    <w:p>
      <w:pPr>
        <w:spacing w:line="400" w:lineRule="exact"/>
        <w:ind w:firstLine="420" w:firstLineChars="200"/>
        <w:rPr>
          <w:rFonts w:ascii="宋体" w:hAnsi="宋体"/>
          <w:color w:val="auto"/>
          <w:szCs w:val="21"/>
          <w:highlight w:val="none"/>
        </w:rPr>
      </w:pPr>
      <w:r>
        <w:rPr>
          <w:rFonts w:hint="eastAsia" w:ascii="宋体" w:hAnsi="宋体"/>
          <w:color w:val="auto"/>
          <w:highlight w:val="none"/>
        </w:rPr>
        <w:t>3.6.2 投标文件应当对招标文件有关供应商资格要求、符合性审查要求</w:t>
      </w:r>
      <w:r>
        <w:rPr>
          <w:rFonts w:hint="eastAsia" w:ascii="宋体" w:hAnsi="宋体"/>
          <w:color w:val="auto"/>
          <w:szCs w:val="21"/>
          <w:highlight w:val="none"/>
        </w:rPr>
        <w:t>等实质性内容作出响应。</w:t>
      </w:r>
    </w:p>
    <w:p>
      <w:pPr>
        <w:spacing w:line="400" w:lineRule="exact"/>
        <w:ind w:firstLine="420" w:firstLineChars="200"/>
        <w:rPr>
          <w:rFonts w:ascii="宋体" w:hAnsi="宋体"/>
          <w:color w:val="auto"/>
          <w:highlight w:val="none"/>
        </w:rPr>
      </w:pPr>
      <w:r>
        <w:rPr>
          <w:rFonts w:ascii="宋体" w:hAnsi="宋体"/>
          <w:color w:val="auto"/>
          <w:highlight w:val="none"/>
        </w:rPr>
        <w:t>3.</w:t>
      </w:r>
      <w:r>
        <w:rPr>
          <w:rFonts w:hint="eastAsia" w:ascii="宋体" w:hAnsi="宋体"/>
          <w:color w:val="auto"/>
          <w:highlight w:val="none"/>
        </w:rPr>
        <w:t>6</w:t>
      </w:r>
      <w:r>
        <w:rPr>
          <w:rFonts w:ascii="宋体" w:hAnsi="宋体"/>
          <w:color w:val="auto"/>
          <w:highlight w:val="none"/>
        </w:rPr>
        <w:t>.3</w:t>
      </w:r>
      <w:r>
        <w:rPr>
          <w:rFonts w:hint="eastAsia" w:ascii="宋体" w:hAnsi="宋体"/>
          <w:color w:val="auto"/>
          <w:highlight w:val="none"/>
        </w:rPr>
        <w:t>实行电子招标投标时，</w:t>
      </w:r>
      <w:r>
        <w:rPr>
          <w:rFonts w:ascii="宋体" w:hAnsi="宋体"/>
          <w:color w:val="auto"/>
          <w:highlight w:val="none"/>
        </w:rPr>
        <w:t>投标文件全部采用电子文档，除供应商须知前附表另有规定外，投标文件所附证书证件均为原件扫描件，并采用</w:t>
      </w:r>
      <w:r>
        <w:rPr>
          <w:rFonts w:hint="eastAsia" w:ascii="宋体" w:hAnsi="宋体"/>
          <w:color w:val="auto"/>
          <w:szCs w:val="21"/>
          <w:highlight w:val="none"/>
          <w:lang w:val="zh-CN"/>
        </w:rPr>
        <w:t>CA密钥</w:t>
      </w:r>
      <w:r>
        <w:rPr>
          <w:rFonts w:ascii="宋体" w:hAnsi="宋体"/>
          <w:color w:val="auto"/>
          <w:highlight w:val="none"/>
        </w:rPr>
        <w:t>，按招标文件要求在相应位置加盖电子印章。签字或盖章的具体要求见供应商须知前附表。</w:t>
      </w:r>
    </w:p>
    <w:bookmarkEnd w:id="245"/>
    <w:bookmarkEnd w:id="246"/>
    <w:bookmarkEnd w:id="247"/>
    <w:bookmarkEnd w:id="248"/>
    <w:bookmarkEnd w:id="249"/>
    <w:bookmarkEnd w:id="250"/>
    <w:bookmarkEnd w:id="251"/>
    <w:p>
      <w:pPr>
        <w:pStyle w:val="7"/>
        <w:rPr>
          <w:rFonts w:ascii="宋体" w:hAnsi="宋体" w:eastAsia="宋体"/>
          <w:color w:val="auto"/>
          <w:highlight w:val="none"/>
        </w:rPr>
      </w:pPr>
      <w:bookmarkStart w:id="252" w:name="_Toc338840445"/>
      <w:bookmarkStart w:id="253" w:name="_Toc346523405"/>
      <w:bookmarkStart w:id="254" w:name="_Toc494093432"/>
      <w:bookmarkStart w:id="255" w:name="_Toc338840484"/>
      <w:bookmarkStart w:id="256" w:name="_Toc338840210"/>
      <w:bookmarkStart w:id="257" w:name="_Toc8915"/>
      <w:bookmarkStart w:id="258" w:name="_Toc144974523"/>
      <w:bookmarkStart w:id="259" w:name="_Toc26446"/>
      <w:bookmarkStart w:id="260" w:name="_Toc346523468"/>
      <w:bookmarkStart w:id="261" w:name="_Toc246996942"/>
      <w:bookmarkStart w:id="262" w:name="_Toc247085713"/>
      <w:bookmarkStart w:id="263" w:name="_Toc2826"/>
      <w:bookmarkStart w:id="264" w:name="_Toc152045555"/>
      <w:bookmarkStart w:id="265" w:name="_Toc14743"/>
      <w:bookmarkStart w:id="266" w:name="_Toc494526404"/>
      <w:bookmarkStart w:id="267" w:name="_Toc179632573"/>
      <w:bookmarkStart w:id="268" w:name="_Toc246996199"/>
      <w:bookmarkStart w:id="269" w:name="_Toc152042331"/>
      <w:r>
        <w:rPr>
          <w:rFonts w:hint="eastAsia" w:ascii="宋体" w:hAnsi="宋体" w:eastAsia="宋体"/>
          <w:color w:val="auto"/>
          <w:highlight w:val="none"/>
        </w:rPr>
        <w:t>4. 投标</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pPr>
        <w:pStyle w:val="8"/>
        <w:rPr>
          <w:rFonts w:ascii="宋体" w:hAnsi="宋体"/>
          <w:color w:val="auto"/>
          <w:highlight w:val="none"/>
        </w:rPr>
      </w:pPr>
      <w:bookmarkStart w:id="270" w:name="_Toc152045556"/>
      <w:bookmarkStart w:id="271" w:name="_Toc338840211"/>
      <w:bookmarkStart w:id="272" w:name="_Toc247085714"/>
      <w:bookmarkStart w:id="273" w:name="_Toc144974524"/>
      <w:bookmarkStart w:id="274" w:name="_Toc152042332"/>
      <w:bookmarkStart w:id="275" w:name="_Toc246996943"/>
      <w:bookmarkStart w:id="276" w:name="_Toc179632574"/>
      <w:bookmarkStart w:id="277" w:name="_Toc246996200"/>
      <w:r>
        <w:rPr>
          <w:rFonts w:hint="eastAsia" w:ascii="宋体" w:hAnsi="宋体"/>
          <w:color w:val="auto"/>
          <w:highlight w:val="none"/>
        </w:rPr>
        <w:t>4.1 投标文件的加密</w:t>
      </w:r>
      <w:bookmarkEnd w:id="270"/>
      <w:bookmarkEnd w:id="271"/>
      <w:bookmarkEnd w:id="272"/>
      <w:bookmarkEnd w:id="273"/>
      <w:bookmarkEnd w:id="274"/>
      <w:bookmarkEnd w:id="275"/>
      <w:bookmarkEnd w:id="276"/>
      <w:bookmarkEnd w:id="277"/>
    </w:p>
    <w:p>
      <w:pPr>
        <w:spacing w:line="400" w:lineRule="exact"/>
        <w:ind w:firstLine="420" w:firstLineChars="200"/>
        <w:rPr>
          <w:rFonts w:ascii="宋体" w:hAnsi="宋体"/>
          <w:color w:val="auto"/>
          <w:highlight w:val="none"/>
        </w:rPr>
      </w:pPr>
      <w:bookmarkStart w:id="278" w:name="_Toc246996201"/>
      <w:bookmarkStart w:id="279" w:name="_Toc152042333"/>
      <w:bookmarkStart w:id="280" w:name="_Toc246996944"/>
      <w:bookmarkStart w:id="281" w:name="_Toc247085715"/>
      <w:bookmarkStart w:id="282" w:name="_Toc144974525"/>
      <w:bookmarkStart w:id="283" w:name="_Toc152045557"/>
      <w:bookmarkStart w:id="284" w:name="_Toc179632575"/>
      <w:r>
        <w:rPr>
          <w:rFonts w:hint="eastAsia" w:ascii="宋体" w:hAnsi="宋体"/>
          <w:color w:val="auto"/>
          <w:highlight w:val="none"/>
        </w:rPr>
        <w:t>4.1.1实行电子招标投标时，</w:t>
      </w:r>
      <w:r>
        <w:rPr>
          <w:rFonts w:ascii="宋体" w:hAnsi="宋体"/>
          <w:color w:val="auto"/>
          <w:highlight w:val="none"/>
        </w:rPr>
        <w:t>供应商应当按照招标文件和电子招标投标交易平台的要求加密投标文件，具体要求见供应商须知前附表。</w:t>
      </w:r>
    </w:p>
    <w:p>
      <w:pPr>
        <w:pStyle w:val="8"/>
        <w:rPr>
          <w:rFonts w:ascii="宋体" w:hAnsi="宋体"/>
          <w:color w:val="auto"/>
          <w:highlight w:val="none"/>
        </w:rPr>
      </w:pPr>
      <w:bookmarkStart w:id="285" w:name="_Toc338840212"/>
      <w:r>
        <w:rPr>
          <w:rFonts w:hint="eastAsia" w:ascii="宋体" w:hAnsi="宋体"/>
          <w:color w:val="auto"/>
          <w:highlight w:val="none"/>
        </w:rPr>
        <w:t>4.2 投标文件的递交</w:t>
      </w:r>
      <w:bookmarkEnd w:id="278"/>
      <w:bookmarkEnd w:id="279"/>
      <w:bookmarkEnd w:id="280"/>
      <w:bookmarkEnd w:id="281"/>
      <w:bookmarkEnd w:id="282"/>
      <w:bookmarkEnd w:id="283"/>
      <w:bookmarkEnd w:id="284"/>
      <w:bookmarkEnd w:id="285"/>
    </w:p>
    <w:p>
      <w:pPr>
        <w:spacing w:line="400" w:lineRule="exact"/>
        <w:ind w:firstLine="420" w:firstLineChars="200"/>
        <w:rPr>
          <w:rFonts w:ascii="宋体" w:hAnsi="宋体"/>
          <w:color w:val="auto"/>
          <w:highlight w:val="none"/>
        </w:rPr>
      </w:pPr>
      <w:r>
        <w:rPr>
          <w:rFonts w:hint="eastAsia" w:ascii="宋体" w:hAnsi="宋体"/>
          <w:color w:val="auto"/>
          <w:highlight w:val="none"/>
        </w:rPr>
        <w:t>4.2.1 供应商应在规定的投标截止时间前，通过下载招标文件的电子招标投标交易平台上传提交电子投标文件。</w:t>
      </w:r>
    </w:p>
    <w:p>
      <w:pPr>
        <w:spacing w:line="400" w:lineRule="exact"/>
        <w:ind w:firstLine="420" w:firstLineChars="200"/>
        <w:rPr>
          <w:rFonts w:ascii="宋体" w:hAnsi="宋体"/>
          <w:color w:val="auto"/>
          <w:highlight w:val="none"/>
        </w:rPr>
      </w:pPr>
      <w:r>
        <w:rPr>
          <w:rFonts w:hint="eastAsia" w:ascii="宋体" w:hAnsi="宋体"/>
          <w:color w:val="auto"/>
          <w:highlight w:val="none"/>
        </w:rPr>
        <w:t>4.2.2除供应商须知前附表另有规定外，供应商所递交的投标文件不予退还。</w:t>
      </w:r>
    </w:p>
    <w:p>
      <w:pPr>
        <w:spacing w:line="400" w:lineRule="exact"/>
        <w:ind w:firstLine="420" w:firstLineChars="200"/>
        <w:rPr>
          <w:rFonts w:ascii="宋体" w:hAnsi="宋体"/>
          <w:color w:val="auto"/>
          <w:highlight w:val="none"/>
        </w:rPr>
      </w:pPr>
      <w:r>
        <w:rPr>
          <w:rFonts w:hint="eastAsia" w:ascii="宋体" w:hAnsi="宋体"/>
          <w:color w:val="auto"/>
          <w:highlight w:val="none"/>
        </w:rPr>
        <w:t>4.2.3逾期送达的投标文件，电子招标投标交易平台将予以拒收。</w:t>
      </w:r>
    </w:p>
    <w:p>
      <w:pPr>
        <w:pStyle w:val="8"/>
        <w:rPr>
          <w:rFonts w:ascii="宋体" w:hAnsi="宋体"/>
          <w:color w:val="auto"/>
          <w:highlight w:val="none"/>
        </w:rPr>
      </w:pPr>
      <w:bookmarkStart w:id="286" w:name="_Toc247085716"/>
      <w:bookmarkStart w:id="287" w:name="_Toc338840213"/>
      <w:bookmarkStart w:id="288" w:name="_Toc246996202"/>
      <w:bookmarkStart w:id="289" w:name="_Toc152045558"/>
      <w:bookmarkStart w:id="290" w:name="_Toc152042334"/>
      <w:bookmarkStart w:id="291" w:name="_Toc144974526"/>
      <w:bookmarkStart w:id="292" w:name="_Toc179632576"/>
      <w:bookmarkStart w:id="293" w:name="_Toc246996945"/>
      <w:r>
        <w:rPr>
          <w:rFonts w:hint="eastAsia" w:ascii="宋体" w:hAnsi="宋体"/>
          <w:color w:val="auto"/>
          <w:highlight w:val="none"/>
        </w:rPr>
        <w:t>4.3 投标文件的修改与撤回</w:t>
      </w:r>
      <w:bookmarkEnd w:id="286"/>
      <w:bookmarkEnd w:id="287"/>
      <w:bookmarkEnd w:id="288"/>
      <w:bookmarkEnd w:id="289"/>
      <w:bookmarkEnd w:id="290"/>
      <w:bookmarkEnd w:id="291"/>
      <w:bookmarkEnd w:id="292"/>
      <w:bookmarkEnd w:id="293"/>
    </w:p>
    <w:p>
      <w:pPr>
        <w:spacing w:line="400" w:lineRule="exact"/>
        <w:ind w:firstLine="420" w:firstLineChars="200"/>
        <w:rPr>
          <w:rFonts w:ascii="宋体" w:hAnsi="宋体"/>
          <w:color w:val="auto"/>
          <w:highlight w:val="none"/>
        </w:rPr>
      </w:pPr>
      <w:r>
        <w:rPr>
          <w:rFonts w:hint="eastAsia" w:ascii="宋体" w:hAnsi="宋体"/>
          <w:color w:val="auto"/>
          <w:highlight w:val="none"/>
        </w:rPr>
        <w:t>4.3.1 在规定的投标截止及开标时间前，供应商可以修改或撤回已上传的投标文件。</w:t>
      </w:r>
    </w:p>
    <w:p>
      <w:pPr>
        <w:pStyle w:val="7"/>
        <w:rPr>
          <w:rFonts w:ascii="宋体" w:hAnsi="宋体" w:eastAsia="宋体"/>
          <w:color w:val="auto"/>
          <w:highlight w:val="none"/>
        </w:rPr>
      </w:pPr>
      <w:bookmarkStart w:id="294" w:name="_Toc247085717"/>
      <w:bookmarkStart w:id="295" w:name="_Toc11800"/>
      <w:bookmarkStart w:id="296" w:name="_Toc246996946"/>
      <w:bookmarkStart w:id="297" w:name="_Toc494093433"/>
      <w:bookmarkStart w:id="298" w:name="_Toc346523469"/>
      <w:bookmarkStart w:id="299" w:name="_Toc346523406"/>
      <w:bookmarkStart w:id="300" w:name="_Toc22635"/>
      <w:bookmarkStart w:id="301" w:name="_Toc338840446"/>
      <w:bookmarkStart w:id="302" w:name="_Toc144974527"/>
      <w:bookmarkStart w:id="303" w:name="_Toc152045559"/>
      <w:bookmarkStart w:id="304" w:name="_Toc246996203"/>
      <w:bookmarkStart w:id="305" w:name="_Toc494526405"/>
      <w:bookmarkStart w:id="306" w:name="_Toc338840485"/>
      <w:bookmarkStart w:id="307" w:name="_Toc152042335"/>
      <w:bookmarkStart w:id="308" w:name="_Toc179632577"/>
      <w:bookmarkStart w:id="309" w:name="_Toc19059"/>
      <w:bookmarkStart w:id="310" w:name="_Toc20438"/>
      <w:bookmarkStart w:id="311" w:name="_Toc338840214"/>
      <w:r>
        <w:rPr>
          <w:rFonts w:hint="eastAsia" w:ascii="宋体" w:hAnsi="宋体" w:eastAsia="宋体"/>
          <w:color w:val="auto"/>
          <w:highlight w:val="none"/>
        </w:rPr>
        <w:t>5. 开标</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pStyle w:val="8"/>
        <w:rPr>
          <w:rFonts w:ascii="宋体" w:hAnsi="宋体"/>
          <w:color w:val="auto"/>
          <w:highlight w:val="none"/>
        </w:rPr>
      </w:pPr>
      <w:r>
        <w:rPr>
          <w:rFonts w:hint="eastAsia" w:ascii="宋体" w:hAnsi="宋体"/>
          <w:color w:val="auto"/>
          <w:highlight w:val="none"/>
        </w:rPr>
        <w:t>5.1 投标截止及开标时间、地点</w:t>
      </w:r>
    </w:p>
    <w:p>
      <w:pPr>
        <w:spacing w:line="400" w:lineRule="exact"/>
        <w:ind w:firstLine="420" w:firstLineChars="200"/>
        <w:rPr>
          <w:rFonts w:ascii="宋体" w:hAnsi="宋体"/>
          <w:color w:val="auto"/>
          <w:highlight w:val="none"/>
        </w:rPr>
      </w:pPr>
      <w:r>
        <w:rPr>
          <w:rFonts w:hint="eastAsia" w:ascii="宋体" w:hAnsi="宋体"/>
          <w:color w:val="auto"/>
          <w:highlight w:val="none"/>
        </w:rPr>
        <w:t>采购人在规定的投标截止时间（开标时间）,通过电子招标投标交易平台公开开标，邀请所有供应商的法定代表人（单位负责人）或其委托代理人准时参加。</w:t>
      </w:r>
    </w:p>
    <w:p>
      <w:pPr>
        <w:pStyle w:val="8"/>
        <w:rPr>
          <w:rFonts w:ascii="宋体" w:hAnsi="宋体"/>
          <w:color w:val="auto"/>
          <w:highlight w:val="none"/>
        </w:rPr>
      </w:pPr>
      <w:bookmarkStart w:id="312" w:name="_Toc338840216"/>
      <w:bookmarkStart w:id="313" w:name="_Toc152042337"/>
      <w:bookmarkStart w:id="314" w:name="_Toc144974529"/>
      <w:bookmarkStart w:id="315" w:name="_Toc246996205"/>
      <w:bookmarkStart w:id="316" w:name="_Toc152045561"/>
      <w:bookmarkStart w:id="317" w:name="_Toc246996948"/>
      <w:bookmarkStart w:id="318" w:name="_Toc247085719"/>
      <w:bookmarkStart w:id="319" w:name="_Toc179632579"/>
      <w:r>
        <w:rPr>
          <w:rFonts w:hint="eastAsia" w:ascii="宋体" w:hAnsi="宋体"/>
          <w:color w:val="auto"/>
          <w:highlight w:val="none"/>
        </w:rPr>
        <w:t>5.2 开标程序</w:t>
      </w:r>
      <w:bookmarkEnd w:id="312"/>
      <w:bookmarkEnd w:id="313"/>
      <w:bookmarkEnd w:id="314"/>
      <w:bookmarkEnd w:id="315"/>
      <w:bookmarkEnd w:id="316"/>
      <w:bookmarkEnd w:id="317"/>
      <w:bookmarkEnd w:id="318"/>
      <w:bookmarkEnd w:id="319"/>
    </w:p>
    <w:p>
      <w:pPr>
        <w:spacing w:line="400" w:lineRule="exact"/>
        <w:ind w:firstLine="359" w:firstLineChars="171"/>
        <w:rPr>
          <w:rFonts w:ascii="宋体" w:hAnsi="宋体"/>
          <w:color w:val="auto"/>
          <w:highlight w:val="none"/>
        </w:rPr>
      </w:pPr>
      <w:r>
        <w:rPr>
          <w:rFonts w:hint="eastAsia" w:ascii="宋体" w:hAnsi="宋体"/>
          <w:color w:val="auto"/>
          <w:highlight w:val="none"/>
        </w:rPr>
        <w:t xml:space="preserve">详见供应商须知前附表 </w:t>
      </w:r>
    </w:p>
    <w:p>
      <w:pPr>
        <w:pStyle w:val="8"/>
        <w:rPr>
          <w:rFonts w:ascii="宋体" w:hAnsi="宋体"/>
          <w:color w:val="auto"/>
          <w:highlight w:val="none"/>
        </w:rPr>
      </w:pPr>
      <w:bookmarkStart w:id="320" w:name="_Toc338840217"/>
      <w:r>
        <w:rPr>
          <w:rFonts w:hint="eastAsia" w:ascii="宋体" w:hAnsi="宋体"/>
          <w:color w:val="auto"/>
          <w:highlight w:val="none"/>
        </w:rPr>
        <w:t>5.3 开标异议</w:t>
      </w:r>
      <w:bookmarkEnd w:id="320"/>
    </w:p>
    <w:p>
      <w:pPr>
        <w:spacing w:line="400" w:lineRule="exact"/>
        <w:ind w:firstLine="359" w:firstLineChars="171"/>
        <w:rPr>
          <w:rFonts w:ascii="宋体" w:hAnsi="宋体"/>
          <w:color w:val="auto"/>
          <w:highlight w:val="none"/>
        </w:rPr>
      </w:pPr>
      <w:r>
        <w:rPr>
          <w:rFonts w:hint="eastAsia" w:ascii="宋体" w:hAnsi="宋体"/>
          <w:color w:val="auto"/>
          <w:highlight w:val="none"/>
        </w:rPr>
        <w:t>供应商对开标有异议的，应当在开标现场提出，采购人当场作出答复，并记录。</w:t>
      </w:r>
    </w:p>
    <w:p>
      <w:pPr>
        <w:pStyle w:val="7"/>
        <w:rPr>
          <w:rFonts w:ascii="宋体" w:hAnsi="宋体" w:eastAsia="宋体"/>
          <w:color w:val="auto"/>
          <w:highlight w:val="none"/>
        </w:rPr>
      </w:pPr>
      <w:bookmarkStart w:id="321" w:name="_Toc246996949"/>
      <w:bookmarkStart w:id="322" w:name="_Toc338840447"/>
      <w:bookmarkStart w:id="323" w:name="_Toc338840486"/>
      <w:bookmarkStart w:id="324" w:name="_Toc338840218"/>
      <w:bookmarkStart w:id="325" w:name="_Toc246996206"/>
      <w:bookmarkStart w:id="326" w:name="_Toc494526406"/>
      <w:bookmarkStart w:id="327" w:name="_Toc346523470"/>
      <w:bookmarkStart w:id="328" w:name="_Toc152045562"/>
      <w:bookmarkStart w:id="329" w:name="_Toc152042338"/>
      <w:bookmarkStart w:id="330" w:name="_Toc25260"/>
      <w:bookmarkStart w:id="331" w:name="_Toc179632580"/>
      <w:bookmarkStart w:id="332" w:name="_Toc247085720"/>
      <w:bookmarkStart w:id="333" w:name="_Toc494093434"/>
      <w:bookmarkStart w:id="334" w:name="_Toc15053"/>
      <w:bookmarkStart w:id="335" w:name="_Toc23221"/>
      <w:bookmarkStart w:id="336" w:name="_Toc144974530"/>
      <w:bookmarkStart w:id="337" w:name="_Toc346523407"/>
      <w:bookmarkStart w:id="338" w:name="_Toc23925"/>
      <w:r>
        <w:rPr>
          <w:rFonts w:hint="eastAsia" w:ascii="宋体" w:hAnsi="宋体" w:eastAsia="宋体"/>
          <w:color w:val="auto"/>
          <w:highlight w:val="none"/>
        </w:rPr>
        <w:t>6. 评标</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pStyle w:val="8"/>
        <w:rPr>
          <w:rFonts w:ascii="宋体" w:hAnsi="宋体"/>
          <w:color w:val="auto"/>
          <w:highlight w:val="none"/>
        </w:rPr>
      </w:pPr>
      <w:bookmarkStart w:id="339" w:name="_Toc144974531"/>
      <w:bookmarkStart w:id="340" w:name="_Toc152042339"/>
      <w:bookmarkStart w:id="341" w:name="_Toc179632581"/>
      <w:bookmarkStart w:id="342" w:name="_Toc152045563"/>
      <w:bookmarkStart w:id="343" w:name="_Toc247085721"/>
      <w:bookmarkStart w:id="344" w:name="_Toc246996207"/>
      <w:bookmarkStart w:id="345" w:name="_Toc338840219"/>
      <w:bookmarkStart w:id="346" w:name="_Toc246996950"/>
      <w:r>
        <w:rPr>
          <w:rFonts w:hint="eastAsia" w:ascii="宋体" w:hAnsi="宋体"/>
          <w:color w:val="auto"/>
          <w:highlight w:val="none"/>
        </w:rPr>
        <w:t>6.1 评标委员会</w:t>
      </w:r>
      <w:bookmarkEnd w:id="339"/>
      <w:bookmarkEnd w:id="340"/>
      <w:bookmarkEnd w:id="341"/>
      <w:bookmarkEnd w:id="342"/>
      <w:bookmarkEnd w:id="343"/>
      <w:bookmarkEnd w:id="344"/>
      <w:bookmarkEnd w:id="345"/>
      <w:bookmarkEnd w:id="346"/>
    </w:p>
    <w:p>
      <w:pPr>
        <w:spacing w:line="400" w:lineRule="exact"/>
        <w:ind w:firstLine="420" w:firstLineChars="200"/>
        <w:rPr>
          <w:rFonts w:ascii="宋体" w:hAnsi="宋体"/>
          <w:color w:val="auto"/>
          <w:highlight w:val="none"/>
        </w:rPr>
      </w:pPr>
      <w:r>
        <w:rPr>
          <w:rFonts w:hint="eastAsia" w:ascii="宋体" w:hAnsi="宋体"/>
          <w:color w:val="auto"/>
          <w:highlight w:val="none"/>
        </w:rPr>
        <w:t>6.1.1 评标由采购人依法组建的评标委员会负责。评标委员会由采购人熟悉相关业务的代表以及评审专家组成。评标委员会成员人数以及评审专家的确定方式见供应商须知前附表。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6.1.2 评标委员会成员有下列情形之一的，应当回避：</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（1）供应商或供应商主要负责人的近亲属；</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（2）项目主管部门或者行政监督部门的人员；</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（3）与供应商有经济利益关系，可能影响对投标公正评审的；</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（4）曾因在招标、评标以及其他与招标投标有关活动中从事违法行为而受过行政处罚或刑事处罚期限未满的；</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（5）与供应商有其他利害关系。</w:t>
      </w:r>
    </w:p>
    <w:p>
      <w:pPr>
        <w:spacing w:line="400" w:lineRule="exact"/>
        <w:ind w:firstLine="420" w:firstLineChars="200"/>
        <w:rPr>
          <w:rFonts w:ascii="宋体" w:hAnsi="宋体"/>
          <w:color w:val="auto"/>
          <w:highlight w:val="none"/>
        </w:rPr>
      </w:pPr>
      <w:r>
        <w:rPr>
          <w:rFonts w:hint="eastAsia" w:ascii="宋体" w:hAnsi="宋体"/>
          <w:color w:val="auto"/>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pPr>
        <w:pStyle w:val="8"/>
        <w:rPr>
          <w:rFonts w:ascii="宋体" w:hAnsi="宋体"/>
          <w:color w:val="auto"/>
          <w:highlight w:val="none"/>
        </w:rPr>
      </w:pPr>
      <w:bookmarkStart w:id="347" w:name="_Toc144974532"/>
      <w:bookmarkStart w:id="348" w:name="_Toc338840220"/>
      <w:bookmarkStart w:id="349" w:name="_Toc152045564"/>
      <w:bookmarkStart w:id="350" w:name="_Toc246996208"/>
      <w:bookmarkStart w:id="351" w:name="_Toc179632582"/>
      <w:bookmarkStart w:id="352" w:name="_Toc152042340"/>
      <w:bookmarkStart w:id="353" w:name="_Toc246996951"/>
      <w:bookmarkStart w:id="354" w:name="_Toc247085722"/>
      <w:r>
        <w:rPr>
          <w:rFonts w:hint="eastAsia" w:ascii="宋体" w:hAnsi="宋体"/>
          <w:color w:val="auto"/>
          <w:highlight w:val="none"/>
        </w:rPr>
        <w:t>6.2 评标原则</w:t>
      </w:r>
      <w:bookmarkEnd w:id="347"/>
      <w:bookmarkEnd w:id="348"/>
      <w:bookmarkEnd w:id="349"/>
      <w:bookmarkEnd w:id="350"/>
      <w:bookmarkEnd w:id="351"/>
      <w:bookmarkEnd w:id="352"/>
      <w:bookmarkEnd w:id="353"/>
      <w:bookmarkEnd w:id="354"/>
    </w:p>
    <w:p>
      <w:pPr>
        <w:spacing w:line="400" w:lineRule="exact"/>
        <w:ind w:firstLine="420" w:firstLineChars="200"/>
        <w:rPr>
          <w:rFonts w:ascii="宋体" w:hAnsi="宋体"/>
          <w:color w:val="auto"/>
          <w:highlight w:val="none"/>
        </w:rPr>
      </w:pPr>
      <w:r>
        <w:rPr>
          <w:rFonts w:hint="eastAsia" w:ascii="宋体" w:hAnsi="宋体"/>
          <w:color w:val="auto"/>
          <w:highlight w:val="none"/>
        </w:rPr>
        <w:t>评标活动遵循公平、公正、科学和择优的原则。</w:t>
      </w:r>
    </w:p>
    <w:p>
      <w:pPr>
        <w:pStyle w:val="8"/>
        <w:rPr>
          <w:rFonts w:ascii="宋体" w:hAnsi="宋体"/>
          <w:color w:val="auto"/>
          <w:highlight w:val="none"/>
        </w:rPr>
      </w:pPr>
      <w:bookmarkStart w:id="355" w:name="_Toc152042341"/>
      <w:bookmarkStart w:id="356" w:name="_Toc179632583"/>
      <w:bookmarkStart w:id="357" w:name="_Toc152045565"/>
      <w:bookmarkStart w:id="358" w:name="_Toc246996952"/>
      <w:bookmarkStart w:id="359" w:name="_Toc338840221"/>
      <w:bookmarkStart w:id="360" w:name="_Toc247085723"/>
      <w:bookmarkStart w:id="361" w:name="_Toc144974533"/>
      <w:bookmarkStart w:id="362" w:name="_Toc246996209"/>
      <w:r>
        <w:rPr>
          <w:rFonts w:hint="eastAsia" w:ascii="宋体" w:hAnsi="宋体"/>
          <w:color w:val="auto"/>
          <w:highlight w:val="none"/>
        </w:rPr>
        <w:t>6.3 评标</w:t>
      </w:r>
      <w:bookmarkEnd w:id="355"/>
      <w:bookmarkEnd w:id="356"/>
      <w:bookmarkEnd w:id="357"/>
      <w:bookmarkEnd w:id="358"/>
      <w:bookmarkEnd w:id="359"/>
      <w:bookmarkEnd w:id="360"/>
      <w:bookmarkEnd w:id="361"/>
      <w:bookmarkEnd w:id="362"/>
    </w:p>
    <w:p>
      <w:pPr>
        <w:spacing w:line="400" w:lineRule="exact"/>
        <w:ind w:firstLine="420" w:firstLineChars="200"/>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pPr>
        <w:spacing w:line="400" w:lineRule="exact"/>
        <w:ind w:firstLine="420" w:firstLineChars="200"/>
        <w:rPr>
          <w:rFonts w:ascii="宋体" w:hAnsi="宋体"/>
          <w:color w:val="auto"/>
          <w:highlight w:val="none"/>
        </w:rPr>
      </w:pPr>
      <w:r>
        <w:rPr>
          <w:rFonts w:hint="eastAsia" w:ascii="宋体" w:hAnsi="宋体"/>
          <w:color w:val="auto"/>
          <w:highlight w:val="none"/>
        </w:rPr>
        <w:t>6.3.2评标完成后，评标委员会应当向采购人提交书面评标报告和中标候选人名单。评标委员会推荐中标候选人的人数见供应商须知前附表。</w:t>
      </w:r>
    </w:p>
    <w:p>
      <w:pPr>
        <w:pStyle w:val="7"/>
        <w:rPr>
          <w:rFonts w:ascii="宋体" w:hAnsi="宋体" w:eastAsia="宋体"/>
          <w:color w:val="auto"/>
          <w:highlight w:val="none"/>
        </w:rPr>
      </w:pPr>
      <w:bookmarkStart w:id="363" w:name="_Toc30344"/>
      <w:bookmarkStart w:id="364" w:name="_Toc494093435"/>
      <w:bookmarkStart w:id="365" w:name="_Toc247085724"/>
      <w:bookmarkStart w:id="366" w:name="_Toc7858"/>
      <w:bookmarkStart w:id="367" w:name="_Toc246996210"/>
      <w:bookmarkStart w:id="368" w:name="_Toc152042342"/>
      <w:bookmarkStart w:id="369" w:name="_Toc346523408"/>
      <w:bookmarkStart w:id="370" w:name="_Toc338840487"/>
      <w:bookmarkStart w:id="371" w:name="_Toc494526407"/>
      <w:bookmarkStart w:id="372" w:name="_Toc144974534"/>
      <w:bookmarkStart w:id="373" w:name="_Toc346523471"/>
      <w:bookmarkStart w:id="374" w:name="_Toc3710"/>
      <w:bookmarkStart w:id="375" w:name="_Toc152045566"/>
      <w:bookmarkStart w:id="376" w:name="_Toc11962"/>
      <w:bookmarkStart w:id="377" w:name="_Toc338840222"/>
      <w:bookmarkStart w:id="378" w:name="_Toc246996953"/>
      <w:bookmarkStart w:id="379" w:name="_Toc338840448"/>
      <w:bookmarkStart w:id="380" w:name="_Toc179632584"/>
      <w:r>
        <w:rPr>
          <w:rFonts w:hint="eastAsia" w:ascii="宋体" w:hAnsi="宋体" w:eastAsia="宋体"/>
          <w:color w:val="auto"/>
          <w:highlight w:val="none"/>
        </w:rPr>
        <w:t>7. 合同授予</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pPr>
        <w:pStyle w:val="8"/>
        <w:rPr>
          <w:rFonts w:ascii="宋体" w:hAnsi="宋体"/>
          <w:color w:val="auto"/>
          <w:highlight w:val="none"/>
        </w:rPr>
      </w:pPr>
      <w:bookmarkStart w:id="381" w:name="_Toc246996211"/>
      <w:bookmarkStart w:id="382" w:name="_Toc144974535"/>
      <w:bookmarkStart w:id="383" w:name="_Toc338840223"/>
      <w:bookmarkStart w:id="384" w:name="_Toc246996954"/>
      <w:bookmarkStart w:id="385" w:name="_Toc179632585"/>
      <w:bookmarkStart w:id="386" w:name="_Toc152045567"/>
      <w:bookmarkStart w:id="387" w:name="_Toc152042343"/>
      <w:bookmarkStart w:id="388" w:name="_Toc247085725"/>
      <w:r>
        <w:rPr>
          <w:rFonts w:hint="eastAsia" w:ascii="宋体" w:hAnsi="宋体"/>
          <w:color w:val="auto"/>
          <w:highlight w:val="none"/>
        </w:rPr>
        <w:t>7.1 定标方式</w:t>
      </w:r>
      <w:bookmarkEnd w:id="381"/>
      <w:bookmarkEnd w:id="382"/>
      <w:bookmarkEnd w:id="383"/>
      <w:bookmarkEnd w:id="384"/>
      <w:bookmarkEnd w:id="385"/>
      <w:bookmarkEnd w:id="386"/>
      <w:bookmarkEnd w:id="387"/>
      <w:bookmarkEnd w:id="388"/>
    </w:p>
    <w:p>
      <w:pPr>
        <w:spacing w:line="400" w:lineRule="exact"/>
        <w:ind w:firstLine="420" w:firstLineChars="200"/>
        <w:rPr>
          <w:rFonts w:ascii="宋体" w:hAnsi="宋体"/>
          <w:color w:val="auto"/>
          <w:highlight w:val="none"/>
        </w:rPr>
      </w:pPr>
      <w:r>
        <w:rPr>
          <w:rFonts w:hint="eastAsia" w:ascii="宋体" w:hAnsi="宋体"/>
          <w:color w:val="auto"/>
          <w:highlight w:val="none"/>
        </w:rPr>
        <w:t>除供应商须知前附表规定评标委员会直接确定中标人外，采购人依据评标委员会推荐的中标候选人名单，按排序确定中标人，评标委员会推荐中标候选人的人数见供应商须知前附表。</w:t>
      </w:r>
    </w:p>
    <w:p>
      <w:pPr>
        <w:pStyle w:val="8"/>
        <w:rPr>
          <w:rFonts w:ascii="宋体" w:hAnsi="宋体"/>
          <w:color w:val="auto"/>
          <w:highlight w:val="none"/>
        </w:rPr>
      </w:pPr>
      <w:bookmarkStart w:id="389" w:name="_Toc338840224"/>
      <w:r>
        <w:rPr>
          <w:rFonts w:hint="eastAsia" w:ascii="宋体" w:hAnsi="宋体"/>
          <w:color w:val="auto"/>
          <w:highlight w:val="none"/>
        </w:rPr>
        <w:t>7.2 中标人公布</w:t>
      </w:r>
      <w:bookmarkEnd w:id="389"/>
      <w:r>
        <w:rPr>
          <w:rFonts w:hint="eastAsia" w:ascii="宋体" w:hAnsi="宋体"/>
          <w:color w:val="auto"/>
          <w:highlight w:val="none"/>
        </w:rPr>
        <w:t>媒介</w:t>
      </w:r>
    </w:p>
    <w:p>
      <w:pPr>
        <w:spacing w:line="400" w:lineRule="exact"/>
        <w:ind w:firstLine="420" w:firstLineChars="200"/>
        <w:rPr>
          <w:rFonts w:ascii="宋体" w:hAnsi="宋体"/>
          <w:color w:val="auto"/>
          <w:highlight w:val="none"/>
        </w:rPr>
      </w:pPr>
      <w:r>
        <w:rPr>
          <w:rFonts w:hint="eastAsia" w:ascii="宋体" w:hAnsi="宋体"/>
          <w:color w:val="auto"/>
          <w:highlight w:val="none"/>
        </w:rPr>
        <w:t>采购人在供应商须知前附表规定的媒介公布中标人。</w:t>
      </w:r>
    </w:p>
    <w:p>
      <w:pPr>
        <w:pStyle w:val="8"/>
        <w:rPr>
          <w:rFonts w:ascii="宋体" w:hAnsi="宋体"/>
          <w:color w:val="auto"/>
          <w:highlight w:val="none"/>
        </w:rPr>
      </w:pPr>
      <w:bookmarkStart w:id="390" w:name="_Toc247085726"/>
      <w:bookmarkStart w:id="391" w:name="_Toc179632586"/>
      <w:bookmarkStart w:id="392" w:name="_Toc246996212"/>
      <w:bookmarkStart w:id="393" w:name="_Toc338840225"/>
      <w:bookmarkStart w:id="394" w:name="_Toc144974536"/>
      <w:bookmarkStart w:id="395" w:name="_Toc152045568"/>
      <w:bookmarkStart w:id="396" w:name="_Toc152042344"/>
      <w:bookmarkStart w:id="397" w:name="_Toc246996955"/>
      <w:r>
        <w:rPr>
          <w:rFonts w:hint="eastAsia" w:ascii="宋体" w:hAnsi="宋体"/>
          <w:color w:val="auto"/>
          <w:highlight w:val="none"/>
        </w:rPr>
        <w:t>7.3 中标通知</w:t>
      </w:r>
      <w:bookmarkEnd w:id="390"/>
      <w:bookmarkEnd w:id="391"/>
      <w:bookmarkEnd w:id="392"/>
      <w:bookmarkEnd w:id="393"/>
      <w:bookmarkEnd w:id="394"/>
      <w:bookmarkEnd w:id="395"/>
      <w:bookmarkEnd w:id="396"/>
      <w:bookmarkEnd w:id="397"/>
    </w:p>
    <w:p>
      <w:pPr>
        <w:spacing w:line="400" w:lineRule="exact"/>
        <w:ind w:firstLine="420" w:firstLineChars="200"/>
        <w:rPr>
          <w:rFonts w:ascii="宋体" w:hAnsi="宋体"/>
          <w:color w:val="auto"/>
          <w:highlight w:val="none"/>
        </w:rPr>
      </w:pPr>
      <w:r>
        <w:rPr>
          <w:rFonts w:hint="eastAsia" w:ascii="宋体" w:hAnsi="宋体"/>
          <w:color w:val="auto"/>
          <w:highlight w:val="none"/>
        </w:rPr>
        <w:t>采购人确定中标人后，在规定的中标人公布媒介公布，以书面形式向中标人发出中标通知书，其他未中标的供应商自行查看结果，不再另行通知。详见供应商须知前附表。</w:t>
      </w:r>
    </w:p>
    <w:p>
      <w:pPr>
        <w:pStyle w:val="8"/>
        <w:rPr>
          <w:rFonts w:ascii="宋体" w:hAnsi="宋体"/>
          <w:color w:val="auto"/>
          <w:highlight w:val="none"/>
        </w:rPr>
      </w:pPr>
      <w:bookmarkStart w:id="398" w:name="_Toc144974537"/>
      <w:bookmarkStart w:id="399" w:name="_Toc338840226"/>
      <w:bookmarkStart w:id="400" w:name="_Toc246996213"/>
      <w:bookmarkStart w:id="401" w:name="_Toc152042345"/>
      <w:bookmarkStart w:id="402" w:name="_Toc152045569"/>
      <w:bookmarkStart w:id="403" w:name="_Toc179632587"/>
      <w:bookmarkStart w:id="404" w:name="_Toc246996956"/>
      <w:bookmarkStart w:id="405" w:name="_Toc247085727"/>
      <w:r>
        <w:rPr>
          <w:rFonts w:hint="eastAsia" w:ascii="宋体" w:hAnsi="宋体"/>
          <w:color w:val="auto"/>
          <w:highlight w:val="none"/>
        </w:rPr>
        <w:t>7.4 履约担保</w:t>
      </w:r>
      <w:bookmarkEnd w:id="398"/>
      <w:bookmarkEnd w:id="399"/>
      <w:bookmarkEnd w:id="400"/>
      <w:bookmarkEnd w:id="401"/>
      <w:bookmarkEnd w:id="402"/>
      <w:bookmarkEnd w:id="403"/>
      <w:bookmarkEnd w:id="404"/>
      <w:bookmarkEnd w:id="405"/>
    </w:p>
    <w:p>
      <w:pPr>
        <w:spacing w:line="400" w:lineRule="exact"/>
        <w:ind w:firstLine="420" w:firstLineChars="200"/>
        <w:rPr>
          <w:rFonts w:ascii="宋体" w:hAnsi="宋体"/>
          <w:color w:val="auto"/>
          <w:highlight w:val="none"/>
        </w:rPr>
      </w:pPr>
      <w:r>
        <w:rPr>
          <w:rFonts w:hint="eastAsia" w:ascii="宋体" w:hAnsi="宋体"/>
          <w:color w:val="auto"/>
          <w:highlight w:val="none"/>
        </w:rPr>
        <w:t>7.4.1在签订合同前，中标人应按供应商须知前附表规定的担保形式和招标文件第四章“合同条款及格式”规定的或者事先经过采购人书面认可的履约担保方式向采购人提交履约担保。</w:t>
      </w:r>
    </w:p>
    <w:p>
      <w:pPr>
        <w:spacing w:line="400" w:lineRule="exact"/>
        <w:ind w:firstLine="420" w:firstLineChars="200"/>
        <w:rPr>
          <w:rFonts w:ascii="宋体" w:hAnsi="宋体"/>
          <w:color w:val="auto"/>
          <w:highlight w:val="none"/>
        </w:rPr>
      </w:pPr>
      <w:r>
        <w:rPr>
          <w:rFonts w:hint="eastAsia" w:ascii="宋体" w:hAnsi="宋体"/>
          <w:color w:val="auto"/>
          <w:highlight w:val="none"/>
        </w:rPr>
        <w:t>7.4.2 中标人不能按本章第7.4.1项要求提交履约担保的，视为放弃中标，其投标保证金不予退还，给采购人造成的损失超过投标保证金数额的，中标人还应当对超过部分予以赔偿。</w:t>
      </w:r>
    </w:p>
    <w:p>
      <w:pPr>
        <w:pStyle w:val="8"/>
        <w:rPr>
          <w:rFonts w:ascii="宋体" w:hAnsi="宋体"/>
          <w:color w:val="auto"/>
          <w:highlight w:val="none"/>
        </w:rPr>
      </w:pPr>
      <w:bookmarkStart w:id="406" w:name="_Toc144974538"/>
      <w:bookmarkStart w:id="407" w:name="_Toc338840227"/>
      <w:bookmarkStart w:id="408" w:name="_Toc179632588"/>
      <w:bookmarkStart w:id="409" w:name="_Toc246996214"/>
      <w:bookmarkStart w:id="410" w:name="_Toc247085728"/>
      <w:bookmarkStart w:id="411" w:name="_Toc152045570"/>
      <w:bookmarkStart w:id="412" w:name="_Toc246996957"/>
      <w:bookmarkStart w:id="413" w:name="_Toc152042346"/>
      <w:r>
        <w:rPr>
          <w:rFonts w:hint="eastAsia" w:ascii="宋体" w:hAnsi="宋体"/>
          <w:color w:val="auto"/>
          <w:highlight w:val="none"/>
        </w:rPr>
        <w:t>7.5 签订合同</w:t>
      </w:r>
      <w:bookmarkEnd w:id="406"/>
      <w:bookmarkEnd w:id="407"/>
      <w:bookmarkEnd w:id="408"/>
      <w:bookmarkEnd w:id="409"/>
      <w:bookmarkEnd w:id="410"/>
      <w:bookmarkEnd w:id="411"/>
      <w:bookmarkEnd w:id="412"/>
      <w:bookmarkEnd w:id="413"/>
    </w:p>
    <w:p>
      <w:pPr>
        <w:spacing w:line="400" w:lineRule="exact"/>
        <w:ind w:firstLine="420" w:firstLineChars="200"/>
        <w:rPr>
          <w:rFonts w:ascii="宋体" w:hAnsi="宋体"/>
          <w:color w:val="auto"/>
          <w:highlight w:val="none"/>
        </w:rPr>
      </w:pPr>
      <w:r>
        <w:rPr>
          <w:rFonts w:hint="eastAsia" w:ascii="宋体" w:hAnsi="宋体"/>
          <w:color w:val="auto"/>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pPr>
        <w:spacing w:line="400" w:lineRule="exact"/>
        <w:ind w:firstLine="420" w:firstLineChars="200"/>
        <w:rPr>
          <w:rFonts w:ascii="宋体" w:hAnsi="宋体"/>
          <w:color w:val="auto"/>
          <w:highlight w:val="none"/>
        </w:rPr>
      </w:pPr>
      <w:r>
        <w:rPr>
          <w:rFonts w:hint="eastAsia" w:ascii="宋体" w:hAnsi="宋体"/>
          <w:color w:val="auto"/>
          <w:highlight w:val="none"/>
        </w:rPr>
        <w:t>7.5.2 发出中标通知书后，采购人无正当理由拒签合同的，采购人向中标人退还投标保证金；给中标人造成损失的，还应当赔偿损失。</w:t>
      </w:r>
    </w:p>
    <w:p>
      <w:pPr>
        <w:spacing w:line="400" w:lineRule="exact"/>
        <w:ind w:firstLine="420" w:firstLineChars="200"/>
        <w:rPr>
          <w:rFonts w:ascii="宋体" w:hAnsi="宋体"/>
          <w:color w:val="auto"/>
          <w:highlight w:val="none"/>
        </w:rPr>
      </w:pPr>
      <w:r>
        <w:rPr>
          <w:rFonts w:hint="eastAsia" w:ascii="宋体" w:hAnsi="宋体"/>
          <w:color w:val="auto"/>
          <w:highlight w:val="none"/>
        </w:rPr>
        <w:t>7.5.3联合体中标的，联合体各方应当共同与采购人签订合同，就中标项目向采购人承担连带责任。</w:t>
      </w:r>
    </w:p>
    <w:p>
      <w:pPr>
        <w:pStyle w:val="7"/>
        <w:rPr>
          <w:rFonts w:ascii="宋体" w:hAnsi="宋体" w:eastAsia="宋体"/>
          <w:color w:val="auto"/>
          <w:highlight w:val="none"/>
        </w:rPr>
      </w:pPr>
      <w:bookmarkStart w:id="414" w:name="_Toc346523472"/>
      <w:bookmarkStart w:id="415" w:name="_Toc494526408"/>
      <w:bookmarkStart w:id="416" w:name="_Toc338840449"/>
      <w:bookmarkStart w:id="417" w:name="_Toc19232"/>
      <w:bookmarkStart w:id="418" w:name="_Toc346523409"/>
      <w:bookmarkStart w:id="419" w:name="_Toc338840228"/>
      <w:bookmarkStart w:id="420" w:name="_Toc1612"/>
      <w:bookmarkStart w:id="421" w:name="_Toc4153"/>
      <w:bookmarkStart w:id="422" w:name="_Toc21421"/>
      <w:bookmarkStart w:id="423" w:name="_Toc338840488"/>
      <w:bookmarkStart w:id="424" w:name="_Toc494093436"/>
      <w:r>
        <w:rPr>
          <w:rFonts w:hint="eastAsia" w:ascii="宋体" w:hAnsi="宋体" w:eastAsia="宋体"/>
          <w:color w:val="auto"/>
          <w:highlight w:val="none"/>
        </w:rPr>
        <w:t>8. 纪律和监督</w:t>
      </w:r>
      <w:bookmarkEnd w:id="414"/>
      <w:bookmarkEnd w:id="415"/>
      <w:bookmarkEnd w:id="416"/>
      <w:bookmarkEnd w:id="417"/>
      <w:bookmarkEnd w:id="418"/>
      <w:bookmarkEnd w:id="419"/>
      <w:bookmarkEnd w:id="420"/>
      <w:bookmarkEnd w:id="421"/>
      <w:bookmarkEnd w:id="422"/>
      <w:bookmarkEnd w:id="423"/>
      <w:bookmarkEnd w:id="424"/>
    </w:p>
    <w:p>
      <w:pPr>
        <w:pStyle w:val="8"/>
        <w:rPr>
          <w:rFonts w:ascii="宋体" w:hAnsi="宋体"/>
          <w:color w:val="auto"/>
          <w:highlight w:val="none"/>
        </w:rPr>
      </w:pPr>
      <w:bookmarkStart w:id="425" w:name="_Toc246996962"/>
      <w:bookmarkStart w:id="426" w:name="_Toc144974543"/>
      <w:bookmarkStart w:id="427" w:name="_Toc338840229"/>
      <w:bookmarkStart w:id="428" w:name="_Toc296590983"/>
      <w:bookmarkStart w:id="429" w:name="_Toc247085733"/>
      <w:bookmarkStart w:id="430" w:name="_Toc246996219"/>
      <w:bookmarkStart w:id="431" w:name="_Toc179632593"/>
      <w:bookmarkStart w:id="432" w:name="_Toc152042351"/>
      <w:bookmarkStart w:id="433" w:name="_Toc152045575"/>
      <w:r>
        <w:rPr>
          <w:rFonts w:hint="eastAsia" w:ascii="宋体" w:hAnsi="宋体"/>
          <w:color w:val="auto"/>
          <w:highlight w:val="none"/>
        </w:rPr>
        <w:t>8.1 对采购人的纪律要求</w:t>
      </w:r>
      <w:bookmarkEnd w:id="425"/>
      <w:bookmarkEnd w:id="426"/>
      <w:bookmarkEnd w:id="427"/>
      <w:bookmarkEnd w:id="428"/>
      <w:bookmarkEnd w:id="429"/>
      <w:bookmarkEnd w:id="430"/>
      <w:bookmarkEnd w:id="431"/>
      <w:bookmarkEnd w:id="432"/>
      <w:bookmarkEnd w:id="433"/>
    </w:p>
    <w:p>
      <w:pPr>
        <w:spacing w:line="400" w:lineRule="exact"/>
        <w:ind w:firstLine="420" w:firstLineChars="200"/>
        <w:rPr>
          <w:rFonts w:ascii="宋体" w:hAnsi="宋体"/>
          <w:color w:val="auto"/>
          <w:highlight w:val="none"/>
        </w:rPr>
      </w:pPr>
      <w:r>
        <w:rPr>
          <w:rFonts w:hint="eastAsia" w:ascii="宋体" w:hAnsi="宋体"/>
          <w:color w:val="auto"/>
          <w:highlight w:val="none"/>
        </w:rPr>
        <w:t>采购人不得泄漏招标投标活动中应当保密的情况和资料，不得与供应商串通损害国家利益、社会公共利益或者他人合法权益。</w:t>
      </w:r>
    </w:p>
    <w:p>
      <w:pPr>
        <w:pStyle w:val="8"/>
        <w:rPr>
          <w:rFonts w:ascii="宋体" w:hAnsi="宋体"/>
          <w:color w:val="auto"/>
          <w:highlight w:val="none"/>
        </w:rPr>
      </w:pPr>
      <w:bookmarkStart w:id="434" w:name="_Toc144974544"/>
      <w:bookmarkStart w:id="435" w:name="_Toc152042352"/>
      <w:bookmarkStart w:id="436" w:name="_Toc246996963"/>
      <w:bookmarkStart w:id="437" w:name="_Toc152045576"/>
      <w:bookmarkStart w:id="438" w:name="_Toc246996220"/>
      <w:bookmarkStart w:id="439" w:name="_Toc179632594"/>
      <w:bookmarkStart w:id="440" w:name="_Toc247085734"/>
      <w:bookmarkStart w:id="441" w:name="_Toc338840230"/>
      <w:r>
        <w:rPr>
          <w:rFonts w:hint="eastAsia" w:ascii="宋体" w:hAnsi="宋体"/>
          <w:color w:val="auto"/>
          <w:highlight w:val="none"/>
        </w:rPr>
        <w:t>8.2 对供应商的纪律要求</w:t>
      </w:r>
      <w:bookmarkEnd w:id="434"/>
      <w:bookmarkEnd w:id="435"/>
      <w:bookmarkEnd w:id="436"/>
      <w:bookmarkEnd w:id="437"/>
      <w:bookmarkEnd w:id="438"/>
      <w:bookmarkEnd w:id="439"/>
      <w:bookmarkEnd w:id="440"/>
      <w:bookmarkEnd w:id="441"/>
    </w:p>
    <w:p>
      <w:pPr>
        <w:spacing w:line="400" w:lineRule="exact"/>
        <w:ind w:firstLine="420" w:firstLineChars="200"/>
        <w:rPr>
          <w:rFonts w:ascii="宋体" w:hAnsi="宋体"/>
          <w:color w:val="auto"/>
          <w:highlight w:val="none"/>
        </w:rPr>
      </w:pPr>
      <w:r>
        <w:rPr>
          <w:rFonts w:hint="eastAsia" w:ascii="宋体" w:hAnsi="宋体"/>
          <w:color w:val="auto"/>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pPr>
        <w:pStyle w:val="8"/>
        <w:rPr>
          <w:rFonts w:ascii="宋体" w:hAnsi="宋体"/>
          <w:color w:val="auto"/>
          <w:highlight w:val="none"/>
        </w:rPr>
      </w:pPr>
      <w:bookmarkStart w:id="442" w:name="_Toc247085735"/>
      <w:bookmarkStart w:id="443" w:name="_Toc152042353"/>
      <w:bookmarkStart w:id="444" w:name="_Toc338840231"/>
      <w:bookmarkStart w:id="445" w:name="_Toc246996221"/>
      <w:bookmarkStart w:id="446" w:name="_Toc179632595"/>
      <w:bookmarkStart w:id="447" w:name="_Toc246996964"/>
      <w:bookmarkStart w:id="448" w:name="_Toc152045577"/>
      <w:bookmarkStart w:id="449" w:name="_Toc144974545"/>
      <w:r>
        <w:rPr>
          <w:rFonts w:hint="eastAsia" w:ascii="宋体" w:hAnsi="宋体"/>
          <w:color w:val="auto"/>
          <w:highlight w:val="none"/>
        </w:rPr>
        <w:t>8.3 对评标委员会成员的纪律要求</w:t>
      </w:r>
      <w:bookmarkEnd w:id="442"/>
      <w:bookmarkEnd w:id="443"/>
      <w:bookmarkEnd w:id="444"/>
      <w:bookmarkEnd w:id="445"/>
      <w:bookmarkEnd w:id="446"/>
      <w:bookmarkEnd w:id="447"/>
      <w:bookmarkEnd w:id="448"/>
      <w:bookmarkEnd w:id="449"/>
    </w:p>
    <w:p>
      <w:pPr>
        <w:spacing w:line="400" w:lineRule="exact"/>
        <w:ind w:firstLine="42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pPr>
        <w:pStyle w:val="8"/>
        <w:rPr>
          <w:rFonts w:ascii="宋体" w:hAnsi="宋体"/>
          <w:color w:val="auto"/>
          <w:highlight w:val="none"/>
        </w:rPr>
      </w:pPr>
      <w:bookmarkStart w:id="450" w:name="_Toc152042354"/>
      <w:bookmarkStart w:id="451" w:name="_Toc179632596"/>
      <w:bookmarkStart w:id="452" w:name="_Toc246996222"/>
      <w:bookmarkStart w:id="453" w:name="_Toc247085736"/>
      <w:bookmarkStart w:id="454" w:name="_Toc246996965"/>
      <w:bookmarkStart w:id="455" w:name="_Toc338840232"/>
      <w:bookmarkStart w:id="456" w:name="_Toc152045578"/>
      <w:bookmarkStart w:id="457" w:name="_Toc144974546"/>
      <w:r>
        <w:rPr>
          <w:rFonts w:hint="eastAsia" w:ascii="宋体" w:hAnsi="宋体"/>
          <w:color w:val="auto"/>
          <w:highlight w:val="none"/>
        </w:rPr>
        <w:t>8.4 对有关招投标工作人员的纪律要求</w:t>
      </w:r>
      <w:bookmarkEnd w:id="450"/>
      <w:bookmarkEnd w:id="451"/>
      <w:bookmarkEnd w:id="452"/>
      <w:bookmarkEnd w:id="453"/>
      <w:bookmarkEnd w:id="454"/>
      <w:bookmarkEnd w:id="455"/>
      <w:bookmarkEnd w:id="456"/>
    </w:p>
    <w:p>
      <w:pPr>
        <w:spacing w:line="400" w:lineRule="exact"/>
        <w:ind w:firstLine="420" w:firstLineChars="200"/>
        <w:rPr>
          <w:rFonts w:ascii="宋体" w:hAnsi="宋体"/>
          <w:color w:val="auto"/>
          <w:highlight w:val="none"/>
        </w:rPr>
      </w:pPr>
      <w:bookmarkStart w:id="458" w:name="_Toc152042355"/>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58"/>
    </w:p>
    <w:p>
      <w:pPr>
        <w:pStyle w:val="8"/>
        <w:rPr>
          <w:rFonts w:ascii="宋体" w:hAnsi="宋体"/>
          <w:color w:val="auto"/>
          <w:highlight w:val="none"/>
        </w:rPr>
      </w:pPr>
      <w:bookmarkStart w:id="459" w:name="_Toc338840233"/>
      <w:bookmarkStart w:id="460" w:name="_Toc152045579"/>
      <w:bookmarkStart w:id="461" w:name="_Toc246996223"/>
      <w:bookmarkStart w:id="462" w:name="_Toc247085737"/>
      <w:bookmarkStart w:id="463" w:name="_Toc246996966"/>
      <w:bookmarkStart w:id="464" w:name="_Toc152042356"/>
      <w:bookmarkStart w:id="465" w:name="_Toc179632597"/>
      <w:r>
        <w:rPr>
          <w:rFonts w:hint="eastAsia" w:ascii="宋体" w:hAnsi="宋体"/>
          <w:color w:val="auto"/>
          <w:highlight w:val="none"/>
        </w:rPr>
        <w:t>8.5 质疑</w:t>
      </w:r>
      <w:bookmarkEnd w:id="459"/>
    </w:p>
    <w:p>
      <w:pPr>
        <w:spacing w:line="400" w:lineRule="exact"/>
        <w:ind w:firstLine="420" w:firstLineChars="200"/>
        <w:rPr>
          <w:rFonts w:ascii="宋体" w:hAnsi="宋体"/>
          <w:color w:val="auto"/>
          <w:highlight w:val="none"/>
        </w:rPr>
      </w:pPr>
      <w:r>
        <w:rPr>
          <w:rFonts w:hint="eastAsia" w:ascii="宋体" w:hAnsi="宋体"/>
          <w:color w:val="auto"/>
          <w:highlight w:val="none"/>
        </w:rPr>
        <w:t>供应商认为采购文件、采购过程和中标、成交结果使自己的权益受到损害，可以规定时间内向采购人或代理机构提出质疑。详见供应商须知前附表。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供应商在法定质疑期内一次性提出针对同一采购程序环节的质疑。</w:t>
      </w:r>
    </w:p>
    <w:p>
      <w:pPr>
        <w:spacing w:line="400" w:lineRule="exact"/>
        <w:ind w:firstLine="420" w:firstLineChars="200"/>
        <w:rPr>
          <w:rFonts w:ascii="宋体" w:hAnsi="宋体"/>
          <w:color w:val="auto"/>
          <w:highlight w:val="none"/>
        </w:rPr>
      </w:pPr>
      <w:r>
        <w:rPr>
          <w:rFonts w:hint="eastAsia" w:ascii="宋体" w:hAnsi="宋体"/>
          <w:color w:val="auto"/>
          <w:highlight w:val="none"/>
        </w:rPr>
        <w:t>提出质疑的供应商（以下简称质疑供应商）应当是参与所质疑项目采购活动的供应商。</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pPr>
        <w:spacing w:line="400" w:lineRule="exact"/>
        <w:ind w:firstLine="420" w:firstLineChars="200"/>
        <w:rPr>
          <w:rFonts w:ascii="宋体" w:hAnsi="宋体"/>
          <w:color w:val="auto"/>
          <w:highlight w:val="none"/>
        </w:rPr>
      </w:pPr>
      <w:r>
        <w:rPr>
          <w:rFonts w:hint="eastAsia" w:ascii="宋体" w:hAnsi="宋体"/>
          <w:color w:val="auto"/>
          <w:highlight w:val="none"/>
        </w:rPr>
        <w:t>代理人提出质疑和投诉，应当提交供应商签署的授权委托书。</w:t>
      </w:r>
    </w:p>
    <w:p>
      <w:pPr>
        <w:pStyle w:val="8"/>
        <w:rPr>
          <w:rFonts w:ascii="宋体" w:hAnsi="宋体"/>
          <w:color w:val="auto"/>
          <w:highlight w:val="none"/>
        </w:rPr>
      </w:pPr>
      <w:bookmarkStart w:id="466" w:name="_Toc338840234"/>
      <w:r>
        <w:rPr>
          <w:rFonts w:hint="eastAsia" w:ascii="宋体" w:hAnsi="宋体"/>
          <w:color w:val="auto"/>
          <w:highlight w:val="none"/>
        </w:rPr>
        <w:t>8.6 投诉</w:t>
      </w:r>
      <w:bookmarkEnd w:id="457"/>
      <w:bookmarkEnd w:id="460"/>
      <w:bookmarkEnd w:id="461"/>
      <w:bookmarkEnd w:id="462"/>
      <w:bookmarkEnd w:id="463"/>
      <w:bookmarkEnd w:id="464"/>
      <w:bookmarkEnd w:id="465"/>
      <w:bookmarkEnd w:id="466"/>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67" w:name="_Toc419645322"/>
    </w:p>
    <w:p>
      <w:pPr>
        <w:pStyle w:val="7"/>
        <w:rPr>
          <w:rFonts w:ascii="宋体" w:hAnsi="宋体" w:eastAsia="宋体"/>
          <w:color w:val="auto"/>
          <w:highlight w:val="none"/>
        </w:rPr>
      </w:pPr>
      <w:bookmarkStart w:id="468" w:name="_Toc10773"/>
      <w:bookmarkStart w:id="469" w:name="_Toc6099"/>
      <w:bookmarkStart w:id="470" w:name="_Toc31310"/>
      <w:bookmarkStart w:id="471" w:name="_Toc17117"/>
      <w:r>
        <w:rPr>
          <w:rFonts w:hint="eastAsia" w:ascii="宋体" w:hAnsi="宋体" w:eastAsia="宋体"/>
          <w:color w:val="auto"/>
          <w:highlight w:val="none"/>
        </w:rPr>
        <w:t>9. 关于中小企业、监狱企业、残疾人福利性单位投标的</w:t>
      </w:r>
      <w:bookmarkEnd w:id="467"/>
      <w:bookmarkStart w:id="472" w:name="_Toc419645323"/>
      <w:r>
        <w:rPr>
          <w:rFonts w:hint="eastAsia" w:ascii="宋体" w:hAnsi="宋体" w:eastAsia="宋体"/>
          <w:color w:val="auto"/>
          <w:highlight w:val="none"/>
        </w:rPr>
        <w:t>说明</w:t>
      </w:r>
      <w:bookmarkEnd w:id="468"/>
      <w:bookmarkEnd w:id="469"/>
      <w:bookmarkEnd w:id="470"/>
      <w:bookmarkEnd w:id="471"/>
    </w:p>
    <w:p>
      <w:pPr>
        <w:pStyle w:val="8"/>
        <w:rPr>
          <w:rFonts w:ascii="宋体" w:hAnsi="宋体"/>
          <w:color w:val="auto"/>
          <w:highlight w:val="none"/>
        </w:rPr>
      </w:pPr>
      <w:r>
        <w:rPr>
          <w:rFonts w:hint="eastAsia" w:ascii="宋体" w:hAnsi="宋体"/>
          <w:color w:val="auto"/>
          <w:highlight w:val="none"/>
        </w:rPr>
        <w:t xml:space="preserve">9.1 </w:t>
      </w:r>
      <w:bookmarkEnd w:id="472"/>
      <w:r>
        <w:rPr>
          <w:rFonts w:hint="eastAsia" w:ascii="宋体" w:hAnsi="宋体"/>
          <w:color w:val="auto"/>
          <w:highlight w:val="none"/>
        </w:rPr>
        <w:t>含义</w:t>
      </w:r>
    </w:p>
    <w:p>
      <w:pPr>
        <w:spacing w:line="400" w:lineRule="exact"/>
        <w:ind w:firstLine="420" w:firstLineChars="200"/>
        <w:rPr>
          <w:rFonts w:ascii="宋体" w:hAnsi="宋体"/>
          <w:color w:val="auto"/>
          <w:highlight w:val="none"/>
        </w:rPr>
      </w:pPr>
      <w:r>
        <w:rPr>
          <w:rFonts w:hint="eastAsia" w:ascii="宋体" w:hAnsi="宋体"/>
          <w:color w:val="auto"/>
          <w:highlight w:val="none"/>
        </w:rPr>
        <w:t>9.1.1中小企业。符合国务院有关部门制定的中小企业划型标准</w:t>
      </w:r>
      <w:bookmarkStart w:id="473" w:name="_Toc419645324"/>
      <w:r>
        <w:rPr>
          <w:rFonts w:hint="eastAsia" w:ascii="宋体" w:hAnsi="宋体"/>
          <w:color w:val="auto"/>
          <w:highlight w:val="none"/>
        </w:rPr>
        <w:t>，提供本企业制造的货物、承担的工程或者服务，或者提供其他中小企业制造的货物。</w:t>
      </w:r>
    </w:p>
    <w:p>
      <w:pPr>
        <w:spacing w:line="400" w:lineRule="exact"/>
        <w:ind w:firstLine="420" w:firstLineChars="200"/>
        <w:rPr>
          <w:rFonts w:ascii="宋体" w:hAnsi="宋体"/>
          <w:color w:val="auto"/>
          <w:highlight w:val="none"/>
        </w:rPr>
      </w:pPr>
      <w:r>
        <w:rPr>
          <w:rFonts w:hint="eastAsia" w:ascii="宋体" w:hAnsi="宋体"/>
          <w:color w:val="auto"/>
          <w:highlight w:val="none"/>
        </w:rPr>
        <w:t>9.1.2监狱企业。监狱企业参加政府采购活动时，应当提供由省级以上监狱管理局、戒毒管理局（含新疆生产建设兵团）出具的属于监狱企业的证明文件，才可享受相关政策。</w:t>
      </w:r>
      <w:r>
        <w:rPr>
          <w:rFonts w:hint="eastAsia" w:ascii="宋体" w:hAnsi="宋体"/>
          <w:color w:val="auto"/>
          <w:highlight w:val="none"/>
        </w:rPr>
        <w:br w:type="textWrapping"/>
      </w:r>
      <w:r>
        <w:rPr>
          <w:rFonts w:hint="eastAsia" w:ascii="宋体" w:hAnsi="宋体"/>
          <w:color w:val="auto"/>
          <w:highlight w:val="none"/>
        </w:rPr>
        <w:t>　　在政府采购活动中监狱企业视同小型、微型企业并适用其相关规定，提供本企业制造的货物、承担的工程或服务，享受预留份额、评审中价格扣除等政府采购促进中小企业发展的政府采购政策。</w:t>
      </w:r>
    </w:p>
    <w:p>
      <w:pPr>
        <w:spacing w:line="400" w:lineRule="exact"/>
        <w:ind w:firstLine="420" w:firstLineChars="200"/>
        <w:rPr>
          <w:rFonts w:ascii="宋体" w:hAnsi="宋体"/>
          <w:color w:val="auto"/>
          <w:highlight w:val="none"/>
        </w:rPr>
      </w:pPr>
      <w:r>
        <w:rPr>
          <w:rFonts w:hint="eastAsia" w:ascii="宋体" w:hAnsi="宋体"/>
          <w:color w:val="auto"/>
          <w:highlight w:val="none"/>
        </w:rPr>
        <w:t>9.1.3残疾人福利性单位。</w:t>
      </w:r>
    </w:p>
    <w:p>
      <w:pPr>
        <w:spacing w:line="400" w:lineRule="exact"/>
        <w:ind w:firstLine="420" w:firstLineChars="200"/>
        <w:rPr>
          <w:rFonts w:ascii="宋体" w:hAnsi="宋体"/>
          <w:color w:val="auto"/>
          <w:highlight w:val="none"/>
        </w:rPr>
      </w:pPr>
      <w:r>
        <w:rPr>
          <w:rFonts w:hint="eastAsia" w:ascii="宋体" w:hAnsi="宋体"/>
          <w:color w:val="auto"/>
          <w:highlight w:val="none"/>
        </w:rPr>
        <w:t>9.1.3.1享受政府采购支持政策的残疾人福利性单位应当同时满足以下条件：</w:t>
      </w:r>
    </w:p>
    <w:p>
      <w:pPr>
        <w:spacing w:line="400" w:lineRule="exact"/>
        <w:ind w:firstLine="420" w:firstLineChars="200"/>
        <w:rPr>
          <w:rFonts w:ascii="宋体" w:hAnsi="宋体"/>
          <w:color w:val="auto"/>
          <w:highlight w:val="none"/>
        </w:rPr>
      </w:pPr>
      <w:r>
        <w:rPr>
          <w:rFonts w:hint="eastAsia" w:ascii="宋体" w:hAnsi="宋体"/>
          <w:color w:val="auto"/>
          <w:highlight w:val="none"/>
        </w:rPr>
        <w:t>　　（一）安置的残疾人占本单位在职职工人数的比例不低于25%（含25%），并且安置的残疾人人数不少于10人（含10人）；</w:t>
      </w:r>
    </w:p>
    <w:p>
      <w:pPr>
        <w:spacing w:line="400" w:lineRule="exact"/>
        <w:ind w:firstLine="420" w:firstLineChars="200"/>
        <w:rPr>
          <w:rFonts w:ascii="宋体" w:hAnsi="宋体"/>
          <w:color w:val="auto"/>
          <w:highlight w:val="none"/>
        </w:rPr>
      </w:pPr>
      <w:r>
        <w:rPr>
          <w:rFonts w:hint="eastAsia" w:ascii="宋体" w:hAnsi="宋体"/>
          <w:color w:val="auto"/>
          <w:highlight w:val="none"/>
        </w:rPr>
        <w:t>　　（二）依法与安置的每位残疾人签订了一年以上（含一年）的劳动合同或服务协议；</w:t>
      </w:r>
    </w:p>
    <w:p>
      <w:pPr>
        <w:spacing w:line="400" w:lineRule="exact"/>
        <w:ind w:firstLine="420" w:firstLineChars="200"/>
        <w:rPr>
          <w:rFonts w:ascii="宋体" w:hAnsi="宋体"/>
          <w:color w:val="auto"/>
          <w:highlight w:val="none"/>
        </w:rPr>
      </w:pPr>
      <w:r>
        <w:rPr>
          <w:rFonts w:hint="eastAsia" w:ascii="宋体" w:hAnsi="宋体"/>
          <w:color w:val="auto"/>
          <w:highlight w:val="none"/>
        </w:rPr>
        <w:t>　　（三）为安置的每位残疾人按月足额缴纳了基本养老保险、基本医疗保险、失业保险、工伤保险和生育保险等社会保险费；</w:t>
      </w:r>
    </w:p>
    <w:p>
      <w:pPr>
        <w:spacing w:line="400" w:lineRule="exact"/>
        <w:ind w:firstLine="420" w:firstLineChars="200"/>
        <w:rPr>
          <w:rFonts w:ascii="宋体" w:hAnsi="宋体"/>
          <w:color w:val="auto"/>
          <w:highlight w:val="none"/>
        </w:rPr>
      </w:pPr>
      <w:r>
        <w:rPr>
          <w:rFonts w:hint="eastAsia" w:ascii="宋体" w:hAnsi="宋体"/>
          <w:color w:val="auto"/>
          <w:highlight w:val="none"/>
        </w:rPr>
        <w:t>　　（四）通过银行等金融机构向安置的每位残疾人，按月支付了不低于单位所在区县适用的经省级人民政府批准的月最低工资标准的工资；</w:t>
      </w:r>
    </w:p>
    <w:p>
      <w:pPr>
        <w:spacing w:line="400" w:lineRule="exact"/>
        <w:ind w:firstLine="420" w:firstLineChars="200"/>
        <w:rPr>
          <w:rFonts w:ascii="宋体" w:hAnsi="宋体"/>
          <w:color w:val="auto"/>
          <w:highlight w:val="none"/>
        </w:rPr>
      </w:pPr>
      <w:r>
        <w:rPr>
          <w:rFonts w:hint="eastAsia" w:ascii="宋体" w:hAnsi="宋体"/>
          <w:color w:val="auto"/>
          <w:highlight w:val="none"/>
        </w:rPr>
        <w:t>　　（五）提供本单位制造的货物、承担的工程或者服务（以下简称产品），或者提供其他残疾人福利性单位制造的货物（不包括使用非残疾人福利性单位注册商标的货物）。</w:t>
      </w:r>
    </w:p>
    <w:p>
      <w:pPr>
        <w:spacing w:line="400" w:lineRule="exact"/>
        <w:ind w:firstLine="420" w:firstLineChars="200"/>
        <w:rPr>
          <w:rFonts w:ascii="宋体" w:hAnsi="宋体"/>
          <w:color w:val="auto"/>
          <w:highlight w:val="none"/>
        </w:rPr>
      </w:pPr>
      <w:r>
        <w:rPr>
          <w:rFonts w:hint="eastAsia" w:ascii="宋体" w:hAnsi="宋体"/>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400" w:lineRule="exact"/>
        <w:ind w:firstLine="420" w:firstLineChars="200"/>
        <w:rPr>
          <w:rFonts w:ascii="宋体" w:hAnsi="宋体"/>
          <w:color w:val="auto"/>
          <w:highlight w:val="none"/>
        </w:rPr>
      </w:pPr>
      <w:r>
        <w:rPr>
          <w:rFonts w:hint="eastAsia" w:ascii="宋体" w:hAnsi="宋体"/>
          <w:color w:val="auto"/>
          <w:highlight w:val="none"/>
        </w:rPr>
        <w:t>9.1.3.2、符合条件的残疾人福利性单位在参加政府采购活动时，应当提供规定的《残疾人福利性单位声明函》（见附件），并对声明的真实性负责。</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供应商提供的《残疾人福利性单位声明函》与事实不符的，依照《政府采购法》第七十七条第一款和招标文件规定追究法律责任。</w:t>
      </w:r>
    </w:p>
    <w:p>
      <w:pPr>
        <w:spacing w:line="400" w:lineRule="exact"/>
        <w:ind w:firstLine="420" w:firstLineChars="200"/>
        <w:rPr>
          <w:rFonts w:ascii="宋体" w:hAnsi="宋体"/>
          <w:color w:val="auto"/>
          <w:highlight w:val="none"/>
        </w:rPr>
      </w:pPr>
      <w:r>
        <w:rPr>
          <w:rFonts w:hint="eastAsia" w:ascii="宋体" w:hAnsi="宋体"/>
          <w:color w:val="auto"/>
          <w:highlight w:val="none"/>
        </w:rPr>
        <w:t>9.1.3.3、在政府采购活动中残疾人福利性单位视同小型、微型企业并适用其相关规定，提供本企业制造的货物、承担的工程或服务，享受预留份额、评审中价格扣除等促进中小企业发展的政府采购政策。</w:t>
      </w:r>
    </w:p>
    <w:p>
      <w:pPr>
        <w:rPr>
          <w:rFonts w:ascii="宋体" w:hAnsi="宋体"/>
          <w:color w:val="auto"/>
          <w:highlight w:val="none"/>
        </w:rPr>
      </w:pPr>
      <w:r>
        <w:rPr>
          <w:rFonts w:hint="eastAsia" w:ascii="宋体" w:hAnsi="宋体"/>
          <w:color w:val="auto"/>
          <w:highlight w:val="none"/>
        </w:rPr>
        <w:t>　　9.1.4 中标、成交结果公告同时公告其小微企业、监狱企业、残疾人福利性单位的证明材料及相关资料，接受社会监督。</w:t>
      </w:r>
    </w:p>
    <w:p>
      <w:pPr>
        <w:pStyle w:val="8"/>
        <w:rPr>
          <w:rFonts w:ascii="宋体" w:hAnsi="宋体"/>
          <w:color w:val="auto"/>
          <w:highlight w:val="none"/>
        </w:rPr>
      </w:pPr>
      <w:r>
        <w:rPr>
          <w:rFonts w:hint="eastAsia" w:ascii="宋体" w:hAnsi="宋体"/>
          <w:color w:val="auto"/>
          <w:highlight w:val="none"/>
        </w:rPr>
        <w:t>9.2价格扣除</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9.2.1供应商按要求出具《中小企业声明函》，符合下列情形的，可享受中小企业扶持政策：（一）在货物采购项目中，货物由中小企业制造，即货物由中小企业生产且使用该中小企业商号或者注册商标；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 </w:t>
      </w:r>
    </w:p>
    <w:p>
      <w:pPr>
        <w:spacing w:line="400" w:lineRule="exact"/>
        <w:ind w:firstLine="420" w:firstLineChars="200"/>
        <w:rPr>
          <w:rFonts w:ascii="宋体" w:hAnsi="宋体"/>
          <w:color w:val="auto"/>
          <w:highlight w:val="none"/>
        </w:rPr>
      </w:pPr>
      <w:r>
        <w:rPr>
          <w:rFonts w:hint="eastAsia" w:ascii="宋体" w:hAnsi="宋体"/>
          <w:color w:val="auto"/>
          <w:highlight w:val="none"/>
        </w:rPr>
        <w:t>在货物采购项目中，供应商提供的货物既有中小企业制造货物，也有大型企业制造货物的，不享受本办法规定的中小企业扶持政策。</w:t>
      </w:r>
    </w:p>
    <w:p>
      <w:pPr>
        <w:spacing w:line="400" w:lineRule="exact"/>
        <w:ind w:firstLine="420" w:firstLineChars="200"/>
        <w:rPr>
          <w:rFonts w:ascii="宋体" w:hAnsi="宋体"/>
          <w:color w:val="auto"/>
          <w:highlight w:val="none"/>
        </w:rPr>
      </w:pPr>
      <w:r>
        <w:rPr>
          <w:rFonts w:hint="eastAsia" w:ascii="宋体" w:hAnsi="宋体"/>
          <w:color w:val="auto"/>
          <w:highlight w:val="none"/>
        </w:rPr>
        <w:t>以联合体形式参加政府采购活动，联合体各方均为中小企业的，联合体视同中小企业。其中，联合体各方均为小微企业的，联合体视同小微企业。</w:t>
      </w:r>
    </w:p>
    <w:p>
      <w:pPr>
        <w:spacing w:line="400" w:lineRule="exact"/>
        <w:ind w:firstLine="420" w:firstLineChars="200"/>
        <w:rPr>
          <w:rFonts w:ascii="宋体" w:hAnsi="宋体"/>
          <w:color w:val="auto"/>
          <w:highlight w:val="none"/>
        </w:rPr>
      </w:pPr>
      <w:r>
        <w:rPr>
          <w:rFonts w:hint="eastAsia" w:ascii="宋体" w:hAnsi="宋体"/>
          <w:color w:val="auto"/>
          <w:highlight w:val="none"/>
        </w:rPr>
        <w:t>9.2.2供应商属于监狱企业并以该身份投标，按要求提供《监狱企业证明》，视同小型、微型企业，对该企业生产的货物、提供的工程或服务在评审时给予价格扣除。</w:t>
      </w:r>
    </w:p>
    <w:p>
      <w:pPr>
        <w:spacing w:line="400" w:lineRule="exact"/>
        <w:ind w:firstLine="420" w:firstLineChars="200"/>
        <w:rPr>
          <w:rFonts w:ascii="宋体" w:hAnsi="宋体"/>
          <w:color w:val="auto"/>
          <w:highlight w:val="none"/>
        </w:rPr>
      </w:pPr>
      <w:r>
        <w:rPr>
          <w:rFonts w:hint="eastAsia" w:ascii="宋体" w:hAnsi="宋体"/>
          <w:color w:val="auto"/>
          <w:highlight w:val="none"/>
        </w:rPr>
        <w:t>9.2.3、供应商属于残疾人福利性单位并以该身份投标，按要求提供《残疾人福利性单位声明函》，提供本单位制造的货物、承担的工程或者服务，或者提供其他残疾人福利性单位制造的货物（不包括使用非残疾人福利性单位注册商标的货物），视同小型、微型企业，在评审时给予价格扣除。</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供应商对其提供的资料真实性自行负责，如有虚假，列入财政部“政府采购严重违法失信行为信息记录”，若为中标人者其中标资格将被取消。</w:t>
      </w:r>
    </w:p>
    <w:p>
      <w:pPr>
        <w:pStyle w:val="8"/>
        <w:rPr>
          <w:rFonts w:ascii="宋体" w:hAnsi="宋体"/>
          <w:color w:val="auto"/>
          <w:highlight w:val="none"/>
        </w:rPr>
      </w:pPr>
      <w:r>
        <w:rPr>
          <w:rFonts w:hint="eastAsia" w:ascii="宋体" w:hAnsi="宋体"/>
          <w:color w:val="auto"/>
          <w:highlight w:val="none"/>
        </w:rPr>
        <w:t>9.3</w:t>
      </w:r>
      <w:bookmarkEnd w:id="473"/>
      <w:r>
        <w:rPr>
          <w:rFonts w:hint="eastAsia" w:ascii="宋体" w:hAnsi="宋体"/>
          <w:color w:val="auto"/>
          <w:highlight w:val="none"/>
        </w:rPr>
        <w:t>中小企业划型标准（国家政策和标准如有调整时以最新为准）</w:t>
      </w:r>
    </w:p>
    <w:p>
      <w:pPr>
        <w:spacing w:line="400" w:lineRule="exact"/>
        <w:rPr>
          <w:rFonts w:ascii="宋体" w:hAnsi="宋体" w:cs="宋体"/>
          <w:color w:val="auto"/>
          <w:highlight w:val="none"/>
        </w:rPr>
      </w:pPr>
      <w:bookmarkStart w:id="474" w:name="_Toc6557"/>
      <w:bookmarkStart w:id="475" w:name="_Hlk161150004"/>
      <w:bookmarkStart w:id="476" w:name="_Toc144974547"/>
      <w:bookmarkStart w:id="477" w:name="_Toc338840450"/>
      <w:bookmarkStart w:id="478" w:name="_Toc338840235"/>
      <w:bookmarkStart w:id="479" w:name="_Toc152042357"/>
      <w:bookmarkStart w:id="480" w:name="_Toc16148"/>
      <w:bookmarkStart w:id="481" w:name="_Toc5690"/>
      <w:bookmarkStart w:id="482" w:name="_Toc346523473"/>
      <w:bookmarkStart w:id="483" w:name="_Toc179632598"/>
      <w:bookmarkStart w:id="484" w:name="_Toc152045580"/>
      <w:bookmarkStart w:id="485" w:name="_Toc246996967"/>
      <w:bookmarkStart w:id="486" w:name="_Toc346523410"/>
      <w:bookmarkStart w:id="487" w:name="_Toc247085738"/>
      <w:bookmarkStart w:id="488" w:name="_Toc30779"/>
      <w:bookmarkStart w:id="489" w:name="_Toc246996224"/>
      <w:bookmarkStart w:id="490" w:name="_Toc338840489"/>
      <w:r>
        <w:rPr>
          <w:rFonts w:hint="eastAsia" w:ascii="宋体" w:hAnsi="宋体" w:cs="宋体"/>
          <w:color w:val="auto"/>
          <w:highlight w:val="none"/>
        </w:rPr>
        <w:t>中小企业划型标准规定</w:t>
      </w:r>
      <w:bookmarkEnd w:id="474"/>
      <w:r>
        <w:rPr>
          <w:rFonts w:hint="eastAsia" w:ascii="宋体" w:hAnsi="宋体" w:cs="宋体"/>
          <w:color w:val="auto"/>
          <w:highlight w:val="none"/>
        </w:rPr>
        <w:t>（工信部联企业〔2011〕300号）</w:t>
      </w:r>
      <w:bookmarkEnd w:id="475"/>
      <w:r>
        <w:rPr>
          <w:rFonts w:hint="eastAsia" w:ascii="宋体" w:hAnsi="宋体" w:cs="宋体"/>
          <w:color w:val="auto"/>
          <w:highlight w:val="none"/>
        </w:rPr>
        <w:t>： </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一、根据《中华人民共和国中小企业促进法》和《国务院关于进一步促进中小企业发展的若干意见》(国发〔2009〕36号)，制定本规定。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二、中小企业划分为中型、小型、微型三种类型，具体标准根据企业从业人员、营业收入、资产总额等指标，结合行业特点制定。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四、各行业划型标准为：</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五、企业类型的划分以统计部门的统计数据为依据。</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六、本规定适用于在中华人民共和国境内依法设立的各类所有制和各种组织形式的企业。个体工商户和本规定以外的行业，参照本规定进行划型。</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八、本规定由工业和信息化部、国家统计局会同有关部门根据《国民经济行业分类》修订情况和企业发展变化情况适时修订。</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九、本规定由工业和信息化部、国家统计局会同有关部门负责解释。</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十、本规定自发布之日起执行，原国家经贸委、原国家计委、财政部和国家统计局2003年颁布的《中小企业标准暂行规定》同时废止。</w:t>
      </w:r>
    </w:p>
    <w:p>
      <w:pPr>
        <w:pStyle w:val="7"/>
        <w:rPr>
          <w:rFonts w:ascii="宋体" w:hAnsi="宋体" w:eastAsia="宋体"/>
          <w:color w:val="auto"/>
          <w:highlight w:val="none"/>
        </w:rPr>
      </w:pPr>
      <w:bookmarkStart w:id="491" w:name="_Toc615"/>
      <w:r>
        <w:rPr>
          <w:rFonts w:hint="eastAsia" w:ascii="宋体" w:hAnsi="宋体" w:eastAsia="宋体"/>
          <w:color w:val="auto"/>
          <w:highlight w:val="none"/>
        </w:rPr>
        <w:t>10. 需要补充的其他内容</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pPr>
        <w:spacing w:line="400" w:lineRule="exact"/>
        <w:ind w:firstLine="420" w:firstLineChars="200"/>
        <w:rPr>
          <w:rFonts w:ascii="宋体" w:hAnsi="宋体"/>
          <w:color w:val="auto"/>
          <w:highlight w:val="none"/>
        </w:rPr>
      </w:pPr>
      <w:r>
        <w:rPr>
          <w:rFonts w:hint="eastAsia" w:ascii="宋体" w:hAnsi="宋体"/>
          <w:color w:val="auto"/>
          <w:highlight w:val="none"/>
        </w:rPr>
        <w:t>需要补充的其他内容：见供应商须知前附表。</w:t>
      </w:r>
    </w:p>
    <w:p>
      <w:pPr>
        <w:pStyle w:val="7"/>
        <w:rPr>
          <w:rFonts w:ascii="宋体" w:hAnsi="宋体" w:eastAsia="宋体"/>
          <w:color w:val="auto"/>
          <w:highlight w:val="none"/>
        </w:rPr>
      </w:pPr>
      <w:bookmarkStart w:id="492" w:name="_Toc16122"/>
      <w:bookmarkStart w:id="493" w:name="_Toc346523474"/>
      <w:bookmarkStart w:id="494" w:name="_Toc23287"/>
      <w:bookmarkStart w:id="495" w:name="_Toc338840490"/>
      <w:bookmarkStart w:id="496" w:name="_Toc29712"/>
      <w:bookmarkStart w:id="497" w:name="_Toc494093437"/>
      <w:bookmarkStart w:id="498" w:name="_Toc338840236"/>
      <w:bookmarkStart w:id="499" w:name="_Toc338840451"/>
      <w:bookmarkStart w:id="500" w:name="_Toc494526409"/>
      <w:bookmarkStart w:id="501" w:name="_Toc346523411"/>
      <w:bookmarkStart w:id="502" w:name="_Toc13623"/>
      <w:r>
        <w:rPr>
          <w:rFonts w:hint="eastAsia" w:ascii="宋体" w:hAnsi="宋体" w:eastAsia="宋体"/>
          <w:color w:val="auto"/>
          <w:highlight w:val="none"/>
        </w:rPr>
        <w:t>11．电子招标投标</w:t>
      </w:r>
      <w:bookmarkEnd w:id="492"/>
      <w:bookmarkEnd w:id="493"/>
      <w:bookmarkEnd w:id="494"/>
      <w:bookmarkEnd w:id="495"/>
      <w:bookmarkEnd w:id="496"/>
      <w:bookmarkEnd w:id="497"/>
      <w:bookmarkEnd w:id="498"/>
      <w:bookmarkEnd w:id="499"/>
      <w:bookmarkEnd w:id="500"/>
      <w:bookmarkEnd w:id="501"/>
      <w:bookmarkEnd w:id="502"/>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采用电子招标投标，对投标文件的编制、密封和标记、递交、开标、评标等的具体要求，见供应商须知前附表。 </w:t>
      </w:r>
    </w:p>
    <w:p>
      <w:pPr>
        <w:pStyle w:val="6"/>
        <w:jc w:val="center"/>
        <w:rPr>
          <w:rFonts w:ascii="宋体" w:hAnsi="宋体"/>
          <w:b w:val="0"/>
          <w:bCs w:val="0"/>
          <w:color w:val="auto"/>
          <w:highlight w:val="none"/>
        </w:rPr>
      </w:pPr>
      <w:bookmarkStart w:id="503" w:name="_Toc494093438"/>
      <w:bookmarkStart w:id="504" w:name="_Toc338840491"/>
      <w:bookmarkStart w:id="505" w:name="_Toc494526410"/>
      <w:bookmarkStart w:id="506" w:name="_Toc246996241"/>
      <w:bookmarkStart w:id="507" w:name="_Toc152042375"/>
      <w:bookmarkStart w:id="508" w:name="_Toc338840237"/>
      <w:bookmarkStart w:id="509" w:name="_Toc346523475"/>
      <w:bookmarkStart w:id="510" w:name="_Toc247085756"/>
      <w:bookmarkStart w:id="511" w:name="_Toc144974565"/>
      <w:bookmarkStart w:id="512" w:name="_Toc179632616"/>
      <w:bookmarkStart w:id="513" w:name="_Toc346523412"/>
      <w:bookmarkStart w:id="514" w:name="_Toc152045598"/>
      <w:bookmarkStart w:id="515" w:name="_Toc338840452"/>
      <w:bookmarkStart w:id="516" w:name="_Toc246996984"/>
      <w:r>
        <w:rPr>
          <w:rFonts w:hint="eastAsia" w:ascii="宋体" w:hAnsi="宋体"/>
          <w:color w:val="auto"/>
          <w:highlight w:val="none"/>
        </w:rPr>
        <w:br w:type="page"/>
      </w:r>
      <w:bookmarkStart w:id="517" w:name="_Toc24747"/>
      <w:r>
        <w:rPr>
          <w:rFonts w:hint="eastAsia" w:ascii="宋体" w:hAnsi="宋体"/>
          <w:b w:val="0"/>
          <w:bCs w:val="0"/>
          <w:color w:val="auto"/>
          <w:highlight w:val="none"/>
        </w:rPr>
        <w:t>第三章 评标办法</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Start w:id="518" w:name="_Toc246996242"/>
      <w:bookmarkStart w:id="519" w:name="_Toc246996985"/>
      <w:bookmarkStart w:id="520" w:name="_Toc152042376"/>
      <w:bookmarkStart w:id="521" w:name="_Toc144974566"/>
      <w:bookmarkStart w:id="522" w:name="_Toc152045599"/>
      <w:bookmarkStart w:id="523" w:name="_Toc179632617"/>
      <w:bookmarkStart w:id="524" w:name="_Toc247085757"/>
    </w:p>
    <w:bookmarkEnd w:id="517"/>
    <w:p>
      <w:pPr>
        <w:pStyle w:val="7"/>
        <w:rPr>
          <w:rFonts w:ascii="宋体" w:hAnsi="宋体" w:eastAsia="宋体"/>
          <w:color w:val="auto"/>
          <w:highlight w:val="none"/>
        </w:rPr>
      </w:pPr>
      <w:bookmarkStart w:id="525" w:name="_Toc338840492"/>
      <w:bookmarkStart w:id="526" w:name="_Toc338840453"/>
      <w:bookmarkStart w:id="527" w:name="_Toc31260"/>
      <w:bookmarkStart w:id="528" w:name="_Toc494526411"/>
      <w:bookmarkStart w:id="529" w:name="_Toc338840238"/>
      <w:bookmarkStart w:id="530" w:name="_Toc3628"/>
      <w:bookmarkStart w:id="531" w:name="_Toc494093439"/>
      <w:bookmarkStart w:id="532" w:name="_Toc452"/>
      <w:bookmarkStart w:id="533" w:name="_Toc32258"/>
      <w:bookmarkStart w:id="534" w:name="_Toc346523413"/>
      <w:bookmarkStart w:id="535" w:name="_Toc346523476"/>
      <w:r>
        <w:rPr>
          <w:rFonts w:hint="eastAsia" w:ascii="宋体" w:hAnsi="宋体" w:eastAsia="宋体"/>
          <w:color w:val="auto"/>
          <w:highlight w:val="none"/>
        </w:rPr>
        <w:t>评标办法前附表</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ind w:left="826" w:hanging="826" w:hangingChars="343"/>
        <w:rPr>
          <w:rFonts w:ascii="宋体" w:hAnsi="宋体"/>
          <w:b/>
          <w:color w:val="auto"/>
          <w:sz w:val="24"/>
          <w:highlight w:val="none"/>
        </w:rPr>
      </w:pPr>
      <w:r>
        <w:rPr>
          <w:rFonts w:hint="eastAsia" w:ascii="宋体" w:hAnsi="宋体"/>
          <w:b/>
          <w:color w:val="auto"/>
          <w:sz w:val="24"/>
          <w:highlight w:val="none"/>
        </w:rPr>
        <w:t>注：1、评标办法前附表内容与评标办法正文内容不一致时以本表内容为准。</w:t>
      </w:r>
    </w:p>
    <w:p>
      <w:pPr>
        <w:ind w:left="833" w:leftChars="228" w:hanging="354" w:hangingChars="147"/>
        <w:rPr>
          <w:rFonts w:ascii="宋体" w:hAnsi="宋体"/>
          <w:b/>
          <w:color w:val="auto"/>
          <w:sz w:val="24"/>
          <w:highlight w:val="none"/>
        </w:rPr>
      </w:pPr>
      <w:r>
        <w:rPr>
          <w:rFonts w:hint="eastAsia" w:ascii="宋体" w:hAnsi="宋体"/>
          <w:b/>
          <w:color w:val="auto"/>
          <w:sz w:val="24"/>
          <w:highlight w:val="none"/>
        </w:rPr>
        <w:t>2、评标办法前附表中涉及到的有关内容均应体现在投标文件中。</w:t>
      </w:r>
    </w:p>
    <w:p>
      <w:pPr>
        <w:ind w:left="787" w:leftChars="228" w:hanging="308" w:hangingChars="147"/>
        <w:rPr>
          <w:rFonts w:ascii="宋体" w:hAnsi="宋体"/>
          <w:color w:val="auto"/>
          <w:highlight w:val="none"/>
        </w:rPr>
      </w:pPr>
    </w:p>
    <w:tbl>
      <w:tblPr>
        <w:tblStyle w:val="3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440"/>
        <w:gridCol w:w="55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u w:val="single"/>
              </w:rPr>
              <w:t>评审。采购人负责资格审查；评标委员会负责符合性审查、商务和技术评审。</w:t>
            </w:r>
            <w:r>
              <w:rPr>
                <w:rFonts w:hint="eastAsia" w:ascii="宋体" w:hAnsi="宋体"/>
                <w:b/>
                <w:color w:val="auto"/>
                <w:szCs w:val="21"/>
                <w:highlight w:val="none"/>
              </w:rPr>
              <w:t>（资格审查、符合性审查未通过者为无效投标）</w:t>
            </w:r>
          </w:p>
          <w:p>
            <w:pPr>
              <w:tabs>
                <w:tab w:val="left" w:pos="252"/>
              </w:tabs>
              <w:spacing w:line="400" w:lineRule="exact"/>
              <w:ind w:firstLine="422" w:firstLineChars="200"/>
              <w:jc w:val="left"/>
              <w:rPr>
                <w:rFonts w:ascii="宋体" w:hAnsi="宋体"/>
                <w:b/>
                <w:strike/>
                <w:color w:val="auto"/>
                <w:szCs w:val="21"/>
                <w:highlight w:val="none"/>
              </w:rPr>
            </w:pPr>
            <w:r>
              <w:rPr>
                <w:rFonts w:hint="eastAsia" w:ascii="宋体" w:hAnsi="宋体" w:cs="宋体"/>
                <w:b/>
                <w:color w:val="auto"/>
                <w:szCs w:val="21"/>
                <w:highlight w:val="none"/>
              </w:rPr>
              <w:t>3、</w:t>
            </w:r>
            <w:r>
              <w:rPr>
                <w:rFonts w:hint="eastAsia" w:ascii="宋体" w:hAnsi="宋体"/>
                <w:b/>
                <w:color w:val="auto"/>
                <w:szCs w:val="21"/>
                <w:highlight w:val="none"/>
              </w:rPr>
              <w:t>推荐中标候选人。按得分由高到低顺序推荐中标候选人。得分相同者按投标报价由低到高排序。报价也相同者用随机抽取法确定排序。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Cs w:val="21"/>
                <w:highlight w:val="none"/>
              </w:rPr>
            </w:pPr>
            <w:r>
              <w:rPr>
                <w:rFonts w:hint="eastAsia" w:ascii="宋体" w:hAnsi="宋体" w:cs="宋体"/>
                <w:b/>
                <w:color w:val="auto"/>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pPr>
              <w:tabs>
                <w:tab w:val="left" w:pos="252"/>
              </w:tabs>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　　评标委员会可以通过</w:t>
            </w:r>
            <w:r>
              <w:rPr>
                <w:rFonts w:hint="eastAsia" w:ascii="宋体" w:hAnsi="宋体"/>
                <w:b/>
                <w:color w:val="auto"/>
                <w:szCs w:val="21"/>
                <w:highlight w:val="none"/>
              </w:rPr>
              <w:t>电子交易系统</w:t>
            </w:r>
            <w:r>
              <w:rPr>
                <w:rFonts w:hint="eastAsia" w:ascii="宋体" w:hAnsi="宋体" w:cs="宋体"/>
                <w:b/>
                <w:color w:val="auto"/>
                <w:szCs w:val="21"/>
                <w:highlight w:val="none"/>
              </w:rPr>
              <w:t>要求供应商对投标文件中有关问题做出答复，但答复内容不得超出投标文件范围或者改变投标文件的实质性内容。</w:t>
            </w:r>
          </w:p>
          <w:p>
            <w:pPr>
              <w:tabs>
                <w:tab w:val="left" w:pos="252"/>
              </w:tabs>
              <w:spacing w:line="400" w:lineRule="exact"/>
              <w:ind w:firstLine="421"/>
              <w:jc w:val="left"/>
              <w:rPr>
                <w:rFonts w:ascii="宋体" w:hAnsi="宋体"/>
                <w:b/>
                <w:color w:val="auto"/>
                <w:szCs w:val="21"/>
                <w:highlight w:val="none"/>
              </w:rPr>
            </w:pPr>
            <w:r>
              <w:rPr>
                <w:rFonts w:hint="eastAsia" w:ascii="宋体" w:hAnsi="宋体" w:cs="宋体"/>
                <w:b/>
                <w:color w:val="auto"/>
                <w:szCs w:val="21"/>
                <w:highlight w:val="none"/>
              </w:rPr>
              <w:t>供应商应时刻通过电子交易系统关注项目情况，评标委员会向供应商提出的澄清要求等，供应商应自系统发出30分钟（另有约定的从其约定）内回复，否则供应商自行承担责任。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ascii="宋体" w:hAnsi="宋体"/>
                <w:b/>
                <w:color w:val="auto"/>
                <w:szCs w:val="21"/>
                <w:highlight w:val="none"/>
              </w:rPr>
              <w:t>条款号</w:t>
            </w:r>
          </w:p>
        </w:tc>
        <w:tc>
          <w:tcPr>
            <w:tcW w:w="540" w:type="dxa"/>
            <w:tcBorders>
              <w:top w:val="single" w:color="auto" w:sz="4" w:space="0"/>
              <w:bottom w:val="single" w:color="auto" w:sz="4" w:space="0"/>
              <w:right w:val="single" w:color="auto" w:sz="4" w:space="0"/>
            </w:tcBorders>
            <w:vAlign w:val="center"/>
          </w:tcPr>
          <w:p>
            <w:pPr>
              <w:jc w:val="center"/>
              <w:rPr>
                <w:rFonts w:ascii="宋体" w:hAnsi="宋体"/>
                <w:b/>
                <w:color w:val="auto"/>
                <w:szCs w:val="21"/>
                <w:highlight w:val="none"/>
              </w:rPr>
            </w:pPr>
            <w:r>
              <w:rPr>
                <w:rFonts w:hint="eastAsia" w:ascii="宋体" w:hAnsi="宋体"/>
                <w:b/>
                <w:color w:val="auto"/>
                <w:szCs w:val="21"/>
                <w:highlight w:val="none"/>
              </w:rPr>
              <w:t>审查　内容</w:t>
            </w: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ascii="宋体" w:hAnsi="宋体"/>
                <w:b/>
                <w:color w:val="auto"/>
                <w:szCs w:val="21"/>
                <w:highlight w:val="none"/>
              </w:rPr>
              <w:t>评审因素</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ascii="宋体" w:hAnsi="宋体"/>
                <w:b/>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2.1.1</w:t>
            </w:r>
          </w:p>
        </w:tc>
        <w:tc>
          <w:tcPr>
            <w:tcW w:w="540" w:type="dxa"/>
            <w:tcBorders>
              <w:top w:val="single" w:color="auto" w:sz="4" w:space="0"/>
              <w:bottom w:val="single" w:color="auto" w:sz="4" w:space="0"/>
              <w:right w:val="single" w:color="auto" w:sz="4" w:space="0"/>
            </w:tcBorders>
            <w:vAlign w:val="center"/>
          </w:tcPr>
          <w:p>
            <w:pPr>
              <w:spacing w:line="360" w:lineRule="exact"/>
              <w:jc w:val="center"/>
              <w:rPr>
                <w:rFonts w:ascii="宋体" w:hAnsi="宋体"/>
                <w:color w:val="auto"/>
                <w:szCs w:val="21"/>
                <w:highlight w:val="none"/>
              </w:rPr>
            </w:pPr>
            <w:r>
              <w:rPr>
                <w:rFonts w:ascii="宋体" w:hAnsi="宋体"/>
                <w:color w:val="auto"/>
                <w:szCs w:val="21"/>
                <w:highlight w:val="none"/>
              </w:rPr>
              <w:t>资格</w:t>
            </w:r>
            <w:r>
              <w:rPr>
                <w:rFonts w:hint="eastAsia" w:ascii="宋体" w:hAnsi="宋体"/>
                <w:color w:val="auto"/>
                <w:szCs w:val="21"/>
                <w:highlight w:val="none"/>
              </w:rPr>
              <w:t>　</w:t>
            </w:r>
            <w:r>
              <w:rPr>
                <w:rFonts w:ascii="宋体" w:hAnsi="宋体"/>
                <w:color w:val="auto"/>
                <w:szCs w:val="21"/>
                <w:highlight w:val="none"/>
              </w:rPr>
              <w:t>审查</w:t>
            </w: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供应商资格</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2" w:firstLineChars="200"/>
              <w:rPr>
                <w:rFonts w:ascii="宋体" w:hAnsi="宋体"/>
                <w:color w:val="auto"/>
                <w:szCs w:val="21"/>
                <w:highlight w:val="none"/>
              </w:rPr>
            </w:pPr>
            <w:r>
              <w:rPr>
                <w:rFonts w:hint="eastAsia" w:ascii="宋体" w:hAnsi="宋体" w:cs="宋体"/>
                <w:b/>
                <w:bCs/>
                <w:color w:val="auto"/>
                <w:szCs w:val="21"/>
                <w:highlight w:val="none"/>
              </w:rPr>
              <w:t>由采购人于开标后进行资格审查，</w:t>
            </w:r>
            <w:r>
              <w:rPr>
                <w:rFonts w:hint="eastAsia" w:ascii="宋体" w:hAnsi="宋体" w:cs="宋体"/>
                <w:b/>
                <w:bCs/>
                <w:color w:val="auto"/>
                <w:szCs w:val="32"/>
                <w:highlight w:val="none"/>
              </w:rPr>
              <w:t>未通过者注明原因</w:t>
            </w:r>
            <w:r>
              <w:rPr>
                <w:rFonts w:hint="eastAsia" w:ascii="宋体" w:hAnsi="宋体" w:cs="宋体"/>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r>
              <w:rPr>
                <w:rFonts w:hint="eastAsia" w:ascii="宋体" w:hAnsi="宋体"/>
                <w:color w:val="auto"/>
                <w:szCs w:val="21"/>
                <w:highlight w:val="none"/>
              </w:rPr>
              <w:t>2.1.2</w:t>
            </w: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tc>
        <w:tc>
          <w:tcPr>
            <w:tcW w:w="540" w:type="dxa"/>
            <w:vMerge w:val="restart"/>
            <w:tcBorders>
              <w:top w:val="single" w:color="auto" w:sz="4" w:space="0"/>
              <w:right w:val="single" w:color="auto" w:sz="4" w:space="0"/>
            </w:tcBorders>
            <w:vAlign w:val="center"/>
          </w:tcPr>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r>
              <w:rPr>
                <w:rFonts w:hint="eastAsia" w:ascii="宋体" w:hAnsi="宋体"/>
                <w:color w:val="auto"/>
                <w:szCs w:val="21"/>
                <w:highlight w:val="none"/>
              </w:rPr>
              <w:t>符合性审查</w:t>
            </w: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s="宋体"/>
                <w:color w:val="auto"/>
                <w:szCs w:val="21"/>
                <w:highlight w:val="none"/>
              </w:rPr>
              <w:t>供应商名称</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s="宋体"/>
                <w:color w:val="auto"/>
                <w:szCs w:val="21"/>
                <w:highlight w:val="none"/>
              </w:rPr>
              <w:t>供应商名称与单位盖章、资格证明材料相一致。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ascii="宋体" w:hAnsi="宋体"/>
                <w:color w:val="auto"/>
                <w:szCs w:val="21"/>
                <w:highlight w:val="none"/>
              </w:rPr>
              <w:t>签字盖章</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投标函、法定代表人资格证明（或授权委托书）按投标文件格式要求签字、盖章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投标报价</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color w:val="auto"/>
                <w:highlight w:val="none"/>
              </w:rPr>
            </w:pPr>
            <w:r>
              <w:rPr>
                <w:rFonts w:hint="eastAsia"/>
                <w:color w:val="auto"/>
                <w:highlight w:val="none"/>
              </w:rPr>
              <w:t>1、投标函中只能有一个有效投标报价（招标文件另有要求者除外）。</w:t>
            </w:r>
          </w:p>
          <w:p>
            <w:pPr>
              <w:spacing w:line="440" w:lineRule="atLeast"/>
              <w:rPr>
                <w:color w:val="auto"/>
                <w:highlight w:val="none"/>
              </w:rPr>
            </w:pPr>
            <w:r>
              <w:rPr>
                <w:rFonts w:hint="eastAsia"/>
                <w:color w:val="auto"/>
                <w:highlight w:val="none"/>
              </w:rPr>
              <w:t>2、设有最高限价者不得高于最高限价。</w:t>
            </w:r>
          </w:p>
          <w:p>
            <w:pPr>
              <w:spacing w:line="440" w:lineRule="atLeast"/>
              <w:rPr>
                <w:color w:val="auto"/>
                <w:highlight w:val="none"/>
              </w:rPr>
            </w:pPr>
            <w:r>
              <w:rPr>
                <w:rFonts w:hint="eastAsia"/>
                <w:color w:val="auto"/>
                <w:highlight w:val="none"/>
              </w:rPr>
              <w:t>3、明显低价。评标委员会认为供应商的报价明显低于其他通过符合性审查供应商的报价，有可能影响产品质量或者不能诚信履约的，应当通过电子交易系统向该供应商提出，供应商在30分钟内（另有约定者按约定）通过该系统提供书面说明，必要时提交相关证明材料；供应商不能证明其报价合理性的，评标委员会应当将其作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合同履行期限</w:t>
            </w:r>
          </w:p>
        </w:tc>
        <w:tc>
          <w:tcPr>
            <w:tcW w:w="5580"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不多于"供应商须知前附表"规定的时间。(查看投标函)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ascii="宋体" w:hAnsi="宋体"/>
                <w:color w:val="auto"/>
                <w:szCs w:val="21"/>
                <w:highlight w:val="none"/>
              </w:rPr>
              <w:t>质量要求</w:t>
            </w:r>
          </w:p>
        </w:tc>
        <w:tc>
          <w:tcPr>
            <w:tcW w:w="5580"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响应“供应商须知前附表”要求。(查看投标函)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不得少于“供应商须知前附表”规定的时间。(查看投标函)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响应“供应商须知前附表”要求(查看投标函)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硬件特征码</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szCs w:val="21"/>
                <w:highlight w:val="none"/>
              </w:rPr>
            </w:pPr>
            <w:r>
              <w:rPr>
                <w:rFonts w:hint="eastAsia" w:ascii="宋体" w:hAnsi="宋体" w:cs="宋体"/>
                <w:color w:val="auto"/>
                <w:szCs w:val="21"/>
                <w:highlight w:val="none"/>
              </w:rPr>
              <w:t>供应商上传投标文件的计算机“硬件特征码”不得与本项目其他供应商相同。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其他无效投标情形</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color w:val="auto"/>
                <w:highlight w:val="none"/>
              </w:rPr>
            </w:pPr>
            <w:r>
              <w:rPr>
                <w:rFonts w:hint="eastAsia"/>
                <w:color w:val="auto"/>
                <w:highlight w:val="none"/>
              </w:rPr>
              <w:t>不存在本章“附件Ａ　无效投标条件”所列情形。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pPr>
              <w:spacing w:line="440" w:lineRule="exact"/>
              <w:ind w:firstLine="420" w:firstLineChars="200"/>
              <w:jc w:val="left"/>
              <w:rPr>
                <w:color w:val="auto"/>
                <w:highlight w:val="none"/>
              </w:rPr>
            </w:pPr>
            <w:r>
              <w:rPr>
                <w:rFonts w:hint="eastAsia"/>
                <w:color w:val="auto"/>
                <w:highlight w:val="none"/>
              </w:rPr>
              <w:t>对于无效投标，评标委员会应详细写明具体原因以及采购文件或法律依据，并写入评标报告。</w:t>
            </w:r>
          </w:p>
        </w:tc>
      </w:tr>
    </w:tbl>
    <w:p>
      <w:pPr>
        <w:spacing w:line="440" w:lineRule="exact"/>
        <w:rPr>
          <w:rFonts w:ascii="宋体" w:hAnsi="宋体"/>
          <w:b/>
          <w:bCs/>
          <w:color w:val="auto"/>
          <w:highlight w:val="none"/>
        </w:rPr>
      </w:pPr>
    </w:p>
    <w:p>
      <w:pPr>
        <w:spacing w:line="440" w:lineRule="exact"/>
        <w:rPr>
          <w:rFonts w:ascii="宋体" w:hAnsi="宋体"/>
          <w:b/>
          <w:bCs/>
          <w:color w:val="auto"/>
          <w:highlight w:val="none"/>
        </w:rPr>
      </w:pPr>
      <w:r>
        <w:rPr>
          <w:rFonts w:hint="eastAsia" w:ascii="宋体" w:hAnsi="宋体"/>
          <w:b/>
          <w:bCs/>
          <w:color w:val="auto"/>
          <w:highlight w:val="none"/>
        </w:rPr>
        <w:t>商务和技术评审内容如下：</w:t>
      </w:r>
    </w:p>
    <w:tbl>
      <w:tblPr>
        <w:tblStyle w:val="3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b/>
                <w:bCs/>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szCs w:val="21"/>
                <w:highlight w:val="none"/>
              </w:rPr>
            </w:pPr>
            <w:r>
              <w:rPr>
                <w:rFonts w:hint="eastAsia" w:ascii="宋体" w:hAnsi="宋体"/>
                <w:b/>
                <w:bCs/>
                <w:color w:val="auto"/>
                <w:highlight w:val="none"/>
              </w:rPr>
              <w:t>条款内容</w:t>
            </w:r>
          </w:p>
        </w:tc>
        <w:tc>
          <w:tcPr>
            <w:tcW w:w="5437" w:type="dxa"/>
            <w:gridSpan w:val="2"/>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szCs w:val="21"/>
                <w:highlight w:val="none"/>
              </w:rPr>
            </w:pPr>
            <w:r>
              <w:rPr>
                <w:rFonts w:hint="eastAsia" w:ascii="宋体" w:hAnsi="宋体"/>
                <w:b/>
                <w:bCs/>
                <w:color w:val="auto"/>
                <w:highlight w:val="none"/>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2.2.1</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30</w:t>
            </w:r>
            <w:r>
              <w:rPr>
                <w:rFonts w:hint="eastAsia" w:ascii="宋体" w:hAnsi="宋体"/>
                <w:color w:val="auto"/>
                <w:highlight w:val="none"/>
                <w:u w:val="single"/>
              </w:rPr>
              <w:t xml:space="preserve"> </w:t>
            </w:r>
            <w:r>
              <w:rPr>
                <w:rFonts w:hint="eastAsia" w:ascii="宋体" w:hAnsi="宋体"/>
                <w:color w:val="auto"/>
                <w:highlight w:val="none"/>
              </w:rPr>
              <w:t>分</w:t>
            </w:r>
          </w:p>
          <w:p>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16</w:t>
            </w:r>
            <w:r>
              <w:rPr>
                <w:rFonts w:hint="eastAsia" w:ascii="宋体" w:hAnsi="宋体"/>
                <w:color w:val="auto"/>
                <w:highlight w:val="none"/>
                <w:u w:val="single"/>
              </w:rPr>
              <w:t xml:space="preserve"> </w:t>
            </w:r>
            <w:r>
              <w:rPr>
                <w:rFonts w:hint="eastAsia" w:ascii="宋体" w:hAnsi="宋体"/>
                <w:color w:val="auto"/>
                <w:highlight w:val="none"/>
              </w:rPr>
              <w:t>分</w:t>
            </w:r>
          </w:p>
          <w:p>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54</w:t>
            </w:r>
            <w:r>
              <w:rPr>
                <w:rFonts w:hint="eastAsia" w:ascii="宋体" w:hAnsi="宋体"/>
                <w:color w:val="auto"/>
                <w:highlight w:val="none"/>
                <w:u w:val="single"/>
              </w:rPr>
              <w:t xml:space="preserve"> </w:t>
            </w:r>
            <w:r>
              <w:rPr>
                <w:rFonts w:hint="eastAsia" w:ascii="宋体" w:hAnsi="宋体"/>
                <w:color w:val="auto"/>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pPr>
              <w:numPr>
                <w:ilvl w:val="0"/>
                <w:numId w:val="5"/>
              </w:numPr>
              <w:ind w:firstLine="420" w:firstLineChars="200"/>
              <w:rPr>
                <w:color w:val="auto"/>
                <w:highlight w:val="none"/>
              </w:rPr>
            </w:pPr>
            <w:r>
              <w:rPr>
                <w:rFonts w:hint="eastAsia"/>
                <w:color w:val="auto"/>
                <w:highlight w:val="none"/>
              </w:rPr>
              <w:t>价格分采用低价优先法计算，即满足项目需求且投标报价最低的有效投标报价为评标基准价，其价格分为满分。</w:t>
            </w:r>
          </w:p>
          <w:p>
            <w:pPr>
              <w:spacing w:line="440" w:lineRule="exact"/>
              <w:rPr>
                <w:color w:val="auto"/>
                <w:highlight w:val="none"/>
              </w:rPr>
            </w:pPr>
            <w:r>
              <w:rPr>
                <w:rFonts w:hint="eastAsia"/>
                <w:color w:val="auto"/>
                <w:highlight w:val="none"/>
              </w:rPr>
              <w:t>投标报价得分＝（评标基准价/投标报价）×价格分值</w:t>
            </w:r>
          </w:p>
          <w:p>
            <w:pPr>
              <w:ind w:firstLine="210" w:firstLineChars="100"/>
              <w:rPr>
                <w:rFonts w:hint="eastAsia"/>
                <w:color w:val="auto"/>
                <w:highlight w:val="none"/>
              </w:rPr>
            </w:pPr>
            <w:r>
              <w:rPr>
                <w:rFonts w:hint="eastAsia"/>
                <w:color w:val="auto"/>
                <w:highlight w:val="none"/>
              </w:rPr>
              <w:t>（公式中的评标基准价、投标报价，涉及价格扣除时指扣除后价格）</w:t>
            </w:r>
          </w:p>
          <w:p>
            <w:pPr>
              <w:pStyle w:val="2"/>
              <w:ind w:left="0" w:leftChars="0" w:firstLine="420" w:firstLineChars="200"/>
              <w:rPr>
                <w:color w:val="auto"/>
                <w:highlight w:val="none"/>
              </w:rPr>
            </w:pPr>
            <w:r>
              <w:rPr>
                <w:rFonts w:hint="eastAsia" w:ascii="Times New Roman" w:hAnsi="Times New Roman" w:eastAsia="宋体" w:cs="Times New Roman"/>
                <w:color w:val="auto"/>
                <w:kern w:val="2"/>
                <w:sz w:val="21"/>
                <w:szCs w:val="24"/>
                <w:highlight w:val="none"/>
                <w:lang w:val="en-US" w:eastAsia="zh-CN" w:bidi="ar-SA"/>
              </w:rPr>
              <w:t>2、非专门面向中小企业采购项目，小型、微型企业按要求提供《中小企业声明函》[若为货物类采购项目，其全部标的(产品)应均为小型、微型企业生产，并在声明函中分别列明与“投标内容及报价明细表”中对应的每一标的(产品)及其生产制造商情况]，符合要求者在评标时给予20%价格扣除，符合要求的监狱企业、残疾人福利性单位视同小型、微型企业，多重身份者不重复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2.2.4</w:t>
            </w:r>
          </w:p>
        </w:tc>
        <w:tc>
          <w:tcPr>
            <w:tcW w:w="642" w:type="dxa"/>
            <w:vMerge w:val="restart"/>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lang w:val="en-US" w:eastAsia="zh-CN"/>
              </w:rPr>
              <w:t>2022</w:t>
            </w:r>
            <w:r>
              <w:rPr>
                <w:rFonts w:hint="eastAsia" w:ascii="宋体" w:hAnsi="宋体"/>
                <w:color w:val="auto"/>
                <w:szCs w:val="21"/>
                <w:highlight w:val="none"/>
              </w:rPr>
              <w:t>年1月1日以来签订日期）相同或类似项目业绩合同</w:t>
            </w:r>
            <w:r>
              <w:rPr>
                <w:rFonts w:hint="eastAsia" w:ascii="宋体" w:hAnsi="宋体"/>
                <w:color w:val="auto"/>
                <w:szCs w:val="21"/>
                <w:highlight w:val="none"/>
                <w:lang w:val="en-US" w:eastAsia="zh-CN"/>
              </w:rPr>
              <w:t>及</w:t>
            </w:r>
            <w:r>
              <w:rPr>
                <w:rFonts w:hint="eastAsia" w:ascii="宋体" w:hAnsi="宋体"/>
                <w:color w:val="auto"/>
                <w:szCs w:val="21"/>
                <w:highlight w:val="none"/>
              </w:rPr>
              <w:t>中标通知书（附原件扫描件）。</w:t>
            </w:r>
          </w:p>
          <w:p>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restart"/>
            <w:tcBorders>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lang w:val="en-US" w:eastAsia="zh-CN"/>
              </w:rPr>
              <w:t>4</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jc w:val="left"/>
              <w:rPr>
                <w:rFonts w:ascii="宋体" w:hAnsi="宋体"/>
                <w:color w:val="auto"/>
                <w:szCs w:val="21"/>
                <w:highlight w:val="none"/>
              </w:rPr>
            </w:pPr>
            <w:r>
              <w:rPr>
                <w:rFonts w:hint="eastAsia" w:ascii="宋体" w:hAnsi="宋体" w:eastAsia="宋体" w:cs="Times New Roman"/>
                <w:color w:val="auto"/>
                <w:szCs w:val="21"/>
                <w:highlight w:val="none"/>
                <w:lang w:val="zh-CN" w:eastAsia="zh-CN"/>
              </w:rPr>
              <w:t>具有信用评级机构颁发的 AAA 级信用证书得 4分，AA 级的得 2分，没有不得分。(在有效期内，</w:t>
            </w:r>
            <w:r>
              <w:rPr>
                <w:rFonts w:hint="eastAsia" w:ascii="宋体" w:hAnsi="宋体" w:eastAsia="宋体" w:cs="Times New Roman"/>
                <w:color w:val="auto"/>
                <w:szCs w:val="21"/>
                <w:highlight w:val="none"/>
                <w:lang w:val="en-US" w:eastAsia="zh-CN"/>
              </w:rPr>
              <w:t>提供证书原件扫描件。</w:t>
            </w:r>
            <w:r>
              <w:rPr>
                <w:rFonts w:hint="eastAsia" w:ascii="宋体" w:hAnsi="宋体" w:eastAsia="宋体" w:cs="Times New Roman"/>
                <w:color w:val="auto"/>
                <w:szCs w:val="21"/>
                <w:highlight w:val="none"/>
                <w:lang w:val="zh-CN"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continue"/>
            <w:tcBorders>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center"/>
          </w:tcPr>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质量管理体系认证证书；</w:t>
            </w:r>
          </w:p>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环境管理体系认证证书；</w:t>
            </w:r>
          </w:p>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职业健康安全管理体系认证证书；</w:t>
            </w:r>
          </w:p>
          <w:p>
            <w:pPr>
              <w:spacing w:line="440" w:lineRule="exact"/>
              <w:rPr>
                <w:rFonts w:ascii="宋体" w:hAnsi="宋体"/>
                <w:color w:val="auto"/>
                <w:szCs w:val="21"/>
                <w:highlight w:val="none"/>
              </w:rPr>
            </w:pPr>
            <w:r>
              <w:rPr>
                <w:rFonts w:hint="eastAsia" w:ascii="宋体" w:hAnsi="宋体"/>
                <w:color w:val="auto"/>
                <w:szCs w:val="21"/>
                <w:highlight w:val="none"/>
              </w:rPr>
              <w:t>提供证书原件扫描件，一项证书得2分。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5" w:hRule="atLeast"/>
        </w:trPr>
        <w:tc>
          <w:tcPr>
            <w:tcW w:w="618" w:type="dxa"/>
            <w:vMerge w:val="restart"/>
            <w:tcBorders>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2.2.5</w:t>
            </w:r>
          </w:p>
        </w:tc>
        <w:tc>
          <w:tcPr>
            <w:tcW w:w="642" w:type="dxa"/>
            <w:vMerge w:val="restart"/>
            <w:tcBorders>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服务方案</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44</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rPr>
                <w:rFonts w:hint="eastAsia" w:ascii="宋体" w:hAnsi="宋体" w:eastAsia="宋体" w:cs="Times New Roman"/>
                <w:color w:val="auto"/>
                <w:szCs w:val="21"/>
                <w:highlight w:val="none"/>
                <w:lang w:val="en-US" w:eastAsia="zh-CN"/>
              </w:rPr>
            </w:pPr>
            <w:r>
              <w:rPr>
                <w:rFonts w:hint="eastAsia" w:ascii="宋体" w:hAnsi="宋体"/>
                <w:color w:val="auto"/>
                <w:szCs w:val="21"/>
                <w:highlight w:val="none"/>
              </w:rPr>
              <w:t>根据</w:t>
            </w:r>
            <w:r>
              <w:rPr>
                <w:rFonts w:hint="eastAsia" w:ascii="宋体" w:hAnsi="宋体"/>
                <w:color w:val="auto"/>
                <w:szCs w:val="21"/>
                <w:highlight w:val="none"/>
                <w:lang w:val="en-US" w:eastAsia="zh-CN"/>
              </w:rPr>
              <w:t>招标文件“第五章 三、招标内容及技术要求”内容各条明细要求，</w:t>
            </w:r>
            <w:r>
              <w:rPr>
                <w:rFonts w:hint="eastAsia" w:ascii="宋体" w:hAnsi="宋体" w:cs="Times New Roman"/>
                <w:color w:val="auto"/>
                <w:szCs w:val="21"/>
                <w:highlight w:val="none"/>
                <w:lang w:val="en-US" w:eastAsia="zh-CN"/>
              </w:rPr>
              <w:t>结合项目整体要求</w:t>
            </w:r>
            <w:r>
              <w:rPr>
                <w:rFonts w:hint="eastAsia" w:ascii="宋体" w:hAnsi="宋体" w:eastAsia="宋体" w:cs="Times New Roman"/>
                <w:color w:val="auto"/>
                <w:szCs w:val="21"/>
                <w:highlight w:val="none"/>
                <w:lang w:val="en-US" w:eastAsia="zh-CN"/>
              </w:rPr>
              <w:t>逐项制订详细可行的项目实施方案，并在响应项目要求的基础上</w:t>
            </w:r>
            <w:r>
              <w:rPr>
                <w:rFonts w:hint="eastAsia" w:ascii="宋体" w:hAnsi="宋体" w:cs="Times New Roman"/>
                <w:color w:val="auto"/>
                <w:szCs w:val="21"/>
                <w:highlight w:val="none"/>
                <w:lang w:val="en-US" w:eastAsia="zh-CN"/>
              </w:rPr>
              <w:t>增加</w:t>
            </w:r>
            <w:r>
              <w:rPr>
                <w:rFonts w:hint="eastAsia" w:ascii="宋体" w:hAnsi="宋体" w:eastAsia="宋体" w:cs="Times New Roman"/>
                <w:color w:val="auto"/>
                <w:szCs w:val="21"/>
                <w:highlight w:val="none"/>
                <w:lang w:val="en-US" w:eastAsia="zh-CN"/>
              </w:rPr>
              <w:t>更有利于提高项目质量的内容。</w:t>
            </w:r>
          </w:p>
          <w:p>
            <w:pPr>
              <w:spacing w:line="440" w:lineRule="exact"/>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方案中要明确1、服务工作流程；2、项目管理与质量保证措施；3、垃圾分类及清运方案</w:t>
            </w:r>
            <w:r>
              <w:rPr>
                <w:rFonts w:hint="eastAsia" w:ascii="Times New Roman" w:hAnsi="Times New Roman" w:eastAsia="宋体" w:cs="Times New Roman"/>
                <w:color w:val="auto"/>
                <w:highlight w:val="none"/>
                <w:lang w:val="zh-CN" w:eastAsia="zh-CN"/>
              </w:rPr>
              <w:t>；</w:t>
            </w:r>
            <w:r>
              <w:rPr>
                <w:rFonts w:hint="eastAsia" w:ascii="Times New Roman" w:hAnsi="Times New Roman" w:eastAsia="宋体" w:cs="Times New Roman"/>
                <w:color w:val="auto"/>
                <w:highlight w:val="none"/>
                <w:lang w:val="en-US" w:eastAsia="zh-CN"/>
              </w:rPr>
              <w:t>4、应急处理方案</w:t>
            </w:r>
            <w:r>
              <w:rPr>
                <w:rFonts w:hint="eastAsia" w:ascii="Times New Roman" w:hAnsi="Times New Roman" w:eastAsia="宋体" w:cs="Times New Roman"/>
                <w:color w:val="auto"/>
                <w:highlight w:val="none"/>
                <w:lang w:val="zh-CN" w:eastAsia="zh-CN"/>
              </w:rPr>
              <w:t>；</w:t>
            </w:r>
            <w:r>
              <w:rPr>
                <w:rFonts w:hint="eastAsia" w:ascii="Times New Roman" w:hAnsi="Times New Roman" w:eastAsia="宋体" w:cs="Times New Roman"/>
                <w:color w:val="auto"/>
                <w:highlight w:val="none"/>
                <w:lang w:val="en-US" w:eastAsia="zh-CN"/>
              </w:rPr>
              <w:t>5、规章制度。</w:t>
            </w:r>
          </w:p>
          <w:p>
            <w:pPr>
              <w:spacing w:line="440" w:lineRule="exact"/>
              <w:ind w:firstLine="420" w:firstLineChars="200"/>
              <w:rPr>
                <w:rFonts w:ascii="宋体" w:hAnsi="宋体"/>
                <w:color w:val="auto"/>
                <w:szCs w:val="21"/>
                <w:highlight w:val="none"/>
              </w:rPr>
            </w:pPr>
            <w:r>
              <w:rPr>
                <w:rFonts w:hint="eastAsia" w:ascii="Times New Roman" w:hAnsi="Times New Roman" w:eastAsia="宋体" w:cs="Times New Roman"/>
                <w:color w:val="auto"/>
                <w:highlight w:val="none"/>
                <w:lang w:val="en-US" w:eastAsia="zh-CN"/>
              </w:rPr>
              <w:t>评审依据：</w:t>
            </w:r>
          </w:p>
          <w:p>
            <w:pPr>
              <w:spacing w:line="440" w:lineRule="exact"/>
              <w:ind w:firstLine="420" w:firstLineChars="200"/>
              <w:rPr>
                <w:rFonts w:ascii="宋体" w:hAnsi="宋体"/>
                <w:color w:val="auto"/>
                <w:szCs w:val="21"/>
                <w:highlight w:val="none"/>
              </w:rPr>
            </w:pPr>
            <w:r>
              <w:rPr>
                <w:rFonts w:hint="eastAsia" w:ascii="Calibri" w:hAnsi="Calibri" w:cs="Calibri"/>
                <w:color w:val="auto"/>
                <w:szCs w:val="21"/>
                <w:highlight w:val="none"/>
              </w:rPr>
              <w:t>1、</w:t>
            </w:r>
            <w:r>
              <w:rPr>
                <w:rFonts w:hint="eastAsia" w:ascii="宋体" w:hAnsi="宋体"/>
                <w:color w:val="auto"/>
                <w:szCs w:val="21"/>
                <w:highlight w:val="none"/>
              </w:rPr>
              <w:t>服务指标均满足项目要求，得满分。</w:t>
            </w:r>
          </w:p>
          <w:p>
            <w:pPr>
              <w:tabs>
                <w:tab w:val="left" w:pos="417"/>
              </w:tabs>
              <w:spacing w:line="440" w:lineRule="exact"/>
              <w:ind w:firstLine="420" w:firstLineChars="200"/>
              <w:rPr>
                <w:rFonts w:hint="eastAsia" w:ascii="宋体" w:hAnsi="宋体"/>
                <w:color w:val="auto"/>
                <w:szCs w:val="21"/>
                <w:highlight w:val="none"/>
              </w:rPr>
            </w:pPr>
            <w:r>
              <w:rPr>
                <w:rFonts w:hint="eastAsia" w:ascii="Calibri" w:hAnsi="Calibri" w:cs="Calibri"/>
                <w:color w:val="auto"/>
                <w:szCs w:val="21"/>
                <w:highlight w:val="none"/>
              </w:rPr>
              <w:t>2、</w:t>
            </w:r>
            <w:r>
              <w:rPr>
                <w:rFonts w:hint="eastAsia" w:ascii="宋体" w:hAnsi="宋体"/>
                <w:color w:val="auto"/>
                <w:szCs w:val="21"/>
                <w:highlight w:val="none"/>
              </w:rPr>
              <w:t>服务指标有一项不满足要求，每出现一项扣</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分，扣完为止。</w:t>
            </w:r>
          </w:p>
          <w:p>
            <w:pPr>
              <w:tabs>
                <w:tab w:val="left" w:pos="417"/>
              </w:tabs>
              <w:spacing w:line="440" w:lineRule="exact"/>
              <w:ind w:firstLine="420" w:firstLineChars="200"/>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3、服务总人数不</w:t>
            </w:r>
            <w:r>
              <w:rPr>
                <w:rFonts w:hint="eastAsia" w:ascii="宋体" w:hAnsi="宋体" w:eastAsia="宋体"/>
                <w:color w:val="auto"/>
                <w:szCs w:val="21"/>
                <w:highlight w:val="none"/>
                <w:lang w:val="en-US" w:eastAsia="zh-CN"/>
              </w:rPr>
              <w:t>足</w:t>
            </w:r>
            <w:r>
              <w:rPr>
                <w:rFonts w:hint="eastAsia" w:ascii="宋体" w:hAnsi="宋体"/>
                <w:color w:val="auto"/>
                <w:szCs w:val="21"/>
                <w:highlight w:val="none"/>
                <w:lang w:val="en-US" w:eastAsia="zh-CN"/>
              </w:rPr>
              <w:t>21</w:t>
            </w:r>
            <w:r>
              <w:rPr>
                <w:rFonts w:hint="eastAsia" w:ascii="宋体" w:hAnsi="宋体" w:eastAsia="宋体"/>
                <w:color w:val="auto"/>
                <w:szCs w:val="21"/>
                <w:highlight w:val="none"/>
                <w:lang w:val="en-US" w:eastAsia="zh-CN"/>
              </w:rPr>
              <w:t>人，该项的0</w:t>
            </w:r>
            <w:r>
              <w:rPr>
                <w:rFonts w:hint="eastAsia" w:ascii="宋体" w:hAnsi="宋体"/>
                <w:color w:val="auto"/>
                <w:szCs w:val="21"/>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618" w:type="dxa"/>
            <w:vMerge w:val="continue"/>
            <w:tcBorders>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s="仿宋"/>
                <w:color w:val="auto"/>
                <w:highlight w:val="none"/>
                <w:u w:val="none"/>
                <w:lang w:val="en-US" w:eastAsia="zh-CN"/>
              </w:rPr>
              <w:t>管理培训方案</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highlight w:val="none"/>
                <w:u w:val="none"/>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top"/>
          </w:tcPr>
          <w:p>
            <w:pPr>
              <w:spacing w:line="440" w:lineRule="exact"/>
              <w:ind w:firstLine="420" w:firstLineChars="200"/>
              <w:rPr>
                <w:rFonts w:ascii="宋体" w:hAnsi="宋体" w:cs="仿宋"/>
                <w:color w:val="auto"/>
                <w:highlight w:val="none"/>
                <w:u w:val="none"/>
              </w:rPr>
            </w:pPr>
            <w:r>
              <w:rPr>
                <w:rFonts w:hint="eastAsia" w:ascii="宋体" w:hAnsi="宋体" w:cs="仿宋"/>
                <w:color w:val="auto"/>
                <w:highlight w:val="none"/>
                <w:u w:val="none"/>
                <w:lang w:val="en-US" w:eastAsia="zh-CN"/>
              </w:rPr>
              <w:t>人员</w:t>
            </w:r>
            <w:r>
              <w:rPr>
                <w:rFonts w:hint="eastAsia" w:ascii="宋体" w:hAnsi="宋体" w:cs="仿宋"/>
                <w:color w:val="auto"/>
                <w:highlight w:val="none"/>
                <w:u w:val="none"/>
              </w:rPr>
              <w:t>管理</w:t>
            </w:r>
            <w:r>
              <w:rPr>
                <w:rFonts w:hint="eastAsia" w:ascii="宋体" w:hAnsi="宋体" w:cs="仿宋"/>
                <w:color w:val="auto"/>
                <w:highlight w:val="none"/>
                <w:u w:val="none"/>
                <w:lang w:val="en-US" w:eastAsia="zh-CN"/>
              </w:rPr>
              <w:t>方案</w:t>
            </w:r>
            <w:r>
              <w:rPr>
                <w:rFonts w:hint="eastAsia" w:ascii="宋体" w:hAnsi="宋体" w:cs="仿宋"/>
                <w:color w:val="auto"/>
                <w:highlight w:val="none"/>
                <w:u w:val="none"/>
              </w:rPr>
              <w:t>、培训</w:t>
            </w:r>
            <w:r>
              <w:rPr>
                <w:rFonts w:hint="eastAsia" w:ascii="宋体" w:hAnsi="宋体" w:cs="仿宋"/>
                <w:color w:val="auto"/>
                <w:highlight w:val="none"/>
                <w:u w:val="none"/>
                <w:lang w:val="en-US" w:eastAsia="zh-CN"/>
              </w:rPr>
              <w:t>方案和</w:t>
            </w:r>
            <w:r>
              <w:rPr>
                <w:rFonts w:hint="eastAsia" w:ascii="宋体" w:hAnsi="宋体" w:cs="仿宋"/>
                <w:color w:val="auto"/>
                <w:highlight w:val="none"/>
                <w:u w:val="none"/>
              </w:rPr>
              <w:t>考核</w:t>
            </w:r>
            <w:r>
              <w:rPr>
                <w:rFonts w:hint="eastAsia" w:ascii="宋体" w:hAnsi="宋体" w:cs="仿宋"/>
                <w:color w:val="auto"/>
                <w:highlight w:val="none"/>
                <w:u w:val="none"/>
                <w:lang w:val="en-US" w:eastAsia="zh-CN"/>
              </w:rPr>
              <w:t>方案的完善性、可行性</w:t>
            </w:r>
            <w:r>
              <w:rPr>
                <w:rFonts w:hint="eastAsia" w:ascii="宋体" w:hAnsi="宋体" w:cs="仿宋"/>
                <w:color w:val="auto"/>
                <w:highlight w:val="none"/>
                <w:u w:val="none"/>
              </w:rPr>
              <w:t>。</w:t>
            </w:r>
          </w:p>
          <w:p>
            <w:pPr>
              <w:spacing w:line="440" w:lineRule="exact"/>
              <w:rPr>
                <w:rFonts w:ascii="宋体" w:hAnsi="宋体"/>
                <w:color w:val="auto"/>
                <w:szCs w:val="21"/>
                <w:highlight w:val="none"/>
                <w:u w:val="none"/>
              </w:rPr>
            </w:pPr>
            <w:r>
              <w:rPr>
                <w:rFonts w:hint="eastAsia" w:ascii="宋体" w:hAnsi="宋体"/>
                <w:color w:val="auto"/>
                <w:szCs w:val="21"/>
                <w:highlight w:val="none"/>
                <w:u w:val="none"/>
              </w:rPr>
              <w:t>评审标准：</w:t>
            </w:r>
          </w:p>
          <w:p>
            <w:pPr>
              <w:numPr>
                <w:ilvl w:val="0"/>
                <w:numId w:val="7"/>
              </w:numPr>
              <w:spacing w:line="440" w:lineRule="exact"/>
              <w:ind w:firstLine="0"/>
              <w:rPr>
                <w:rFonts w:hint="eastAsia" w:ascii="宋体" w:hAnsi="宋体"/>
                <w:color w:val="auto"/>
                <w:szCs w:val="21"/>
                <w:highlight w:val="none"/>
                <w:u w:val="none"/>
              </w:rPr>
            </w:pPr>
            <w:r>
              <w:rPr>
                <w:rFonts w:hint="eastAsia" w:ascii="宋体" w:hAnsi="宋体"/>
                <w:color w:val="auto"/>
                <w:szCs w:val="21"/>
                <w:highlight w:val="none"/>
                <w:u w:val="none"/>
              </w:rPr>
              <w:t>内容完善、合理、充实，可行性强的得</w:t>
            </w:r>
            <w:r>
              <w:rPr>
                <w:rFonts w:hint="eastAsia" w:ascii="宋体" w:hAnsi="宋体"/>
                <w:color w:val="auto"/>
                <w:szCs w:val="21"/>
                <w:highlight w:val="none"/>
                <w:u w:val="none"/>
                <w:lang w:val="en-US" w:eastAsia="zh-CN"/>
              </w:rPr>
              <w:t>5</w:t>
            </w:r>
            <w:r>
              <w:rPr>
                <w:rFonts w:hint="eastAsia" w:ascii="宋体" w:hAnsi="宋体"/>
                <w:color w:val="auto"/>
                <w:szCs w:val="21"/>
                <w:highlight w:val="none"/>
                <w:u w:val="none"/>
              </w:rPr>
              <w:t>分；</w:t>
            </w:r>
          </w:p>
          <w:p>
            <w:pPr>
              <w:numPr>
                <w:ilvl w:val="0"/>
                <w:numId w:val="7"/>
              </w:numPr>
              <w:spacing w:line="440" w:lineRule="exact"/>
              <w:ind w:firstLine="0"/>
              <w:rPr>
                <w:rFonts w:hint="eastAsia" w:ascii="宋体" w:hAnsi="宋体"/>
                <w:color w:val="auto"/>
                <w:szCs w:val="21"/>
                <w:highlight w:val="none"/>
                <w:u w:val="none"/>
              </w:rPr>
            </w:pPr>
            <w:r>
              <w:rPr>
                <w:rFonts w:hint="eastAsia" w:ascii="宋体" w:hAnsi="宋体"/>
                <w:color w:val="auto"/>
                <w:szCs w:val="21"/>
                <w:highlight w:val="none"/>
                <w:u w:val="none"/>
              </w:rPr>
              <w:t>内容基本完善、合理，有一定可行性的得</w:t>
            </w:r>
            <w:r>
              <w:rPr>
                <w:rFonts w:hint="eastAsia" w:ascii="宋体" w:hAnsi="宋体"/>
                <w:color w:val="auto"/>
                <w:szCs w:val="21"/>
                <w:highlight w:val="none"/>
                <w:u w:val="none"/>
                <w:lang w:val="en-US" w:eastAsia="zh-CN"/>
              </w:rPr>
              <w:t>3</w:t>
            </w:r>
            <w:r>
              <w:rPr>
                <w:rFonts w:hint="eastAsia" w:ascii="宋体" w:hAnsi="宋体"/>
                <w:color w:val="auto"/>
                <w:szCs w:val="21"/>
                <w:highlight w:val="none"/>
                <w:u w:val="none"/>
              </w:rPr>
              <w:t>分；</w:t>
            </w:r>
          </w:p>
          <w:p>
            <w:pPr>
              <w:numPr>
                <w:ilvl w:val="0"/>
                <w:numId w:val="7"/>
              </w:numPr>
              <w:spacing w:line="440" w:lineRule="exact"/>
              <w:ind w:firstLine="0"/>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u w:val="none"/>
              </w:rPr>
              <w:t>内容过于简单，缺乏合理性、可行性，得</w:t>
            </w:r>
            <w:r>
              <w:rPr>
                <w:rFonts w:hint="eastAsia" w:ascii="宋体" w:hAnsi="宋体"/>
                <w:color w:val="auto"/>
                <w:szCs w:val="21"/>
                <w:highlight w:val="none"/>
                <w:u w:val="none"/>
                <w:lang w:val="en-US" w:eastAsia="zh-CN"/>
              </w:rPr>
              <w:t>1</w:t>
            </w:r>
            <w:r>
              <w:rPr>
                <w:rFonts w:hint="eastAsia" w:ascii="宋体" w:hAnsi="宋体"/>
                <w:color w:val="auto"/>
                <w:szCs w:val="21"/>
                <w:highlight w:val="none"/>
                <w:u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5" w:hRule="atLeast"/>
        </w:trPr>
        <w:tc>
          <w:tcPr>
            <w:tcW w:w="618" w:type="dxa"/>
            <w:vMerge w:val="continue"/>
            <w:tcBorders>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color w:val="auto"/>
                <w:szCs w:val="21"/>
                <w:highlight w:val="none"/>
              </w:rPr>
            </w:pPr>
            <w:r>
              <w:rPr>
                <w:rFonts w:hint="eastAsia" w:ascii="宋体" w:hAnsi="宋体"/>
                <w:color w:val="auto"/>
                <w:szCs w:val="21"/>
                <w:highlight w:val="none"/>
                <w:u w:val="none"/>
              </w:rPr>
              <w:t>拟投入设备</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highlight w:val="none"/>
                <w:u w:val="none"/>
                <w:lang w:val="en-US" w:eastAsia="zh-CN"/>
              </w:rPr>
              <w:t>5</w:t>
            </w:r>
          </w:p>
        </w:tc>
        <w:tc>
          <w:tcPr>
            <w:tcW w:w="4736" w:type="dxa"/>
            <w:tcBorders>
              <w:top w:val="single" w:color="auto" w:sz="4" w:space="0"/>
              <w:left w:val="single" w:color="auto" w:sz="4" w:space="0"/>
              <w:right w:val="single" w:color="auto" w:sz="4" w:space="0"/>
            </w:tcBorders>
            <w:vAlign w:val="top"/>
          </w:tcPr>
          <w:p>
            <w:pPr>
              <w:spacing w:line="440" w:lineRule="exact"/>
              <w:ind w:firstLine="420" w:firstLineChars="200"/>
              <w:rPr>
                <w:rFonts w:hint="eastAsia" w:ascii="宋体" w:hAnsi="宋体" w:eastAsia="宋体"/>
                <w:color w:val="auto"/>
                <w:highlight w:val="none"/>
                <w:u w:val="none"/>
                <w:lang w:val="en-US" w:eastAsia="zh-CN"/>
              </w:rPr>
            </w:pPr>
            <w:r>
              <w:rPr>
                <w:rFonts w:hint="eastAsia" w:ascii="宋体" w:hAnsi="宋体"/>
                <w:color w:val="auto"/>
                <w:highlight w:val="none"/>
                <w:u w:val="none"/>
              </w:rPr>
              <w:t>拟投入垃圾清运车辆、</w:t>
            </w:r>
            <w:r>
              <w:rPr>
                <w:rFonts w:hint="eastAsia" w:ascii="宋体" w:hAnsi="宋体"/>
                <w:color w:val="auto"/>
                <w:highlight w:val="none"/>
                <w:u w:val="none"/>
                <w:lang w:val="en-US" w:eastAsia="zh-CN"/>
              </w:rPr>
              <w:t>洗</w:t>
            </w:r>
            <w:r>
              <w:rPr>
                <w:rFonts w:hint="eastAsia" w:ascii="宋体" w:hAnsi="宋体"/>
                <w:color w:val="auto"/>
                <w:highlight w:val="none"/>
                <w:u w:val="none"/>
              </w:rPr>
              <w:t>扫设备</w:t>
            </w:r>
            <w:r>
              <w:rPr>
                <w:rFonts w:hint="eastAsia" w:ascii="宋体" w:hAnsi="宋体"/>
                <w:color w:val="auto"/>
                <w:highlight w:val="none"/>
                <w:u w:val="none"/>
                <w:lang w:val="en-US" w:eastAsia="zh-CN"/>
              </w:rPr>
              <w:t>等</w:t>
            </w:r>
            <w:r>
              <w:rPr>
                <w:rFonts w:hint="eastAsia" w:ascii="宋体" w:hAnsi="宋体" w:cs="仿宋"/>
                <w:color w:val="auto"/>
                <w:highlight w:val="none"/>
                <w:u w:val="none"/>
              </w:rPr>
              <w:t>配置情况</w:t>
            </w:r>
            <w:r>
              <w:rPr>
                <w:rFonts w:hint="eastAsia" w:ascii="宋体" w:hAnsi="宋体"/>
                <w:color w:val="auto"/>
                <w:highlight w:val="none"/>
                <w:u w:val="none"/>
                <w:lang w:eastAsia="zh-CN"/>
              </w:rPr>
              <w:t>。</w:t>
            </w:r>
          </w:p>
          <w:p>
            <w:pPr>
              <w:spacing w:line="440" w:lineRule="exact"/>
              <w:ind w:firstLine="420" w:firstLineChars="200"/>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每提供1辆</w:t>
            </w:r>
            <w:r>
              <w:rPr>
                <w:rFonts w:hint="eastAsia" w:cs="Times New Roman"/>
                <w:color w:val="auto"/>
                <w:highlight w:val="none"/>
                <w:u w:val="none"/>
                <w:lang w:val="en-US" w:eastAsia="zh-CN"/>
              </w:rPr>
              <w:t>垃圾</w:t>
            </w:r>
            <w:r>
              <w:rPr>
                <w:rFonts w:hint="eastAsia" w:ascii="宋体" w:hAnsi="宋体"/>
                <w:color w:val="auto"/>
                <w:highlight w:val="none"/>
                <w:u w:val="none"/>
              </w:rPr>
              <w:t>清运</w:t>
            </w:r>
            <w:r>
              <w:rPr>
                <w:rFonts w:hint="eastAsia" w:ascii="Times New Roman" w:hAnsi="Times New Roman" w:eastAsia="宋体" w:cs="Times New Roman"/>
                <w:color w:val="auto"/>
                <w:highlight w:val="none"/>
                <w:u w:val="none"/>
              </w:rPr>
              <w:t>车辆发票或租赁协议得</w:t>
            </w:r>
            <w:r>
              <w:rPr>
                <w:rFonts w:hint="eastAsia" w:cs="Times New Roman"/>
                <w:color w:val="auto"/>
                <w:highlight w:val="none"/>
                <w:u w:val="none"/>
                <w:lang w:val="en-US" w:eastAsia="zh-CN"/>
              </w:rPr>
              <w:t>1</w:t>
            </w:r>
            <w:r>
              <w:rPr>
                <w:rFonts w:hint="eastAsia" w:ascii="Times New Roman" w:hAnsi="Times New Roman" w:eastAsia="宋体" w:cs="Times New Roman"/>
                <w:color w:val="auto"/>
                <w:highlight w:val="none"/>
                <w:u w:val="none"/>
              </w:rPr>
              <w:t>分，最高得</w:t>
            </w:r>
            <w:r>
              <w:rPr>
                <w:rFonts w:hint="eastAsia" w:cs="Times New Roman"/>
                <w:color w:val="auto"/>
                <w:highlight w:val="none"/>
                <w:u w:val="none"/>
                <w:lang w:val="en-US" w:eastAsia="zh-CN"/>
              </w:rPr>
              <w:t>2</w:t>
            </w:r>
            <w:r>
              <w:rPr>
                <w:rFonts w:hint="eastAsia" w:ascii="Times New Roman" w:hAnsi="Times New Roman" w:eastAsia="宋体" w:cs="Times New Roman"/>
                <w:color w:val="auto"/>
                <w:highlight w:val="none"/>
                <w:u w:val="none"/>
              </w:rPr>
              <w:t>分；</w:t>
            </w:r>
          </w:p>
          <w:p>
            <w:pPr>
              <w:spacing w:line="440" w:lineRule="exact"/>
              <w:ind w:firstLine="420" w:firstLineChars="200"/>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每提供1台</w:t>
            </w:r>
            <w:r>
              <w:rPr>
                <w:rFonts w:hint="eastAsia"/>
                <w:color w:val="auto"/>
                <w:szCs w:val="21"/>
                <w:highlight w:val="none"/>
              </w:rPr>
              <w:t>道路洗扫车、洗地机</w:t>
            </w:r>
            <w:r>
              <w:rPr>
                <w:rFonts w:hint="eastAsia" w:cs="Times New Roman"/>
                <w:color w:val="auto"/>
                <w:highlight w:val="none"/>
                <w:u w:val="none"/>
                <w:lang w:val="en-US" w:eastAsia="zh-CN"/>
              </w:rPr>
              <w:t>等</w:t>
            </w:r>
            <w:r>
              <w:rPr>
                <w:rFonts w:hint="eastAsia" w:ascii="Times New Roman" w:hAnsi="Times New Roman" w:eastAsia="宋体" w:cs="Times New Roman"/>
                <w:color w:val="auto"/>
                <w:highlight w:val="none"/>
                <w:u w:val="none"/>
              </w:rPr>
              <w:t>设备发票或租赁协议得</w:t>
            </w:r>
            <w:r>
              <w:rPr>
                <w:rFonts w:hint="eastAsia" w:cs="Times New Roman"/>
                <w:color w:val="auto"/>
                <w:highlight w:val="none"/>
                <w:u w:val="none"/>
                <w:lang w:val="en-US" w:eastAsia="zh-CN"/>
              </w:rPr>
              <w:t>0.5</w:t>
            </w:r>
            <w:r>
              <w:rPr>
                <w:rFonts w:hint="eastAsia" w:ascii="Times New Roman" w:hAnsi="Times New Roman" w:eastAsia="宋体" w:cs="Times New Roman"/>
                <w:color w:val="auto"/>
                <w:highlight w:val="none"/>
                <w:u w:val="none"/>
              </w:rPr>
              <w:t>分，最高得</w:t>
            </w:r>
            <w:r>
              <w:rPr>
                <w:rFonts w:hint="eastAsia" w:cs="Times New Roman"/>
                <w:color w:val="auto"/>
                <w:highlight w:val="none"/>
                <w:u w:val="none"/>
                <w:lang w:val="en-US" w:eastAsia="zh-CN"/>
              </w:rPr>
              <w:t>3</w:t>
            </w:r>
            <w:r>
              <w:rPr>
                <w:rFonts w:hint="eastAsia" w:ascii="Times New Roman" w:hAnsi="Times New Roman" w:eastAsia="宋体" w:cs="Times New Roman"/>
                <w:color w:val="auto"/>
                <w:highlight w:val="none"/>
                <w:u w:val="none"/>
              </w:rPr>
              <w:t>分。</w:t>
            </w:r>
          </w:p>
          <w:p>
            <w:pPr>
              <w:spacing w:line="440" w:lineRule="exact"/>
              <w:ind w:firstLine="420" w:firstLineChars="200"/>
              <w:rPr>
                <w:rFonts w:ascii="宋体" w:hAnsi="宋体"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highlight w:val="none"/>
                <w:u w:val="none"/>
              </w:rPr>
              <w:t>提供相关证件扫描件。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pPr>
              <w:spacing w:line="440" w:lineRule="exact"/>
              <w:ind w:right="-134" w:rightChars="-64"/>
              <w:jc w:val="center"/>
              <w:rPr>
                <w:rFonts w:ascii="宋体" w:hAnsi="宋体"/>
                <w:b/>
                <w:color w:val="auto"/>
                <w:szCs w:val="21"/>
                <w:highlight w:val="none"/>
              </w:rPr>
            </w:pPr>
            <w:r>
              <w:rPr>
                <w:rFonts w:hint="eastAsia" w:ascii="宋体" w:hAnsi="宋体"/>
                <w:b/>
                <w:color w:val="auto"/>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评标报告</w:t>
            </w:r>
          </w:p>
          <w:p>
            <w:pPr>
              <w:spacing w:line="440" w:lineRule="exact"/>
              <w:jc w:val="center"/>
              <w:rPr>
                <w:rFonts w:ascii="宋体" w:hAnsi="宋体"/>
                <w:color w:val="auto"/>
                <w:szCs w:val="21"/>
                <w:highlight w:val="none"/>
              </w:rPr>
            </w:pPr>
            <w:r>
              <w:rPr>
                <w:rFonts w:hint="eastAsia" w:ascii="宋体" w:hAnsi="宋体"/>
                <w:color w:val="auto"/>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评标委员会应参照评标报告样本编制评标报告。</w:t>
            </w:r>
          </w:p>
          <w:p>
            <w:pPr>
              <w:spacing w:line="440" w:lineRule="exact"/>
              <w:jc w:val="center"/>
              <w:rPr>
                <w:rFonts w:ascii="宋体" w:hAnsi="宋体"/>
                <w:color w:val="auto"/>
                <w:szCs w:val="21"/>
                <w:highlight w:val="none"/>
              </w:rPr>
            </w:pPr>
            <w:r>
              <w:rPr>
                <w:rFonts w:hint="eastAsia" w:ascii="宋体" w:hAnsi="宋体"/>
                <w:color w:val="auto"/>
                <w:szCs w:val="21"/>
                <w:highlight w:val="none"/>
              </w:rPr>
              <w:t>内容详见本章附件B：评标报告（样本）</w:t>
            </w:r>
          </w:p>
        </w:tc>
      </w:tr>
    </w:tbl>
    <w:p>
      <w:pPr>
        <w:spacing w:line="400" w:lineRule="exact"/>
        <w:rPr>
          <w:rFonts w:ascii="宋体" w:hAnsi="宋体"/>
          <w:color w:val="auto"/>
          <w:highlight w:val="none"/>
        </w:rPr>
      </w:pPr>
    </w:p>
    <w:p>
      <w:pPr>
        <w:spacing w:line="400" w:lineRule="exact"/>
        <w:rPr>
          <w:rFonts w:ascii="宋体" w:hAnsi="宋体"/>
          <w:color w:val="auto"/>
          <w:highlight w:val="none"/>
        </w:rPr>
      </w:pPr>
    </w:p>
    <w:p>
      <w:pPr>
        <w:pStyle w:val="7"/>
        <w:rPr>
          <w:rFonts w:ascii="宋体" w:hAnsi="宋体" w:eastAsia="宋体"/>
          <w:color w:val="auto"/>
          <w:highlight w:val="none"/>
        </w:rPr>
      </w:pPr>
      <w:bookmarkStart w:id="536" w:name="_Toc338840239"/>
      <w:bookmarkStart w:id="537" w:name="_Toc346523477"/>
      <w:bookmarkStart w:id="538" w:name="_Toc246996986"/>
      <w:bookmarkStart w:id="539" w:name="_Toc144974567"/>
      <w:bookmarkStart w:id="540" w:name="_Toc246996243"/>
      <w:bookmarkStart w:id="541" w:name="_Toc494093440"/>
      <w:bookmarkStart w:id="542" w:name="_Toc152042377"/>
      <w:bookmarkStart w:id="543" w:name="_Toc494526412"/>
      <w:bookmarkStart w:id="544" w:name="_Toc338840493"/>
      <w:bookmarkStart w:id="545" w:name="_Toc346523414"/>
      <w:bookmarkStart w:id="546" w:name="_Toc338840454"/>
      <w:bookmarkStart w:id="547" w:name="_Toc247085758"/>
      <w:bookmarkStart w:id="548" w:name="_Toc179632618"/>
      <w:bookmarkStart w:id="549" w:name="_Toc152045600"/>
      <w:r>
        <w:rPr>
          <w:rFonts w:hint="eastAsia" w:ascii="宋体" w:hAnsi="宋体" w:eastAsia="宋体"/>
          <w:color w:val="auto"/>
          <w:highlight w:val="none"/>
        </w:rPr>
        <w:br w:type="page"/>
      </w:r>
      <w:bookmarkStart w:id="550" w:name="_Toc25996"/>
      <w:bookmarkStart w:id="551" w:name="_Toc9899"/>
      <w:bookmarkStart w:id="552" w:name="_Toc30330"/>
      <w:bookmarkStart w:id="553" w:name="_Toc5999"/>
      <w:r>
        <w:rPr>
          <w:rFonts w:hint="eastAsia" w:ascii="宋体" w:hAnsi="宋体" w:eastAsia="宋体"/>
          <w:color w:val="auto"/>
          <w:highlight w:val="none"/>
        </w:rPr>
        <w:t>1. 评标方法</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spacing w:line="400" w:lineRule="exact"/>
        <w:ind w:firstLine="420" w:firstLineChars="200"/>
        <w:rPr>
          <w:rFonts w:ascii="宋体" w:hAnsi="宋体"/>
          <w:color w:val="auto"/>
          <w:highlight w:val="none"/>
        </w:rPr>
      </w:pPr>
      <w:r>
        <w:rPr>
          <w:rFonts w:hint="eastAsia" w:ascii="宋体" w:hAnsi="宋体"/>
          <w:color w:val="auto"/>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pPr>
        <w:pStyle w:val="7"/>
        <w:rPr>
          <w:rFonts w:ascii="宋体" w:hAnsi="宋体" w:eastAsia="宋体"/>
          <w:color w:val="auto"/>
          <w:highlight w:val="none"/>
        </w:rPr>
      </w:pPr>
      <w:bookmarkStart w:id="554" w:name="_Toc338840240"/>
      <w:bookmarkStart w:id="555" w:name="_Toc26043"/>
      <w:bookmarkStart w:id="556" w:name="_Toc247085759"/>
      <w:bookmarkStart w:id="557" w:name="_Toc338840455"/>
      <w:bookmarkStart w:id="558" w:name="_Toc346523415"/>
      <w:bookmarkStart w:id="559" w:name="_Toc494093441"/>
      <w:bookmarkStart w:id="560" w:name="_Toc152045601"/>
      <w:bookmarkStart w:id="561" w:name="_Toc338840494"/>
      <w:bookmarkStart w:id="562" w:name="_Toc10387"/>
      <w:bookmarkStart w:id="563" w:name="_Toc5539"/>
      <w:bookmarkStart w:id="564" w:name="_Toc152042378"/>
      <w:bookmarkStart w:id="565" w:name="_Toc25915"/>
      <w:bookmarkStart w:id="566" w:name="_Toc246996987"/>
      <w:bookmarkStart w:id="567" w:name="_Toc346523478"/>
      <w:bookmarkStart w:id="568" w:name="_Toc179632619"/>
      <w:bookmarkStart w:id="569" w:name="_Toc246996244"/>
      <w:bookmarkStart w:id="570" w:name="_Toc494526413"/>
      <w:bookmarkStart w:id="571" w:name="_Toc144974568"/>
      <w:r>
        <w:rPr>
          <w:rFonts w:hint="eastAsia" w:ascii="宋体" w:hAnsi="宋体" w:eastAsia="宋体"/>
          <w:color w:val="auto"/>
          <w:highlight w:val="none"/>
        </w:rPr>
        <w:t>2. 评审标准</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pPr>
        <w:pStyle w:val="8"/>
        <w:rPr>
          <w:rFonts w:ascii="宋体" w:hAnsi="宋体"/>
          <w:color w:val="auto"/>
          <w:highlight w:val="none"/>
        </w:rPr>
      </w:pPr>
      <w:bookmarkStart w:id="572" w:name="_Toc246996245"/>
      <w:bookmarkStart w:id="573" w:name="_Toc338840241"/>
      <w:bookmarkStart w:id="574" w:name="_Toc247085760"/>
      <w:bookmarkStart w:id="575" w:name="_Toc152042379"/>
      <w:bookmarkStart w:id="576" w:name="_Toc179632620"/>
      <w:bookmarkStart w:id="577" w:name="_Toc144974569"/>
      <w:bookmarkStart w:id="578" w:name="_Toc152045602"/>
      <w:bookmarkStart w:id="579" w:name="_Toc246996988"/>
      <w:r>
        <w:rPr>
          <w:rFonts w:hint="eastAsia" w:ascii="宋体" w:hAnsi="宋体"/>
          <w:color w:val="auto"/>
          <w:highlight w:val="none"/>
        </w:rPr>
        <w:t>2.1 初步评审标准</w:t>
      </w:r>
      <w:bookmarkEnd w:id="572"/>
      <w:bookmarkEnd w:id="573"/>
      <w:bookmarkEnd w:id="574"/>
      <w:bookmarkEnd w:id="575"/>
      <w:bookmarkEnd w:id="576"/>
      <w:bookmarkEnd w:id="577"/>
      <w:bookmarkEnd w:id="578"/>
      <w:bookmarkEnd w:id="579"/>
    </w:p>
    <w:p>
      <w:pPr>
        <w:spacing w:line="400" w:lineRule="exact"/>
        <w:ind w:firstLine="420" w:firstLineChars="200"/>
        <w:rPr>
          <w:rFonts w:ascii="宋体" w:hAnsi="宋体"/>
          <w:color w:val="auto"/>
          <w:highlight w:val="none"/>
        </w:rPr>
      </w:pPr>
      <w:r>
        <w:rPr>
          <w:rFonts w:hint="eastAsia" w:ascii="宋体" w:hAnsi="宋体"/>
          <w:color w:val="auto"/>
          <w:highlight w:val="none"/>
        </w:rPr>
        <w:t>2.1.1资格审查：见评标办法前附表。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2.1.2符合性审查：见评标办法前附表。</w:t>
      </w:r>
    </w:p>
    <w:p>
      <w:pPr>
        <w:pStyle w:val="8"/>
        <w:rPr>
          <w:rFonts w:ascii="宋体" w:hAnsi="宋体"/>
          <w:color w:val="auto"/>
          <w:highlight w:val="none"/>
        </w:rPr>
      </w:pPr>
      <w:r>
        <w:rPr>
          <w:rFonts w:hint="eastAsia" w:ascii="宋体" w:hAnsi="宋体"/>
          <w:color w:val="auto"/>
          <w:highlight w:val="none"/>
        </w:rPr>
        <w:t>2.2 详细评审标准（分值构成和评分标准）</w:t>
      </w:r>
    </w:p>
    <w:p>
      <w:pPr>
        <w:spacing w:line="400" w:lineRule="exact"/>
        <w:ind w:firstLine="420" w:firstLineChars="200"/>
        <w:rPr>
          <w:rFonts w:ascii="宋体" w:hAnsi="宋体"/>
          <w:color w:val="auto"/>
          <w:highlight w:val="none"/>
        </w:rPr>
      </w:pPr>
      <w:r>
        <w:rPr>
          <w:rFonts w:hint="eastAsia" w:ascii="宋体" w:hAnsi="宋体"/>
          <w:color w:val="auto"/>
          <w:highlight w:val="none"/>
        </w:rPr>
        <w:t>2.2.1分值构成：见评标办法前附表。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2.2.2</w:t>
      </w:r>
      <w:r>
        <w:rPr>
          <w:rFonts w:hint="eastAsia" w:ascii="宋体" w:hAnsi="宋体" w:cs="宋体"/>
          <w:color w:val="auto"/>
          <w:szCs w:val="21"/>
          <w:highlight w:val="none"/>
        </w:rPr>
        <w:t>小型微型企业、监狱企业、残疾人福利性单位</w:t>
      </w:r>
      <w:r>
        <w:rPr>
          <w:rFonts w:hint="eastAsia" w:ascii="宋体" w:hAnsi="宋体"/>
          <w:color w:val="auto"/>
          <w:highlight w:val="none"/>
        </w:rPr>
        <w:t>：见评标办法前附表。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2.2.3投标报价：见评标办法前附表。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2.2.4商务评审内容：见评标办法前附表。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2.2.5技术评审内容：见评标办法前附表。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2.2.6其他评审内容：见评标办法前附表。</w:t>
      </w:r>
    </w:p>
    <w:p>
      <w:pPr>
        <w:pStyle w:val="7"/>
        <w:rPr>
          <w:rFonts w:ascii="宋体" w:hAnsi="宋体" w:eastAsia="宋体"/>
          <w:color w:val="auto"/>
          <w:highlight w:val="none"/>
        </w:rPr>
      </w:pPr>
      <w:bookmarkStart w:id="580" w:name="_Toc338840243"/>
      <w:bookmarkStart w:id="581" w:name="_Toc152042381"/>
      <w:bookmarkStart w:id="582" w:name="_Toc494093442"/>
      <w:bookmarkStart w:id="583" w:name="_Toc144974571"/>
      <w:bookmarkStart w:id="584" w:name="_Toc346523479"/>
      <w:bookmarkStart w:id="585" w:name="_Toc30064"/>
      <w:bookmarkStart w:id="586" w:name="_Toc338840456"/>
      <w:bookmarkStart w:id="587" w:name="_Toc346523416"/>
      <w:bookmarkStart w:id="588" w:name="_Toc338840495"/>
      <w:bookmarkStart w:id="589" w:name="_Toc246996247"/>
      <w:bookmarkStart w:id="590" w:name="_Toc2541"/>
      <w:bookmarkStart w:id="591" w:name="_Toc152045604"/>
      <w:bookmarkStart w:id="592" w:name="_Toc22953"/>
      <w:bookmarkStart w:id="593" w:name="_Toc246996990"/>
      <w:bookmarkStart w:id="594" w:name="_Toc494526414"/>
      <w:bookmarkStart w:id="595" w:name="_Toc4794"/>
      <w:bookmarkStart w:id="596" w:name="_Toc247085762"/>
      <w:bookmarkStart w:id="597" w:name="_Toc179632622"/>
      <w:r>
        <w:rPr>
          <w:rFonts w:hint="eastAsia" w:ascii="宋体" w:hAnsi="宋体" w:eastAsia="宋体"/>
          <w:color w:val="auto"/>
          <w:highlight w:val="none"/>
        </w:rPr>
        <w:t>3. 评标程序</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pPr>
        <w:pStyle w:val="8"/>
        <w:rPr>
          <w:rFonts w:ascii="宋体" w:hAnsi="宋体"/>
          <w:color w:val="auto"/>
          <w:highlight w:val="none"/>
        </w:rPr>
      </w:pPr>
      <w:bookmarkStart w:id="598" w:name="_Toc246996991"/>
      <w:bookmarkStart w:id="599" w:name="_Toc152042382"/>
      <w:bookmarkStart w:id="600" w:name="_Toc246996248"/>
      <w:bookmarkStart w:id="601" w:name="_Toc338840244"/>
      <w:bookmarkStart w:id="602" w:name="_Toc179632623"/>
      <w:bookmarkStart w:id="603" w:name="_Toc152045605"/>
      <w:bookmarkStart w:id="604" w:name="_Toc144974572"/>
      <w:bookmarkStart w:id="605" w:name="_Toc247085763"/>
      <w:r>
        <w:rPr>
          <w:rFonts w:hint="eastAsia" w:ascii="宋体" w:hAnsi="宋体"/>
          <w:color w:val="auto"/>
          <w:highlight w:val="none"/>
        </w:rPr>
        <w:t>3.1 初步评审</w:t>
      </w:r>
      <w:bookmarkEnd w:id="598"/>
      <w:bookmarkEnd w:id="599"/>
      <w:bookmarkEnd w:id="600"/>
      <w:bookmarkEnd w:id="601"/>
      <w:bookmarkEnd w:id="602"/>
      <w:bookmarkEnd w:id="603"/>
      <w:bookmarkEnd w:id="604"/>
      <w:bookmarkEnd w:id="605"/>
    </w:p>
    <w:p>
      <w:pPr>
        <w:spacing w:line="400" w:lineRule="exact"/>
        <w:ind w:firstLine="420" w:firstLineChars="200"/>
        <w:rPr>
          <w:rFonts w:ascii="宋体" w:hAnsi="宋体"/>
          <w:color w:val="auto"/>
          <w:highlight w:val="none"/>
        </w:rPr>
      </w:pPr>
      <w:r>
        <w:rPr>
          <w:rFonts w:hint="eastAsia" w:ascii="宋体" w:hAnsi="宋体"/>
          <w:color w:val="auto"/>
          <w:highlight w:val="none"/>
        </w:rPr>
        <w:t>3.1.1依据本章第2.1款规定的标准对投标文件进行初步评审。有一项不符合资格审查和符合性审查要求的，为无效投标。</w:t>
      </w:r>
    </w:p>
    <w:p>
      <w:pPr>
        <w:spacing w:line="400" w:lineRule="exact"/>
        <w:ind w:firstLine="420" w:firstLineChars="200"/>
        <w:rPr>
          <w:rFonts w:ascii="宋体" w:hAnsi="宋体"/>
          <w:color w:val="auto"/>
          <w:highlight w:val="none"/>
        </w:rPr>
      </w:pPr>
      <w:r>
        <w:rPr>
          <w:rFonts w:hint="eastAsia" w:ascii="宋体" w:hAnsi="宋体"/>
          <w:color w:val="auto"/>
          <w:highlight w:val="none"/>
        </w:rPr>
        <w:t>3.1.2 供应商符合“无效投标条件”的，评标委员会应当否决其投标；</w:t>
      </w:r>
    </w:p>
    <w:p>
      <w:pPr>
        <w:spacing w:line="400" w:lineRule="exact"/>
        <w:ind w:firstLine="420" w:firstLineChars="200"/>
        <w:rPr>
          <w:rFonts w:ascii="宋体" w:hAnsi="宋体"/>
          <w:color w:val="auto"/>
          <w:highlight w:val="none"/>
        </w:rPr>
      </w:pPr>
      <w:r>
        <w:rPr>
          <w:rFonts w:hint="eastAsia" w:ascii="宋体" w:hAnsi="宋体"/>
          <w:color w:val="auto"/>
          <w:highlight w:val="none"/>
        </w:rPr>
        <w:t>3.1.3投标文件报价出现前后不一致的，按照下列规定修正：</w:t>
      </w:r>
    </w:p>
    <w:p>
      <w:pPr>
        <w:spacing w:line="400" w:lineRule="exact"/>
        <w:ind w:firstLine="420" w:firstLineChars="200"/>
        <w:rPr>
          <w:rFonts w:ascii="宋体" w:hAnsi="宋体"/>
          <w:color w:val="auto"/>
          <w:highlight w:val="none"/>
        </w:rPr>
      </w:pPr>
      <w:r>
        <w:rPr>
          <w:rFonts w:hint="eastAsia" w:ascii="宋体" w:hAnsi="宋体"/>
          <w:color w:val="auto"/>
          <w:highlight w:val="none"/>
        </w:rPr>
        <w:t>　　（1）投标文件中投标函内容与投标文件中相应内容不一致的，以投标函为准；</w:t>
      </w:r>
    </w:p>
    <w:p>
      <w:pPr>
        <w:spacing w:line="400" w:lineRule="exact"/>
        <w:ind w:firstLine="420" w:firstLineChars="200"/>
        <w:rPr>
          <w:rFonts w:ascii="宋体" w:hAnsi="宋体"/>
          <w:color w:val="auto"/>
          <w:highlight w:val="none"/>
        </w:rPr>
      </w:pPr>
      <w:r>
        <w:rPr>
          <w:rFonts w:hint="eastAsia" w:ascii="宋体" w:hAnsi="宋体"/>
          <w:color w:val="auto"/>
          <w:highlight w:val="none"/>
        </w:rPr>
        <w:t>　　（2）大写金额和小写金额不一致的，以大写金额为准；</w:t>
      </w:r>
    </w:p>
    <w:p>
      <w:pPr>
        <w:spacing w:line="400" w:lineRule="exact"/>
        <w:ind w:firstLine="420" w:firstLineChars="200"/>
        <w:rPr>
          <w:rFonts w:ascii="宋体" w:hAnsi="宋体"/>
          <w:color w:val="auto"/>
          <w:highlight w:val="none"/>
        </w:rPr>
      </w:pPr>
      <w:r>
        <w:rPr>
          <w:rFonts w:hint="eastAsia" w:ascii="宋体" w:hAnsi="宋体"/>
          <w:color w:val="auto"/>
          <w:highlight w:val="none"/>
        </w:rPr>
        <w:t>　　（3）单价金额小数点或者百分比有明显错位的，以投标函的总价为准，并修改单价；</w:t>
      </w:r>
    </w:p>
    <w:p>
      <w:pPr>
        <w:spacing w:line="400" w:lineRule="exact"/>
        <w:ind w:firstLine="420" w:firstLineChars="200"/>
        <w:rPr>
          <w:rFonts w:ascii="宋体" w:hAnsi="宋体"/>
          <w:color w:val="auto"/>
          <w:highlight w:val="none"/>
        </w:rPr>
      </w:pPr>
      <w:r>
        <w:rPr>
          <w:rFonts w:hint="eastAsia" w:ascii="宋体" w:hAnsi="宋体"/>
          <w:color w:val="auto"/>
          <w:highlight w:val="none"/>
        </w:rPr>
        <w:t>　　（4）总价金额与按单价汇总金额不一致的，以单价金额计算结果为准。</w:t>
      </w:r>
    </w:p>
    <w:p>
      <w:pPr>
        <w:spacing w:line="400" w:lineRule="exact"/>
        <w:ind w:firstLine="420" w:firstLineChars="200"/>
        <w:rPr>
          <w:rFonts w:ascii="宋体" w:hAnsi="宋体"/>
          <w:color w:val="auto"/>
          <w:highlight w:val="none"/>
        </w:rPr>
      </w:pPr>
      <w:r>
        <w:rPr>
          <w:rFonts w:hint="eastAsia" w:ascii="宋体" w:hAnsi="宋体"/>
          <w:color w:val="auto"/>
          <w:highlight w:val="none"/>
        </w:rPr>
        <w:t>同时出现两种以上不一致的，按照前款规定的顺序修正。修正后的报价经供应商确认后产生约束力，供应商不确认的，其投标无效。</w:t>
      </w:r>
    </w:p>
    <w:p>
      <w:pPr>
        <w:pStyle w:val="8"/>
        <w:rPr>
          <w:rFonts w:ascii="宋体" w:hAnsi="宋体"/>
          <w:color w:val="auto"/>
          <w:highlight w:val="none"/>
        </w:rPr>
      </w:pPr>
      <w:bookmarkStart w:id="606" w:name="_Toc152042384"/>
      <w:bookmarkStart w:id="607" w:name="_Toc179632624"/>
      <w:bookmarkStart w:id="608" w:name="_Toc246996992"/>
      <w:bookmarkStart w:id="609" w:name="_Toc246996249"/>
      <w:bookmarkStart w:id="610" w:name="_Toc152045606"/>
      <w:bookmarkStart w:id="611" w:name="_Toc144974573"/>
      <w:bookmarkStart w:id="612" w:name="_Toc338840245"/>
      <w:bookmarkStart w:id="613" w:name="_Toc247085764"/>
      <w:r>
        <w:rPr>
          <w:rFonts w:hint="eastAsia" w:ascii="宋体" w:hAnsi="宋体"/>
          <w:color w:val="auto"/>
          <w:highlight w:val="none"/>
        </w:rPr>
        <w:t>3.2 详细评审</w:t>
      </w:r>
      <w:bookmarkEnd w:id="606"/>
      <w:bookmarkEnd w:id="607"/>
      <w:bookmarkEnd w:id="608"/>
      <w:bookmarkEnd w:id="609"/>
      <w:bookmarkEnd w:id="610"/>
      <w:bookmarkEnd w:id="611"/>
      <w:bookmarkEnd w:id="612"/>
      <w:bookmarkEnd w:id="613"/>
    </w:p>
    <w:p>
      <w:pPr>
        <w:spacing w:line="400" w:lineRule="exact"/>
        <w:ind w:firstLine="420" w:firstLineChars="200"/>
        <w:rPr>
          <w:rFonts w:ascii="宋体" w:hAnsi="宋体"/>
          <w:color w:val="auto"/>
          <w:highlight w:val="none"/>
        </w:rPr>
      </w:pPr>
      <w:r>
        <w:rPr>
          <w:rFonts w:hint="eastAsia" w:ascii="宋体" w:hAnsi="宋体"/>
          <w:color w:val="auto"/>
          <w:highlight w:val="none"/>
        </w:rPr>
        <w:t>3.2.1评标委员会按照规定的量化因素和分值进行评审打分，详见评标办法前附表。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3.2.2评标委员会发现供应商的报价明显低于其他投标报价，</w:t>
      </w:r>
      <w:r>
        <w:rPr>
          <w:rFonts w:hint="eastAsia" w:ascii="宋体" w:hAnsi="宋体"/>
          <w:color w:val="auto"/>
          <w:szCs w:val="21"/>
          <w:highlight w:val="none"/>
        </w:rPr>
        <w:t>影响产品质量或者不能诚信履约的，</w:t>
      </w:r>
      <w:r>
        <w:rPr>
          <w:rFonts w:hint="eastAsia" w:ascii="宋体" w:hAnsi="宋体"/>
          <w:color w:val="auto"/>
          <w:highlight w:val="none"/>
        </w:rPr>
        <w:t>应当要求该供应商在合理的时间内作出书面说明，必要时提供相应的证明材料。供应商不能合理说明或者不能提供相应证明材料的，为无效投标。</w:t>
      </w:r>
    </w:p>
    <w:p>
      <w:pPr>
        <w:pStyle w:val="8"/>
        <w:rPr>
          <w:rFonts w:ascii="宋体" w:hAnsi="宋体"/>
          <w:color w:val="auto"/>
          <w:highlight w:val="none"/>
        </w:rPr>
      </w:pPr>
      <w:bookmarkStart w:id="614" w:name="_Toc144974575"/>
      <w:bookmarkStart w:id="615" w:name="_Toc338840246"/>
      <w:bookmarkStart w:id="616" w:name="_Toc152045607"/>
      <w:bookmarkStart w:id="617" w:name="_Toc247085765"/>
      <w:bookmarkStart w:id="618" w:name="_Toc152042385"/>
      <w:bookmarkStart w:id="619" w:name="_Toc179632625"/>
      <w:bookmarkStart w:id="620" w:name="_Toc246996250"/>
      <w:bookmarkStart w:id="621" w:name="_Toc246996993"/>
      <w:r>
        <w:rPr>
          <w:rFonts w:hint="eastAsia" w:ascii="宋体" w:hAnsi="宋体"/>
          <w:color w:val="auto"/>
          <w:highlight w:val="none"/>
        </w:rPr>
        <w:t>3.3 投标文件的澄清</w:t>
      </w:r>
      <w:bookmarkEnd w:id="614"/>
      <w:r>
        <w:rPr>
          <w:rFonts w:hint="eastAsia" w:ascii="宋体" w:hAnsi="宋体"/>
          <w:color w:val="auto"/>
          <w:highlight w:val="none"/>
        </w:rPr>
        <w:t>和补正</w:t>
      </w:r>
      <w:bookmarkEnd w:id="615"/>
      <w:bookmarkEnd w:id="616"/>
      <w:bookmarkEnd w:id="617"/>
      <w:bookmarkEnd w:id="618"/>
      <w:bookmarkEnd w:id="619"/>
      <w:bookmarkEnd w:id="620"/>
      <w:bookmarkEnd w:id="621"/>
    </w:p>
    <w:p>
      <w:pPr>
        <w:spacing w:line="400" w:lineRule="exact"/>
        <w:ind w:firstLine="420" w:firstLineChars="200"/>
        <w:rPr>
          <w:rFonts w:ascii="宋体" w:hAnsi="宋体"/>
          <w:color w:val="auto"/>
          <w:highlight w:val="none"/>
        </w:rPr>
      </w:pPr>
      <w:r>
        <w:rPr>
          <w:rFonts w:hint="eastAsia" w:ascii="宋体" w:hAnsi="宋体"/>
          <w:color w:val="auto"/>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pPr>
        <w:spacing w:line="400" w:lineRule="exact"/>
        <w:ind w:firstLine="420" w:firstLineChars="200"/>
        <w:rPr>
          <w:rFonts w:ascii="宋体" w:hAnsi="宋体"/>
          <w:color w:val="auto"/>
          <w:highlight w:val="none"/>
        </w:rPr>
      </w:pPr>
      <w:r>
        <w:rPr>
          <w:rFonts w:hint="eastAsia" w:ascii="宋体" w:hAnsi="宋体"/>
          <w:color w:val="auto"/>
          <w:highlight w:val="none"/>
        </w:rPr>
        <w:t>3.3.2 澄清、说明和补正不得改变投标文件的实质性内容。供应商的书面澄清、说明和补正属于投标文件的组成部分。</w:t>
      </w:r>
    </w:p>
    <w:p>
      <w:pPr>
        <w:spacing w:line="400" w:lineRule="exact"/>
        <w:ind w:firstLine="420" w:firstLineChars="200"/>
        <w:rPr>
          <w:rFonts w:ascii="宋体" w:hAnsi="宋体"/>
          <w:color w:val="auto"/>
          <w:highlight w:val="none"/>
        </w:rPr>
      </w:pPr>
      <w:r>
        <w:rPr>
          <w:rFonts w:hint="eastAsia" w:ascii="宋体" w:hAnsi="宋体"/>
          <w:color w:val="auto"/>
          <w:highlight w:val="none"/>
        </w:rPr>
        <w:t>3.3.3 评标委员会对供应商提交的澄清、说明或补正有疑问的，可以要求供应商进一步澄清、说明或补正，直至满足评标委员会的要求。</w:t>
      </w:r>
    </w:p>
    <w:p>
      <w:pPr>
        <w:pStyle w:val="8"/>
        <w:rPr>
          <w:rFonts w:ascii="宋体" w:hAnsi="宋体"/>
          <w:color w:val="auto"/>
          <w:highlight w:val="none"/>
        </w:rPr>
      </w:pPr>
      <w:bookmarkStart w:id="622" w:name="_Toc152045608"/>
      <w:bookmarkStart w:id="623" w:name="_Toc144974576"/>
      <w:bookmarkStart w:id="624" w:name="_Toc152042386"/>
      <w:bookmarkStart w:id="625" w:name="_Toc338840247"/>
      <w:bookmarkStart w:id="626" w:name="_Toc247085766"/>
      <w:bookmarkStart w:id="627" w:name="_Toc246996994"/>
      <w:bookmarkStart w:id="628" w:name="_Toc179632626"/>
      <w:bookmarkStart w:id="629" w:name="_Toc246996251"/>
      <w:r>
        <w:rPr>
          <w:rFonts w:hint="eastAsia" w:ascii="宋体" w:hAnsi="宋体"/>
          <w:color w:val="auto"/>
          <w:highlight w:val="none"/>
        </w:rPr>
        <w:t>3.4 评标结果</w:t>
      </w:r>
      <w:bookmarkEnd w:id="622"/>
      <w:bookmarkEnd w:id="623"/>
      <w:bookmarkEnd w:id="624"/>
      <w:bookmarkEnd w:id="625"/>
      <w:bookmarkEnd w:id="626"/>
      <w:bookmarkEnd w:id="627"/>
      <w:bookmarkEnd w:id="628"/>
      <w:bookmarkEnd w:id="629"/>
    </w:p>
    <w:p>
      <w:pPr>
        <w:spacing w:line="400" w:lineRule="exact"/>
        <w:ind w:firstLine="420" w:firstLineChars="200"/>
        <w:rPr>
          <w:rFonts w:ascii="宋体" w:hAnsi="宋体"/>
          <w:color w:val="auto"/>
          <w:highlight w:val="none"/>
        </w:rPr>
      </w:pPr>
      <w:r>
        <w:rPr>
          <w:rFonts w:hint="eastAsia" w:ascii="宋体" w:hAnsi="宋体"/>
          <w:color w:val="auto"/>
          <w:highlight w:val="none"/>
        </w:rPr>
        <w:t>3.4.1除第二章“供应商须知”前附表授权直接确定中标人外，评标委员会按照规定推荐中标候选人。</w:t>
      </w:r>
    </w:p>
    <w:p>
      <w:pPr>
        <w:spacing w:line="400" w:lineRule="exact"/>
        <w:ind w:firstLine="420" w:firstLineChars="200"/>
        <w:rPr>
          <w:rFonts w:ascii="宋体" w:hAnsi="宋体"/>
          <w:color w:val="auto"/>
          <w:highlight w:val="none"/>
        </w:rPr>
      </w:pPr>
      <w:r>
        <w:rPr>
          <w:rFonts w:hint="eastAsia" w:ascii="宋体" w:hAnsi="宋体"/>
          <w:color w:val="auto"/>
          <w:highlight w:val="none"/>
        </w:rPr>
        <w:t>3.4.2 评标委员会完成评标后，应当向采购人提交书面评标报告。</w:t>
      </w:r>
    </w:p>
    <w:p>
      <w:pPr>
        <w:spacing w:line="400" w:lineRule="exact"/>
        <w:rPr>
          <w:rFonts w:ascii="宋体" w:hAnsi="宋体"/>
          <w:color w:val="auto"/>
          <w:highlight w:val="none"/>
        </w:rPr>
      </w:pPr>
    </w:p>
    <w:p>
      <w:pPr>
        <w:adjustRightInd w:val="0"/>
        <w:snapToGrid w:val="0"/>
        <w:spacing w:line="440" w:lineRule="exact"/>
        <w:outlineLvl w:val="1"/>
        <w:rPr>
          <w:rFonts w:ascii="宋体" w:hAnsi="宋体"/>
          <w:color w:val="auto"/>
          <w:sz w:val="24"/>
          <w:highlight w:val="none"/>
        </w:rPr>
      </w:pPr>
      <w:r>
        <w:rPr>
          <w:rFonts w:ascii="宋体" w:hAnsi="宋体"/>
          <w:color w:val="auto"/>
          <w:highlight w:val="none"/>
        </w:rPr>
        <w:br w:type="page"/>
      </w:r>
      <w:bookmarkStart w:id="630" w:name="_Toc494093443"/>
      <w:bookmarkStart w:id="631" w:name="_Toc346523481"/>
      <w:bookmarkStart w:id="632" w:name="_Toc21307"/>
      <w:bookmarkStart w:id="633" w:name="_Toc19465"/>
      <w:bookmarkStart w:id="634" w:name="_Toc338840458"/>
      <w:bookmarkStart w:id="635" w:name="_Toc338840249"/>
      <w:bookmarkStart w:id="636" w:name="_Toc27082"/>
      <w:bookmarkStart w:id="637" w:name="_Toc346523418"/>
      <w:bookmarkStart w:id="638" w:name="_Toc19784"/>
      <w:bookmarkStart w:id="639" w:name="_Toc494526415"/>
      <w:bookmarkStart w:id="640" w:name="_Toc338840497"/>
      <w:r>
        <w:rPr>
          <w:rFonts w:hint="eastAsia" w:ascii="宋体" w:hAnsi="宋体"/>
          <w:color w:val="auto"/>
          <w:sz w:val="24"/>
          <w:highlight w:val="none"/>
        </w:rPr>
        <w:t>附件</w:t>
      </w:r>
      <w:r>
        <w:rPr>
          <w:rFonts w:hint="eastAsia" w:ascii="宋体" w:hAnsi="宋体"/>
          <w:b/>
          <w:color w:val="auto"/>
          <w:sz w:val="24"/>
          <w:highlight w:val="none"/>
        </w:rPr>
        <w:t>Ａ</w:t>
      </w:r>
      <w:r>
        <w:rPr>
          <w:rFonts w:hint="eastAsia" w:ascii="宋体" w:hAnsi="宋体"/>
          <w:color w:val="auto"/>
          <w:sz w:val="24"/>
          <w:highlight w:val="none"/>
        </w:rPr>
        <w:t>：</w:t>
      </w:r>
      <w:bookmarkEnd w:id="630"/>
      <w:bookmarkEnd w:id="631"/>
      <w:bookmarkEnd w:id="632"/>
      <w:bookmarkEnd w:id="633"/>
      <w:bookmarkEnd w:id="634"/>
      <w:bookmarkEnd w:id="635"/>
      <w:bookmarkEnd w:id="636"/>
      <w:bookmarkEnd w:id="637"/>
      <w:bookmarkEnd w:id="638"/>
      <w:bookmarkEnd w:id="639"/>
      <w:bookmarkEnd w:id="640"/>
      <w:r>
        <w:rPr>
          <w:rFonts w:hint="eastAsia" w:ascii="宋体" w:hAnsi="宋体"/>
          <w:color w:val="auto"/>
          <w:sz w:val="24"/>
          <w:highlight w:val="none"/>
        </w:rPr>
        <w:t xml:space="preserve"> </w:t>
      </w:r>
    </w:p>
    <w:p>
      <w:pPr>
        <w:adjustRightInd w:val="0"/>
        <w:snapToGrid w:val="0"/>
        <w:spacing w:before="312" w:beforeLines="100" w:after="312" w:afterLines="100" w:line="160" w:lineRule="exact"/>
        <w:ind w:firstLine="560" w:firstLineChars="200"/>
        <w:jc w:val="center"/>
        <w:rPr>
          <w:rFonts w:ascii="宋体" w:hAnsi="宋体"/>
          <w:b/>
          <w:color w:val="auto"/>
          <w:szCs w:val="21"/>
          <w:highlight w:val="none"/>
        </w:rPr>
      </w:pPr>
      <w:r>
        <w:rPr>
          <w:rFonts w:hint="eastAsia" w:ascii="宋体" w:hAnsi="宋体"/>
          <w:color w:val="auto"/>
          <w:sz w:val="28"/>
          <w:szCs w:val="28"/>
          <w:highlight w:val="none"/>
        </w:rPr>
        <w:t>无效投标条件</w:t>
      </w:r>
      <w:r>
        <w:rPr>
          <w:rFonts w:hint="eastAsia" w:ascii="宋体" w:hAnsi="宋体"/>
          <w:b/>
          <w:color w:val="auto"/>
          <w:szCs w:val="21"/>
          <w:highlight w:val="none"/>
        </w:rPr>
        <w:t>　</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有下列情形之一的，其投标为无效投标：</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、有第二章“供应商须知”第1.4.2项规定的任何一种情形的。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2 、有下列情形之一，视为供应商串通投标，其投标无效：</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（一）不同供应商的投标文件由同一单位或者个人编制；</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（二）不同供应商委托同一单位或者个人办理投标事宜；</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（三）不同供应商的投标文件载明的项目管理成员或者联系人员为同一人；</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（四）不同供应商的投标文件异常一致或者投标报价呈规律性差异；</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（五）不同供应商的投标文件相互混装；</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（六）不同供应商的投标保证金从同一单位或者个人的账户转出。</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pPr>
        <w:adjustRightInd w:val="0"/>
        <w:snapToGrid w:val="0"/>
        <w:spacing w:line="440" w:lineRule="exact"/>
        <w:ind w:left="420" w:leftChars="200"/>
        <w:rPr>
          <w:rFonts w:ascii="宋体" w:hAnsi="宋体"/>
          <w:color w:val="auto"/>
          <w:szCs w:val="21"/>
          <w:highlight w:val="none"/>
        </w:rPr>
      </w:pPr>
      <w:r>
        <w:rPr>
          <w:rFonts w:hint="eastAsia" w:ascii="宋体" w:hAnsi="宋体"/>
          <w:color w:val="auto"/>
          <w:szCs w:val="21"/>
          <w:highlight w:val="none"/>
        </w:rPr>
        <w:t>4、投标内容不符合采购标的种类和数量要求的。</w:t>
      </w:r>
    </w:p>
    <w:p>
      <w:pPr>
        <w:adjustRightInd w:val="0"/>
        <w:snapToGrid w:val="0"/>
        <w:spacing w:line="440" w:lineRule="exact"/>
        <w:ind w:left="420" w:leftChars="200"/>
        <w:rPr>
          <w:rFonts w:ascii="宋体" w:hAnsi="宋体"/>
          <w:color w:val="auto"/>
          <w:szCs w:val="21"/>
          <w:highlight w:val="none"/>
        </w:rPr>
      </w:pPr>
      <w:r>
        <w:rPr>
          <w:rFonts w:hint="eastAsia" w:ascii="宋体" w:hAnsi="宋体"/>
          <w:color w:val="auto"/>
          <w:szCs w:val="21"/>
          <w:highlight w:val="none"/>
        </w:rPr>
        <w:t>5、投标报价超过招标文件中规定的最高限价的。</w:t>
      </w:r>
    </w:p>
    <w:p>
      <w:pPr>
        <w:adjustRightInd w:val="0"/>
        <w:snapToGrid w:val="0"/>
        <w:spacing w:line="440" w:lineRule="exact"/>
        <w:ind w:left="420" w:leftChars="200"/>
        <w:rPr>
          <w:rFonts w:ascii="宋体" w:hAnsi="宋体"/>
          <w:strike/>
          <w:color w:val="auto"/>
          <w:szCs w:val="21"/>
          <w:highlight w:val="none"/>
        </w:rPr>
      </w:pPr>
      <w:r>
        <w:rPr>
          <w:rFonts w:hint="eastAsia" w:ascii="宋体" w:hAnsi="宋体"/>
          <w:color w:val="auto"/>
          <w:szCs w:val="21"/>
          <w:highlight w:val="none"/>
        </w:rPr>
        <w:t>6、提供虚假材料或伪造材料的。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7、联合体投标者没有提交共同投标协议的。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8、采购人提供证据证明供应商在以往履行与采购人及其所属单位的采购合同时，发生过重大实质性违约且未及时采取合理补救措施的。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9、其他不符合法律、法规规定的。</w:t>
      </w:r>
    </w:p>
    <w:p>
      <w:pPr>
        <w:adjustRightInd w:val="0"/>
        <w:snapToGrid w:val="0"/>
        <w:spacing w:line="440" w:lineRule="exact"/>
        <w:rPr>
          <w:rFonts w:ascii="宋体" w:hAnsi="宋体"/>
          <w:color w:val="auto"/>
          <w:szCs w:val="21"/>
          <w:highlight w:val="none"/>
        </w:rPr>
      </w:pPr>
    </w:p>
    <w:p>
      <w:pPr>
        <w:adjustRightInd w:val="0"/>
        <w:snapToGrid w:val="0"/>
        <w:spacing w:line="440" w:lineRule="exact"/>
        <w:ind w:firstLine="420" w:firstLineChars="200"/>
        <w:rPr>
          <w:rFonts w:ascii="宋体" w:hAnsi="宋体"/>
          <w:b/>
          <w:color w:val="auto"/>
          <w:sz w:val="24"/>
          <w:highlight w:val="none"/>
        </w:rPr>
      </w:pPr>
      <w:r>
        <w:rPr>
          <w:rFonts w:hint="eastAsia" w:ascii="宋体" w:hAnsi="宋体"/>
          <w:color w:val="auto"/>
          <w:szCs w:val="21"/>
          <w:highlight w:val="none"/>
        </w:rPr>
        <w:t>注：以上内容是对采购文件中其他部分无效投标条件的补充。</w:t>
      </w:r>
      <w:r>
        <w:rPr>
          <w:rFonts w:hint="eastAsia" w:ascii="宋体" w:hAnsi="宋体"/>
          <w:b/>
          <w:color w:val="auto"/>
          <w:sz w:val="24"/>
          <w:highlight w:val="none"/>
        </w:rPr>
        <w:br w:type="page"/>
      </w:r>
      <w:r>
        <w:rPr>
          <w:rFonts w:hint="eastAsia" w:ascii="宋体" w:hAnsi="宋体"/>
          <w:b/>
          <w:color w:val="auto"/>
          <w:sz w:val="24"/>
          <w:highlight w:val="none"/>
        </w:rPr>
        <w:t>附件B：</w:t>
      </w:r>
    </w:p>
    <w:p>
      <w:pPr>
        <w:spacing w:line="520" w:lineRule="exact"/>
        <w:jc w:val="center"/>
        <w:rPr>
          <w:b/>
          <w:color w:val="auto"/>
          <w:sz w:val="36"/>
          <w:szCs w:val="36"/>
          <w:highlight w:val="none"/>
        </w:rPr>
      </w:pPr>
      <w:r>
        <w:rPr>
          <w:rFonts w:hint="eastAsia"/>
          <w:b/>
          <w:color w:val="auto"/>
          <w:sz w:val="36"/>
          <w:szCs w:val="36"/>
          <w:highlight w:val="none"/>
        </w:rPr>
        <w:t>评标报告（样本）</w:t>
      </w:r>
    </w:p>
    <w:p>
      <w:pPr>
        <w:spacing w:line="560" w:lineRule="exact"/>
        <w:jc w:val="center"/>
        <w:rPr>
          <w:rFonts w:ascii="仿宋_GB2312" w:eastAsia="仿宋_GB2312"/>
          <w:color w:val="auto"/>
          <w:sz w:val="24"/>
          <w:highlight w:val="none"/>
        </w:rPr>
      </w:pPr>
    </w:p>
    <w:p>
      <w:pPr>
        <w:pStyle w:val="4"/>
        <w:spacing w:line="560" w:lineRule="exact"/>
        <w:ind w:firstLine="470" w:firstLineChars="196"/>
        <w:rPr>
          <w:rFonts w:ascii="仿宋_GB2312" w:eastAsia="仿宋_GB2312"/>
          <w:color w:val="auto"/>
          <w:sz w:val="24"/>
          <w:highlight w:val="none"/>
        </w:rPr>
      </w:pPr>
      <w:r>
        <w:rPr>
          <w:rFonts w:hint="eastAsia" w:ascii="仿宋_GB2312" w:eastAsia="仿宋_GB2312"/>
          <w:color w:val="auto"/>
          <w:sz w:val="24"/>
          <w:highlight w:val="none"/>
        </w:rPr>
        <w:t>一、基本情况。</w:t>
      </w:r>
    </w:p>
    <w:p>
      <w:pPr>
        <w:pStyle w:val="4"/>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项目名称：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w:t>
      </w:r>
    </w:p>
    <w:p>
      <w:pPr>
        <w:pStyle w:val="4"/>
        <w:spacing w:line="560" w:lineRule="exact"/>
        <w:ind w:firstLine="480" w:firstLineChars="200"/>
        <w:rPr>
          <w:rFonts w:ascii="仿宋_GB2312" w:eastAsia="仿宋_GB2312"/>
          <w:color w:val="auto"/>
          <w:sz w:val="24"/>
          <w:highlight w:val="none"/>
          <w:u w:val="single"/>
        </w:rPr>
      </w:pPr>
      <w:r>
        <w:rPr>
          <w:rFonts w:hint="eastAsia" w:ascii="仿宋_GB2312" w:eastAsia="仿宋_GB2312"/>
          <w:color w:val="auto"/>
          <w:sz w:val="24"/>
          <w:highlight w:val="none"/>
        </w:rPr>
        <w:t>项目编号：</w:t>
      </w:r>
      <w:r>
        <w:rPr>
          <w:rFonts w:hint="eastAsia" w:ascii="仿宋_GB2312" w:eastAsia="仿宋_GB2312"/>
          <w:color w:val="auto"/>
          <w:sz w:val="24"/>
          <w:highlight w:val="none"/>
          <w:u w:val="single"/>
        </w:rPr>
        <w:t xml:space="preserve">                        </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评标地点：开封市民之家五楼评标室</w:t>
      </w:r>
    </w:p>
    <w:p>
      <w:pPr>
        <w:spacing w:line="560" w:lineRule="exact"/>
        <w:ind w:firstLine="600"/>
        <w:jc w:val="left"/>
        <w:rPr>
          <w:rFonts w:ascii="仿宋_GB2312" w:eastAsia="仿宋_GB2312"/>
          <w:color w:val="auto"/>
          <w:sz w:val="24"/>
          <w:highlight w:val="none"/>
        </w:rPr>
      </w:pPr>
      <w:r>
        <w:rPr>
          <w:rFonts w:hint="eastAsia" w:ascii="仿宋_GB2312" w:eastAsia="仿宋_GB2312"/>
          <w:color w:val="auto"/>
          <w:sz w:val="24"/>
          <w:highlight w:val="none"/>
        </w:rPr>
        <w:t>本次招标采购于</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日在河南省政府采购网及开封市公共资源交易信息网上发布招标公告，潜在供应商可以通过开封市公共资源交易信息网获取招标文件。</w:t>
      </w:r>
    </w:p>
    <w:p>
      <w:pPr>
        <w:spacing w:line="560" w:lineRule="exact"/>
        <w:ind w:firstLine="446" w:firstLineChars="186"/>
        <w:rPr>
          <w:rFonts w:ascii="仿宋_GB2312" w:eastAsia="仿宋_GB2312"/>
          <w:color w:val="auto"/>
          <w:sz w:val="24"/>
          <w:highlight w:val="none"/>
        </w:rPr>
      </w:pPr>
      <w:r>
        <w:rPr>
          <w:rFonts w:hint="eastAsia" w:ascii="仿宋_GB2312" w:eastAsia="仿宋_GB2312"/>
          <w:color w:val="auto"/>
          <w:sz w:val="24"/>
          <w:highlight w:val="none"/>
        </w:rPr>
        <w:t>投标截止及开标时间为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分，在开封市民之家五楼开标室进行网上开标，共有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个供应商按规定递交投标文件（投标供应商名称详见开标记录表），开标内容详见开标记录。</w:t>
      </w:r>
    </w:p>
    <w:p>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二、评标委员会成员名单。</w:t>
      </w:r>
      <w:r>
        <w:rPr>
          <w:rFonts w:hint="eastAsia" w:ascii="仿宋_GB2312" w:eastAsia="仿宋_GB2312"/>
          <w:color w:val="auto"/>
          <w:sz w:val="24"/>
          <w:highlight w:val="none"/>
        </w:rPr>
        <w:t>采购单位按规定从专家库中随机抽取了评审专家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人（名单：</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），参与评标的采购人代表为：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，上述人员共同组成评标委员会，负责本项目的评标工作(人员名单详见《</w:t>
      </w:r>
      <w:r>
        <w:rPr>
          <w:rFonts w:hint="eastAsia" w:ascii="仿宋_GB2312" w:hAnsi="宋体" w:eastAsia="仿宋_GB2312"/>
          <w:bCs/>
          <w:color w:val="auto"/>
          <w:sz w:val="24"/>
          <w:highlight w:val="none"/>
        </w:rPr>
        <w:t>评委专家抽取结果表》和《评标授权函》</w:t>
      </w:r>
      <w:r>
        <w:rPr>
          <w:rFonts w:hint="eastAsia" w:ascii="仿宋_GB2312" w:eastAsia="仿宋_GB2312"/>
          <w:color w:val="auto"/>
          <w:sz w:val="24"/>
          <w:highlight w:val="none"/>
        </w:rPr>
        <w:t>)。推荐</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为评标委员会主任。</w:t>
      </w:r>
    </w:p>
    <w:p>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三、开标记录。</w:t>
      </w:r>
      <w:r>
        <w:rPr>
          <w:rFonts w:hint="eastAsia" w:ascii="仿宋_GB2312" w:eastAsia="仿宋_GB2312"/>
          <w:color w:val="auto"/>
          <w:sz w:val="24"/>
          <w:highlight w:val="none"/>
        </w:rPr>
        <w:t>另附。</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四、资格审查。</w:t>
      </w:r>
      <w:r>
        <w:rPr>
          <w:rFonts w:hint="eastAsia" w:ascii="仿宋_GB2312" w:eastAsia="仿宋_GB2312"/>
          <w:color w:val="auto"/>
          <w:sz w:val="24"/>
          <w:highlight w:val="none"/>
        </w:rPr>
        <w:t>由采购人或采购代理机构负责。详见资格审查表。</w:t>
      </w:r>
    </w:p>
    <w:p>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五、符合性审查、商务和技术评审。</w:t>
      </w:r>
      <w:r>
        <w:rPr>
          <w:rFonts w:hint="eastAsia" w:ascii="仿宋_GB2312" w:eastAsia="仿宋_GB2312"/>
          <w:color w:val="auto"/>
          <w:sz w:val="24"/>
          <w:highlight w:val="none"/>
        </w:rPr>
        <w:t>由评标委员会负责。详见符合性审查表、商务和技术评审表。</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六、无效标情况说明。</w:t>
      </w:r>
      <w:r>
        <w:rPr>
          <w:rFonts w:hint="eastAsia" w:ascii="仿宋_GB2312" w:eastAsia="仿宋_GB2312"/>
          <w:color w:val="auto"/>
          <w:sz w:val="24"/>
          <w:highlight w:val="none"/>
        </w:rPr>
        <w:t>经过采购人和代理机构进行资格审查，评标委员会进行符合性审查，本项目第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个供应商的投标为有效投标，有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个供应商的投标为无效投标，无效投标名单及原因为：</w:t>
      </w:r>
      <w:r>
        <w:rPr>
          <w:rFonts w:hint="eastAsia" w:ascii="仿宋_GB2312" w:eastAsia="仿宋_GB2312"/>
          <w:color w:val="auto"/>
          <w:sz w:val="24"/>
          <w:highlight w:val="none"/>
          <w:u w:val="single"/>
        </w:rPr>
        <w:t xml:space="preserve"> 　　　　　                        </w:t>
      </w:r>
    </w:p>
    <w:p>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p>
    <w:p>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（详见资格审查表、符合性审查表及有关评审记录)。</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七、评标方法、评标因素、评标标准（详见招标文件中评标办法前附表）。</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八、属于价格折扣范围的小型微型企业、监狱企业、残疾人福利性单位情况：</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pPr>
              <w:spacing w:line="560" w:lineRule="exact"/>
              <w:rPr>
                <w:rFonts w:ascii="仿宋_GB2312" w:eastAsia="仿宋_GB2312"/>
                <w:color w:val="auto"/>
                <w:sz w:val="24"/>
                <w:highlight w:val="none"/>
              </w:rPr>
            </w:pPr>
            <w:r>
              <w:rPr>
                <w:rFonts w:hint="eastAsia" w:ascii="仿宋_GB2312" w:eastAsia="仿宋_GB2312"/>
                <w:b/>
                <w:color w:val="auto"/>
                <w:sz w:val="24"/>
                <w:highlight w:val="none"/>
              </w:rPr>
              <w:t>单位名称（小型微型企业、监狱企业、残疾人福利性单位）</w:t>
            </w:r>
          </w:p>
        </w:tc>
        <w:tc>
          <w:tcPr>
            <w:tcW w:w="1503" w:type="dxa"/>
            <w:vAlign w:val="center"/>
          </w:tcPr>
          <w:p>
            <w:pPr>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投标报价（元）</w:t>
            </w:r>
          </w:p>
        </w:tc>
        <w:tc>
          <w:tcPr>
            <w:tcW w:w="2520" w:type="dxa"/>
            <w:vAlign w:val="center"/>
          </w:tcPr>
          <w:p>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评标价格</w:t>
            </w:r>
            <w:r>
              <w:rPr>
                <w:rFonts w:hint="eastAsia" w:ascii="仿宋_GB2312" w:eastAsia="仿宋_GB2312"/>
                <w:color w:val="auto"/>
                <w:sz w:val="22"/>
                <w:szCs w:val="22"/>
                <w:highlight w:val="none"/>
              </w:rPr>
              <w:t>（价格扣除后的价格）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pPr>
              <w:spacing w:line="560" w:lineRule="exact"/>
              <w:rPr>
                <w:rFonts w:ascii="仿宋_GB2312" w:eastAsia="仿宋_GB2312"/>
                <w:color w:val="auto"/>
                <w:sz w:val="24"/>
                <w:highlight w:val="none"/>
              </w:rPr>
            </w:pPr>
          </w:p>
        </w:tc>
        <w:tc>
          <w:tcPr>
            <w:tcW w:w="1503" w:type="dxa"/>
          </w:tcPr>
          <w:p>
            <w:pPr>
              <w:spacing w:line="560" w:lineRule="exact"/>
              <w:rPr>
                <w:rFonts w:ascii="仿宋_GB2312" w:eastAsia="仿宋_GB2312"/>
                <w:color w:val="auto"/>
                <w:sz w:val="24"/>
                <w:highlight w:val="none"/>
              </w:rPr>
            </w:pPr>
          </w:p>
        </w:tc>
        <w:tc>
          <w:tcPr>
            <w:tcW w:w="2520"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pPr>
              <w:spacing w:line="560" w:lineRule="exact"/>
              <w:rPr>
                <w:rFonts w:ascii="仿宋_GB2312" w:eastAsia="仿宋_GB2312"/>
                <w:color w:val="auto"/>
                <w:sz w:val="24"/>
                <w:highlight w:val="none"/>
              </w:rPr>
            </w:pPr>
          </w:p>
        </w:tc>
        <w:tc>
          <w:tcPr>
            <w:tcW w:w="1503" w:type="dxa"/>
          </w:tcPr>
          <w:p>
            <w:pPr>
              <w:spacing w:line="560" w:lineRule="exact"/>
              <w:rPr>
                <w:rFonts w:ascii="仿宋_GB2312" w:eastAsia="仿宋_GB2312"/>
                <w:color w:val="auto"/>
                <w:sz w:val="24"/>
                <w:highlight w:val="none"/>
              </w:rPr>
            </w:pPr>
          </w:p>
        </w:tc>
        <w:tc>
          <w:tcPr>
            <w:tcW w:w="2520" w:type="dxa"/>
          </w:tcPr>
          <w:p>
            <w:pPr>
              <w:spacing w:line="560" w:lineRule="exact"/>
              <w:rPr>
                <w:rFonts w:ascii="仿宋_GB2312" w:eastAsia="仿宋_GB2312"/>
                <w:color w:val="auto"/>
                <w:sz w:val="24"/>
                <w:highlight w:val="none"/>
              </w:rPr>
            </w:pPr>
          </w:p>
        </w:tc>
      </w:tr>
    </w:tbl>
    <w:p>
      <w:pPr>
        <w:spacing w:line="560" w:lineRule="exact"/>
        <w:ind w:firstLine="482" w:firstLineChars="200"/>
        <w:rPr>
          <w:rFonts w:ascii="仿宋_GB2312" w:eastAsia="仿宋_GB2312"/>
          <w:b/>
          <w:color w:val="auto"/>
          <w:sz w:val="24"/>
          <w:highlight w:val="none"/>
        </w:rPr>
      </w:pP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九、经评审的价格或评分比较一览表。</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评标委员会对各有效投标进行了详细评审，各供应商的报价及排序如下：</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pPr>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供应商</w:t>
            </w:r>
          </w:p>
        </w:tc>
        <w:tc>
          <w:tcPr>
            <w:tcW w:w="1193" w:type="dxa"/>
            <w:vAlign w:val="center"/>
          </w:tcPr>
          <w:p>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投标报价</w:t>
            </w:r>
            <w:r>
              <w:rPr>
                <w:rFonts w:hint="eastAsia" w:ascii="仿宋_GB2312" w:eastAsia="仿宋_GB2312"/>
                <w:color w:val="auto"/>
                <w:sz w:val="24"/>
                <w:highlight w:val="none"/>
              </w:rPr>
              <w:t>（元）</w:t>
            </w:r>
          </w:p>
        </w:tc>
        <w:tc>
          <w:tcPr>
            <w:tcW w:w="1453" w:type="dxa"/>
            <w:vAlign w:val="center"/>
          </w:tcPr>
          <w:p>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得分</w:t>
            </w:r>
          </w:p>
        </w:tc>
        <w:tc>
          <w:tcPr>
            <w:tcW w:w="2071" w:type="dxa"/>
            <w:vAlign w:val="center"/>
          </w:tcPr>
          <w:p>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排序</w:t>
            </w:r>
            <w:r>
              <w:rPr>
                <w:rFonts w:hint="eastAsia" w:ascii="仿宋_GB2312" w:eastAsia="仿宋_GB2312"/>
                <w:color w:val="auto"/>
                <w:sz w:val="22"/>
                <w:szCs w:val="22"/>
                <w:highlight w:val="none"/>
              </w:rPr>
              <w:t>（按得分从高到低排）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bl>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本项目采购控制金额为：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十、推荐的中标候选人。</w:t>
      </w: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评标委员会根据招标文件的有关规定，一致同意推荐中标候选人及其排名顺序为：</w:t>
      </w:r>
    </w:p>
    <w:p>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第一中标候选人：</w:t>
      </w:r>
      <w:r>
        <w:rPr>
          <w:rFonts w:hint="eastAsia" w:ascii="仿宋_GB2312" w:eastAsia="仿宋_GB2312"/>
          <w:color w:val="auto"/>
          <w:sz w:val="24"/>
          <w:highlight w:val="none"/>
          <w:u w:val="single"/>
        </w:rPr>
        <w:t xml:space="preserve">                                            </w:t>
      </w:r>
    </w:p>
    <w:p>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第二中标候选人：</w:t>
      </w:r>
      <w:r>
        <w:rPr>
          <w:rFonts w:hint="eastAsia" w:ascii="仿宋_GB2312" w:eastAsia="仿宋_GB2312"/>
          <w:color w:val="auto"/>
          <w:sz w:val="24"/>
          <w:highlight w:val="none"/>
          <w:u w:val="single"/>
        </w:rPr>
        <w:t xml:space="preserve">                                            </w:t>
      </w: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第三中标候选人：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十一、澄清、说明、补正事项纪要。</w:t>
      </w:r>
    </w:p>
    <w:p>
      <w:pPr>
        <w:spacing w:line="560" w:lineRule="exact"/>
        <w:ind w:firstLine="600"/>
        <w:rPr>
          <w:rFonts w:ascii="仿宋_GB2312" w:eastAsia="仿宋_GB2312"/>
          <w:b/>
          <w:color w:val="auto"/>
          <w:sz w:val="24"/>
          <w:highlight w:val="none"/>
        </w:rPr>
      </w:pP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评标委员会主任：</w:t>
      </w: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评标委员会成员：</w:t>
      </w:r>
    </w:p>
    <w:p>
      <w:pPr>
        <w:pStyle w:val="4"/>
        <w:wordWrap w:val="0"/>
        <w:spacing w:line="560" w:lineRule="exact"/>
        <w:ind w:firstLine="2409" w:firstLineChars="1000"/>
        <w:rPr>
          <w:rFonts w:ascii="仿宋_GB2312" w:eastAsia="仿宋_GB2312"/>
          <w:b/>
          <w:color w:val="auto"/>
          <w:sz w:val="24"/>
          <w:highlight w:val="none"/>
        </w:rPr>
      </w:pPr>
      <w:r>
        <w:rPr>
          <w:rFonts w:hint="eastAsia" w:ascii="仿宋_GB2312" w:eastAsia="仿宋_GB2312"/>
          <w:b/>
          <w:color w:val="auto"/>
          <w:sz w:val="24"/>
          <w:highlight w:val="none"/>
          <w:u w:val="single"/>
        </w:rPr>
        <w:t>　　　　　　　　　　　　　　</w:t>
      </w:r>
      <w:r>
        <w:rPr>
          <w:rFonts w:hint="eastAsia" w:ascii="仿宋_GB2312" w:eastAsia="仿宋_GB2312"/>
          <w:b/>
          <w:color w:val="auto"/>
          <w:sz w:val="24"/>
          <w:highlight w:val="none"/>
        </w:rPr>
        <w:t xml:space="preserve">项目评标委员会 </w:t>
      </w:r>
      <w:r>
        <w:rPr>
          <w:rFonts w:ascii="仿宋_GB2312" w:eastAsia="仿宋_GB2312"/>
          <w:b/>
          <w:color w:val="auto"/>
          <w:sz w:val="24"/>
          <w:highlight w:val="none"/>
        </w:rPr>
        <w:t xml:space="preserve">   </w:t>
      </w:r>
    </w:p>
    <w:p>
      <w:pPr>
        <w:spacing w:line="560" w:lineRule="exact"/>
        <w:ind w:firstLine="6000" w:firstLineChars="2500"/>
        <w:jc w:val="left"/>
        <w:rPr>
          <w:rFonts w:ascii="仿宋_GB2312" w:eastAsia="仿宋_GB2312"/>
          <w:color w:val="auto"/>
          <w:sz w:val="24"/>
          <w:highlight w:val="none"/>
        </w:rPr>
      </w:pP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pP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br w:type="page"/>
      </w:r>
    </w:p>
    <w:p>
      <w:pPr>
        <w:pStyle w:val="6"/>
        <w:jc w:val="center"/>
        <w:rPr>
          <w:rFonts w:ascii="宋体" w:hAnsi="宋体"/>
          <w:color w:val="auto"/>
          <w:highlight w:val="none"/>
        </w:rPr>
      </w:pPr>
      <w:bookmarkStart w:id="641" w:name="_Toc494526416"/>
      <w:bookmarkStart w:id="642" w:name="_Toc346523419"/>
      <w:bookmarkStart w:id="643" w:name="_Toc338840498"/>
      <w:bookmarkStart w:id="644" w:name="_Toc22308"/>
      <w:bookmarkStart w:id="645" w:name="_Toc17369"/>
      <w:bookmarkStart w:id="646" w:name="_Toc346523482"/>
      <w:bookmarkStart w:id="647" w:name="_Toc247085767"/>
      <w:bookmarkStart w:id="648" w:name="_Toc152045609"/>
      <w:bookmarkStart w:id="649" w:name="_Toc14959"/>
      <w:bookmarkStart w:id="650" w:name="_Toc144974577"/>
      <w:bookmarkStart w:id="651" w:name="_Toc494093444"/>
      <w:bookmarkStart w:id="652" w:name="_Toc246996995"/>
      <w:bookmarkStart w:id="653" w:name="_Toc9654"/>
      <w:bookmarkStart w:id="654" w:name="_Toc338840250"/>
      <w:bookmarkStart w:id="655" w:name="_Toc246996252"/>
      <w:bookmarkStart w:id="656" w:name="_Toc179632627"/>
      <w:bookmarkStart w:id="657" w:name="_Toc338840459"/>
      <w:bookmarkStart w:id="658" w:name="_Toc152042387"/>
      <w:r>
        <w:rPr>
          <w:rFonts w:hint="eastAsia" w:ascii="宋体" w:hAnsi="宋体"/>
          <w:color w:val="auto"/>
          <w:highlight w:val="none"/>
        </w:rPr>
        <w:t>第四章 合同条款及格式</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Start w:id="659" w:name="_Toc179632787"/>
      <w:bookmarkStart w:id="660" w:name="_Toc246996338"/>
      <w:bookmarkStart w:id="661" w:name="_Toc247085853"/>
      <w:bookmarkStart w:id="662" w:name="_Toc246997081"/>
      <w:bookmarkStart w:id="663" w:name="_Toc152042551"/>
      <w:bookmarkStart w:id="664" w:name="_Toc152045769"/>
      <w:bookmarkStart w:id="665" w:name="_Toc144974831"/>
    </w:p>
    <w:p>
      <w:pPr>
        <w:widowControl/>
        <w:ind w:firstLine="3058" w:firstLineChars="695"/>
        <w:rPr>
          <w:rFonts w:ascii="宋体" w:hAnsi="宋体"/>
          <w:bCs/>
          <w:color w:val="auto"/>
          <w:kern w:val="0"/>
          <w:sz w:val="44"/>
          <w:szCs w:val="44"/>
          <w:highlight w:val="none"/>
        </w:rPr>
      </w:pPr>
      <w:r>
        <w:rPr>
          <w:rFonts w:hint="eastAsia" w:ascii="宋体" w:hAnsi="宋体"/>
          <w:bCs/>
          <w:color w:val="auto"/>
          <w:kern w:val="0"/>
          <w:sz w:val="44"/>
          <w:szCs w:val="44"/>
          <w:highlight w:val="none"/>
        </w:rPr>
        <w:t>合同协议书</w:t>
      </w:r>
    </w:p>
    <w:tbl>
      <w:tblPr>
        <w:tblStyle w:val="34"/>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pPr>
              <w:widowControl/>
              <w:spacing w:before="120" w:line="400" w:lineRule="exact"/>
              <w:ind w:left="105"/>
              <w:rPr>
                <w:rFonts w:ascii="宋体" w:hAnsi="宋体"/>
                <w:color w:val="auto"/>
                <w:kern w:val="0"/>
                <w:sz w:val="24"/>
                <w:highlight w:val="none"/>
              </w:rPr>
            </w:pPr>
            <w:r>
              <w:rPr>
                <w:rFonts w:hint="eastAsia" w:ascii="宋体" w:hAnsi="宋体"/>
                <w:color w:val="auto"/>
                <w:kern w:val="0"/>
                <w:sz w:val="24"/>
                <w:highlight w:val="none"/>
              </w:rPr>
              <w:t>注释：</w:t>
            </w:r>
            <w:r>
              <w:rPr>
                <w:rFonts w:ascii="宋体" w:hAnsi="宋体"/>
                <w:color w:val="auto"/>
                <w:kern w:val="0"/>
                <w:sz w:val="24"/>
                <w:highlight w:val="none"/>
              </w:rPr>
              <w:t> </w:t>
            </w:r>
            <w:r>
              <w:rPr>
                <w:rFonts w:hint="eastAsia" w:ascii="宋体" w:hAnsi="宋体"/>
                <w:color w:val="auto"/>
                <w:kern w:val="0"/>
                <w:sz w:val="24"/>
                <w:highlight w:val="none"/>
              </w:rPr>
              <w:t>本合同协议书格式条款作为双方签订合同的参考。双方为阐明各方的权利和义务，经协商可增加或减少条款。 但不得与招标文件、投标文件的实质性内容相背离。</w:t>
            </w:r>
          </w:p>
        </w:tc>
      </w:tr>
    </w:tbl>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 xml:space="preserve">甲方(采购人)：                   住所地：                                             </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                 住所地：</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    年   月   日</w:t>
      </w:r>
    </w:p>
    <w:p>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 </w:t>
      </w:r>
    </w:p>
    <w:p>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color w:val="auto"/>
          <w:kern w:val="0"/>
          <w:szCs w:val="21"/>
          <w:highlight w:val="none"/>
          <w:u w:val="single"/>
        </w:rPr>
        <w:t>　　　　　         　第　　标段</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 xml:space="preserve">第一条：合同标的   </w:t>
      </w:r>
      <w:r>
        <w:rPr>
          <w:rFonts w:hint="eastAsia" w:ascii="宋体" w:hAnsi="宋体"/>
          <w:color w:val="auto"/>
          <w:kern w:val="0"/>
          <w:szCs w:val="21"/>
          <w:highlight w:val="none"/>
        </w:rPr>
        <w:t>乙方应根据本项目要求按招标内容和中标结果提供下列产品（或服务），包括附带的备品备件及专用工具等：</w:t>
      </w:r>
    </w:p>
    <w:p>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（详见招标文件中的“招标内容及商务技术要求”及有关补充文件、中标人投标文件中的“投标内容及报价明细表”等）</w:t>
      </w:r>
    </w:p>
    <w:p>
      <w:pPr>
        <w:widowControl/>
        <w:spacing w:line="440" w:lineRule="exact"/>
        <w:ind w:firstLine="422" w:firstLineChars="200"/>
        <w:jc w:val="left"/>
        <w:rPr>
          <w:rFonts w:ascii="宋体" w:hAnsi="宋体"/>
          <w:b/>
          <w:bCs/>
          <w:color w:val="auto"/>
          <w:kern w:val="0"/>
          <w:szCs w:val="21"/>
          <w:highlight w:val="none"/>
        </w:rPr>
      </w:pPr>
    </w:p>
    <w:p>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 xml:space="preserve">第二条：合同总价款    </w:t>
      </w:r>
      <w:r>
        <w:rPr>
          <w:rFonts w:hint="eastAsia" w:ascii="宋体" w:hAnsi="宋体"/>
          <w:color w:val="auto"/>
          <w:kern w:val="0"/>
          <w:szCs w:val="21"/>
          <w:highlight w:val="none"/>
        </w:rPr>
        <w:t>本合同项下项目的总价款为人民币（大写）：</w:t>
      </w:r>
      <w:r>
        <w:rPr>
          <w:rFonts w:hint="eastAsia" w:ascii="宋体" w:hAnsi="宋体"/>
          <w:b/>
          <w:bCs/>
          <w:color w:val="auto"/>
          <w:kern w:val="0"/>
          <w:szCs w:val="21"/>
          <w:highlight w:val="none"/>
          <w:u w:val="single"/>
        </w:rPr>
        <w:t xml:space="preserve">               </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质量检验、各项规费和税费、保险费、意外事故、等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第三条：合同文件的组成　　</w:t>
      </w:r>
    </w:p>
    <w:p>
      <w:pPr>
        <w:widowControl/>
        <w:spacing w:line="440" w:lineRule="exact"/>
        <w:ind w:firstLine="420" w:firstLineChars="200"/>
        <w:jc w:val="left"/>
        <w:rPr>
          <w:rFonts w:ascii="宋体" w:hAnsi="宋体"/>
          <w:bCs/>
          <w:color w:val="auto"/>
          <w:kern w:val="0"/>
          <w:szCs w:val="21"/>
          <w:highlight w:val="none"/>
        </w:rPr>
      </w:pPr>
      <w:r>
        <w:rPr>
          <w:rFonts w:hint="eastAsia" w:ascii="宋体" w:hAnsi="宋体"/>
          <w:bCs/>
          <w:color w:val="auto"/>
          <w:kern w:val="0"/>
          <w:szCs w:val="21"/>
          <w:highlight w:val="none"/>
        </w:rPr>
        <w:t>下列文件共同构成合同文件，作为项目履约和验收的依据：</w:t>
      </w:r>
    </w:p>
    <w:p>
      <w:pPr>
        <w:widowControl/>
        <w:numPr>
          <w:ilvl w:val="0"/>
          <w:numId w:val="8"/>
        </w:numPr>
        <w:spacing w:line="440" w:lineRule="exact"/>
        <w:jc w:val="left"/>
        <w:rPr>
          <w:rFonts w:ascii="宋体" w:hAnsi="宋体"/>
          <w:bCs/>
          <w:color w:val="auto"/>
          <w:kern w:val="0"/>
          <w:szCs w:val="21"/>
          <w:highlight w:val="none"/>
        </w:rPr>
      </w:pPr>
      <w:r>
        <w:rPr>
          <w:rFonts w:hint="eastAsia" w:ascii="宋体" w:hAnsi="宋体"/>
          <w:bCs/>
          <w:color w:val="auto"/>
          <w:kern w:val="0"/>
          <w:szCs w:val="21"/>
          <w:highlight w:val="none"/>
        </w:rPr>
        <w:t>本合同协议书；</w:t>
      </w:r>
    </w:p>
    <w:p>
      <w:pPr>
        <w:widowControl/>
        <w:numPr>
          <w:ilvl w:val="0"/>
          <w:numId w:val="8"/>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中标通知书；</w:t>
      </w:r>
    </w:p>
    <w:p>
      <w:pPr>
        <w:widowControl/>
        <w:numPr>
          <w:ilvl w:val="0"/>
          <w:numId w:val="8"/>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投标函；</w:t>
      </w:r>
    </w:p>
    <w:p>
      <w:pPr>
        <w:widowControl/>
        <w:numPr>
          <w:ilvl w:val="0"/>
          <w:numId w:val="8"/>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招标文件；</w:t>
      </w:r>
    </w:p>
    <w:p>
      <w:pPr>
        <w:widowControl/>
        <w:numPr>
          <w:ilvl w:val="0"/>
          <w:numId w:val="8"/>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中标人的投标文件；</w:t>
      </w:r>
    </w:p>
    <w:p>
      <w:pPr>
        <w:widowControl/>
        <w:numPr>
          <w:ilvl w:val="0"/>
          <w:numId w:val="8"/>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经双方协商同意和有关监督部门批准的其他内容。</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上述文件互相补充和解释，如有不明确或不一致之处，以排序作为解释的优先顺序。</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签订合同时，不得改变中标的金额、付款方式、合同履行期限、采购内容范围和质量技术标准等实质性内容。</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第四条  权利保证　　</w:t>
      </w:r>
      <w:r>
        <w:rPr>
          <w:rFonts w:hint="eastAsia" w:ascii="宋体" w:hAnsi="宋体"/>
          <w:color w:val="auto"/>
          <w:kern w:val="0"/>
          <w:szCs w:val="21"/>
          <w:highlight w:val="none"/>
        </w:rPr>
        <w:t>乙方应保证甲方在使用该产品或其任何一部分时不受第三方提出侵犯其专利权、版权、商标权或其他权利的起诉。一旦出现侵权，乙方应承担全部责任。</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第五条  质量保证</w:t>
      </w:r>
    </w:p>
    <w:p>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1、乙方所提供的产品的技术标准应与招标文件规定的技术规格标准相一致；若技术性能标准无特殊说明，则按国家有关部门最新颁布的标准及规范为准。</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第六条  包装要求</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第七条  交付和验收</w:t>
      </w:r>
    </w:p>
    <w:p>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r>
        <w:rPr>
          <w:rFonts w:hint="eastAsia" w:ascii="宋体" w:hAnsi="宋体"/>
          <w:color w:val="auto"/>
          <w:kern w:val="0"/>
          <w:szCs w:val="21"/>
          <w:highlight w:val="none"/>
          <w:u w:val="single"/>
        </w:rPr>
        <w:t xml:space="preserve">                     </w:t>
      </w:r>
    </w:p>
    <w:p>
      <w:pPr>
        <w:widowControl/>
        <w:spacing w:line="440" w:lineRule="exact"/>
        <w:ind w:firstLine="420" w:firstLineChars="200"/>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3、乙方交付的产品应当完全符合本合同、招标文件及投标文件所规定的数量和技术规格要求，不符合要求的，甲方有权拒收，由此引起的风险，由乙方承担。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4、质量验收包括：规格、型号、功能、性能、数量、质量、以及包装是否完好等。</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6、甲方应当在收到产品后的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日内对产品进行验收；需要乙方对产品或系统进行安装调试的，甲方应在安装调试完毕后的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7、产品和系统调试验收的标准：按国家标准、行业通行标准、出厂标准和乙方投标文件的承诺（详细标准可在合同附件载明，有国家标准时不得低于国家标准）。</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第八条  伴随服务及售后服务</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（1）产品的现场安装、调试及启动监督；</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（2）就产品的安装、启动、运行及维护等对甲方人员进行免费培训。</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 产品中若包含计算机、服务器产品则由乙方提供至少</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年的整机保修和系统维护；若为其他产品则按生产厂家的保修标准执行，但不得少于 </w:t>
      </w:r>
      <w:r>
        <w:rPr>
          <w:rFonts w:hint="eastAsia" w:ascii="宋体" w:hAnsi="宋体"/>
          <w:color w:val="auto"/>
          <w:kern w:val="0"/>
          <w:szCs w:val="21"/>
          <w:highlight w:val="none"/>
          <w:u w:val="single"/>
        </w:rPr>
        <w:t>1</w:t>
      </w:r>
      <w:r>
        <w:rPr>
          <w:rFonts w:hint="eastAsia" w:ascii="宋体" w:hAnsi="宋体"/>
          <w:color w:val="auto"/>
          <w:kern w:val="0"/>
          <w:szCs w:val="21"/>
          <w:highlight w:val="none"/>
        </w:rPr>
        <w:t>年（</w:t>
      </w:r>
      <w:r>
        <w:rPr>
          <w:rFonts w:hint="eastAsia" w:ascii="宋体" w:hAnsi="宋体" w:cs="宋体"/>
          <w:color w:val="auto"/>
          <w:kern w:val="0"/>
          <w:szCs w:val="21"/>
          <w:highlight w:val="none"/>
        </w:rPr>
        <w:t>（请分别列出：</w:t>
      </w:r>
      <w:r>
        <w:rPr>
          <w:rFonts w:hint="eastAsia" w:ascii="宋体" w:hAnsi="宋体" w:cs="宋体"/>
          <w:color w:val="auto"/>
          <w:kern w:val="0"/>
          <w:szCs w:val="21"/>
          <w:highlight w:val="none"/>
          <w:u w:val="single"/>
        </w:rPr>
        <w:t xml:space="preserve">       </w:t>
      </w:r>
      <w:r>
        <w:rPr>
          <w:rFonts w:hint="eastAsia" w:ascii="宋体" w:hAnsi="宋体"/>
          <w:color w:val="auto"/>
          <w:kern w:val="0"/>
          <w:szCs w:val="21"/>
          <w:highlight w:val="none"/>
        </w:rPr>
        <w:t>）；保修期自甲方在产品质量验收单上签字之日起计算，保修费用包含在合同总价中。</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 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，保修期内，乙方负责对其提供的产品整体进行维修和系统维护，不再收取任何费用。</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3.4、 产品故障报修的响应时间为：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3.5、若产品故障在检修</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小时后仍无法排除，乙方应在48小时内免费提供不低于故障产品规格标准和档次的备用产品供甲方使用，直至故障产品修复。</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 所有产品保修服务方式均为乙方上门保修，即由乙方派人到产品使用现场维修、维护，由此产生的一切费用均由乙方承担。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3.7、 保修期以后的维修维护由双方协商再定。</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第九条   履约保证金</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本合同签订生效以前乙方应按招标文件规定的金额向甲方或甲方指定的机构提交履约保证金。如乙方未能履行合同规定的义务，甲方有权扣除其履约保证金。</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第十条   货款支付</w:t>
      </w:r>
    </w:p>
    <w:p>
      <w:pPr>
        <w:widowControl/>
        <w:spacing w:line="440" w:lineRule="exact"/>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1、付款方式（按招标文件的规定）：</w:t>
      </w:r>
      <w:r>
        <w:rPr>
          <w:rFonts w:hint="eastAsia" w:ascii="宋体" w:hAnsi="宋体"/>
          <w:color w:val="auto"/>
          <w:kern w:val="0"/>
          <w:szCs w:val="21"/>
          <w:highlight w:val="none"/>
          <w:u w:val="single"/>
        </w:rPr>
        <w:t>　　　　　　　　　　　　　　　　</w:t>
      </w:r>
    </w:p>
    <w:p>
      <w:pPr>
        <w:widowControl/>
        <w:spacing w:line="440" w:lineRule="exact"/>
        <w:jc w:val="left"/>
        <w:rPr>
          <w:rFonts w:ascii="宋体" w:hAnsi="宋体"/>
          <w:color w:val="auto"/>
          <w:kern w:val="0"/>
          <w:szCs w:val="21"/>
          <w:highlight w:val="none"/>
        </w:rPr>
      </w:pPr>
      <w:r>
        <w:rPr>
          <w:rFonts w:hint="eastAsia" w:ascii="宋体" w:hAnsi="宋体"/>
          <w:color w:val="auto"/>
          <w:kern w:val="0"/>
          <w:szCs w:val="21"/>
          <w:highlight w:val="none"/>
          <w:u w:val="single"/>
        </w:rPr>
        <w:t>　　　　　　　　　　　　　　　　　　　　　　　　　　　　　　　　　</w:t>
      </w:r>
      <w:r>
        <w:rPr>
          <w:rFonts w:hint="eastAsia" w:ascii="宋体" w:hAnsi="宋体"/>
          <w:color w:val="auto"/>
          <w:kern w:val="0"/>
          <w:szCs w:val="21"/>
          <w:highlight w:val="none"/>
        </w:rPr>
        <w:t>。本合同项下所有款项均以人民币支付。</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2、乙方向甲方开具正规发票，甲方在签署验收单后按付款方式约定付款。</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第十一条 违约责任</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1、甲方无正当理由拒绝接收产品、拒付项目款的，由甲方向乙方偿付合同总价的</w:t>
      </w:r>
      <w:r>
        <w:rPr>
          <w:rFonts w:hint="eastAsia" w:ascii="宋体" w:hAnsi="宋体"/>
          <w:color w:val="auto"/>
          <w:kern w:val="0"/>
          <w:szCs w:val="21"/>
          <w:highlight w:val="none"/>
          <w:u w:val="single"/>
        </w:rPr>
        <w:t>　5%　</w:t>
      </w:r>
      <w:r>
        <w:rPr>
          <w:rFonts w:hint="eastAsia" w:ascii="宋体" w:hAnsi="宋体"/>
          <w:color w:val="auto"/>
          <w:kern w:val="0"/>
          <w:szCs w:val="21"/>
          <w:highlight w:val="none"/>
        </w:rPr>
        <w:t>违约金。</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2、甲方未按合同规定的期限向乙方支付项目款的，每逾期1天甲方向乙方偿付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 。</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3、如乙方不能按约定交付产品，或交付的产品质量、规格、型号、功能、性能等不符合合同规定或有关标准，甲方有权拒收，责令乙方改正，并酌情扣除其履约保证金。</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 乙方逾期交付产品的，每逾期1天，乙方向甲方偿付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滞纳金。如乙方逾期交付达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color w:val="auto"/>
          <w:kern w:val="0"/>
          <w:szCs w:val="21"/>
          <w:highlight w:val="none"/>
        </w:rPr>
        <w:t>项目</w:t>
      </w:r>
      <w:r>
        <w:rPr>
          <w:rFonts w:hint="eastAsia" w:ascii="宋体" w:hAnsi="宋体"/>
          <w:color w:val="auto"/>
          <w:kern w:val="0"/>
          <w:szCs w:val="21"/>
          <w:highlight w:val="none"/>
        </w:rPr>
        <w:t>款，并酌情扣除乙方质量保证金，给甲方造成损失者，乙方还应赔偿甲方因此遭受的损失。</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第十二条 合同的变更补充，终止及转让　　</w:t>
      </w: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第十三条 　不可抗力　　</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第十四条  争议的解决</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第十五条   合同生效及其他</w:t>
      </w:r>
    </w:p>
    <w:p>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1、本合同未尽事宜，双方另行补充（补充内容不得改变或违背招标文件和中标人投标文件中的实质性内容）。</w:t>
      </w:r>
    </w:p>
    <w:p>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本合同一式2份，甲、乙双方授权代表签字并盖单位公章后生效。甲方、乙方各一份。</w:t>
      </w:r>
    </w:p>
    <w:p>
      <w:pPr>
        <w:widowControl/>
        <w:spacing w:line="440" w:lineRule="exact"/>
        <w:rPr>
          <w:rFonts w:ascii="宋体" w:hAnsi="宋体"/>
          <w:b/>
          <w:bCs/>
          <w:color w:val="auto"/>
          <w:kern w:val="0"/>
          <w:szCs w:val="21"/>
          <w:highlight w:val="none"/>
        </w:rPr>
      </w:pP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    方：                　　　　　　 　乙    方：</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              　　　　　　   法定代表人：</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               　　　　　　  委托代理人：</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                 　　　　　　  单位地址：</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    话：                  　　　　　　 电    话：</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                   　　　　　　开户银行：</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    号：                 　　　　　　  账    号：</w:t>
      </w:r>
    </w:p>
    <w:p>
      <w:pPr>
        <w:widowControl/>
        <w:spacing w:line="440" w:lineRule="exact"/>
        <w:ind w:firstLine="735" w:firstLineChars="350"/>
        <w:rPr>
          <w:rFonts w:ascii="宋体" w:hAnsi="宋体"/>
          <w:color w:val="auto"/>
          <w:kern w:val="0"/>
          <w:szCs w:val="21"/>
          <w:highlight w:val="none"/>
        </w:rPr>
      </w:pPr>
      <w:r>
        <w:rPr>
          <w:rFonts w:hint="eastAsia" w:ascii="宋体" w:hAnsi="宋体"/>
          <w:color w:val="auto"/>
          <w:kern w:val="0"/>
          <w:szCs w:val="21"/>
          <w:highlight w:val="none"/>
        </w:rPr>
        <w:t xml:space="preserve"> 年  月  日              　　　　　　　　  年  月  日</w:t>
      </w:r>
      <w:bookmarkEnd w:id="659"/>
      <w:bookmarkEnd w:id="660"/>
      <w:bookmarkEnd w:id="661"/>
      <w:bookmarkEnd w:id="662"/>
      <w:bookmarkEnd w:id="663"/>
      <w:bookmarkEnd w:id="664"/>
      <w:bookmarkEnd w:id="665"/>
    </w:p>
    <w:p>
      <w:pPr>
        <w:widowControl/>
        <w:spacing w:line="360" w:lineRule="auto"/>
        <w:rPr>
          <w:rFonts w:ascii="宋体" w:hAnsi="宋体" w:cs="宋体"/>
          <w:color w:val="auto"/>
          <w:sz w:val="28"/>
          <w:szCs w:val="28"/>
          <w:highlight w:val="none"/>
        </w:rPr>
      </w:pPr>
      <w:r>
        <w:rPr>
          <w:color w:val="auto"/>
          <w:highlight w:val="none"/>
        </w:rPr>
        <w:br w:type="page"/>
      </w:r>
    </w:p>
    <w:p>
      <w:pPr>
        <w:pStyle w:val="7"/>
        <w:jc w:val="center"/>
        <w:rPr>
          <w:rFonts w:ascii="宋体" w:hAnsi="宋体" w:eastAsia="宋体" w:cs="宋体"/>
          <w:color w:val="auto"/>
          <w:highlight w:val="none"/>
        </w:rPr>
      </w:pPr>
      <w:bookmarkStart w:id="666" w:name="_Toc30854"/>
      <w:r>
        <w:rPr>
          <w:rFonts w:hint="eastAsia" w:ascii="宋体" w:hAnsi="宋体" w:eastAsia="宋体" w:cs="宋体"/>
          <w:color w:val="auto"/>
          <w:highlight w:val="none"/>
        </w:rPr>
        <w:t>开封政府采购合同融资政策告知函</w:t>
      </w:r>
      <w:bookmarkEnd w:id="666"/>
    </w:p>
    <w:p>
      <w:pPr>
        <w:widowControl/>
        <w:spacing w:line="360" w:lineRule="auto"/>
        <w:rPr>
          <w:rFonts w:ascii="宋体" w:hAnsi="宋体" w:cs="宋体"/>
          <w:color w:val="auto"/>
          <w:sz w:val="28"/>
          <w:szCs w:val="28"/>
          <w:highlight w:val="none"/>
        </w:rPr>
      </w:pPr>
    </w:p>
    <w:p>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贷款渠道和提供贷款的金融机构，可在开封市政府采购网“政府采购合同融资平台”查询联系。</w:t>
      </w:r>
    </w:p>
    <w:p>
      <w:pPr>
        <w:pStyle w:val="33"/>
        <w:rPr>
          <w:color w:val="auto"/>
          <w:highlight w:val="none"/>
        </w:rPr>
      </w:pPr>
    </w:p>
    <w:p>
      <w:pPr>
        <w:widowControl/>
        <w:spacing w:line="440" w:lineRule="exact"/>
        <w:rPr>
          <w:rFonts w:ascii="宋体" w:hAnsi="宋体"/>
          <w:color w:val="auto"/>
          <w:kern w:val="0"/>
          <w:szCs w:val="21"/>
          <w:highlight w:val="none"/>
        </w:rPr>
      </w:pPr>
    </w:p>
    <w:p>
      <w:pPr>
        <w:jc w:val="center"/>
        <w:rPr>
          <w:rFonts w:ascii="宋体" w:hAnsi="宋体"/>
          <w:color w:val="auto"/>
          <w:highlight w:val="none"/>
        </w:rPr>
      </w:pPr>
      <w:bookmarkStart w:id="667" w:name="_Toc179632789"/>
      <w:bookmarkStart w:id="668" w:name="_Toc247085855"/>
      <w:bookmarkStart w:id="669" w:name="_Toc152045772"/>
      <w:bookmarkStart w:id="670" w:name="_Toc152042554"/>
      <w:bookmarkStart w:id="671" w:name="_Toc246997083"/>
      <w:bookmarkStart w:id="672" w:name="_Toc246996340"/>
      <w:bookmarkStart w:id="673" w:name="_Toc144974834"/>
      <w:bookmarkStart w:id="674" w:name="_Toc346523483"/>
      <w:bookmarkStart w:id="675" w:name="_Toc494526417"/>
      <w:bookmarkStart w:id="676" w:name="_Toc338840251"/>
      <w:bookmarkStart w:id="677" w:name="_Toc346523420"/>
      <w:bookmarkStart w:id="678" w:name="_Toc494093445"/>
      <w:bookmarkStart w:id="679" w:name="_Toc338840460"/>
      <w:bookmarkStart w:id="680" w:name="_Toc338840499"/>
      <w:r>
        <w:rPr>
          <w:rFonts w:hint="eastAsia" w:ascii="宋体" w:hAnsi="宋体"/>
          <w:color w:val="auto"/>
          <w:highlight w:val="none"/>
        </w:rPr>
        <w:br w:type="page"/>
      </w:r>
    </w:p>
    <w:p>
      <w:pPr>
        <w:pStyle w:val="7"/>
        <w:jc w:val="center"/>
        <w:rPr>
          <w:rFonts w:ascii="宋体" w:hAnsi="宋体" w:eastAsia="宋体" w:cs="宋体"/>
          <w:color w:val="auto"/>
          <w:highlight w:val="none"/>
        </w:rPr>
      </w:pPr>
      <w:bookmarkStart w:id="681" w:name="_Toc6494"/>
      <w:r>
        <w:rPr>
          <w:rFonts w:hint="eastAsia" w:ascii="宋体" w:hAnsi="宋体" w:eastAsia="宋体" w:cs="宋体"/>
          <w:color w:val="auto"/>
          <w:highlight w:val="none"/>
        </w:rPr>
        <w:t>开封政府采购合同履约保函政策告知函</w:t>
      </w:r>
      <w:bookmarkEnd w:id="681"/>
    </w:p>
    <w:p>
      <w:pPr>
        <w:pStyle w:val="33"/>
        <w:rPr>
          <w:color w:val="auto"/>
          <w:highlight w:val="none"/>
        </w:rPr>
      </w:pPr>
    </w:p>
    <w:p>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政府采购合同履约保函机构，可在开封市政府采购网查询联系。</w:t>
      </w:r>
    </w:p>
    <w:p>
      <w:pPr>
        <w:pStyle w:val="6"/>
        <w:jc w:val="center"/>
        <w:rPr>
          <w:rFonts w:ascii="宋体" w:hAnsi="宋体"/>
          <w:color w:val="auto"/>
          <w:highlight w:val="none"/>
        </w:rPr>
      </w:pPr>
      <w:r>
        <w:rPr>
          <w:rFonts w:hint="eastAsia" w:ascii="宋体" w:hAnsi="宋体"/>
          <w:color w:val="auto"/>
          <w:highlight w:val="none"/>
        </w:rPr>
        <w:br w:type="page"/>
      </w:r>
      <w:bookmarkStart w:id="682" w:name="_Toc14386"/>
      <w:bookmarkStart w:id="683" w:name="_Toc479"/>
      <w:bookmarkStart w:id="684" w:name="_Toc9194"/>
      <w:bookmarkStart w:id="685" w:name="_Toc23041"/>
      <w:r>
        <w:rPr>
          <w:rFonts w:hint="eastAsia" w:ascii="宋体" w:hAnsi="宋体"/>
          <w:color w:val="auto"/>
          <w:highlight w:val="none"/>
        </w:rPr>
        <w:t xml:space="preserve">第五章  </w:t>
      </w:r>
      <w:bookmarkEnd w:id="667"/>
      <w:bookmarkEnd w:id="668"/>
      <w:bookmarkEnd w:id="669"/>
      <w:bookmarkEnd w:id="670"/>
      <w:bookmarkEnd w:id="671"/>
      <w:bookmarkEnd w:id="672"/>
      <w:bookmarkEnd w:id="673"/>
      <w:r>
        <w:rPr>
          <w:rFonts w:hint="eastAsia" w:ascii="宋体" w:hAnsi="宋体"/>
          <w:color w:val="auto"/>
          <w:highlight w:val="none"/>
        </w:rPr>
        <w:t>招标内容及商务技术要求</w:t>
      </w:r>
      <w:bookmarkEnd w:id="674"/>
      <w:bookmarkEnd w:id="675"/>
      <w:bookmarkEnd w:id="676"/>
      <w:bookmarkEnd w:id="677"/>
      <w:bookmarkEnd w:id="678"/>
      <w:bookmarkEnd w:id="679"/>
      <w:bookmarkEnd w:id="680"/>
      <w:bookmarkEnd w:id="682"/>
      <w:bookmarkEnd w:id="683"/>
      <w:bookmarkEnd w:id="684"/>
      <w:bookmarkEnd w:id="685"/>
    </w:p>
    <w:p>
      <w:pPr>
        <w:widowControl/>
        <w:adjustRightInd w:val="0"/>
        <w:snapToGrid w:val="0"/>
        <w:spacing w:line="480" w:lineRule="auto"/>
        <w:ind w:firstLine="420" w:firstLineChars="200"/>
        <w:jc w:val="left"/>
        <w:rPr>
          <w:rFonts w:ascii="宋体" w:hAnsi="宋体"/>
          <w:bCs/>
          <w:color w:val="auto"/>
          <w:kern w:val="0"/>
          <w:szCs w:val="21"/>
          <w:highlight w:val="none"/>
        </w:rPr>
      </w:pPr>
      <w:r>
        <w:rPr>
          <w:rFonts w:ascii="宋体" w:hAnsi="宋体"/>
          <w:bCs/>
          <w:color w:val="auto"/>
          <w:kern w:val="0"/>
          <w:szCs w:val="21"/>
          <w:highlight w:val="none"/>
        </w:rPr>
        <w:t>相关说明</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2.投标产品应符合国家标准，涉及强制性国家标准时必须符合强制性国家标准。采购需求标准与国家标准不一致时，按照标准较高者执行。</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采购需求中的产品如涉及信息安全产品、政府强制采购产品、国家强制性认证产品、网络关键设备和网络安全专用产品的，所投产品应当获得相关认证（网络关键设备和网络安全专用产品可以是认证或检测），并在投标文件中提供有效认证证书或证明材料。签订合同应包含上述涉及的相关内容，采购人按照国家有关规定进行落实和验收。　</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4.采购需求中如有计算机办公设备，必须预装正版操作系统软件。</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7.供应商应提供具有相关认证证书的节能产品、环境标志产品等绿色产品。</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8.本项目采购和</w:t>
      </w:r>
      <w:r>
        <w:rPr>
          <w:rFonts w:hint="eastAsia" w:ascii="宋体" w:hAnsi="宋体"/>
          <w:color w:val="auto"/>
          <w:kern w:val="0"/>
          <w:szCs w:val="21"/>
          <w:highlight w:val="none"/>
          <w:lang w:val="en-US" w:eastAsia="zh-CN"/>
        </w:rPr>
        <w:t>履约</w:t>
      </w:r>
      <w:r>
        <w:rPr>
          <w:rFonts w:hint="eastAsia" w:ascii="宋体" w:hAnsi="宋体"/>
          <w:color w:val="auto"/>
          <w:kern w:val="0"/>
          <w:szCs w:val="21"/>
          <w:highlight w:val="none"/>
        </w:rPr>
        <w:t>中形成的知识产权和其他权益归采购人所有（另有约定者除外）。</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9.本采购项目为交钥匙项目，项目验收合格前的一切费用均视为已包含在投标报价之中，采购人不承担成交价格以外的任何费用。</w:t>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r>
      <w:r>
        <w:rPr>
          <w:rFonts w:hint="eastAsia" w:ascii="宋体" w:hAnsi="宋体"/>
          <w:b/>
          <w:color w:val="auto"/>
          <w:sz w:val="32"/>
          <w:szCs w:val="32"/>
          <w:highlight w:val="none"/>
        </w:rPr>
        <w:t>一、项目概况及总体要求</w:t>
      </w:r>
    </w:p>
    <w:p>
      <w:pPr>
        <w:spacing w:line="48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开封市机关事务中心八大街办公区保安、保洁、消防及监控维保</w:t>
      </w:r>
    </w:p>
    <w:p>
      <w:pPr>
        <w:spacing w:line="360" w:lineRule="auto"/>
        <w:rPr>
          <w:rFonts w:ascii="宋体" w:hAnsi="宋体"/>
          <w:b/>
          <w:color w:val="auto"/>
          <w:sz w:val="32"/>
          <w:szCs w:val="32"/>
          <w:highlight w:val="none"/>
        </w:rPr>
      </w:pP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t>二、商务要求</w:t>
      </w:r>
    </w:p>
    <w:p>
      <w:pPr>
        <w:spacing w:line="480" w:lineRule="auto"/>
        <w:ind w:firstLine="420"/>
        <w:rPr>
          <w:rFonts w:ascii="宋体" w:hAnsi="宋体"/>
          <w:color w:val="auto"/>
          <w:szCs w:val="21"/>
          <w:highlight w:val="none"/>
        </w:rPr>
      </w:pPr>
      <w:r>
        <w:rPr>
          <w:rFonts w:hint="eastAsia" w:ascii="宋体" w:hAnsi="宋体"/>
          <w:color w:val="auto"/>
          <w:szCs w:val="21"/>
          <w:highlight w:val="none"/>
        </w:rPr>
        <w:t>1、合同履行地点：见供应商须知前附表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2、合同履行期限：见供应商须知前附表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3、质量要求：见供应商须知前附表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4、质量保证期：见供应商须知前附表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5、付款方式：见供应商须知前附表</w:t>
      </w:r>
    </w:p>
    <w:p>
      <w:pPr>
        <w:spacing w:line="440" w:lineRule="exact"/>
        <w:ind w:firstLine="420" w:firstLineChars="200"/>
        <w:rPr>
          <w:rFonts w:ascii="宋体" w:hAnsi="宋体"/>
          <w:color w:val="auto"/>
          <w:szCs w:val="21"/>
          <w:highlight w:val="none"/>
        </w:rPr>
      </w:pPr>
    </w:p>
    <w:p>
      <w:pPr>
        <w:spacing w:line="440" w:lineRule="exact"/>
        <w:rPr>
          <w:rFonts w:ascii="宋体" w:hAnsi="宋体"/>
          <w:b/>
          <w:color w:val="auto"/>
          <w:szCs w:val="21"/>
          <w:highlight w:val="none"/>
        </w:rPr>
      </w:pPr>
    </w:p>
    <w:p>
      <w:pPr>
        <w:numPr>
          <w:ilvl w:val="0"/>
          <w:numId w:val="9"/>
        </w:numPr>
        <w:rPr>
          <w:rFonts w:hint="eastAsia" w:ascii="宋体" w:hAnsi="宋体"/>
          <w:b/>
          <w:color w:val="auto"/>
          <w:sz w:val="32"/>
          <w:szCs w:val="32"/>
          <w:highlight w:val="none"/>
        </w:rPr>
      </w:pPr>
      <w:r>
        <w:rPr>
          <w:rFonts w:ascii="宋体" w:hAnsi="宋体"/>
          <w:b/>
          <w:color w:val="auto"/>
          <w:szCs w:val="21"/>
          <w:highlight w:val="none"/>
        </w:rPr>
        <w:br w:type="page"/>
      </w:r>
      <w:r>
        <w:rPr>
          <w:rFonts w:hint="eastAsia" w:ascii="宋体" w:hAnsi="宋体"/>
          <w:b/>
          <w:color w:val="auto"/>
          <w:sz w:val="32"/>
          <w:szCs w:val="32"/>
          <w:highlight w:val="none"/>
        </w:rPr>
        <w:t>招标内容及技术要求</w:t>
      </w:r>
      <w:bookmarkStart w:id="686" w:name="_Toc179632800"/>
      <w:bookmarkStart w:id="687" w:name="_Toc144974851"/>
      <w:bookmarkStart w:id="688" w:name="_Toc152042571"/>
      <w:bookmarkStart w:id="689" w:name="_Toc152045782"/>
      <w:bookmarkStart w:id="690" w:name="_Toc246996350"/>
      <w:bookmarkStart w:id="691" w:name="_Toc246997093"/>
      <w:bookmarkStart w:id="692" w:name="_Toc247085866"/>
      <w:bookmarkStart w:id="693" w:name="_Toc247096438"/>
    </w:p>
    <w:p>
      <w:pPr>
        <w:pStyle w:val="2"/>
        <w:numPr>
          <w:ilvl w:val="0"/>
          <w:numId w:val="0"/>
        </w:numPr>
        <w:ind w:leftChars="400"/>
        <w:rPr>
          <w:color w:val="auto"/>
          <w:highlight w:val="none"/>
        </w:rPr>
      </w:pPr>
    </w:p>
    <w:p>
      <w:pPr>
        <w:spacing w:line="360" w:lineRule="auto"/>
        <w:jc w:val="center"/>
        <w:rPr>
          <w:b/>
          <w:color w:val="auto"/>
          <w:szCs w:val="21"/>
          <w:highlight w:val="none"/>
        </w:rPr>
      </w:pPr>
      <w:r>
        <w:rPr>
          <w:rFonts w:hint="eastAsia"/>
          <w:b/>
          <w:color w:val="auto"/>
          <w:szCs w:val="21"/>
          <w:highlight w:val="none"/>
        </w:rPr>
        <w:t>环境卫生保洁服务</w:t>
      </w:r>
    </w:p>
    <w:p>
      <w:pPr>
        <w:pStyle w:val="5"/>
        <w:numPr>
          <w:ilvl w:val="0"/>
          <w:numId w:val="10"/>
        </w:numPr>
        <w:spacing w:line="360" w:lineRule="auto"/>
        <w:ind w:firstLine="0" w:firstLineChars="0"/>
        <w:jc w:val="left"/>
        <w:rPr>
          <w:rFonts w:hint="eastAsia"/>
          <w:b/>
          <w:bCs/>
          <w:color w:val="auto"/>
          <w:szCs w:val="21"/>
          <w:highlight w:val="none"/>
        </w:rPr>
      </w:pPr>
      <w:r>
        <w:rPr>
          <w:rFonts w:hint="eastAsia"/>
          <w:b/>
          <w:bCs/>
          <w:color w:val="auto"/>
          <w:szCs w:val="21"/>
          <w:highlight w:val="none"/>
        </w:rPr>
        <w:t>基本要求</w:t>
      </w:r>
    </w:p>
    <w:p>
      <w:pPr>
        <w:spacing w:line="360" w:lineRule="auto"/>
        <w:ind w:firstLine="420" w:firstLineChars="200"/>
        <w:rPr>
          <w:rFonts w:hint="eastAsia"/>
          <w:color w:val="auto"/>
          <w:szCs w:val="21"/>
          <w:highlight w:val="none"/>
        </w:rPr>
      </w:pPr>
      <w:r>
        <w:rPr>
          <w:rFonts w:hint="eastAsia"/>
          <w:color w:val="auto"/>
          <w:szCs w:val="21"/>
          <w:highlight w:val="none"/>
        </w:rPr>
        <w:t>1、保洁区域：承担八大街办公区公共部分楼体、楼道、走廊、门窗、卫生间、会议室、活动室、大厅、电梯间、地下停车场、室外停车场及办公区内其他相关位置所有环境卫生，以及服务区域内除建筑垃圾外的所有垃圾清运任务与所有景观的保洁维护任务。应建立健全环境卫生管理制度并认真落实。环卫设施设置合理、完备，垃圾日清。保保持公共区域整洁、无异味。使用环保的清洁材料。做好卫生虫害的防治工作。</w:t>
      </w:r>
    </w:p>
    <w:p>
      <w:pPr>
        <w:spacing w:line="360" w:lineRule="auto"/>
        <w:ind w:firstLine="420" w:firstLineChars="200"/>
        <w:rPr>
          <w:rFonts w:hint="eastAsia"/>
          <w:color w:val="auto"/>
          <w:szCs w:val="21"/>
          <w:highlight w:val="none"/>
        </w:rPr>
      </w:pPr>
      <w:r>
        <w:rPr>
          <w:rFonts w:hint="eastAsia"/>
          <w:color w:val="auto"/>
          <w:szCs w:val="21"/>
          <w:highlight w:val="none"/>
        </w:rPr>
        <w:t>2、要求保洁人员在办公区正常上班时间（周一至周五：上午7:30-11:30、下午 14:00-17:00，周六至周日：上午8:00-11:30）能够提供不间断保洁服务，会议室涵盖在日常保洁范围，非工作日期间需要提供保洁服务的，依据实际工作情况决定工作时间和服务方式。</w:t>
      </w:r>
    </w:p>
    <w:p>
      <w:pPr>
        <w:spacing w:line="360" w:lineRule="auto"/>
        <w:ind w:firstLine="420" w:firstLineChars="200"/>
        <w:rPr>
          <w:rFonts w:hint="eastAsia"/>
          <w:color w:val="auto"/>
          <w:szCs w:val="21"/>
          <w:highlight w:val="none"/>
        </w:rPr>
      </w:pPr>
      <w:r>
        <w:rPr>
          <w:rFonts w:hint="eastAsia"/>
          <w:color w:val="auto"/>
          <w:szCs w:val="21"/>
          <w:highlight w:val="none"/>
        </w:rPr>
        <w:t xml:space="preserve">3、保洁公司负责配备日常保洁低耗用品及常规保洁工具，需配置包括但不限于道路洗扫车、洗地机、榨水车、垃圾清运车等相关专业保洁机械设备。 </w:t>
      </w:r>
    </w:p>
    <w:p>
      <w:pPr>
        <w:spacing w:line="360" w:lineRule="auto"/>
        <w:ind w:firstLine="420" w:firstLineChars="200"/>
        <w:rPr>
          <w:rFonts w:hint="eastAsia"/>
          <w:color w:val="auto"/>
          <w:szCs w:val="21"/>
          <w:highlight w:val="none"/>
        </w:rPr>
      </w:pPr>
      <w:r>
        <w:rPr>
          <w:rFonts w:hint="eastAsia"/>
          <w:color w:val="auto"/>
          <w:szCs w:val="21"/>
          <w:highlight w:val="none"/>
        </w:rPr>
        <w:t>4、保洁公司需制定各班次人员及时间安排，具有完善的日常工作规章制度及应对突发事件的工作预案和处理机制。</w:t>
      </w:r>
    </w:p>
    <w:p>
      <w:pPr>
        <w:spacing w:line="360" w:lineRule="auto"/>
        <w:ind w:firstLine="420" w:firstLineChars="200"/>
        <w:rPr>
          <w:rFonts w:hint="eastAsia"/>
          <w:color w:val="auto"/>
          <w:szCs w:val="21"/>
          <w:highlight w:val="none"/>
        </w:rPr>
      </w:pPr>
      <w:r>
        <w:rPr>
          <w:rFonts w:hint="eastAsia"/>
          <w:color w:val="auto"/>
          <w:szCs w:val="21"/>
          <w:highlight w:val="none"/>
          <w:lang w:val="en-US" w:eastAsia="zh-CN"/>
        </w:rPr>
        <w:t>5</w:t>
      </w:r>
      <w:r>
        <w:rPr>
          <w:rFonts w:hint="eastAsia"/>
          <w:color w:val="auto"/>
          <w:szCs w:val="21"/>
          <w:highlight w:val="none"/>
        </w:rPr>
        <w:t>、环境卫生保洁服务，含电梯清洁。物业管理区域内的道路、绿地、楼道等公共部位清洁每天不少于4次，目视地面、墙面干净。公共卫生间目视地面、墙面、台面、镜面无污迹、无水渍、无垃圾、无积水，光洁明亮，配喷香机空气清新、无异味。电梯轿厢、操作板、地面清洁保养每天不少于2次，电梯门壁、轿厢打蜡上光每季度不少于3次，表面光亮、无污迹。大堂地面抛光或研磨每季度不少于1次。5-10月份四害消杀每月不少于3次，其他月份每月不少于2次。</w:t>
      </w:r>
    </w:p>
    <w:p>
      <w:pPr>
        <w:spacing w:line="360" w:lineRule="auto"/>
        <w:ind w:firstLine="420" w:firstLineChars="200"/>
        <w:rPr>
          <w:rFonts w:hint="eastAsia"/>
          <w:color w:val="auto"/>
          <w:szCs w:val="21"/>
          <w:highlight w:val="none"/>
        </w:rPr>
      </w:pPr>
      <w:r>
        <w:rPr>
          <w:rFonts w:hint="eastAsia"/>
          <w:color w:val="auto"/>
          <w:szCs w:val="21"/>
          <w:highlight w:val="none"/>
          <w:lang w:val="en-US" w:eastAsia="zh-CN"/>
        </w:rPr>
        <w:t>6</w:t>
      </w:r>
      <w:r>
        <w:rPr>
          <w:rFonts w:hint="eastAsia"/>
          <w:color w:val="auto"/>
          <w:szCs w:val="21"/>
          <w:highlight w:val="none"/>
        </w:rPr>
        <w:t>、保洁人数</w:t>
      </w:r>
      <w:r>
        <w:rPr>
          <w:rFonts w:hint="eastAsia"/>
          <w:color w:val="auto"/>
          <w:szCs w:val="21"/>
          <w:highlight w:val="none"/>
          <w:lang w:eastAsia="zh-CN"/>
        </w:rPr>
        <w:t>不少于</w:t>
      </w:r>
      <w:r>
        <w:rPr>
          <w:rFonts w:hint="eastAsia"/>
          <w:color w:val="auto"/>
          <w:szCs w:val="21"/>
          <w:highlight w:val="none"/>
        </w:rPr>
        <w:t>2</w:t>
      </w:r>
      <w:r>
        <w:rPr>
          <w:rFonts w:hint="eastAsia"/>
          <w:color w:val="auto"/>
          <w:szCs w:val="21"/>
          <w:highlight w:val="none"/>
          <w:lang w:val="en-US" w:eastAsia="zh-CN"/>
        </w:rPr>
        <w:t>1</w:t>
      </w:r>
      <w:r>
        <w:rPr>
          <w:rFonts w:hint="eastAsia"/>
          <w:color w:val="auto"/>
          <w:szCs w:val="21"/>
          <w:highlight w:val="none"/>
        </w:rPr>
        <w:t>人。包括项目主管1人、项目班长1人、保洁人员17人、洗地玻璃工1人、垃圾清运人员</w:t>
      </w:r>
      <w:r>
        <w:rPr>
          <w:rFonts w:hint="eastAsia"/>
          <w:color w:val="auto"/>
          <w:szCs w:val="21"/>
          <w:highlight w:val="none"/>
          <w:lang w:val="en-US" w:eastAsia="zh-CN"/>
        </w:rPr>
        <w:t>1</w:t>
      </w:r>
      <w:r>
        <w:rPr>
          <w:rFonts w:hint="eastAsia"/>
          <w:color w:val="auto"/>
          <w:szCs w:val="21"/>
          <w:highlight w:val="none"/>
        </w:rPr>
        <w:t>人。</w:t>
      </w:r>
    </w:p>
    <w:p>
      <w:pPr>
        <w:spacing w:line="360" w:lineRule="auto"/>
        <w:ind w:firstLine="420" w:firstLineChars="200"/>
        <w:rPr>
          <w:rFonts w:hint="eastAsia"/>
          <w:color w:val="auto"/>
          <w:szCs w:val="21"/>
          <w:highlight w:val="none"/>
        </w:rPr>
      </w:pPr>
      <w:r>
        <w:rPr>
          <w:rFonts w:hint="eastAsia"/>
          <w:color w:val="auto"/>
          <w:szCs w:val="21"/>
          <w:highlight w:val="none"/>
          <w:lang w:val="en-US" w:eastAsia="zh-CN"/>
        </w:rPr>
        <w:t>7、</w:t>
      </w:r>
      <w:r>
        <w:rPr>
          <w:rFonts w:hint="eastAsia"/>
          <w:color w:val="auto"/>
          <w:szCs w:val="21"/>
          <w:highlight w:val="none"/>
        </w:rPr>
        <w:t>保洁人员年龄范围：18-55周岁。</w:t>
      </w:r>
      <w:r>
        <w:rPr>
          <w:rFonts w:hint="eastAsia"/>
          <w:color w:val="auto"/>
          <w:szCs w:val="21"/>
          <w:highlight w:val="none"/>
          <w:lang w:eastAsia="zh-CN"/>
        </w:rPr>
        <w:t>必</w:t>
      </w:r>
      <w:r>
        <w:rPr>
          <w:rFonts w:hint="eastAsia"/>
          <w:color w:val="auto"/>
          <w:szCs w:val="21"/>
          <w:highlight w:val="none"/>
        </w:rPr>
        <w:t>须按照《劳动法》、《合同法》等有关规定，依法安排各人员进行工作。</w:t>
      </w:r>
      <w:r>
        <w:rPr>
          <w:rFonts w:hint="eastAsia"/>
          <w:color w:val="auto"/>
          <w:szCs w:val="21"/>
          <w:highlight w:val="none"/>
          <w:lang w:eastAsia="zh-CN"/>
        </w:rPr>
        <w:t>保洁</w:t>
      </w:r>
      <w:r>
        <w:rPr>
          <w:rFonts w:hint="eastAsia"/>
          <w:color w:val="auto"/>
          <w:szCs w:val="21"/>
          <w:highlight w:val="none"/>
        </w:rPr>
        <w:t>人员必须统一服装、带胸卡、编号，必须精神饱满、着装整洁。要求在正常上班时间能够提供不间断保洁服务。</w:t>
      </w:r>
    </w:p>
    <w:p>
      <w:pPr>
        <w:pStyle w:val="2"/>
        <w:rPr>
          <w:rFonts w:hint="eastAsia"/>
          <w:color w:val="auto"/>
          <w:highlight w:val="none"/>
        </w:rPr>
      </w:pPr>
    </w:p>
    <w:p>
      <w:pPr>
        <w:spacing w:line="360" w:lineRule="auto"/>
        <w:ind w:firstLine="420" w:firstLineChars="200"/>
        <w:rPr>
          <w:color w:val="auto"/>
          <w:szCs w:val="21"/>
          <w:highlight w:val="none"/>
        </w:rPr>
      </w:pPr>
    </w:p>
    <w:p>
      <w:pPr>
        <w:spacing w:line="360" w:lineRule="auto"/>
        <w:rPr>
          <w:rFonts w:hint="eastAsia" w:ascii="Arial" w:hAnsi="Arial"/>
          <w:b/>
          <w:bCs/>
          <w:color w:val="auto"/>
          <w:kern w:val="0"/>
          <w:szCs w:val="21"/>
          <w:highlight w:val="none"/>
        </w:rPr>
      </w:pPr>
    </w:p>
    <w:p>
      <w:pPr>
        <w:spacing w:line="360" w:lineRule="auto"/>
        <w:rPr>
          <w:rFonts w:ascii="Arial" w:hAnsi="Arial"/>
          <w:b/>
          <w:bCs/>
          <w:color w:val="auto"/>
          <w:kern w:val="0"/>
          <w:szCs w:val="21"/>
          <w:highlight w:val="none"/>
        </w:rPr>
      </w:pPr>
      <w:r>
        <w:rPr>
          <w:rFonts w:hint="eastAsia" w:ascii="Arial" w:hAnsi="Arial"/>
          <w:b/>
          <w:bCs/>
          <w:color w:val="auto"/>
          <w:kern w:val="0"/>
          <w:szCs w:val="21"/>
          <w:highlight w:val="none"/>
        </w:rPr>
        <w:t>（2）分级服务要求</w:t>
      </w:r>
    </w:p>
    <w:p>
      <w:pPr>
        <w:spacing w:line="360" w:lineRule="auto"/>
        <w:ind w:firstLine="420" w:firstLineChars="20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维护级别要求为二级，详细服务要求如下：  </w:t>
      </w:r>
    </w:p>
    <w:p>
      <w:pPr>
        <w:spacing w:line="360" w:lineRule="auto"/>
        <w:ind w:firstLine="420" w:firstLineChars="200"/>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rPr>
        <w:t>1、清洁卫生人员人均管理建筑面积在2500(含）平方米以下</w:t>
      </w:r>
      <w:r>
        <w:rPr>
          <w:rFonts w:hint="eastAsia" w:eastAsia="宋体" w:cs="Times New Roman"/>
          <w:color w:val="auto"/>
          <w:szCs w:val="21"/>
          <w:highlight w:val="none"/>
          <w:lang w:eastAsia="zh-CN"/>
        </w:rPr>
        <w:t>。</w:t>
      </w:r>
    </w:p>
    <w:p>
      <w:pPr>
        <w:spacing w:line="360" w:lineRule="auto"/>
        <w:ind w:firstLine="420" w:firstLineChars="200"/>
        <w:rPr>
          <w:rFonts w:hint="eastAsia" w:ascii="Times New Roman" w:hAnsi="Times New Roman" w:eastAsia="宋体" w:cs="Times New Roman"/>
          <w:color w:val="auto"/>
          <w:szCs w:val="21"/>
          <w:highlight w:val="none"/>
        </w:rPr>
      </w:pPr>
      <w:r>
        <w:rPr>
          <w:rFonts w:hint="eastAsia" w:eastAsia="宋体" w:cs="Times New Roman"/>
          <w:color w:val="auto"/>
          <w:szCs w:val="21"/>
          <w:highlight w:val="none"/>
          <w:lang w:val="en-US" w:eastAsia="zh-CN"/>
        </w:rPr>
        <w:t>2、</w:t>
      </w:r>
      <w:r>
        <w:rPr>
          <w:rFonts w:hint="eastAsia" w:ascii="Times New Roman" w:hAnsi="Times New Roman" w:eastAsia="宋体" w:cs="Times New Roman"/>
          <w:color w:val="auto"/>
          <w:szCs w:val="21"/>
          <w:highlight w:val="none"/>
        </w:rPr>
        <w:t>作业方式实行全天保洁。</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3、</w:t>
      </w:r>
      <w:r>
        <w:rPr>
          <w:rFonts w:hint="eastAsia" w:ascii="Times New Roman" w:hAnsi="Times New Roman" w:eastAsia="宋体" w:cs="Times New Roman"/>
          <w:color w:val="auto"/>
          <w:szCs w:val="21"/>
          <w:highlight w:val="none"/>
        </w:rPr>
        <w:t>清扫保洁作业时间：按照八大街办公区工作时间之规定，提前30分钟完成常规清扫工作。</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4、</w:t>
      </w:r>
      <w:r>
        <w:rPr>
          <w:rFonts w:hint="eastAsia" w:ascii="Times New Roman" w:hAnsi="Times New Roman" w:eastAsia="宋体" w:cs="Times New Roman"/>
          <w:color w:val="auto"/>
          <w:szCs w:val="21"/>
          <w:highlight w:val="none"/>
        </w:rPr>
        <w:t>保洁人员对保洁区域内楼梯、楼道、走廊、门窗、卫生间、会议室、大厅、电梯间、地下车库及办公区所有环境卫生进行清扫；垃圾要倒入指定地点，不准随意倾倒，不得任意焚烧，杜绝出现老鼠、蟑螂等四害。</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5、</w:t>
      </w:r>
      <w:r>
        <w:rPr>
          <w:rFonts w:hint="eastAsia" w:ascii="Times New Roman" w:hAnsi="Times New Roman" w:eastAsia="宋体" w:cs="Times New Roman"/>
          <w:color w:val="auto"/>
          <w:szCs w:val="21"/>
          <w:highlight w:val="none"/>
        </w:rPr>
        <w:t>保洁工作要做到规范化、经常化、制度化。做到"四到位"：普扫到位、保洁到位（无空档）、管理到位、检查到位。</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6、</w:t>
      </w:r>
      <w:r>
        <w:rPr>
          <w:rFonts w:hint="eastAsia" w:ascii="Times New Roman" w:hAnsi="Times New Roman" w:eastAsia="宋体" w:cs="Times New Roman"/>
          <w:color w:val="auto"/>
          <w:szCs w:val="21"/>
          <w:highlight w:val="none"/>
        </w:rPr>
        <w:t>遇到重大活动及突发情况（如极端雨雪天气等）,乙方须随时听候甲方指令，无条件服从甲方安排，按时、按标准、按要求义务完成清扫保洁工作，自行配备人员、设施及物料，完成积雪或积水清理，确保上班前主干道路面畅通。</w:t>
      </w:r>
    </w:p>
    <w:p>
      <w:pPr>
        <w:spacing w:line="360" w:lineRule="auto"/>
        <w:ind w:firstLine="420" w:firstLineChars="200"/>
        <w:rPr>
          <w:rFonts w:hint="default" w:eastAsia="宋体" w:cs="Times New Roman"/>
          <w:color w:val="auto"/>
          <w:szCs w:val="21"/>
          <w:highlight w:val="none"/>
          <w:lang w:val="en"/>
        </w:rPr>
      </w:pPr>
      <w:r>
        <w:rPr>
          <w:rFonts w:hint="default" w:eastAsia="宋体" w:cs="Times New Roman"/>
          <w:color w:val="auto"/>
          <w:szCs w:val="21"/>
          <w:highlight w:val="none"/>
          <w:lang w:val="en"/>
        </w:rPr>
        <w:t>7、楼外：</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（1）</w:t>
      </w:r>
      <w:r>
        <w:rPr>
          <w:rFonts w:hint="eastAsia" w:ascii="Times New Roman" w:hAnsi="Times New Roman" w:eastAsia="宋体" w:cs="Times New Roman"/>
          <w:color w:val="auto"/>
          <w:szCs w:val="21"/>
          <w:highlight w:val="none"/>
        </w:rPr>
        <w:t>路面、广场、散水坡，无瓜果皮壳、纸屑等杂物，无积水，无污垢，每10 m2内的烟头及相应大小的杂物不超过1个。沿路线全面检查每天彻底清扫2次，每2小时循环打扫1次。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（2）</w:t>
      </w:r>
      <w:r>
        <w:rPr>
          <w:rFonts w:hint="eastAsia" w:ascii="Times New Roman" w:hAnsi="Times New Roman" w:eastAsia="宋体" w:cs="Times New Roman"/>
          <w:color w:val="auto"/>
          <w:szCs w:val="21"/>
          <w:highlight w:val="none"/>
        </w:rPr>
        <w:t>果皮箱内部垃圾及时清理，外表无污迹、粘附物。每天清倒2次，每天刷洗1次，每周用洗洁精刷1次。相关垃圾袋、扫帚、消杀物品等物料由乙方负责配置。</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（3）</w:t>
      </w:r>
      <w:r>
        <w:rPr>
          <w:rFonts w:hint="eastAsia" w:ascii="Times New Roman" w:hAnsi="Times New Roman" w:eastAsia="宋体" w:cs="Times New Roman"/>
          <w:color w:val="auto"/>
          <w:szCs w:val="21"/>
          <w:highlight w:val="none"/>
        </w:rPr>
        <w:t>垃圾道口地面无散落垃圾，无污水无污痕，无明显污迹。</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（4）</w:t>
      </w:r>
      <w:r>
        <w:rPr>
          <w:rFonts w:hint="eastAsia" w:ascii="Times New Roman" w:hAnsi="Times New Roman" w:eastAsia="宋体" w:cs="Times New Roman"/>
          <w:color w:val="auto"/>
          <w:szCs w:val="21"/>
          <w:highlight w:val="none"/>
        </w:rPr>
        <w:t>标识牌、雕塑装饰物无乱张贴，目视表面无明显灰尘、无污迹。每天清抹1次。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8、</w:t>
      </w:r>
      <w:r>
        <w:rPr>
          <w:rFonts w:hint="eastAsia" w:ascii="Times New Roman" w:hAnsi="Times New Roman" w:eastAsia="宋体" w:cs="Times New Roman"/>
          <w:color w:val="auto"/>
          <w:szCs w:val="21"/>
          <w:highlight w:val="none"/>
        </w:rPr>
        <w:t>地下室或车库：</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（1）</w:t>
      </w:r>
      <w:r>
        <w:rPr>
          <w:rFonts w:hint="eastAsia" w:ascii="Times New Roman" w:hAnsi="Times New Roman" w:eastAsia="宋体" w:cs="Times New Roman"/>
          <w:color w:val="auto"/>
          <w:szCs w:val="21"/>
          <w:highlight w:val="none"/>
        </w:rPr>
        <w:t>车库地面无垃圾、杂物、无积水、无泥沙。每天清扫1次，每2小时循环1次。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（2）</w:t>
      </w:r>
      <w:r>
        <w:rPr>
          <w:rFonts w:hint="eastAsia" w:ascii="Times New Roman" w:hAnsi="Times New Roman" w:eastAsia="宋体" w:cs="Times New Roman"/>
          <w:color w:val="auto"/>
          <w:szCs w:val="21"/>
          <w:highlight w:val="none"/>
        </w:rPr>
        <w:t>车库墙面目视无污痕，无明显灰尘。每月清扫或冲洗1次。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（3）</w:t>
      </w:r>
      <w:r>
        <w:rPr>
          <w:rFonts w:hint="eastAsia" w:ascii="Times New Roman" w:hAnsi="Times New Roman" w:eastAsia="宋体" w:cs="Times New Roman"/>
          <w:color w:val="auto"/>
          <w:szCs w:val="21"/>
          <w:highlight w:val="none"/>
        </w:rPr>
        <w:t>地下车库的标识牌、消防栓公用门等设施，目视无污痕，无明显灰尘每天清扫1次，每2小时循环1次。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（4）</w:t>
      </w:r>
      <w:r>
        <w:rPr>
          <w:rFonts w:hint="eastAsia" w:ascii="Times New Roman" w:hAnsi="Times New Roman" w:eastAsia="宋体" w:cs="Times New Roman"/>
          <w:color w:val="auto"/>
          <w:szCs w:val="21"/>
          <w:highlight w:val="none"/>
        </w:rPr>
        <w:t>车库和天台管线，目视无污痕，无灰尘。每两个月用扫把清扫1次。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9、</w:t>
      </w:r>
      <w:r>
        <w:rPr>
          <w:rFonts w:hint="eastAsia" w:ascii="Times New Roman" w:hAnsi="Times New Roman" w:eastAsia="宋体" w:cs="Times New Roman"/>
          <w:color w:val="auto"/>
          <w:szCs w:val="21"/>
          <w:highlight w:val="none"/>
        </w:rPr>
        <w:t>楼内：</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（1）</w:t>
      </w:r>
      <w:r>
        <w:rPr>
          <w:rFonts w:hint="eastAsia" w:ascii="Times New Roman" w:hAnsi="Times New Roman" w:eastAsia="宋体" w:cs="Times New Roman"/>
          <w:color w:val="auto"/>
          <w:szCs w:val="21"/>
          <w:highlight w:val="none"/>
        </w:rPr>
        <w:t>水磨石、水泥、大理石、地毯地面的清洁，无垃圾杂物、无泥沙、无污痕，地毯无明显灰尘，无污痕。每天清扫1次，地毯吸尘每周1次，大理石、水磨石地面每日用油拖洗，每半月应打蜡1次。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（2）</w:t>
      </w:r>
      <w:r>
        <w:rPr>
          <w:rFonts w:hint="eastAsia" w:ascii="Times New Roman" w:hAnsi="Times New Roman" w:eastAsia="宋体" w:cs="Times New Roman"/>
          <w:color w:val="auto"/>
          <w:szCs w:val="21"/>
          <w:highlight w:val="none"/>
        </w:rPr>
        <w:t>大理石、瓷片、乳胶漆、喷涂墙面的清洁。大理石、瓷片、喷涂墙面擦拭无明显泥土，乳胶漆墙面无污痕，目视无明显污迹，每月扫尘1次。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（3）</w:t>
      </w:r>
      <w:r>
        <w:rPr>
          <w:rFonts w:hint="eastAsia" w:ascii="Times New Roman" w:hAnsi="Times New Roman" w:eastAsia="宋体" w:cs="Times New Roman"/>
          <w:color w:val="auto"/>
          <w:szCs w:val="21"/>
          <w:highlight w:val="none"/>
        </w:rPr>
        <w:t>天花板、天棚目视无蜘蛛网，无明显灰尘，每月扫尘1次。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（4）</w:t>
      </w:r>
      <w:r>
        <w:rPr>
          <w:rFonts w:hint="eastAsia" w:ascii="Times New Roman" w:hAnsi="Times New Roman" w:eastAsia="宋体" w:cs="Times New Roman"/>
          <w:color w:val="auto"/>
          <w:szCs w:val="21"/>
          <w:highlight w:val="none"/>
        </w:rPr>
        <w:t>灯罩、烟感、吹风口、指示灯目视无明显灰尘、无污痕，每月清抹1次。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（5）</w:t>
      </w:r>
      <w:r>
        <w:rPr>
          <w:rFonts w:hint="eastAsia" w:ascii="Times New Roman" w:hAnsi="Times New Roman" w:eastAsia="宋体" w:cs="Times New Roman"/>
          <w:color w:val="auto"/>
          <w:szCs w:val="21"/>
          <w:highlight w:val="none"/>
        </w:rPr>
        <w:t>玻璃门，每月刮洗1次，公共区域玻璃窗每半洗1次。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（6）</w:t>
      </w:r>
      <w:r>
        <w:rPr>
          <w:rFonts w:hint="eastAsia" w:ascii="Times New Roman" w:hAnsi="Times New Roman" w:eastAsia="宋体" w:cs="Times New Roman"/>
          <w:color w:val="auto"/>
          <w:szCs w:val="21"/>
          <w:highlight w:val="none"/>
        </w:rPr>
        <w:t>公共卫生间地面无积水、无污痕、无杂物。墙面瓷片、门窗、卫生间隔板，用布擦拭无明显灰尘，便器无污痕，天花板、灯具目视无明显灰尘，玻璃、镜面无灰尘、无污痕。每天清理4次，每2小时保洁1次。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（7）</w:t>
      </w:r>
      <w:r>
        <w:rPr>
          <w:rFonts w:hint="eastAsia" w:ascii="Times New Roman" w:hAnsi="Times New Roman" w:eastAsia="宋体" w:cs="Times New Roman"/>
          <w:color w:val="auto"/>
          <w:szCs w:val="21"/>
          <w:highlight w:val="none"/>
        </w:rPr>
        <w:t>公用门窗、消防栓、标牌、扶手、栏杆目视无明显无污痕，用抹布擦拭无明显灰尘。每天清理1次。</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（8）</w:t>
      </w:r>
      <w:r>
        <w:rPr>
          <w:rFonts w:hint="eastAsia" w:ascii="Times New Roman" w:hAnsi="Times New Roman" w:eastAsia="宋体" w:cs="Times New Roman"/>
          <w:color w:val="auto"/>
          <w:szCs w:val="21"/>
          <w:highlight w:val="none"/>
        </w:rPr>
        <w:t>电梯轿厢、操作板、地面等清洁保养每天不少于二次；电梯门壁、轿厢打蜡上光每季度不少于三次，表面光亮、无污迹；</w:t>
      </w:r>
    </w:p>
    <w:p>
      <w:pPr>
        <w:spacing w:line="360" w:lineRule="auto"/>
        <w:ind w:firstLine="420" w:firstLineChars="200"/>
        <w:rPr>
          <w:rFonts w:hint="eastAsia" w:ascii="Times New Roman" w:hAnsi="Times New Roman" w:eastAsia="宋体" w:cs="Times New Roman"/>
          <w:color w:val="auto"/>
          <w:szCs w:val="21"/>
          <w:highlight w:val="none"/>
        </w:rPr>
      </w:pPr>
      <w:r>
        <w:rPr>
          <w:rFonts w:hint="default" w:eastAsia="宋体" w:cs="Times New Roman"/>
          <w:color w:val="auto"/>
          <w:szCs w:val="21"/>
          <w:highlight w:val="none"/>
          <w:lang w:val="en"/>
        </w:rPr>
        <w:t>（9）</w:t>
      </w:r>
      <w:r>
        <w:rPr>
          <w:rFonts w:hint="eastAsia" w:ascii="Times New Roman" w:hAnsi="Times New Roman" w:eastAsia="宋体" w:cs="Times New Roman"/>
          <w:color w:val="auto"/>
          <w:szCs w:val="21"/>
          <w:highlight w:val="none"/>
        </w:rPr>
        <w:t>5-10月的灭蚊、灭鼠、灭苍蝇、灭蟑螂等消杀工作每月不少于三次，其余月份每月不少于二次。</w:t>
      </w:r>
    </w:p>
    <w:p>
      <w:pPr>
        <w:numPr>
          <w:ilvl w:val="0"/>
          <w:numId w:val="11"/>
        </w:numPr>
        <w:spacing w:line="360" w:lineRule="auto"/>
        <w:ind w:firstLine="420" w:firstLineChars="20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提供优秀的适岗人员并保证适岗人员不少于2</w:t>
      </w:r>
      <w:r>
        <w:rPr>
          <w:rFonts w:hint="eastAsia" w:ascii="Times New Roman" w:hAnsi="Times New Roman" w:eastAsia="宋体" w:cs="Times New Roman"/>
          <w:color w:val="auto"/>
          <w:szCs w:val="21"/>
          <w:highlight w:val="none"/>
          <w:lang w:val="en-US" w:eastAsia="zh-CN"/>
        </w:rPr>
        <w:t>1</w:t>
      </w:r>
      <w:r>
        <w:rPr>
          <w:rFonts w:hint="eastAsia" w:ascii="Times New Roman" w:hAnsi="Times New Roman" w:eastAsia="宋体" w:cs="Times New Roman"/>
          <w:color w:val="auto"/>
          <w:szCs w:val="21"/>
          <w:highlight w:val="none"/>
        </w:rPr>
        <w:t>人。</w:t>
      </w:r>
    </w:p>
    <w:p>
      <w:pPr>
        <w:numPr>
          <w:ilvl w:val="0"/>
          <w:numId w:val="11"/>
        </w:numPr>
        <w:spacing w:line="360" w:lineRule="auto"/>
        <w:ind w:firstLine="420" w:firstLineChars="20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1分钟接听电话</w:t>
      </w:r>
      <w:r>
        <w:rPr>
          <w:rFonts w:hint="eastAsia"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5分钟到达现场</w:t>
      </w:r>
      <w:r>
        <w:rPr>
          <w:rFonts w:hint="eastAsia"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20分钟内处理问题。</w:t>
      </w:r>
    </w:p>
    <w:p>
      <w:pPr>
        <w:spacing w:line="360" w:lineRule="auto"/>
        <w:rPr>
          <w:rFonts w:hint="eastAsia" w:ascii="Arial" w:hAnsi="Arial"/>
          <w:b/>
          <w:bCs/>
          <w:color w:val="auto"/>
          <w:kern w:val="0"/>
          <w:szCs w:val="21"/>
          <w:highlight w:val="none"/>
        </w:rPr>
      </w:pPr>
    </w:p>
    <w:p>
      <w:pPr>
        <w:rPr>
          <w:rFonts w:hint="eastAsia" w:ascii="Arial" w:hAnsi="Arial"/>
          <w:b/>
          <w:bCs/>
          <w:color w:val="auto"/>
          <w:kern w:val="0"/>
          <w:szCs w:val="21"/>
          <w:highlight w:val="none"/>
        </w:rPr>
      </w:pPr>
      <w:r>
        <w:rPr>
          <w:rFonts w:hint="eastAsia" w:ascii="Arial" w:hAnsi="Arial"/>
          <w:b/>
          <w:bCs/>
          <w:color w:val="auto"/>
          <w:kern w:val="0"/>
          <w:szCs w:val="21"/>
          <w:highlight w:val="none"/>
        </w:rPr>
        <w:br w:type="page"/>
      </w:r>
    </w:p>
    <w:p>
      <w:pPr>
        <w:spacing w:line="360" w:lineRule="auto"/>
        <w:rPr>
          <w:rFonts w:hint="eastAsia" w:ascii="Arial" w:hAnsi="Arial"/>
          <w:b/>
          <w:bCs/>
          <w:color w:val="auto"/>
          <w:kern w:val="0"/>
          <w:szCs w:val="21"/>
          <w:highlight w:val="none"/>
          <w:lang w:eastAsia="zh-CN"/>
        </w:rPr>
      </w:pPr>
      <w:r>
        <w:rPr>
          <w:rFonts w:hint="eastAsia" w:ascii="Arial" w:hAnsi="Arial"/>
          <w:b/>
          <w:bCs/>
          <w:color w:val="auto"/>
          <w:kern w:val="0"/>
          <w:szCs w:val="21"/>
          <w:highlight w:val="none"/>
        </w:rPr>
        <w:t>（</w:t>
      </w:r>
      <w:r>
        <w:rPr>
          <w:rFonts w:hint="eastAsia" w:ascii="Arial" w:hAnsi="Arial"/>
          <w:b/>
          <w:bCs/>
          <w:color w:val="auto"/>
          <w:kern w:val="0"/>
          <w:szCs w:val="21"/>
          <w:highlight w:val="none"/>
          <w:lang w:val="en-US" w:eastAsia="zh-CN"/>
        </w:rPr>
        <w:t>3</w:t>
      </w:r>
      <w:r>
        <w:rPr>
          <w:rFonts w:hint="eastAsia" w:ascii="Arial" w:hAnsi="Arial"/>
          <w:b/>
          <w:bCs/>
          <w:color w:val="auto"/>
          <w:kern w:val="0"/>
          <w:szCs w:val="21"/>
          <w:highlight w:val="none"/>
        </w:rPr>
        <w:t>）</w:t>
      </w:r>
      <w:r>
        <w:rPr>
          <w:rFonts w:hint="eastAsia" w:ascii="Arial" w:hAnsi="Arial"/>
          <w:b/>
          <w:bCs/>
          <w:color w:val="auto"/>
          <w:kern w:val="0"/>
          <w:szCs w:val="21"/>
          <w:highlight w:val="none"/>
          <w:lang w:eastAsia="zh-CN"/>
        </w:rPr>
        <w:t>月度考核</w:t>
      </w:r>
    </w:p>
    <w:tbl>
      <w:tblPr>
        <w:tblStyle w:val="34"/>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8"/>
        <w:gridCol w:w="588"/>
        <w:gridCol w:w="549"/>
        <w:gridCol w:w="5686"/>
        <w:gridCol w:w="548"/>
        <w:gridCol w:w="5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gridSpan w:val="6"/>
            <w:tcBorders>
              <w:top w:val="nil"/>
              <w:left w:val="nil"/>
              <w:bottom w:val="single" w:color="000000" w:sz="4" w:space="0"/>
              <w:right w:val="nil"/>
            </w:tcBorders>
            <w:shd w:val="clear" w:color="auto" w:fill="auto"/>
            <w:noWrap/>
            <w:vAlign w:val="center"/>
          </w:tcPr>
          <w:p>
            <w:pPr>
              <w:keepNext w:val="0"/>
              <w:keepLines w:val="0"/>
              <w:widowControl/>
              <w:suppressLineNumbers w:val="0"/>
              <w:jc w:val="center"/>
              <w:textAlignment w:val="center"/>
              <w:rPr>
                <w:rFonts w:ascii="方正小标宋_GBK" w:hAnsi="方正小标宋_GBK" w:eastAsia="方正小标宋_GBK" w:cs="方正小标宋_GBK"/>
                <w:i w:val="0"/>
                <w:color w:val="auto"/>
                <w:sz w:val="18"/>
                <w:szCs w:val="18"/>
                <w:highlight w:val="none"/>
                <w:u w:val="none"/>
              </w:rPr>
            </w:pPr>
            <w:r>
              <w:rPr>
                <w:rFonts w:hint="eastAsia" w:ascii="方正小标宋_GBK" w:hAnsi="方正小标宋_GBK" w:eastAsia="方正小标宋_GBK" w:cs="方正小标宋_GBK"/>
                <w:i w:val="0"/>
                <w:color w:val="auto"/>
                <w:kern w:val="0"/>
                <w:sz w:val="18"/>
                <w:szCs w:val="18"/>
                <w:highlight w:val="none"/>
                <w:u w:val="none"/>
                <w:lang w:val="en-US" w:eastAsia="zh-CN" w:bidi="ar"/>
              </w:rPr>
              <w:t xml:space="preserve">保洁月度考核表 </w:t>
            </w:r>
            <w:r>
              <w:rPr>
                <w:rStyle w:val="55"/>
                <w:color w:val="auto"/>
                <w:sz w:val="18"/>
                <w:szCs w:val="18"/>
                <w:highlight w:val="none"/>
                <w:lang w:val="en-US" w:eastAsia="zh-CN" w:bidi="ar"/>
              </w:rPr>
              <w:t>（            年        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工作情况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考核项目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标准分值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考 核 内 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考核结果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备  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人员配置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工作人员人数是否按照合同规定安排到岗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仪容仪表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按规定统一穿着制服、佩戴工作证及其他必要装备；微笑服务，动作姿势较准确；举止文明大方；动作手势规范、准确、有力。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职业道德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保洁人员热爱本职工作、敬业精神、认真履行职责、出色完成安全保洁任务；文明执勤、礼貌待人、注重形象；工作积极主动、坚持原则、大胆管理。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保洁工作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20分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是否准确完成日常各项办公区内的清洁保障工作；保洁工具及工具柜干净、整洁，做到工具及时归位；有序做好日常保洁、周计划、月计划相关工作内容；及时更换温馨提示、垃圾标识、岗位区域明示；四害消杀工作是否有序推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日常巡查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20分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是否及时发现、制止、处理各种保洁问题，责任范围内无死角清洁;定期检查保洁工具及工具柜等设施设备,确保完好,发现责任区域内保洁和维修问题及时上报;及时制止工作区域内违规施工或未按规定要求处置生活垃圾和建筑垃圾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卫生状况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办公区域内卫生保持情况，器材器具是否整齐、干净、无尘；个人物品是否整齐摆放；杂物是否及时清理。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日常管理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15分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保洁与会务人员相互配合情况；保洁执行工作纪律情况；会务期间会议室内打扫及物品摆放情况；工作期间对讲机是否存在离线情况；办公区域内保洁工具及技术设施设备随意停放；办公区域、公共区域、外环境区域等作业问题相互调配情况；日常考核情况及时统一，做好问题汇总及整改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协调能力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是否与其他社会化公司存在业务或工作上相互推诿扯皮现象，能否准确无误与其他部门联合工作。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合同执行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是否严格按照合同各项规定执行、有无违约情况出现。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服务满意度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是否有投诉情况。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auto"/>
                <w:sz w:val="18"/>
                <w:szCs w:val="18"/>
                <w:highlight w:val="none"/>
                <w:u w:val="none"/>
              </w:rPr>
            </w:pPr>
          </w:p>
        </w:tc>
      </w:tr>
    </w:tbl>
    <w:p>
      <w:pPr>
        <w:spacing w:line="265" w:lineRule="exact"/>
        <w:jc w:val="left"/>
        <w:rPr>
          <w:color w:val="auto"/>
          <w:highlight w:val="none"/>
        </w:rPr>
      </w:pPr>
    </w:p>
    <w:p>
      <w:pPr>
        <w:pStyle w:val="33"/>
        <w:rPr>
          <w:color w:val="auto"/>
          <w:sz w:val="21"/>
          <w:highlight w:val="none"/>
        </w:rPr>
      </w:pPr>
    </w:p>
    <w:p>
      <w:pPr>
        <w:spacing w:line="360" w:lineRule="auto"/>
        <w:rPr>
          <w:color w:val="auto"/>
          <w:highlight w:val="none"/>
        </w:rPr>
      </w:pPr>
      <w:r>
        <w:rPr>
          <w:color w:val="auto"/>
          <w:highlight w:val="none"/>
        </w:rPr>
        <w:br w:type="page"/>
      </w:r>
    </w:p>
    <w:p>
      <w:pPr>
        <w:spacing w:line="440" w:lineRule="exact"/>
        <w:jc w:val="center"/>
        <w:outlineLvl w:val="0"/>
        <w:rPr>
          <w:rFonts w:hint="eastAsia" w:ascii="宋体" w:hAnsi="宋体"/>
          <w:b/>
          <w:color w:val="auto"/>
          <w:sz w:val="44"/>
          <w:szCs w:val="44"/>
          <w:highlight w:val="none"/>
        </w:rPr>
      </w:pPr>
      <w:bookmarkStart w:id="694" w:name="_Toc346523421"/>
      <w:bookmarkStart w:id="695" w:name="_Toc494526418"/>
      <w:bookmarkStart w:id="696" w:name="_Toc338840252"/>
      <w:bookmarkStart w:id="697" w:name="_Toc494093446"/>
      <w:bookmarkStart w:id="698" w:name="_Toc5704"/>
      <w:bookmarkStart w:id="699" w:name="_Toc23606"/>
      <w:bookmarkStart w:id="700" w:name="_Toc17490"/>
      <w:bookmarkStart w:id="701" w:name="_Toc32761"/>
      <w:bookmarkStart w:id="702" w:name="_Toc338840500"/>
      <w:bookmarkStart w:id="703" w:name="_Toc346523484"/>
      <w:bookmarkStart w:id="704" w:name="_Toc338840461"/>
    </w:p>
    <w:p>
      <w:pPr>
        <w:spacing w:line="440" w:lineRule="exact"/>
        <w:jc w:val="center"/>
        <w:outlineLvl w:val="0"/>
        <w:rPr>
          <w:rFonts w:ascii="宋体" w:hAnsi="宋体"/>
          <w:b/>
          <w:color w:val="auto"/>
          <w:sz w:val="44"/>
          <w:szCs w:val="44"/>
          <w:highlight w:val="none"/>
        </w:rPr>
      </w:pPr>
      <w:r>
        <w:rPr>
          <w:rFonts w:hint="eastAsia" w:ascii="宋体" w:hAnsi="宋体"/>
          <w:b/>
          <w:color w:val="auto"/>
          <w:sz w:val="44"/>
          <w:szCs w:val="44"/>
          <w:highlight w:val="none"/>
        </w:rPr>
        <w:t xml:space="preserve">第六章  </w:t>
      </w:r>
      <w:bookmarkEnd w:id="686"/>
      <w:bookmarkEnd w:id="687"/>
      <w:bookmarkEnd w:id="688"/>
      <w:bookmarkEnd w:id="689"/>
      <w:bookmarkEnd w:id="690"/>
      <w:bookmarkEnd w:id="691"/>
      <w:bookmarkEnd w:id="692"/>
      <w:bookmarkEnd w:id="693"/>
      <w:r>
        <w:rPr>
          <w:rFonts w:hint="eastAsia" w:ascii="宋体" w:hAnsi="宋体"/>
          <w:b/>
          <w:color w:val="auto"/>
          <w:sz w:val="44"/>
          <w:szCs w:val="44"/>
          <w:highlight w:val="none"/>
        </w:rPr>
        <w:t>投标文件格式</w:t>
      </w:r>
      <w:bookmarkEnd w:id="694"/>
      <w:bookmarkEnd w:id="695"/>
      <w:bookmarkEnd w:id="696"/>
      <w:bookmarkEnd w:id="697"/>
      <w:bookmarkEnd w:id="698"/>
      <w:bookmarkEnd w:id="699"/>
      <w:bookmarkEnd w:id="700"/>
      <w:bookmarkEnd w:id="701"/>
      <w:bookmarkEnd w:id="702"/>
      <w:bookmarkEnd w:id="703"/>
      <w:bookmarkEnd w:id="704"/>
    </w:p>
    <w:p>
      <w:pPr>
        <w:spacing w:line="600" w:lineRule="exact"/>
        <w:rPr>
          <w:rFonts w:ascii="宋体" w:hAnsi="宋体"/>
          <w:b/>
          <w:bCs/>
          <w:color w:val="auto"/>
          <w:sz w:val="32"/>
          <w:szCs w:val="32"/>
          <w:highlight w:val="none"/>
        </w:rPr>
      </w:pPr>
      <w:r>
        <w:rPr>
          <w:rFonts w:hint="eastAsia" w:ascii="宋体" w:hAnsi="宋体"/>
          <w:color w:val="auto"/>
          <w:highlight w:val="none"/>
        </w:rPr>
        <w:br w:type="page"/>
      </w:r>
    </w:p>
    <w:p>
      <w:pPr>
        <w:spacing w:line="600" w:lineRule="exact"/>
        <w:ind w:firstLine="1430" w:firstLineChars="445"/>
        <w:rPr>
          <w:rFonts w:ascii="宋体" w:hAnsi="宋体"/>
          <w:b/>
          <w:bCs/>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项目</w:t>
      </w:r>
      <w:r>
        <w:rPr>
          <w:rFonts w:hint="eastAsia" w:ascii="宋体" w:hAnsi="宋体"/>
          <w:b/>
          <w:bCs/>
          <w:color w:val="auto"/>
          <w:sz w:val="32"/>
          <w:szCs w:val="32"/>
          <w:highlight w:val="none"/>
          <w:u w:val="single"/>
        </w:rPr>
        <w:t>　　</w:t>
      </w:r>
      <w:r>
        <w:rPr>
          <w:rFonts w:hint="eastAsia" w:ascii="宋体" w:hAnsi="宋体"/>
          <w:b/>
          <w:bCs/>
          <w:color w:val="auto"/>
          <w:sz w:val="32"/>
          <w:szCs w:val="32"/>
          <w:highlight w:val="none"/>
        </w:rPr>
        <w:t>标段</w:t>
      </w:r>
    </w:p>
    <w:p>
      <w:pPr>
        <w:spacing w:line="800" w:lineRule="exact"/>
        <w:ind w:firstLine="2570" w:firstLineChars="800"/>
        <w:rPr>
          <w:rFonts w:ascii="宋体" w:hAnsi="宋体"/>
          <w:b/>
          <w:bCs/>
          <w:color w:val="auto"/>
          <w:sz w:val="72"/>
          <w:szCs w:val="72"/>
          <w:highlight w:val="none"/>
        </w:rPr>
      </w:pPr>
      <w:r>
        <w:rPr>
          <w:rFonts w:hint="eastAsia" w:ascii="宋体" w:hAnsi="宋体"/>
          <w:b/>
          <w:bCs/>
          <w:color w:val="auto"/>
          <w:sz w:val="32"/>
          <w:szCs w:val="32"/>
          <w:highlight w:val="none"/>
        </w:rPr>
        <w:t>项目编号：</w:t>
      </w:r>
      <w:r>
        <w:rPr>
          <w:rFonts w:hint="eastAsia" w:ascii="宋体" w:hAnsi="宋体"/>
          <w:b/>
          <w:bCs/>
          <w:color w:val="auto"/>
          <w:sz w:val="32"/>
          <w:szCs w:val="32"/>
          <w:highlight w:val="none"/>
          <w:u w:val="single"/>
        </w:rPr>
        <w:t>　　　　</w:t>
      </w:r>
    </w:p>
    <w:p>
      <w:pPr>
        <w:spacing w:line="800" w:lineRule="exact"/>
        <w:rPr>
          <w:rFonts w:ascii="宋体" w:hAnsi="宋体"/>
          <w:b/>
          <w:bCs/>
          <w:color w:val="auto"/>
          <w:sz w:val="72"/>
          <w:szCs w:val="72"/>
          <w:highlight w:val="none"/>
        </w:rPr>
      </w:pPr>
    </w:p>
    <w:p>
      <w:pPr>
        <w:spacing w:line="800" w:lineRule="exact"/>
        <w:rPr>
          <w:rFonts w:ascii="宋体" w:hAnsi="宋体"/>
          <w:b/>
          <w:bCs/>
          <w:color w:val="auto"/>
          <w:sz w:val="72"/>
          <w:szCs w:val="72"/>
          <w:highlight w:val="none"/>
        </w:rPr>
      </w:pPr>
    </w:p>
    <w:p>
      <w:pPr>
        <w:spacing w:line="800" w:lineRule="exact"/>
        <w:rPr>
          <w:rFonts w:ascii="宋体" w:hAnsi="宋体"/>
          <w:b/>
          <w:bCs/>
          <w:color w:val="auto"/>
          <w:sz w:val="72"/>
          <w:szCs w:val="72"/>
          <w:highlight w:val="none"/>
        </w:rPr>
      </w:pPr>
    </w:p>
    <w:p>
      <w:pPr>
        <w:spacing w:line="800" w:lineRule="exact"/>
        <w:rPr>
          <w:rFonts w:ascii="宋体" w:hAnsi="宋体"/>
          <w:b/>
          <w:bCs/>
          <w:color w:val="auto"/>
          <w:sz w:val="72"/>
          <w:szCs w:val="72"/>
          <w:highlight w:val="none"/>
        </w:rPr>
      </w:pPr>
    </w:p>
    <w:p>
      <w:pPr>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pPr>
        <w:spacing w:line="800" w:lineRule="exact"/>
        <w:ind w:firstLine="2249" w:firstLineChars="700"/>
        <w:rPr>
          <w:rFonts w:ascii="宋体" w:hAnsi="宋体"/>
          <w:b/>
          <w:bCs/>
          <w:color w:val="auto"/>
          <w:sz w:val="32"/>
          <w:szCs w:val="32"/>
          <w:highlight w:val="none"/>
          <w:u w:val="single"/>
        </w:rPr>
      </w:pPr>
    </w:p>
    <w:p>
      <w:pPr>
        <w:spacing w:line="800" w:lineRule="exac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ind w:firstLine="643" w:firstLineChars="200"/>
        <w:rPr>
          <w:rFonts w:ascii="宋体" w:hAnsi="宋体"/>
          <w:b/>
          <w:color w:val="auto"/>
          <w:sz w:val="32"/>
          <w:szCs w:val="32"/>
          <w:highlight w:val="none"/>
        </w:rPr>
      </w:pPr>
      <w:r>
        <w:rPr>
          <w:rFonts w:hint="eastAsia" w:ascii="宋体" w:hAnsi="宋体"/>
          <w:b/>
          <w:color w:val="auto"/>
          <w:sz w:val="32"/>
          <w:szCs w:val="32"/>
          <w:highlight w:val="none"/>
        </w:rPr>
        <w:t>收件人：</w:t>
      </w:r>
      <w:r>
        <w:rPr>
          <w:rFonts w:hint="eastAsia" w:ascii="宋体" w:hAnsi="宋体" w:cs="宋体"/>
          <w:b/>
          <w:color w:val="auto"/>
          <w:sz w:val="32"/>
          <w:szCs w:val="32"/>
          <w:highlight w:val="none"/>
        </w:rPr>
        <w:t>开封市政府采购中心</w:t>
      </w:r>
    </w:p>
    <w:p>
      <w:pPr>
        <w:spacing w:line="600" w:lineRule="exact"/>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w:t>
      </w:r>
      <w:r>
        <w:rPr>
          <w:rFonts w:hint="eastAsia" w:ascii="宋体" w:hAnsi="宋体"/>
          <w:b/>
          <w:color w:val="auto"/>
          <w:sz w:val="32"/>
          <w:szCs w:val="32"/>
          <w:highlight w:val="none"/>
          <w:u w:val="single"/>
        </w:rPr>
        <w:t>　　　　　　　　　　　　　　　　　</w:t>
      </w:r>
    </w:p>
    <w:p>
      <w:pPr>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供应商地址：</w:t>
      </w:r>
      <w:r>
        <w:rPr>
          <w:rFonts w:hint="eastAsia" w:ascii="宋体" w:hAnsi="宋体"/>
          <w:b/>
          <w:color w:val="auto"/>
          <w:sz w:val="32"/>
          <w:szCs w:val="32"/>
          <w:highlight w:val="none"/>
          <w:u w:val="single"/>
        </w:rPr>
        <w:t>　　　　　　　　　　　　　　　</w:t>
      </w:r>
    </w:p>
    <w:p>
      <w:pPr>
        <w:ind w:firstLine="3518" w:firstLineChars="1095"/>
        <w:rPr>
          <w:rFonts w:ascii="宋体" w:hAnsi="宋体"/>
          <w:b/>
          <w:color w:val="auto"/>
          <w:sz w:val="32"/>
          <w:szCs w:val="32"/>
          <w:highlight w:val="none"/>
        </w:rPr>
      </w:pPr>
      <w:r>
        <w:rPr>
          <w:rFonts w:hint="eastAsia" w:ascii="宋体" w:hAnsi="宋体"/>
          <w:b/>
          <w:color w:val="auto"/>
          <w:sz w:val="32"/>
          <w:szCs w:val="32"/>
          <w:highlight w:val="none"/>
        </w:rPr>
        <w:t>编制时间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pPr>
        <w:rPr>
          <w:rFonts w:ascii="宋体" w:hAnsi="宋体"/>
          <w:color w:val="auto"/>
          <w:highlight w:val="none"/>
        </w:rPr>
      </w:pPr>
    </w:p>
    <w:p>
      <w:pPr>
        <w:jc w:val="center"/>
        <w:rPr>
          <w:rFonts w:ascii="宋体" w:hAnsi="宋体"/>
          <w:color w:val="auto"/>
          <w:sz w:val="44"/>
          <w:szCs w:val="44"/>
          <w:highlight w:val="none"/>
        </w:rPr>
      </w:pPr>
      <w:bookmarkStart w:id="705" w:name="_Toc338840501"/>
      <w:bookmarkStart w:id="706" w:name="_Toc346523422"/>
      <w:bookmarkStart w:id="707" w:name="_Toc338840462"/>
      <w:bookmarkStart w:id="708" w:name="_Toc338840253"/>
      <w:r>
        <w:rPr>
          <w:rFonts w:hint="eastAsia" w:ascii="宋体" w:hAnsi="宋体"/>
          <w:color w:val="auto"/>
          <w:sz w:val="44"/>
          <w:szCs w:val="44"/>
          <w:highlight w:val="none"/>
        </w:rPr>
        <w:br w:type="page"/>
      </w:r>
      <w:r>
        <w:rPr>
          <w:rFonts w:hint="eastAsia" w:ascii="宋体" w:hAnsi="宋体"/>
          <w:color w:val="auto"/>
          <w:sz w:val="44"/>
          <w:szCs w:val="44"/>
          <w:highlight w:val="none"/>
        </w:rPr>
        <w:t>目　　录</w:t>
      </w:r>
      <w:bookmarkEnd w:id="705"/>
      <w:bookmarkEnd w:id="706"/>
      <w:bookmarkEnd w:id="707"/>
      <w:bookmarkEnd w:id="708"/>
    </w:p>
    <w:p>
      <w:pPr>
        <w:rPr>
          <w:rFonts w:ascii="宋体" w:hAnsi="宋体"/>
          <w:color w:val="auto"/>
          <w:highlight w:val="none"/>
        </w:rPr>
      </w:pP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投标函</w:t>
      </w: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法定代表人资格证明或授权委托书</w:t>
      </w: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供应商基本情况和资格证明材料</w:t>
      </w: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投标内容及报价明细表</w:t>
      </w: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技术及商务偏差表</w:t>
      </w: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备品备件及附送工具清单</w:t>
      </w: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业绩合同</w:t>
      </w: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企业实力</w:t>
      </w: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服务方案</w:t>
      </w:r>
    </w:p>
    <w:p>
      <w:pPr>
        <w:numPr>
          <w:ilvl w:val="0"/>
          <w:numId w:val="12"/>
        </w:numPr>
        <w:rPr>
          <w:rFonts w:hint="eastAsia" w:ascii="宋体" w:hAnsi="宋体" w:cs="宋体"/>
          <w:color w:val="auto"/>
          <w:sz w:val="32"/>
          <w:szCs w:val="32"/>
          <w:highlight w:val="none"/>
        </w:rPr>
      </w:pPr>
      <w:r>
        <w:rPr>
          <w:rFonts w:hint="eastAsia" w:ascii="宋体" w:hAnsi="宋体" w:cs="宋体"/>
          <w:color w:val="auto"/>
          <w:sz w:val="32"/>
          <w:szCs w:val="32"/>
          <w:highlight w:val="none"/>
        </w:rPr>
        <w:t>管理培训方案</w:t>
      </w: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拟投入设备</w:t>
      </w:r>
    </w:p>
    <w:p>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相关证明材料</w:t>
      </w:r>
    </w:p>
    <w:p>
      <w:pPr>
        <w:rPr>
          <w:rFonts w:ascii="宋体" w:hAnsi="宋体"/>
          <w:color w:val="auto"/>
          <w:sz w:val="32"/>
          <w:szCs w:val="32"/>
          <w:highlight w:val="none"/>
        </w:rPr>
      </w:pPr>
    </w:p>
    <w:p>
      <w:pPr>
        <w:topLinePunct/>
        <w:spacing w:line="440" w:lineRule="exact"/>
        <w:jc w:val="center"/>
        <w:rPr>
          <w:rFonts w:ascii="宋体" w:hAnsi="宋体" w:cs="仿宋_GB2312"/>
          <w:b/>
          <w:bCs/>
          <w:color w:val="auto"/>
          <w:sz w:val="44"/>
          <w:szCs w:val="44"/>
          <w:highlight w:val="none"/>
        </w:rPr>
      </w:pPr>
      <w:r>
        <w:rPr>
          <w:rFonts w:ascii="宋体" w:hAnsi="宋体"/>
          <w:color w:val="auto"/>
          <w:kern w:val="44"/>
          <w:sz w:val="44"/>
          <w:szCs w:val="44"/>
          <w:highlight w:val="none"/>
        </w:rPr>
        <w:br w:type="page"/>
      </w:r>
      <w:bookmarkStart w:id="709" w:name="_Toc338840254"/>
      <w:bookmarkStart w:id="710" w:name="_Toc338840463"/>
      <w:bookmarkStart w:id="711" w:name="_Toc338840502"/>
      <w:r>
        <w:rPr>
          <w:rFonts w:hint="eastAsia" w:ascii="宋体" w:hAnsi="宋体" w:cs="仿宋_GB2312"/>
          <w:b/>
          <w:bCs/>
          <w:color w:val="auto"/>
          <w:sz w:val="44"/>
          <w:szCs w:val="44"/>
          <w:highlight w:val="none"/>
        </w:rPr>
        <w:t>一　　投 标 函</w:t>
      </w:r>
      <w:bookmarkEnd w:id="709"/>
      <w:bookmarkEnd w:id="710"/>
      <w:bookmarkEnd w:id="711"/>
    </w:p>
    <w:p>
      <w:pPr>
        <w:topLinePunct/>
        <w:spacing w:line="440" w:lineRule="exact"/>
        <w:rPr>
          <w:rFonts w:ascii="宋体" w:hAnsi="宋体" w:cs="仿宋_GB2312"/>
          <w:color w:val="auto"/>
          <w:sz w:val="32"/>
          <w:szCs w:val="32"/>
          <w:highlight w:val="none"/>
        </w:rPr>
      </w:pPr>
    </w:p>
    <w:p>
      <w:pPr>
        <w:topLinePunct/>
        <w:rPr>
          <w:rFonts w:ascii="宋体" w:hAnsi="宋体" w:cs="宋体"/>
          <w:color w:val="auto"/>
          <w:sz w:val="32"/>
          <w:szCs w:val="32"/>
          <w:highlight w:val="none"/>
        </w:rPr>
      </w:pPr>
      <w:bookmarkStart w:id="712" w:name="_Toc288115087"/>
      <w:bookmarkStart w:id="713" w:name="_Toc288115062"/>
      <w:r>
        <w:rPr>
          <w:rFonts w:hint="eastAsia" w:ascii="宋体" w:hAnsi="宋体" w:cs="宋体"/>
          <w:color w:val="auto"/>
          <w:sz w:val="32"/>
          <w:szCs w:val="32"/>
          <w:highlight w:val="none"/>
        </w:rPr>
        <w:t>致：开封市政府采购中心</w:t>
      </w:r>
    </w:p>
    <w:p>
      <w:pPr>
        <w:topLinePunct/>
        <w:ind w:firstLine="640" w:firstLineChars="200"/>
        <w:rPr>
          <w:rFonts w:ascii="宋体" w:hAnsi="宋体" w:cs="仿宋_GB2312"/>
          <w:color w:val="auto"/>
          <w:sz w:val="32"/>
          <w:szCs w:val="32"/>
          <w:highlight w:val="none"/>
        </w:rPr>
      </w:pPr>
      <w:r>
        <w:rPr>
          <w:rFonts w:hint="eastAsia" w:ascii="宋体" w:hAnsi="宋体" w:cs="仿宋_GB2312"/>
          <w:color w:val="auto"/>
          <w:sz w:val="32"/>
          <w:szCs w:val="32"/>
          <w:highlight w:val="none"/>
        </w:rPr>
        <w:t>我方已仔细研究了</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项目（项目编号：</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）第</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标段招标文件的全部内容，愿按照招标文件中的条款和要求提供招标产品和服务，并承诺以下内容：</w:t>
      </w:r>
    </w:p>
    <w:p>
      <w:pPr>
        <w:numPr>
          <w:ilvl w:val="0"/>
          <w:numId w:val="1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投标报价（人民币大写）：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（小写：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pPr>
        <w:numPr>
          <w:ilvl w:val="0"/>
          <w:numId w:val="1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合同履行期限：</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pPr>
        <w:numPr>
          <w:ilvl w:val="0"/>
          <w:numId w:val="1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pPr>
        <w:numPr>
          <w:ilvl w:val="0"/>
          <w:numId w:val="1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pPr>
        <w:numPr>
          <w:ilvl w:val="0"/>
          <w:numId w:val="1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pPr>
        <w:numPr>
          <w:ilvl w:val="0"/>
          <w:numId w:val="1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我方的澄清、说明、补充或</w:t>
      </w:r>
      <w:r>
        <w:rPr>
          <w:rFonts w:hint="eastAsia" w:ascii="宋体" w:hAnsi="宋体" w:cs="仿宋_GB2312"/>
          <w:color w:val="auto"/>
          <w:sz w:val="32"/>
          <w:szCs w:val="32"/>
          <w:highlight w:val="none"/>
        </w:rPr>
        <w:t>变更内容为投标文件有效组成部分。投标文件正文内容与本函不一致的，以本函为准。</w:t>
      </w:r>
    </w:p>
    <w:p>
      <w:pPr>
        <w:numPr>
          <w:ilvl w:val="0"/>
          <w:numId w:val="13"/>
        </w:numPr>
        <w:topLinePunct/>
        <w:ind w:firstLine="419" w:firstLineChars="131"/>
        <w:rPr>
          <w:rFonts w:ascii="宋体" w:hAnsi="宋体" w:cs="仿宋_GB2312"/>
          <w:color w:val="auto"/>
          <w:sz w:val="32"/>
          <w:szCs w:val="32"/>
          <w:highlight w:val="none"/>
        </w:rPr>
      </w:pPr>
      <w:r>
        <w:rPr>
          <w:rFonts w:hint="eastAsia" w:ascii="宋体" w:hAnsi="宋体" w:cs="仿宋_GB2312"/>
          <w:color w:val="auto"/>
          <w:sz w:val="32"/>
          <w:szCs w:val="32"/>
          <w:highlight w:val="none"/>
        </w:rPr>
        <w:t>如对招标文件有不明确及误解，且没有在规定时间前按要求向贵方提出，在开标时间以后我方不再有对招标文件提出质疑的权利，并自行承担由此造成的全部责任及后果。</w:t>
      </w:r>
    </w:p>
    <w:p>
      <w:pPr>
        <w:numPr>
          <w:ilvl w:val="0"/>
          <w:numId w:val="13"/>
        </w:numPr>
        <w:topLinePunct/>
        <w:ind w:firstLine="419" w:firstLineChars="131"/>
        <w:rPr>
          <w:rFonts w:ascii="宋体" w:hAnsi="宋体" w:cs="仿宋_GB2312"/>
          <w:color w:val="auto"/>
          <w:sz w:val="32"/>
          <w:szCs w:val="32"/>
          <w:highlight w:val="none"/>
        </w:rPr>
      </w:pPr>
      <w:r>
        <w:rPr>
          <w:rFonts w:hint="eastAsia" w:ascii="宋体" w:hAnsi="宋体" w:cs="仿宋_GB2312"/>
          <w:color w:val="auto"/>
          <w:sz w:val="32"/>
          <w:szCs w:val="32"/>
          <w:highlight w:val="none"/>
        </w:rPr>
        <w:t>我方在此声明，所递交的投标文件及有关资料真实准确，如发现提供虚假材料、串通投标、恶意质疑投诉和其他违法违规行为，在一年内不得在开封公共资源交易平台参加投标，若为中标人时中标无效，并承担相关责任和损失。</w:t>
      </w:r>
    </w:p>
    <w:p>
      <w:pPr>
        <w:numPr>
          <w:ilvl w:val="0"/>
          <w:numId w:val="13"/>
        </w:numPr>
        <w:topLinePunct/>
        <w:ind w:firstLine="419" w:firstLineChars="131"/>
        <w:rPr>
          <w:rFonts w:ascii="宋体" w:hAnsi="宋体" w:cs="宋体"/>
          <w:color w:val="auto"/>
          <w:sz w:val="32"/>
          <w:szCs w:val="32"/>
          <w:highlight w:val="none"/>
        </w:rPr>
      </w:pPr>
      <w:r>
        <w:rPr>
          <w:rFonts w:ascii="宋体" w:hAnsi="宋体" w:cs="宋体"/>
          <w:color w:val="auto"/>
          <w:sz w:val="32"/>
          <w:szCs w:val="32"/>
          <w:highlight w:val="none"/>
        </w:rPr>
        <w:t>……</w:t>
      </w:r>
    </w:p>
    <w:p>
      <w:pPr>
        <w:topLinePunct/>
        <w:ind w:firstLine="640" w:firstLineChars="200"/>
        <w:rPr>
          <w:rFonts w:ascii="宋体" w:hAnsi="宋体" w:cs="宋体"/>
          <w:color w:val="auto"/>
          <w:sz w:val="32"/>
          <w:szCs w:val="32"/>
          <w:highlight w:val="none"/>
        </w:rPr>
      </w:pPr>
    </w:p>
    <w:p>
      <w:pPr>
        <w:topLinePunct/>
        <w:rPr>
          <w:rFonts w:ascii="宋体" w:hAnsi="宋体" w:cs="宋体"/>
          <w:color w:val="auto"/>
          <w:sz w:val="32"/>
          <w:szCs w:val="32"/>
          <w:highlight w:val="none"/>
        </w:rPr>
      </w:pPr>
    </w:p>
    <w:p>
      <w:pPr>
        <w:topLinePunct/>
        <w:ind w:firstLine="640" w:firstLineChars="200"/>
        <w:rPr>
          <w:rFonts w:ascii="宋体" w:hAnsi="宋体" w:cs="宋体"/>
          <w:color w:val="auto"/>
          <w:sz w:val="32"/>
          <w:szCs w:val="32"/>
          <w:highlight w:val="none"/>
        </w:rPr>
      </w:pPr>
      <w:r>
        <w:rPr>
          <w:rFonts w:hint="eastAsia" w:ascii="宋体" w:hAnsi="宋体" w:cs="宋体"/>
          <w:color w:val="auto"/>
          <w:sz w:val="32"/>
          <w:szCs w:val="32"/>
          <w:highlight w:val="none"/>
        </w:rPr>
        <w:t>投标单位（盖单位章）：</w:t>
      </w:r>
      <w:r>
        <w:rPr>
          <w:rFonts w:hint="eastAsia" w:ascii="宋体" w:hAnsi="宋体" w:cs="宋体"/>
          <w:color w:val="auto"/>
          <w:sz w:val="32"/>
          <w:szCs w:val="32"/>
          <w:highlight w:val="none"/>
          <w:u w:val="single"/>
        </w:rPr>
        <w:t xml:space="preserve">                          </w:t>
      </w:r>
    </w:p>
    <w:p>
      <w:pPr>
        <w:topLinePunct/>
        <w:ind w:firstLine="560" w:firstLineChars="200"/>
        <w:rPr>
          <w:rFonts w:ascii="宋体" w:hAnsi="宋体" w:cs="宋体"/>
          <w:color w:val="auto"/>
          <w:sz w:val="32"/>
          <w:szCs w:val="32"/>
          <w:highlight w:val="none"/>
          <w:u w:val="single"/>
        </w:rPr>
      </w:pPr>
      <w:r>
        <w:rPr>
          <w:rFonts w:hint="eastAsia" w:ascii="宋体" w:hAnsi="宋体" w:cs="宋体"/>
          <w:color w:val="auto"/>
          <w:sz w:val="28"/>
          <w:szCs w:val="28"/>
          <w:highlight w:val="none"/>
        </w:rPr>
        <w:t>法定代表人（负责人）或委托代理人（签名或盖章）：</w:t>
      </w:r>
      <w:r>
        <w:rPr>
          <w:rFonts w:hint="eastAsia" w:ascii="宋体" w:hAnsi="宋体" w:cs="宋体"/>
          <w:color w:val="auto"/>
          <w:sz w:val="28"/>
          <w:szCs w:val="28"/>
          <w:highlight w:val="none"/>
          <w:u w:val="single"/>
        </w:rPr>
        <w:t xml:space="preserve">       </w:t>
      </w:r>
      <w:r>
        <w:rPr>
          <w:rFonts w:hint="eastAsia" w:ascii="宋体" w:hAnsi="宋体" w:cs="宋体"/>
          <w:color w:val="auto"/>
          <w:sz w:val="32"/>
          <w:szCs w:val="32"/>
          <w:highlight w:val="none"/>
          <w:u w:val="single"/>
        </w:rPr>
        <w:t xml:space="preserve"> </w:t>
      </w:r>
    </w:p>
    <w:p>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电话：</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电子邮箱：</w:t>
      </w:r>
      <w:r>
        <w:rPr>
          <w:rFonts w:hint="eastAsia" w:ascii="宋体" w:hAnsi="宋体" w:cs="宋体"/>
          <w:color w:val="auto"/>
          <w:sz w:val="32"/>
          <w:szCs w:val="32"/>
          <w:highlight w:val="none"/>
          <w:u w:val="single"/>
        </w:rPr>
        <w:t xml:space="preserve">                  </w:t>
      </w:r>
    </w:p>
    <w:p>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地址：</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邮编： </w:t>
      </w:r>
      <w:r>
        <w:rPr>
          <w:rFonts w:hint="eastAsia" w:ascii="宋体" w:hAnsi="宋体" w:cs="宋体"/>
          <w:color w:val="auto"/>
          <w:sz w:val="32"/>
          <w:szCs w:val="32"/>
          <w:highlight w:val="none"/>
          <w:u w:val="single"/>
        </w:rPr>
        <w:t xml:space="preserve">                     </w:t>
      </w:r>
    </w:p>
    <w:p>
      <w:pPr>
        <w:rPr>
          <w:rFonts w:ascii="宋体" w:hAnsi="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 </w:t>
      </w:r>
      <w:r>
        <w:rPr>
          <w:rFonts w:hint="eastAsia" w:ascii="宋体" w:hAnsi="宋体" w:cs="仿宋_GB2312"/>
          <w:color w:val="auto"/>
          <w:sz w:val="32"/>
          <w:szCs w:val="32"/>
          <w:highlight w:val="none"/>
        </w:rPr>
        <w:t xml:space="preserve">    </w:t>
      </w:r>
      <w:r>
        <w:rPr>
          <w:rFonts w:ascii="宋体" w:hAnsi="宋体"/>
          <w:color w:val="auto"/>
          <w:sz w:val="44"/>
          <w:szCs w:val="44"/>
          <w:highlight w:val="none"/>
        </w:rPr>
        <w:br w:type="page"/>
      </w:r>
      <w:bookmarkStart w:id="714" w:name="_Toc338840256"/>
      <w:bookmarkStart w:id="715" w:name="_Toc338840504"/>
      <w:bookmarkStart w:id="716" w:name="_Toc338840465"/>
      <w:r>
        <w:rPr>
          <w:rFonts w:hint="eastAsia" w:ascii="宋体" w:hAnsi="宋体"/>
          <w:color w:val="auto"/>
          <w:sz w:val="44"/>
          <w:szCs w:val="44"/>
          <w:highlight w:val="none"/>
        </w:rPr>
        <w:t xml:space="preserve">  </w:t>
      </w:r>
      <w:r>
        <w:rPr>
          <w:rFonts w:hint="eastAsia" w:ascii="宋体" w:hAnsi="宋体"/>
          <w:b/>
          <w:color w:val="auto"/>
          <w:kern w:val="44"/>
          <w:sz w:val="44"/>
          <w:szCs w:val="44"/>
          <w:highlight w:val="none"/>
        </w:rPr>
        <w:t>二　法定代表人（负责人）资格证明</w:t>
      </w:r>
      <w:bookmarkEnd w:id="714"/>
      <w:bookmarkEnd w:id="715"/>
      <w:bookmarkEnd w:id="716"/>
    </w:p>
    <w:p>
      <w:pPr>
        <w:jc w:val="center"/>
        <w:rPr>
          <w:rFonts w:ascii="宋体" w:hAnsi="宋体"/>
          <w:color w:val="auto"/>
          <w:kern w:val="0"/>
          <w:szCs w:val="21"/>
          <w:highlight w:val="none"/>
        </w:rPr>
      </w:pPr>
      <w:r>
        <w:rPr>
          <w:rFonts w:ascii="宋体" w:hAnsi="宋体"/>
          <w:color w:val="auto"/>
          <w:kern w:val="0"/>
          <w:szCs w:val="21"/>
          <w:highlight w:val="none"/>
        </w:rPr>
        <w:t>（</w:t>
      </w:r>
      <w:r>
        <w:rPr>
          <w:rFonts w:hint="eastAsia" w:ascii="宋体" w:hAnsi="宋体"/>
          <w:color w:val="auto"/>
          <w:kern w:val="0"/>
          <w:szCs w:val="21"/>
          <w:highlight w:val="none"/>
        </w:rPr>
        <w:t>法定代表人投标时提供</w:t>
      </w:r>
      <w:r>
        <w:rPr>
          <w:rFonts w:ascii="宋体" w:hAnsi="宋体"/>
          <w:color w:val="auto"/>
          <w:kern w:val="0"/>
          <w:szCs w:val="21"/>
          <w:highlight w:val="none"/>
        </w:rPr>
        <w:t>）</w:t>
      </w:r>
    </w:p>
    <w:p>
      <w:pPr>
        <w:jc w:val="center"/>
        <w:rPr>
          <w:rFonts w:ascii="宋体" w:hAnsi="宋体"/>
          <w:bCs/>
          <w:color w:val="auto"/>
          <w:sz w:val="32"/>
          <w:szCs w:val="32"/>
          <w:highlight w:val="none"/>
        </w:rPr>
      </w:pPr>
    </w:p>
    <w:p>
      <w:pPr>
        <w:ind w:firstLine="640" w:firstLineChars="200"/>
        <w:rPr>
          <w:rFonts w:ascii="宋体" w:hAnsi="宋体"/>
          <w:color w:val="auto"/>
          <w:sz w:val="32"/>
          <w:szCs w:val="32"/>
          <w:highlight w:val="none"/>
          <w:u w:val="single"/>
        </w:rPr>
      </w:pPr>
      <w:bookmarkStart w:id="717" w:name="_Toc288114460"/>
      <w:r>
        <w:rPr>
          <w:rFonts w:hint="eastAsia" w:ascii="宋体" w:hAnsi="宋体"/>
          <w:color w:val="auto"/>
          <w:sz w:val="32"/>
          <w:szCs w:val="32"/>
          <w:highlight w:val="none"/>
        </w:rPr>
        <w:t>供应商名称：</w:t>
      </w:r>
      <w:bookmarkEnd w:id="717"/>
      <w:r>
        <w:rPr>
          <w:rFonts w:hint="eastAsia" w:ascii="宋体" w:hAnsi="宋体"/>
          <w:color w:val="auto"/>
          <w:sz w:val="32"/>
          <w:szCs w:val="32"/>
          <w:highlight w:val="none"/>
          <w:u w:val="single"/>
        </w:rPr>
        <w:t xml:space="preserve">                            </w:t>
      </w:r>
    </w:p>
    <w:p>
      <w:pPr>
        <w:ind w:firstLine="640" w:firstLineChars="200"/>
        <w:rPr>
          <w:rFonts w:ascii="宋体" w:hAnsi="宋体"/>
          <w:color w:val="auto"/>
          <w:sz w:val="32"/>
          <w:szCs w:val="32"/>
          <w:highlight w:val="none"/>
        </w:rPr>
      </w:pPr>
      <w:r>
        <w:rPr>
          <w:rFonts w:ascii="宋体" w:hAnsi="宋体"/>
          <w:color w:val="auto"/>
          <w:sz w:val="32"/>
          <w:szCs w:val="32"/>
          <w:highlight w:val="none"/>
        </w:rPr>
        <w:t>单位性质：</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pPr>
        <w:ind w:firstLine="640" w:firstLineChars="200"/>
        <w:rPr>
          <w:rFonts w:ascii="宋体" w:hAnsi="宋体"/>
          <w:color w:val="auto"/>
          <w:sz w:val="32"/>
          <w:szCs w:val="32"/>
          <w:highlight w:val="none"/>
        </w:rPr>
      </w:pPr>
      <w:r>
        <w:rPr>
          <w:rFonts w:ascii="宋体" w:hAnsi="宋体"/>
          <w:color w:val="auto"/>
          <w:sz w:val="32"/>
          <w:szCs w:val="32"/>
          <w:highlight w:val="none"/>
        </w:rPr>
        <w:t>地址：</w:t>
      </w:r>
      <w:r>
        <w:rPr>
          <w:rFonts w:ascii="宋体" w:hAnsi="宋体"/>
          <w:color w:val="auto"/>
          <w:sz w:val="32"/>
          <w:szCs w:val="32"/>
          <w:highlight w:val="none"/>
          <w:u w:val="single"/>
        </w:rPr>
        <w:t xml:space="preserve">                                   </w:t>
      </w:r>
    </w:p>
    <w:p>
      <w:pPr>
        <w:ind w:firstLine="640" w:firstLineChars="200"/>
        <w:rPr>
          <w:rFonts w:ascii="宋体" w:hAnsi="宋体"/>
          <w:color w:val="auto"/>
          <w:sz w:val="32"/>
          <w:szCs w:val="32"/>
          <w:highlight w:val="none"/>
        </w:rPr>
      </w:pPr>
      <w:r>
        <w:rPr>
          <w:rFonts w:ascii="宋体" w:hAnsi="宋体"/>
          <w:color w:val="auto"/>
          <w:sz w:val="32"/>
          <w:szCs w:val="32"/>
          <w:highlight w:val="none"/>
        </w:rPr>
        <w:t>成立时间：</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年</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月</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日</w:t>
      </w:r>
    </w:p>
    <w:p>
      <w:pPr>
        <w:ind w:firstLine="640" w:firstLineChars="200"/>
        <w:rPr>
          <w:rFonts w:ascii="宋体" w:hAnsi="宋体"/>
          <w:color w:val="auto"/>
          <w:sz w:val="32"/>
          <w:szCs w:val="32"/>
          <w:highlight w:val="none"/>
        </w:rPr>
      </w:pPr>
      <w:r>
        <w:rPr>
          <w:rFonts w:ascii="宋体" w:hAnsi="宋体"/>
          <w:color w:val="auto"/>
          <w:sz w:val="32"/>
          <w:szCs w:val="32"/>
          <w:highlight w:val="none"/>
        </w:rPr>
        <w:t>经营期限：</w:t>
      </w:r>
      <w:r>
        <w:rPr>
          <w:rFonts w:ascii="宋体" w:hAnsi="宋体"/>
          <w:color w:val="auto"/>
          <w:sz w:val="32"/>
          <w:szCs w:val="32"/>
          <w:highlight w:val="none"/>
          <w:u w:val="single"/>
        </w:rPr>
        <w:t xml:space="preserve">                               </w:t>
      </w:r>
    </w:p>
    <w:p>
      <w:pPr>
        <w:ind w:firstLine="640" w:firstLineChars="200"/>
        <w:rPr>
          <w:rFonts w:ascii="宋体" w:hAnsi="宋体"/>
          <w:color w:val="auto"/>
          <w:sz w:val="32"/>
          <w:szCs w:val="32"/>
          <w:highlight w:val="none"/>
        </w:rPr>
      </w:pPr>
      <w:bookmarkStart w:id="718" w:name="_Toc288114465"/>
      <w:r>
        <w:rPr>
          <w:rFonts w:hint="eastAsia" w:ascii="宋体" w:hAnsi="宋体"/>
          <w:color w:val="auto"/>
          <w:sz w:val="32"/>
          <w:szCs w:val="32"/>
          <w:highlight w:val="none"/>
        </w:rPr>
        <w:t>姓名：</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性别：</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年龄：</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职务：</w:t>
      </w:r>
      <w:bookmarkEnd w:id="718"/>
      <w:r>
        <w:rPr>
          <w:rFonts w:hint="eastAsia" w:ascii="宋体" w:hAnsi="宋体"/>
          <w:color w:val="auto"/>
          <w:sz w:val="32"/>
          <w:szCs w:val="32"/>
          <w:highlight w:val="none"/>
          <w:u w:val="single"/>
        </w:rPr>
        <w:t xml:space="preserve">      </w:t>
      </w:r>
      <w:bookmarkStart w:id="719" w:name="_Toc288114466"/>
      <w:r>
        <w:rPr>
          <w:rFonts w:hint="eastAsia" w:ascii="宋体" w:hAnsi="宋体"/>
          <w:color w:val="auto"/>
          <w:sz w:val="32"/>
          <w:szCs w:val="32"/>
          <w:highlight w:val="none"/>
        </w:rPr>
        <w:t>（身份证号：</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（投标单位名称）的法定代表人（单位负责人）。</w:t>
      </w:r>
      <w:bookmarkEnd w:id="719"/>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 xml:space="preserve">    </w:t>
      </w:r>
      <w:bookmarkStart w:id="720" w:name="_Toc288114467"/>
      <w:r>
        <w:rPr>
          <w:rFonts w:hint="eastAsia" w:ascii="宋体" w:hAnsi="宋体"/>
          <w:color w:val="auto"/>
          <w:sz w:val="32"/>
          <w:szCs w:val="32"/>
          <w:highlight w:val="none"/>
        </w:rPr>
        <w:t>特此证明。</w:t>
      </w:r>
      <w:bookmarkEnd w:id="720"/>
    </w:p>
    <w:p>
      <w:pPr>
        <w:rPr>
          <w:rFonts w:ascii="宋体" w:hAnsi="宋体"/>
          <w:color w:val="auto"/>
          <w:sz w:val="32"/>
          <w:szCs w:val="32"/>
          <w:highlight w:val="none"/>
        </w:rPr>
      </w:pPr>
      <w:r>
        <w:rPr>
          <w:rFonts w:ascii="宋体" w:hAnsi="宋体"/>
          <w:b/>
          <w:color w:val="auto"/>
          <w:kern w:val="0"/>
          <w:sz w:val="32"/>
          <w:szCs w:val="32"/>
          <w:highlight w:val="none"/>
        </w:rPr>
        <w:t>此处附：法定代表人</w:t>
      </w:r>
      <w:r>
        <w:rPr>
          <w:rFonts w:hint="eastAsia" w:ascii="宋体" w:hAnsi="宋体"/>
          <w:b/>
          <w:color w:val="auto"/>
          <w:kern w:val="0"/>
          <w:sz w:val="32"/>
          <w:szCs w:val="32"/>
          <w:highlight w:val="none"/>
        </w:rPr>
        <w:t>（负责人）</w:t>
      </w:r>
      <w:r>
        <w:rPr>
          <w:rFonts w:ascii="宋体" w:hAnsi="宋体"/>
          <w:b/>
          <w:color w:val="auto"/>
          <w:kern w:val="0"/>
          <w:sz w:val="32"/>
          <w:szCs w:val="32"/>
          <w:highlight w:val="none"/>
        </w:rPr>
        <w:t>身份证</w:t>
      </w:r>
      <w:r>
        <w:rPr>
          <w:rFonts w:hint="eastAsia" w:ascii="宋体" w:hAnsi="宋体"/>
          <w:b/>
          <w:color w:val="auto"/>
          <w:sz w:val="32"/>
          <w:szCs w:val="32"/>
          <w:highlight w:val="none"/>
        </w:rPr>
        <w:t>复印件</w:t>
      </w:r>
    </w:p>
    <w:p>
      <w:pPr>
        <w:rPr>
          <w:rFonts w:ascii="宋体" w:hAnsi="宋体"/>
          <w:color w:val="auto"/>
          <w:sz w:val="32"/>
          <w:szCs w:val="32"/>
          <w:highlight w:val="none"/>
        </w:rPr>
      </w:pPr>
    </w:p>
    <w:p>
      <w:pPr>
        <w:rPr>
          <w:rFonts w:ascii="宋体" w:hAnsi="宋体"/>
          <w:color w:val="auto"/>
          <w:sz w:val="32"/>
          <w:szCs w:val="32"/>
          <w:highlight w:val="none"/>
        </w:rPr>
      </w:pPr>
    </w:p>
    <w:p>
      <w:pPr>
        <w:rPr>
          <w:rFonts w:ascii="宋体" w:hAnsi="宋体"/>
          <w:color w:val="auto"/>
          <w:sz w:val="32"/>
          <w:szCs w:val="32"/>
          <w:highlight w:val="none"/>
        </w:rPr>
      </w:pPr>
    </w:p>
    <w:p>
      <w:pPr>
        <w:rPr>
          <w:rFonts w:ascii="宋体" w:hAnsi="宋体"/>
          <w:color w:val="auto"/>
          <w:sz w:val="32"/>
          <w:szCs w:val="32"/>
          <w:highlight w:val="none"/>
        </w:rPr>
      </w:pPr>
    </w:p>
    <w:p>
      <w:pPr>
        <w:autoSpaceDE w:val="0"/>
        <w:autoSpaceDN w:val="0"/>
        <w:adjustRightInd w:val="0"/>
        <w:jc w:val="left"/>
        <w:rPr>
          <w:rFonts w:ascii="宋体" w:hAnsi="宋体" w:cs="宋体"/>
          <w:color w:val="auto"/>
          <w:kern w:val="0"/>
          <w:sz w:val="24"/>
          <w:highlight w:val="none"/>
        </w:rPr>
      </w:pPr>
    </w:p>
    <w:p>
      <w:pPr>
        <w:rPr>
          <w:rFonts w:ascii="宋体" w:hAnsi="宋体"/>
          <w:color w:val="auto"/>
          <w:sz w:val="32"/>
          <w:szCs w:val="32"/>
          <w:highlight w:val="none"/>
        </w:rPr>
      </w:pPr>
      <w:r>
        <w:rPr>
          <w:rFonts w:hint="eastAsia" w:ascii="宋体" w:hAnsi="宋体"/>
          <w:color w:val="auto"/>
          <w:sz w:val="32"/>
          <w:szCs w:val="32"/>
          <w:highlight w:val="none"/>
        </w:rPr>
        <w:t xml:space="preserve">    </w:t>
      </w:r>
      <w:bookmarkStart w:id="721" w:name="_Toc288114468"/>
      <w:r>
        <w:rPr>
          <w:rFonts w:hint="eastAsia" w:ascii="宋体" w:hAnsi="宋体"/>
          <w:color w:val="auto"/>
          <w:sz w:val="32"/>
          <w:szCs w:val="32"/>
          <w:highlight w:val="none"/>
        </w:rPr>
        <w:t xml:space="preserve">          投标单位（盖单位章）：</w:t>
      </w:r>
      <w:r>
        <w:rPr>
          <w:rFonts w:hint="eastAsia" w:ascii="宋体" w:hAnsi="宋体"/>
          <w:color w:val="auto"/>
          <w:sz w:val="32"/>
          <w:szCs w:val="32"/>
          <w:highlight w:val="none"/>
          <w:u w:val="single"/>
        </w:rPr>
        <w:t xml:space="preserve">           </w:t>
      </w:r>
      <w:bookmarkEnd w:id="721"/>
      <w:r>
        <w:rPr>
          <w:rFonts w:hint="eastAsia" w:ascii="宋体" w:hAnsi="宋体"/>
          <w:color w:val="auto"/>
          <w:sz w:val="32"/>
          <w:szCs w:val="32"/>
          <w:highlight w:val="none"/>
        </w:rPr>
        <w:t xml:space="preserve">    </w:t>
      </w:r>
    </w:p>
    <w:p>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bookmarkStart w:id="722" w:name="_Toc288114469"/>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bookmarkEnd w:id="722"/>
      <w:bookmarkStart w:id="723" w:name="_Toc289241541"/>
      <w:bookmarkStart w:id="724" w:name="_Toc289182444"/>
      <w:bookmarkStart w:id="725" w:name="_Toc288748133"/>
      <w:bookmarkStart w:id="726" w:name="_Toc289241364"/>
      <w:bookmarkStart w:id="727" w:name="_Toc338840257"/>
      <w:bookmarkStart w:id="728" w:name="_Toc289238793"/>
      <w:bookmarkStart w:id="729" w:name="_Toc289096748"/>
      <w:bookmarkStart w:id="730" w:name="_Toc338840505"/>
      <w:bookmarkStart w:id="731" w:name="_Toc289182822"/>
      <w:bookmarkStart w:id="732" w:name="_Toc338840466"/>
    </w:p>
    <w:p>
      <w:pPr>
        <w:jc w:val="center"/>
        <w:rPr>
          <w:rFonts w:ascii="宋体" w:hAnsi="宋体"/>
          <w:color w:val="auto"/>
          <w:sz w:val="32"/>
          <w:szCs w:val="32"/>
          <w:highlight w:val="none"/>
        </w:rPr>
      </w:pPr>
      <w:r>
        <w:rPr>
          <w:rFonts w:ascii="宋体" w:hAnsi="宋体"/>
          <w:color w:val="auto"/>
          <w:sz w:val="32"/>
          <w:szCs w:val="32"/>
          <w:highlight w:val="none"/>
        </w:rPr>
        <w:br w:type="page"/>
      </w:r>
      <w:r>
        <w:rPr>
          <w:rFonts w:hint="eastAsia" w:ascii="宋体" w:hAnsi="宋体"/>
          <w:b/>
          <w:bCs/>
          <w:color w:val="auto"/>
          <w:kern w:val="44"/>
          <w:sz w:val="44"/>
          <w:szCs w:val="44"/>
          <w:highlight w:val="none"/>
        </w:rPr>
        <w:t>二　授权委托书</w:t>
      </w:r>
      <w:bookmarkEnd w:id="723"/>
      <w:bookmarkEnd w:id="724"/>
      <w:bookmarkEnd w:id="725"/>
      <w:bookmarkEnd w:id="726"/>
      <w:bookmarkEnd w:id="727"/>
      <w:bookmarkEnd w:id="728"/>
      <w:bookmarkEnd w:id="729"/>
      <w:bookmarkEnd w:id="730"/>
      <w:bookmarkEnd w:id="731"/>
      <w:bookmarkEnd w:id="732"/>
    </w:p>
    <w:p>
      <w:pPr>
        <w:topLinePunct/>
        <w:spacing w:line="440" w:lineRule="exact"/>
        <w:jc w:val="center"/>
        <w:rPr>
          <w:rFonts w:ascii="宋体" w:hAnsi="宋体"/>
          <w:color w:val="auto"/>
          <w:sz w:val="32"/>
          <w:szCs w:val="32"/>
          <w:highlight w:val="none"/>
        </w:rPr>
      </w:pPr>
      <w:r>
        <w:rPr>
          <w:rFonts w:ascii="宋体" w:hAnsi="宋体"/>
          <w:color w:val="auto"/>
          <w:kern w:val="0"/>
          <w:szCs w:val="21"/>
          <w:highlight w:val="none"/>
        </w:rPr>
        <w:t>（</w:t>
      </w:r>
      <w:r>
        <w:rPr>
          <w:rFonts w:hint="eastAsia" w:ascii="宋体" w:hAnsi="宋体"/>
          <w:color w:val="auto"/>
          <w:kern w:val="0"/>
          <w:szCs w:val="21"/>
          <w:highlight w:val="none"/>
        </w:rPr>
        <w:t>法定代表人委托其他人员投标时提供</w:t>
      </w:r>
      <w:r>
        <w:rPr>
          <w:rFonts w:ascii="宋体" w:hAnsi="宋体"/>
          <w:color w:val="auto"/>
          <w:kern w:val="0"/>
          <w:szCs w:val="21"/>
          <w:highlight w:val="none"/>
        </w:rPr>
        <w:t>）</w:t>
      </w:r>
    </w:p>
    <w:p>
      <w:pPr>
        <w:topLinePunct/>
        <w:spacing w:line="440" w:lineRule="exact"/>
        <w:rPr>
          <w:rFonts w:ascii="宋体" w:hAnsi="宋体"/>
          <w:color w:val="auto"/>
          <w:sz w:val="32"/>
          <w:szCs w:val="32"/>
          <w:highlight w:val="none"/>
        </w:rPr>
      </w:pPr>
    </w:p>
    <w:p>
      <w:pPr>
        <w:spacing w:line="600" w:lineRule="exact"/>
        <w:ind w:firstLine="525"/>
        <w:jc w:val="left"/>
        <w:rPr>
          <w:rFonts w:ascii="宋体" w:hAnsi="宋体"/>
          <w:color w:val="auto"/>
          <w:sz w:val="32"/>
          <w:szCs w:val="32"/>
          <w:highlight w:val="none"/>
        </w:rPr>
      </w:pPr>
      <w:bookmarkStart w:id="733" w:name="_Toc338840506"/>
      <w:bookmarkStart w:id="734" w:name="_Toc338840258"/>
      <w:bookmarkStart w:id="735" w:name="_Toc338840467"/>
      <w:r>
        <w:rPr>
          <w:rFonts w:hint="eastAsia" w:ascii="宋体" w:hAnsi="宋体"/>
          <w:color w:val="auto"/>
          <w:sz w:val="32"/>
          <w:szCs w:val="32"/>
          <w:highlight w:val="none"/>
        </w:rPr>
        <w:t>本人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 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（投标单位名称）的法定代表人（负责人）。现委托</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（姓名）作为我方代理人。代理人根据授权，以我方名义签署、澄清、说明、补正、递交、撤回、修改</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项目（</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标段投标文件、签订合同和处理有关事宜，其法律后果由我方承担。</w:t>
      </w:r>
    </w:p>
    <w:p>
      <w:pPr>
        <w:spacing w:line="600" w:lineRule="exact"/>
        <w:ind w:firstLine="525"/>
        <w:jc w:val="left"/>
        <w:rPr>
          <w:rFonts w:ascii="宋体" w:hAnsi="宋体"/>
          <w:color w:val="auto"/>
          <w:sz w:val="32"/>
          <w:szCs w:val="32"/>
          <w:highlight w:val="none"/>
        </w:rPr>
      </w:pPr>
      <w:r>
        <w:rPr>
          <w:rFonts w:hint="eastAsia" w:ascii="宋体" w:hAnsi="宋体"/>
          <w:color w:val="auto"/>
          <w:sz w:val="32"/>
          <w:szCs w:val="32"/>
          <w:highlight w:val="none"/>
        </w:rPr>
        <w:t>委托期限：</w:t>
      </w:r>
      <w:r>
        <w:rPr>
          <w:rFonts w:hint="eastAsia" w:ascii="宋体" w:hAnsi="宋体"/>
          <w:color w:val="auto"/>
          <w:sz w:val="32"/>
          <w:szCs w:val="32"/>
          <w:highlight w:val="none"/>
          <w:u w:val="single"/>
        </w:rPr>
        <w:t>　　　　　　　</w:t>
      </w:r>
      <w:r>
        <w:rPr>
          <w:rFonts w:hint="eastAsia" w:ascii="宋体" w:hAnsi="宋体"/>
          <w:color w:val="auto"/>
          <w:sz w:val="32"/>
          <w:szCs w:val="32"/>
          <w:highlight w:val="none"/>
        </w:rPr>
        <w:t>。</w:t>
      </w:r>
    </w:p>
    <w:p>
      <w:pPr>
        <w:spacing w:line="600" w:lineRule="exact"/>
        <w:ind w:firstLine="525"/>
        <w:jc w:val="left"/>
        <w:rPr>
          <w:rFonts w:ascii="宋体" w:hAnsi="宋体"/>
          <w:color w:val="auto"/>
          <w:sz w:val="32"/>
          <w:szCs w:val="32"/>
          <w:highlight w:val="none"/>
        </w:rPr>
      </w:pPr>
      <w:r>
        <w:rPr>
          <w:rFonts w:hint="eastAsia" w:ascii="宋体" w:hAnsi="宋体"/>
          <w:color w:val="auto"/>
          <w:sz w:val="32"/>
          <w:szCs w:val="32"/>
          <w:highlight w:val="none"/>
        </w:rPr>
        <w:t>代理人无转委托权。</w:t>
      </w:r>
    </w:p>
    <w:p>
      <w:pPr>
        <w:spacing w:line="600" w:lineRule="exact"/>
        <w:ind w:firstLine="525"/>
        <w:jc w:val="left"/>
        <w:rPr>
          <w:rFonts w:ascii="宋体" w:hAnsi="宋体"/>
          <w:b/>
          <w:color w:val="auto"/>
          <w:sz w:val="32"/>
          <w:szCs w:val="32"/>
          <w:highlight w:val="none"/>
        </w:rPr>
      </w:pPr>
      <w:r>
        <w:rPr>
          <w:rFonts w:hint="eastAsia" w:ascii="宋体" w:hAnsi="宋体"/>
          <w:b/>
          <w:color w:val="auto"/>
          <w:sz w:val="32"/>
          <w:szCs w:val="32"/>
          <w:highlight w:val="none"/>
        </w:rPr>
        <w:t>此处附：法定代表人（负责人）身份证复印件及委托代理人身份证复印件</w:t>
      </w:r>
    </w:p>
    <w:p>
      <w:pPr>
        <w:spacing w:line="600" w:lineRule="exact"/>
        <w:ind w:firstLine="525"/>
        <w:jc w:val="left"/>
        <w:rPr>
          <w:rFonts w:ascii="宋体" w:hAnsi="宋体"/>
          <w:color w:val="auto"/>
          <w:sz w:val="32"/>
          <w:szCs w:val="32"/>
          <w:highlight w:val="none"/>
        </w:rPr>
      </w:pPr>
    </w:p>
    <w:p>
      <w:pPr>
        <w:spacing w:line="600" w:lineRule="exact"/>
        <w:jc w:val="left"/>
        <w:rPr>
          <w:rFonts w:ascii="宋体" w:hAnsi="宋体"/>
          <w:color w:val="auto"/>
          <w:sz w:val="32"/>
          <w:szCs w:val="32"/>
          <w:highlight w:val="none"/>
        </w:rPr>
      </w:pPr>
    </w:p>
    <w:p>
      <w:pPr>
        <w:spacing w:line="600" w:lineRule="exact"/>
        <w:ind w:firstLine="525"/>
        <w:jc w:val="left"/>
        <w:rPr>
          <w:rFonts w:ascii="宋体" w:hAnsi="宋体"/>
          <w:color w:val="auto"/>
          <w:sz w:val="32"/>
          <w:szCs w:val="32"/>
          <w:highlight w:val="none"/>
        </w:rPr>
      </w:pPr>
    </w:p>
    <w:p>
      <w:pPr>
        <w:spacing w:line="600" w:lineRule="exact"/>
        <w:ind w:firstLine="1324" w:firstLineChars="414"/>
        <w:jc w:val="left"/>
        <w:rPr>
          <w:rFonts w:ascii="宋体" w:hAnsi="宋体"/>
          <w:color w:val="auto"/>
          <w:sz w:val="32"/>
          <w:szCs w:val="32"/>
          <w:highlight w:val="none"/>
          <w:u w:val="single"/>
        </w:rPr>
      </w:pPr>
      <w:r>
        <w:rPr>
          <w:rFonts w:hint="eastAsia" w:ascii="宋体" w:hAnsi="宋体"/>
          <w:color w:val="auto"/>
          <w:sz w:val="32"/>
          <w:szCs w:val="32"/>
          <w:highlight w:val="none"/>
        </w:rPr>
        <w:t>供应商（盖单位章）：</w:t>
      </w:r>
      <w:r>
        <w:rPr>
          <w:rFonts w:hint="eastAsia" w:ascii="宋体" w:hAnsi="宋体"/>
          <w:color w:val="auto"/>
          <w:sz w:val="32"/>
          <w:szCs w:val="32"/>
          <w:highlight w:val="none"/>
          <w:u w:val="single"/>
        </w:rPr>
        <w:t>　　    　　　   　　　</w:t>
      </w:r>
    </w:p>
    <w:p>
      <w:pPr>
        <w:spacing w:line="600" w:lineRule="exact"/>
        <w:ind w:firstLine="1324" w:firstLineChars="414"/>
        <w:jc w:val="left"/>
        <w:rPr>
          <w:rFonts w:ascii="宋体" w:hAnsi="宋体"/>
          <w:color w:val="auto"/>
          <w:sz w:val="32"/>
          <w:szCs w:val="32"/>
          <w:highlight w:val="none"/>
        </w:rPr>
      </w:pP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pPr>
        <w:spacing w:line="600" w:lineRule="exact"/>
        <w:ind w:firstLine="525"/>
        <w:jc w:val="left"/>
        <w:rPr>
          <w:rFonts w:ascii="宋体" w:hAnsi="宋体"/>
          <w:color w:val="auto"/>
          <w:sz w:val="32"/>
          <w:szCs w:val="32"/>
          <w:highlight w:val="none"/>
          <w:u w:val="single"/>
        </w:rPr>
      </w:pPr>
      <w:r>
        <w:rPr>
          <w:rFonts w:hint="eastAsia" w:ascii="宋体" w:hAnsi="宋体"/>
          <w:color w:val="auto"/>
          <w:sz w:val="32"/>
          <w:szCs w:val="32"/>
          <w:highlight w:val="none"/>
        </w:rPr>
        <w:t>　　 代理人（签名或盖章）：</w:t>
      </w:r>
      <w:r>
        <w:rPr>
          <w:rFonts w:hint="eastAsia" w:ascii="宋体" w:hAnsi="宋体"/>
          <w:color w:val="auto"/>
          <w:sz w:val="32"/>
          <w:szCs w:val="32"/>
          <w:highlight w:val="none"/>
          <w:u w:val="single"/>
        </w:rPr>
        <w:t>　　　　　　    　　</w:t>
      </w: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p>
    <w:p>
      <w:pPr>
        <w:spacing w:line="600" w:lineRule="exact"/>
        <w:ind w:firstLine="5324" w:firstLineChars="1664"/>
        <w:jc w:val="left"/>
        <w:rPr>
          <w:rFonts w:ascii="宋体" w:hAnsi="宋体"/>
          <w:color w:val="auto"/>
          <w:sz w:val="32"/>
          <w:szCs w:val="32"/>
          <w:highlight w:val="none"/>
        </w:rPr>
      </w:pP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pPr>
        <w:ind w:firstLine="640" w:firstLineChars="200"/>
        <w:rPr>
          <w:rFonts w:ascii="宋体" w:hAnsi="宋体"/>
          <w:color w:val="auto"/>
          <w:highlight w:val="none"/>
        </w:rPr>
      </w:pPr>
      <w:r>
        <w:rPr>
          <w:rFonts w:ascii="宋体" w:hAnsi="宋体"/>
          <w:color w:val="auto"/>
          <w:sz w:val="32"/>
          <w:szCs w:val="32"/>
          <w:highlight w:val="none"/>
        </w:rPr>
        <w:br w:type="page"/>
      </w:r>
      <w:r>
        <w:rPr>
          <w:rFonts w:hint="eastAsia" w:ascii="宋体" w:hAnsi="宋体"/>
          <w:b/>
          <w:color w:val="auto"/>
          <w:sz w:val="44"/>
          <w:szCs w:val="44"/>
          <w:highlight w:val="none"/>
        </w:rPr>
        <w:t>三　</w:t>
      </w:r>
      <w:bookmarkEnd w:id="712"/>
      <w:bookmarkEnd w:id="713"/>
      <w:bookmarkEnd w:id="733"/>
      <w:bookmarkEnd w:id="734"/>
      <w:bookmarkEnd w:id="735"/>
      <w:bookmarkStart w:id="736" w:name="_Toc289182438"/>
      <w:bookmarkStart w:id="737" w:name="_Toc289238787"/>
      <w:bookmarkStart w:id="738" w:name="_Toc289096742"/>
      <w:bookmarkStart w:id="739" w:name="_Toc338840470"/>
      <w:bookmarkStart w:id="740" w:name="_Toc338840261"/>
      <w:bookmarkStart w:id="741" w:name="_Toc289241358"/>
      <w:bookmarkStart w:id="742" w:name="_Toc288748127"/>
      <w:bookmarkStart w:id="743" w:name="_Toc289182816"/>
      <w:bookmarkStart w:id="744" w:name="_Toc289241535"/>
      <w:bookmarkStart w:id="745" w:name="_Toc338840509"/>
      <w:r>
        <w:rPr>
          <w:rFonts w:hint="eastAsia" w:ascii="宋体" w:hAnsi="宋体" w:cs="宋体"/>
          <w:b/>
          <w:color w:val="auto"/>
          <w:kern w:val="44"/>
          <w:sz w:val="44"/>
          <w:szCs w:val="44"/>
          <w:highlight w:val="none"/>
        </w:rPr>
        <w:t>供应商基本情况和资格证明材料</w:t>
      </w:r>
    </w:p>
    <w:p>
      <w:pPr>
        <w:widowControl/>
        <w:spacing w:line="480" w:lineRule="atLeast"/>
        <w:jc w:val="left"/>
        <w:rPr>
          <w:rFonts w:ascii="宋体" w:hAnsi="宋体" w:cs="宋体"/>
          <w:color w:val="auto"/>
          <w:kern w:val="0"/>
          <w:sz w:val="32"/>
          <w:szCs w:val="32"/>
          <w:highlight w:val="none"/>
        </w:rPr>
      </w:pPr>
    </w:p>
    <w:p>
      <w:pPr>
        <w:topLinePunct/>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（一）、供应商基本情况表</w:t>
      </w:r>
    </w:p>
    <w:tbl>
      <w:tblPr>
        <w:tblStyle w:val="3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注册资金：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pPr>
              <w:topLinePunct/>
              <w:spacing w:line="440" w:lineRule="exact"/>
              <w:ind w:firstLine="320" w:firstLineChars="100"/>
              <w:jc w:val="center"/>
              <w:rPr>
                <w:rFonts w:ascii="宋体" w:hAnsi="宋体" w:cs="宋体"/>
                <w:color w:val="auto"/>
                <w:sz w:val="32"/>
                <w:szCs w:val="32"/>
                <w:highlight w:val="none"/>
              </w:rPr>
            </w:pPr>
            <w:r>
              <w:rPr>
                <w:rFonts w:hint="eastAsia" w:ascii="宋体" w:hAnsi="宋体" w:cs="宋体"/>
                <w:color w:val="auto"/>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bl>
    <w:p>
      <w:pPr>
        <w:tabs>
          <w:tab w:val="left" w:pos="8280"/>
        </w:tabs>
        <w:spacing w:line="480" w:lineRule="exact"/>
        <w:ind w:right="6"/>
        <w:rPr>
          <w:rFonts w:ascii="宋体" w:hAnsi="宋体" w:cs="宋体"/>
          <w:b/>
          <w:color w:val="auto"/>
          <w:sz w:val="32"/>
          <w:szCs w:val="32"/>
          <w:highlight w:val="none"/>
        </w:rPr>
      </w:pPr>
    </w:p>
    <w:p>
      <w:pPr>
        <w:numPr>
          <w:ilvl w:val="0"/>
          <w:numId w:val="14"/>
        </w:numPr>
        <w:jc w:val="center"/>
        <w:rPr>
          <w:rFonts w:ascii="宋体" w:hAnsi="宋体" w:cs="宋体"/>
          <w:b/>
          <w:color w:val="auto"/>
          <w:sz w:val="32"/>
          <w:szCs w:val="32"/>
          <w:highlight w:val="none"/>
        </w:rPr>
      </w:pPr>
      <w:r>
        <w:rPr>
          <w:rFonts w:hint="eastAsia" w:ascii="宋体" w:hAnsi="宋体" w:cs="宋体"/>
          <w:b/>
          <w:color w:val="auto"/>
          <w:sz w:val="32"/>
          <w:szCs w:val="32"/>
          <w:highlight w:val="none"/>
        </w:rPr>
        <w:br w:type="page"/>
      </w:r>
      <w:r>
        <w:rPr>
          <w:rFonts w:hint="eastAsia" w:ascii="宋体" w:hAnsi="宋体" w:cs="宋体"/>
          <w:b/>
          <w:color w:val="auto"/>
          <w:sz w:val="32"/>
          <w:szCs w:val="32"/>
          <w:highlight w:val="none"/>
        </w:rPr>
        <w:t>资格证明材料</w:t>
      </w:r>
    </w:p>
    <w:p>
      <w:pPr>
        <w:ind w:left="479" w:leftChars="228" w:firstLine="160" w:firstLineChars="50"/>
        <w:rPr>
          <w:rFonts w:ascii="宋体" w:hAnsi="宋体"/>
          <w:color w:val="auto"/>
          <w:sz w:val="32"/>
          <w:szCs w:val="32"/>
          <w:highlight w:val="none"/>
        </w:rPr>
      </w:pPr>
    </w:p>
    <w:p>
      <w:pPr>
        <w:pStyle w:val="33"/>
        <w:ind w:left="0" w:leftChars="0" w:firstLine="640" w:firstLineChars="200"/>
        <w:rPr>
          <w:color w:val="auto"/>
          <w:highlight w:val="none"/>
        </w:rPr>
      </w:pPr>
      <w:r>
        <w:rPr>
          <w:rFonts w:hint="eastAsia" w:ascii="宋体" w:hAnsi="宋体"/>
          <w:color w:val="auto"/>
          <w:sz w:val="32"/>
          <w:szCs w:val="32"/>
          <w:highlight w:val="none"/>
        </w:rPr>
        <w:t>说明：</w:t>
      </w:r>
    </w:p>
    <w:p>
      <w:pPr>
        <w:rPr>
          <w:rFonts w:ascii="宋体" w:hAnsi="宋体"/>
          <w:color w:val="auto"/>
          <w:sz w:val="32"/>
          <w:szCs w:val="32"/>
          <w:highlight w:val="none"/>
        </w:rPr>
      </w:pPr>
      <w:r>
        <w:rPr>
          <w:rFonts w:hint="eastAsia" w:ascii="宋体" w:hAnsi="宋体"/>
          <w:color w:val="auto"/>
          <w:sz w:val="32"/>
          <w:szCs w:val="32"/>
          <w:highlight w:val="none"/>
        </w:rPr>
        <w:t>　　1、供应商在此处完整提供“供应商资格要求”的全部资格证明材料，否则，自行承担资格审查不通过的风险责任。</w:t>
      </w:r>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2、《供应商开标前三年内在经营活动中无重大违法记录的书面声明》和《供应商具备履行合同所必需的设备和专业技术能力的承诺书》格式见后附参考格式。</w:t>
      </w:r>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3、只面向中小企业采购的项目（以资格要求为准），须在此处提供《中小企业声明函》或《残疾人福利性单位声明函》或《监狱企业证明》。参考格式见“相关证明材料”附件。</w:t>
      </w:r>
    </w:p>
    <w:p>
      <w:pPr>
        <w:pStyle w:val="31"/>
        <w:spacing w:line="300" w:lineRule="atLeast"/>
        <w:jc w:val="center"/>
        <w:rPr>
          <w:color w:val="auto"/>
          <w:sz w:val="32"/>
          <w:szCs w:val="32"/>
          <w:highlight w:val="none"/>
        </w:rPr>
      </w:pPr>
      <w:r>
        <w:rPr>
          <w:rFonts w:hint="eastAsia"/>
          <w:color w:val="auto"/>
          <w:sz w:val="32"/>
          <w:szCs w:val="32"/>
          <w:highlight w:val="none"/>
        </w:rPr>
        <w:br w:type="page"/>
      </w:r>
    </w:p>
    <w:p>
      <w:pPr>
        <w:pStyle w:val="31"/>
        <w:spacing w:line="300" w:lineRule="atLeast"/>
        <w:jc w:val="center"/>
        <w:rPr>
          <w:b/>
          <w:color w:val="auto"/>
          <w:sz w:val="36"/>
          <w:szCs w:val="36"/>
          <w:highlight w:val="none"/>
        </w:rPr>
      </w:pPr>
      <w:r>
        <w:rPr>
          <w:rFonts w:hint="eastAsia"/>
          <w:b/>
          <w:color w:val="auto"/>
          <w:sz w:val="36"/>
          <w:szCs w:val="36"/>
          <w:highlight w:val="none"/>
        </w:rPr>
        <w:t>供应商参与采购活动前三年内在经营活动中没有重大违法记录的书面声明函（</w:t>
      </w:r>
      <w:r>
        <w:rPr>
          <w:rFonts w:hint="eastAsia"/>
          <w:b/>
          <w:color w:val="auto"/>
          <w:kern w:val="44"/>
          <w:sz w:val="32"/>
          <w:szCs w:val="32"/>
          <w:highlight w:val="none"/>
        </w:rPr>
        <w:t>参考格式</w:t>
      </w:r>
      <w:r>
        <w:rPr>
          <w:rFonts w:hint="eastAsia"/>
          <w:b/>
          <w:color w:val="auto"/>
          <w:sz w:val="36"/>
          <w:szCs w:val="36"/>
          <w:highlight w:val="none"/>
        </w:rPr>
        <w:t>）</w:t>
      </w: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特此声明。</w:t>
      </w: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投标单位：</w:t>
      </w:r>
    </w:p>
    <w:p>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时间：     年   月   日 </w:t>
      </w: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注：供应商在参加政府采购活动前三年内因违法经营被禁止在一定期限内参加政府采购活动，期限届满的，可以参加政府采购活动，但应在此处详细注明。</w:t>
      </w:r>
    </w:p>
    <w:p>
      <w:pPr>
        <w:spacing w:before="156" w:beforeLines="50" w:after="156" w:afterLines="50" w:line="480" w:lineRule="auto"/>
        <w:rPr>
          <w:b/>
          <w:color w:val="auto"/>
          <w:kern w:val="44"/>
          <w:sz w:val="32"/>
          <w:szCs w:val="32"/>
          <w:highlight w:val="none"/>
        </w:rPr>
      </w:pPr>
      <w:r>
        <w:rPr>
          <w:b/>
          <w:color w:val="auto"/>
          <w:kern w:val="44"/>
          <w:sz w:val="32"/>
          <w:szCs w:val="32"/>
          <w:highlight w:val="none"/>
        </w:rPr>
        <w:br w:type="page"/>
      </w:r>
    </w:p>
    <w:p>
      <w:pPr>
        <w:spacing w:before="156" w:beforeLines="50" w:after="156" w:afterLines="50" w:line="480" w:lineRule="auto"/>
        <w:jc w:val="center"/>
        <w:rPr>
          <w:b/>
          <w:color w:val="auto"/>
          <w:sz w:val="36"/>
          <w:szCs w:val="36"/>
          <w:highlight w:val="none"/>
        </w:rPr>
      </w:pPr>
      <w:r>
        <w:rPr>
          <w:rFonts w:hint="eastAsia"/>
          <w:b/>
          <w:color w:val="auto"/>
          <w:sz w:val="36"/>
          <w:szCs w:val="36"/>
          <w:highlight w:val="none"/>
        </w:rPr>
        <w:t>供应商具备履行合同所必需的设备和专业技术能力的承诺书</w:t>
      </w:r>
      <w:r>
        <w:rPr>
          <w:rFonts w:hint="eastAsia" w:ascii="宋体" w:hAnsi="宋体"/>
          <w:b/>
          <w:color w:val="auto"/>
          <w:sz w:val="36"/>
          <w:szCs w:val="36"/>
          <w:highlight w:val="none"/>
        </w:rPr>
        <w:t>（</w:t>
      </w:r>
      <w:r>
        <w:rPr>
          <w:rFonts w:hint="eastAsia" w:ascii="宋体" w:hAnsi="宋体"/>
          <w:b/>
          <w:color w:val="auto"/>
          <w:kern w:val="44"/>
          <w:sz w:val="32"/>
          <w:szCs w:val="32"/>
          <w:highlight w:val="none"/>
        </w:rPr>
        <w:t>参考格式</w:t>
      </w:r>
      <w:r>
        <w:rPr>
          <w:rFonts w:hint="eastAsia" w:ascii="宋体" w:hAnsi="宋体"/>
          <w:b/>
          <w:color w:val="auto"/>
          <w:sz w:val="36"/>
          <w:szCs w:val="36"/>
          <w:highlight w:val="none"/>
        </w:rPr>
        <w:t>）</w:t>
      </w:r>
    </w:p>
    <w:p>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我单位承诺：</w:t>
      </w: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特此承诺。</w:t>
      </w:r>
    </w:p>
    <w:p>
      <w:pPr>
        <w:pStyle w:val="31"/>
        <w:spacing w:line="300" w:lineRule="atLeast"/>
        <w:ind w:firstLine="642"/>
        <w:rPr>
          <w:rFonts w:cs="Times New Roman"/>
          <w:color w:val="auto"/>
          <w:kern w:val="44"/>
          <w:sz w:val="32"/>
          <w:szCs w:val="32"/>
          <w:highlight w:val="none"/>
        </w:rPr>
      </w:pPr>
    </w:p>
    <w:p>
      <w:pPr>
        <w:pStyle w:val="31"/>
        <w:wordWrap w:val="0"/>
        <w:spacing w:line="300" w:lineRule="atLeast"/>
        <w:ind w:right="1365" w:rightChars="650" w:firstLine="642"/>
        <w:jc w:val="right"/>
        <w:rPr>
          <w:rFonts w:cs="Times New Roman"/>
          <w:color w:val="auto"/>
          <w:kern w:val="44"/>
          <w:sz w:val="32"/>
          <w:szCs w:val="32"/>
          <w:highlight w:val="none"/>
          <w:u w:val="single"/>
        </w:rPr>
      </w:pPr>
      <w:r>
        <w:rPr>
          <w:rFonts w:hint="eastAsia" w:cs="Times New Roman"/>
          <w:color w:val="auto"/>
          <w:kern w:val="44"/>
          <w:sz w:val="32"/>
          <w:szCs w:val="32"/>
          <w:highlight w:val="none"/>
        </w:rPr>
        <w:t>承诺供应商：</w:t>
      </w:r>
      <w:r>
        <w:rPr>
          <w:rFonts w:hint="eastAsia" w:cs="Times New Roman"/>
          <w:color w:val="auto"/>
          <w:kern w:val="44"/>
          <w:sz w:val="32"/>
          <w:szCs w:val="32"/>
          <w:highlight w:val="none"/>
          <w:u w:val="single"/>
        </w:rPr>
        <w:t xml:space="preserve">            </w:t>
      </w:r>
    </w:p>
    <w:p>
      <w:pPr>
        <w:pStyle w:val="31"/>
        <w:spacing w:line="300" w:lineRule="atLeast"/>
        <w:ind w:right="1365" w:rightChars="650" w:firstLine="642"/>
        <w:jc w:val="right"/>
        <w:rPr>
          <w:color w:val="auto"/>
          <w:sz w:val="32"/>
          <w:szCs w:val="32"/>
          <w:highlight w:val="none"/>
        </w:rPr>
        <w:sectPr>
          <w:headerReference r:id="rId7" w:type="first"/>
          <w:footerReference r:id="rId9" w:type="first"/>
          <w:footerReference r:id="rId8" w:type="default"/>
          <w:pgSz w:w="11906" w:h="16838"/>
          <w:pgMar w:top="1440" w:right="1800" w:bottom="1440" w:left="1800" w:header="851" w:footer="992" w:gutter="0"/>
          <w:pgNumType w:start="1"/>
          <w:cols w:space="720" w:num="1"/>
          <w:titlePg/>
          <w:docGrid w:type="lines" w:linePitch="312" w:charSpace="0"/>
        </w:sectPr>
      </w:pPr>
      <w:r>
        <w:rPr>
          <w:rFonts w:hint="eastAsia" w:cs="Times New Roman"/>
          <w:color w:val="auto"/>
          <w:kern w:val="44"/>
          <w:sz w:val="32"/>
          <w:szCs w:val="32"/>
          <w:highlight w:val="none"/>
        </w:rPr>
        <w:t>年  月  日</w:t>
      </w:r>
    </w:p>
    <w:bookmarkEnd w:id="736"/>
    <w:bookmarkEnd w:id="737"/>
    <w:bookmarkEnd w:id="738"/>
    <w:bookmarkEnd w:id="739"/>
    <w:bookmarkEnd w:id="740"/>
    <w:bookmarkEnd w:id="741"/>
    <w:bookmarkEnd w:id="742"/>
    <w:bookmarkEnd w:id="743"/>
    <w:bookmarkEnd w:id="744"/>
    <w:bookmarkEnd w:id="745"/>
    <w:p>
      <w:pPr>
        <w:jc w:val="center"/>
        <w:rPr>
          <w:rFonts w:ascii="宋体" w:hAnsi="宋体"/>
          <w:b/>
          <w:bCs/>
          <w:color w:val="auto"/>
          <w:kern w:val="44"/>
          <w:sz w:val="44"/>
          <w:szCs w:val="44"/>
          <w:highlight w:val="none"/>
        </w:rPr>
      </w:pPr>
      <w:bookmarkStart w:id="746" w:name="_Toc338840471"/>
      <w:bookmarkStart w:id="747" w:name="_Toc288748128"/>
      <w:bookmarkStart w:id="748" w:name="_Toc289238788"/>
      <w:bookmarkStart w:id="749" w:name="_Toc289182439"/>
      <w:bookmarkStart w:id="750" w:name="_Toc289241536"/>
      <w:bookmarkStart w:id="751" w:name="_Toc289241359"/>
      <w:bookmarkStart w:id="752" w:name="_Toc338840262"/>
      <w:bookmarkStart w:id="753" w:name="_Toc289096743"/>
      <w:bookmarkStart w:id="754" w:name="_Toc338840510"/>
      <w:bookmarkStart w:id="755" w:name="_Toc289182817"/>
      <w:r>
        <w:rPr>
          <w:rFonts w:hint="eastAsia" w:ascii="宋体" w:hAnsi="宋体"/>
          <w:b/>
          <w:bCs/>
          <w:color w:val="auto"/>
          <w:kern w:val="44"/>
          <w:sz w:val="44"/>
          <w:szCs w:val="44"/>
          <w:highlight w:val="none"/>
        </w:rPr>
        <w:t>四　投标内容及报价明细表</w:t>
      </w:r>
    </w:p>
    <w:p>
      <w:pPr>
        <w:rPr>
          <w:rFonts w:ascii="宋体" w:hAnsi="宋体"/>
          <w:b/>
          <w:bCs/>
          <w:color w:val="auto"/>
          <w:kern w:val="44"/>
          <w:sz w:val="44"/>
          <w:szCs w:val="44"/>
          <w:highlight w:val="none"/>
        </w:rPr>
      </w:pPr>
    </w:p>
    <w:tbl>
      <w:tblPr>
        <w:tblStyle w:val="34"/>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4290"/>
        <w:gridCol w:w="755"/>
        <w:gridCol w:w="126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6" w:type="dxa"/>
            <w:vAlign w:val="center"/>
          </w:tcPr>
          <w:p>
            <w:pPr>
              <w:spacing w:line="400" w:lineRule="exact"/>
              <w:jc w:val="center"/>
              <w:rPr>
                <w:rFonts w:ascii="宋体" w:hAnsi="宋体"/>
                <w:color w:val="auto"/>
                <w:highlight w:val="none"/>
              </w:rPr>
            </w:pPr>
            <w:r>
              <w:rPr>
                <w:rFonts w:hint="eastAsia" w:ascii="宋体" w:hAnsi="宋体"/>
                <w:color w:val="auto"/>
                <w:highlight w:val="none"/>
              </w:rPr>
              <w:t>序号</w:t>
            </w:r>
          </w:p>
        </w:tc>
        <w:tc>
          <w:tcPr>
            <w:tcW w:w="4290" w:type="dxa"/>
            <w:vAlign w:val="center"/>
          </w:tcPr>
          <w:p>
            <w:pPr>
              <w:spacing w:line="400" w:lineRule="exact"/>
              <w:ind w:left="223" w:hanging="223"/>
              <w:jc w:val="center"/>
              <w:rPr>
                <w:rFonts w:ascii="宋体" w:hAnsi="宋体"/>
                <w:color w:val="auto"/>
                <w:highlight w:val="none"/>
              </w:rPr>
            </w:pPr>
            <w:r>
              <w:rPr>
                <w:rFonts w:hint="eastAsia" w:ascii="宋体" w:hAnsi="宋体" w:cs="chs_boot"/>
                <w:color w:val="auto"/>
                <w:highlight w:val="none"/>
              </w:rPr>
              <w:t>报价内容明细</w:t>
            </w:r>
          </w:p>
        </w:tc>
        <w:tc>
          <w:tcPr>
            <w:tcW w:w="755" w:type="dxa"/>
            <w:vAlign w:val="center"/>
          </w:tcPr>
          <w:p>
            <w:pPr>
              <w:spacing w:line="400" w:lineRule="exact"/>
              <w:ind w:left="223" w:hanging="223"/>
              <w:jc w:val="center"/>
              <w:rPr>
                <w:rFonts w:ascii="宋体" w:hAnsi="宋体" w:cs="chs_boot"/>
                <w:color w:val="auto"/>
                <w:highlight w:val="none"/>
              </w:rPr>
            </w:pPr>
            <w:r>
              <w:rPr>
                <w:rFonts w:hint="eastAsia" w:ascii="宋体" w:hAnsi="宋体" w:cs="chs_boot"/>
                <w:color w:val="auto"/>
                <w:highlight w:val="none"/>
              </w:rPr>
              <w:t>单价</w:t>
            </w:r>
          </w:p>
        </w:tc>
        <w:tc>
          <w:tcPr>
            <w:tcW w:w="1260" w:type="dxa"/>
            <w:vAlign w:val="center"/>
          </w:tcPr>
          <w:p>
            <w:pPr>
              <w:spacing w:line="400" w:lineRule="exact"/>
              <w:jc w:val="center"/>
              <w:rPr>
                <w:rFonts w:ascii="宋体" w:hAnsi="宋体"/>
                <w:color w:val="auto"/>
                <w:highlight w:val="none"/>
              </w:rPr>
            </w:pPr>
            <w:r>
              <w:rPr>
                <w:rFonts w:hint="eastAsia" w:ascii="宋体" w:hAnsi="宋体"/>
                <w:color w:val="auto"/>
                <w:highlight w:val="none"/>
              </w:rPr>
              <w:t>价格合计</w:t>
            </w:r>
          </w:p>
        </w:tc>
        <w:tc>
          <w:tcPr>
            <w:tcW w:w="1800" w:type="dxa"/>
            <w:vAlign w:val="center"/>
          </w:tcPr>
          <w:p>
            <w:pPr>
              <w:spacing w:line="400" w:lineRule="exact"/>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pPr>
              <w:spacing w:line="400" w:lineRule="exact"/>
              <w:jc w:val="center"/>
              <w:rPr>
                <w:rFonts w:ascii="宋体" w:hAnsi="宋体"/>
                <w:color w:val="auto"/>
                <w:sz w:val="28"/>
                <w:highlight w:val="none"/>
              </w:rPr>
            </w:pPr>
            <w:r>
              <w:rPr>
                <w:rFonts w:hint="eastAsia" w:ascii="宋体" w:hAnsi="宋体"/>
                <w:color w:val="auto"/>
                <w:sz w:val="28"/>
                <w:highlight w:val="none"/>
              </w:rPr>
              <w:t>1</w:t>
            </w:r>
          </w:p>
        </w:tc>
        <w:tc>
          <w:tcPr>
            <w:tcW w:w="4290" w:type="dxa"/>
          </w:tcPr>
          <w:p>
            <w:pPr>
              <w:spacing w:line="400" w:lineRule="exact"/>
              <w:jc w:val="center"/>
              <w:rPr>
                <w:rFonts w:ascii="宋体" w:hAnsi="宋体"/>
                <w:color w:val="auto"/>
                <w:sz w:val="28"/>
                <w:highlight w:val="none"/>
              </w:rPr>
            </w:pPr>
          </w:p>
        </w:tc>
        <w:tc>
          <w:tcPr>
            <w:tcW w:w="755" w:type="dxa"/>
          </w:tcPr>
          <w:p>
            <w:pPr>
              <w:spacing w:line="400" w:lineRule="exact"/>
              <w:jc w:val="center"/>
              <w:rPr>
                <w:rFonts w:ascii="宋体" w:hAnsi="宋体"/>
                <w:color w:val="auto"/>
                <w:sz w:val="28"/>
                <w:highlight w:val="none"/>
              </w:rPr>
            </w:pPr>
          </w:p>
        </w:tc>
        <w:tc>
          <w:tcPr>
            <w:tcW w:w="1260" w:type="dxa"/>
          </w:tcPr>
          <w:p>
            <w:pPr>
              <w:spacing w:line="400" w:lineRule="exact"/>
              <w:jc w:val="center"/>
              <w:rPr>
                <w:rFonts w:ascii="宋体" w:hAnsi="宋体"/>
                <w:color w:val="auto"/>
                <w:sz w:val="28"/>
                <w:highlight w:val="none"/>
              </w:rPr>
            </w:pPr>
          </w:p>
        </w:tc>
        <w:tc>
          <w:tcPr>
            <w:tcW w:w="1800" w:type="dxa"/>
          </w:tcPr>
          <w:p>
            <w:pPr>
              <w:spacing w:line="400" w:lineRule="exact"/>
              <w:jc w:val="center"/>
              <w:rPr>
                <w:rFonts w:ascii="宋体" w:hAnsi="宋体"/>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pPr>
              <w:spacing w:line="400" w:lineRule="exact"/>
              <w:jc w:val="center"/>
              <w:rPr>
                <w:rFonts w:ascii="宋体" w:hAnsi="宋体"/>
                <w:color w:val="auto"/>
                <w:sz w:val="28"/>
                <w:highlight w:val="none"/>
              </w:rPr>
            </w:pPr>
            <w:r>
              <w:rPr>
                <w:rFonts w:hint="eastAsia" w:ascii="宋体" w:hAnsi="宋体"/>
                <w:color w:val="auto"/>
                <w:sz w:val="28"/>
                <w:highlight w:val="none"/>
              </w:rPr>
              <w:t>2</w:t>
            </w:r>
          </w:p>
        </w:tc>
        <w:tc>
          <w:tcPr>
            <w:tcW w:w="4290" w:type="dxa"/>
          </w:tcPr>
          <w:p>
            <w:pPr>
              <w:spacing w:line="400" w:lineRule="exact"/>
              <w:jc w:val="center"/>
              <w:rPr>
                <w:rFonts w:ascii="宋体" w:hAnsi="宋体"/>
                <w:color w:val="auto"/>
                <w:sz w:val="28"/>
                <w:highlight w:val="none"/>
              </w:rPr>
            </w:pPr>
          </w:p>
        </w:tc>
        <w:tc>
          <w:tcPr>
            <w:tcW w:w="755" w:type="dxa"/>
          </w:tcPr>
          <w:p>
            <w:pPr>
              <w:spacing w:line="400" w:lineRule="exact"/>
              <w:jc w:val="center"/>
              <w:rPr>
                <w:rFonts w:ascii="宋体" w:hAnsi="宋体"/>
                <w:color w:val="auto"/>
                <w:sz w:val="28"/>
                <w:highlight w:val="none"/>
              </w:rPr>
            </w:pPr>
          </w:p>
        </w:tc>
        <w:tc>
          <w:tcPr>
            <w:tcW w:w="1260" w:type="dxa"/>
          </w:tcPr>
          <w:p>
            <w:pPr>
              <w:spacing w:line="400" w:lineRule="exact"/>
              <w:jc w:val="center"/>
              <w:rPr>
                <w:rFonts w:ascii="宋体" w:hAnsi="宋体"/>
                <w:color w:val="auto"/>
                <w:sz w:val="28"/>
                <w:highlight w:val="none"/>
              </w:rPr>
            </w:pPr>
          </w:p>
        </w:tc>
        <w:tc>
          <w:tcPr>
            <w:tcW w:w="1800" w:type="dxa"/>
          </w:tcPr>
          <w:p>
            <w:pPr>
              <w:spacing w:line="400" w:lineRule="exact"/>
              <w:jc w:val="center"/>
              <w:rPr>
                <w:rFonts w:ascii="宋体" w:hAnsi="宋体"/>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pPr>
              <w:spacing w:line="400" w:lineRule="exact"/>
              <w:jc w:val="center"/>
              <w:rPr>
                <w:rFonts w:ascii="宋体" w:hAnsi="宋体"/>
                <w:color w:val="auto"/>
                <w:sz w:val="28"/>
                <w:highlight w:val="none"/>
              </w:rPr>
            </w:pPr>
            <w:r>
              <w:rPr>
                <w:rFonts w:ascii="宋体" w:hAnsi="宋体"/>
                <w:color w:val="auto"/>
                <w:sz w:val="28"/>
                <w:highlight w:val="none"/>
              </w:rPr>
              <w:t>…</w:t>
            </w:r>
          </w:p>
        </w:tc>
        <w:tc>
          <w:tcPr>
            <w:tcW w:w="4290" w:type="dxa"/>
          </w:tcPr>
          <w:p>
            <w:pPr>
              <w:spacing w:line="400" w:lineRule="exact"/>
              <w:jc w:val="center"/>
              <w:rPr>
                <w:rFonts w:ascii="宋体" w:hAnsi="宋体"/>
                <w:color w:val="auto"/>
                <w:sz w:val="28"/>
                <w:highlight w:val="none"/>
              </w:rPr>
            </w:pPr>
          </w:p>
        </w:tc>
        <w:tc>
          <w:tcPr>
            <w:tcW w:w="755" w:type="dxa"/>
          </w:tcPr>
          <w:p>
            <w:pPr>
              <w:spacing w:line="400" w:lineRule="exact"/>
              <w:jc w:val="center"/>
              <w:rPr>
                <w:rFonts w:ascii="宋体" w:hAnsi="宋体"/>
                <w:color w:val="auto"/>
                <w:sz w:val="28"/>
                <w:highlight w:val="none"/>
              </w:rPr>
            </w:pPr>
          </w:p>
        </w:tc>
        <w:tc>
          <w:tcPr>
            <w:tcW w:w="1260" w:type="dxa"/>
          </w:tcPr>
          <w:p>
            <w:pPr>
              <w:spacing w:line="400" w:lineRule="exact"/>
              <w:jc w:val="center"/>
              <w:rPr>
                <w:rFonts w:ascii="宋体" w:hAnsi="宋体"/>
                <w:color w:val="auto"/>
                <w:sz w:val="28"/>
                <w:highlight w:val="none"/>
              </w:rPr>
            </w:pPr>
          </w:p>
        </w:tc>
        <w:tc>
          <w:tcPr>
            <w:tcW w:w="1800" w:type="dxa"/>
          </w:tcPr>
          <w:p>
            <w:pPr>
              <w:spacing w:line="400" w:lineRule="exact"/>
              <w:jc w:val="center"/>
              <w:rPr>
                <w:rFonts w:ascii="宋体" w:hAnsi="宋体"/>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871" w:type="dxa"/>
            <w:gridSpan w:val="3"/>
          </w:tcPr>
          <w:p>
            <w:pPr>
              <w:spacing w:line="400" w:lineRule="exact"/>
              <w:jc w:val="center"/>
              <w:rPr>
                <w:rFonts w:ascii="宋体" w:hAnsi="宋体"/>
                <w:color w:val="auto"/>
                <w:sz w:val="28"/>
                <w:highlight w:val="none"/>
              </w:rPr>
            </w:pPr>
            <w:r>
              <w:rPr>
                <w:rFonts w:hint="eastAsia" w:ascii="宋体" w:hAnsi="宋体"/>
                <w:b/>
                <w:bCs/>
                <w:color w:val="auto"/>
                <w:sz w:val="24"/>
                <w:szCs w:val="22"/>
                <w:highlight w:val="none"/>
              </w:rPr>
              <w:t>价格总合计</w:t>
            </w:r>
            <w:r>
              <w:rPr>
                <w:rFonts w:hint="eastAsia" w:ascii="宋体" w:hAnsi="宋体"/>
                <w:color w:val="auto"/>
                <w:sz w:val="24"/>
                <w:szCs w:val="22"/>
                <w:highlight w:val="none"/>
              </w:rPr>
              <w:t>（应与投标函中的“投标报价”相同）</w:t>
            </w:r>
          </w:p>
        </w:tc>
        <w:tc>
          <w:tcPr>
            <w:tcW w:w="3060" w:type="dxa"/>
            <w:gridSpan w:val="2"/>
          </w:tcPr>
          <w:p>
            <w:pPr>
              <w:spacing w:line="400" w:lineRule="exact"/>
              <w:jc w:val="center"/>
              <w:rPr>
                <w:rFonts w:ascii="宋体" w:hAnsi="宋体"/>
                <w:b/>
                <w:bCs/>
                <w:color w:val="auto"/>
                <w:sz w:val="24"/>
                <w:szCs w:val="22"/>
                <w:highlight w:val="none"/>
              </w:rPr>
            </w:pPr>
            <w:r>
              <w:rPr>
                <w:rFonts w:hint="eastAsia" w:ascii="宋体" w:hAnsi="宋体"/>
                <w:color w:val="auto"/>
                <w:kern w:val="0"/>
                <w:sz w:val="28"/>
                <w:szCs w:val="28"/>
                <w:highlight w:val="none"/>
              </w:rPr>
              <w:t>¥</w:t>
            </w:r>
            <w:r>
              <w:rPr>
                <w:rFonts w:hint="eastAsia" w:ascii="宋体" w:hAnsi="宋体"/>
                <w:color w:val="auto"/>
                <w:sz w:val="24"/>
                <w:szCs w:val="22"/>
                <w:highlight w:val="none"/>
              </w:rPr>
              <w:t>：</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元</w:t>
            </w:r>
          </w:p>
        </w:tc>
      </w:tr>
    </w:tbl>
    <w:p>
      <w:pPr>
        <w:spacing w:line="340" w:lineRule="exact"/>
        <w:ind w:left="-315" w:leftChars="-150" w:right="-525" w:rightChars="-250"/>
        <w:rPr>
          <w:rFonts w:ascii="宋体" w:hAnsi="宋体"/>
          <w:b/>
          <w:color w:val="auto"/>
          <w:szCs w:val="21"/>
          <w:highlight w:val="none"/>
        </w:rPr>
      </w:pPr>
    </w:p>
    <w:p>
      <w:pPr>
        <w:spacing w:line="340" w:lineRule="exact"/>
        <w:ind w:left="-315" w:leftChars="-150" w:right="-525" w:rightChars="-250"/>
        <w:rPr>
          <w:rFonts w:ascii="宋体" w:hAnsi="宋体"/>
          <w:b/>
          <w:color w:val="auto"/>
          <w:szCs w:val="21"/>
          <w:highlight w:val="none"/>
        </w:rPr>
      </w:pPr>
    </w:p>
    <w:p>
      <w:pPr>
        <w:spacing w:line="340" w:lineRule="exact"/>
        <w:ind w:left="-315" w:leftChars="-150" w:right="-525" w:rightChars="-250"/>
        <w:rPr>
          <w:rFonts w:ascii="宋体" w:hAnsi="宋体"/>
          <w:b/>
          <w:color w:val="auto"/>
          <w:szCs w:val="21"/>
          <w:highlight w:val="none"/>
        </w:rPr>
      </w:pPr>
      <w:r>
        <w:rPr>
          <w:rFonts w:hint="eastAsia" w:ascii="宋体" w:hAnsi="宋体"/>
          <w:b/>
          <w:color w:val="auto"/>
          <w:szCs w:val="21"/>
          <w:highlight w:val="none"/>
        </w:rPr>
        <w:t>注：“报价内容明细”由供应商根据项目情况自行填写，如：人员工资、设备费用、材料、利润、税金</w:t>
      </w:r>
      <w:r>
        <w:rPr>
          <w:rFonts w:ascii="宋体" w:hAnsi="宋体"/>
          <w:b/>
          <w:color w:val="auto"/>
          <w:szCs w:val="21"/>
          <w:highlight w:val="none"/>
        </w:rPr>
        <w:t>……</w:t>
      </w:r>
      <w:r>
        <w:rPr>
          <w:rFonts w:hint="eastAsia" w:ascii="宋体" w:hAnsi="宋体"/>
          <w:b/>
          <w:color w:val="auto"/>
          <w:szCs w:val="21"/>
          <w:highlight w:val="none"/>
        </w:rPr>
        <w:t>。</w:t>
      </w:r>
    </w:p>
    <w:p>
      <w:pPr>
        <w:jc w:val="center"/>
        <w:rPr>
          <w:rFonts w:ascii="宋体" w:hAnsi="宋体"/>
          <w:bCs/>
          <w:color w:val="auto"/>
          <w:kern w:val="44"/>
          <w:sz w:val="44"/>
          <w:szCs w:val="44"/>
          <w:highlight w:val="none"/>
        </w:rPr>
      </w:pPr>
      <w:r>
        <w:rPr>
          <w:rFonts w:hint="eastAsia" w:ascii="宋体" w:hAnsi="宋体"/>
          <w:b/>
          <w:bCs/>
          <w:color w:val="auto"/>
          <w:kern w:val="44"/>
          <w:sz w:val="32"/>
          <w:szCs w:val="32"/>
          <w:highlight w:val="none"/>
        </w:rPr>
        <w:br w:type="page"/>
      </w:r>
      <w:r>
        <w:rPr>
          <w:rFonts w:hint="eastAsia" w:ascii="宋体" w:hAnsi="宋体"/>
          <w:b/>
          <w:bCs/>
          <w:color w:val="auto"/>
          <w:kern w:val="44"/>
          <w:sz w:val="44"/>
          <w:szCs w:val="44"/>
          <w:highlight w:val="none"/>
        </w:rPr>
        <w:t>五　技术及商务偏差表</w:t>
      </w:r>
      <w:bookmarkEnd w:id="746"/>
      <w:bookmarkEnd w:id="747"/>
      <w:bookmarkEnd w:id="748"/>
      <w:bookmarkEnd w:id="749"/>
      <w:bookmarkEnd w:id="750"/>
      <w:bookmarkEnd w:id="751"/>
      <w:bookmarkEnd w:id="752"/>
      <w:bookmarkEnd w:id="753"/>
      <w:bookmarkEnd w:id="754"/>
      <w:bookmarkEnd w:id="755"/>
    </w:p>
    <w:p>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089"/>
        <w:gridCol w:w="2700"/>
        <w:gridCol w:w="252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pPr>
              <w:spacing w:line="440" w:lineRule="exact"/>
              <w:jc w:val="center"/>
              <w:rPr>
                <w:rFonts w:ascii="宋体" w:hAnsi="宋体"/>
                <w:color w:val="auto"/>
                <w:sz w:val="24"/>
                <w:highlight w:val="none"/>
              </w:rPr>
            </w:pPr>
            <w:r>
              <w:rPr>
                <w:rFonts w:hint="eastAsia" w:ascii="宋体" w:hAnsi="宋体"/>
                <w:color w:val="auto"/>
                <w:sz w:val="24"/>
                <w:highlight w:val="none"/>
              </w:rPr>
              <w:t>序号</w:t>
            </w:r>
          </w:p>
        </w:tc>
        <w:tc>
          <w:tcPr>
            <w:tcW w:w="1089" w:type="dxa"/>
            <w:vAlign w:val="center"/>
          </w:tcPr>
          <w:p>
            <w:pPr>
              <w:jc w:val="center"/>
              <w:rPr>
                <w:rFonts w:ascii="宋体" w:hAnsi="宋体"/>
                <w:color w:val="auto"/>
                <w:sz w:val="24"/>
                <w:highlight w:val="none"/>
              </w:rPr>
            </w:pPr>
            <w:r>
              <w:rPr>
                <w:rFonts w:hint="eastAsia" w:ascii="宋体" w:hAnsi="宋体"/>
                <w:color w:val="auto"/>
                <w:sz w:val="24"/>
                <w:highlight w:val="none"/>
              </w:rPr>
              <w:t>名称</w:t>
            </w:r>
          </w:p>
        </w:tc>
        <w:tc>
          <w:tcPr>
            <w:tcW w:w="2700" w:type="dxa"/>
            <w:vAlign w:val="center"/>
          </w:tcPr>
          <w:p>
            <w:pPr>
              <w:jc w:val="center"/>
              <w:rPr>
                <w:rFonts w:ascii="宋体" w:hAnsi="宋体"/>
                <w:color w:val="auto"/>
                <w:sz w:val="24"/>
                <w:highlight w:val="none"/>
              </w:rPr>
            </w:pPr>
            <w:r>
              <w:rPr>
                <w:rFonts w:hint="eastAsia" w:ascii="宋体" w:hAnsi="宋体"/>
                <w:color w:val="auto"/>
                <w:sz w:val="24"/>
                <w:highlight w:val="none"/>
              </w:rPr>
              <w:t>招标文件要求</w:t>
            </w:r>
          </w:p>
        </w:tc>
        <w:tc>
          <w:tcPr>
            <w:tcW w:w="2520" w:type="dxa"/>
            <w:vAlign w:val="center"/>
          </w:tcPr>
          <w:p>
            <w:pPr>
              <w:jc w:val="center"/>
              <w:rPr>
                <w:rFonts w:ascii="宋体" w:hAnsi="宋体"/>
                <w:color w:val="auto"/>
                <w:sz w:val="24"/>
                <w:highlight w:val="none"/>
              </w:rPr>
            </w:pPr>
            <w:r>
              <w:rPr>
                <w:rFonts w:hint="eastAsia" w:ascii="宋体" w:hAnsi="宋体"/>
                <w:color w:val="auto"/>
                <w:sz w:val="24"/>
                <w:highlight w:val="none"/>
              </w:rPr>
              <w:t>投标文件内容</w:t>
            </w:r>
          </w:p>
        </w:tc>
        <w:tc>
          <w:tcPr>
            <w:tcW w:w="1980" w:type="dxa"/>
            <w:vAlign w:val="center"/>
          </w:tcPr>
          <w:p>
            <w:pPr>
              <w:jc w:val="center"/>
              <w:rPr>
                <w:rFonts w:ascii="宋体" w:hAnsi="宋体"/>
                <w:color w:val="auto"/>
                <w:sz w:val="24"/>
                <w:highlight w:val="none"/>
              </w:rPr>
            </w:pPr>
            <w:r>
              <w:rPr>
                <w:rFonts w:hint="eastAsia" w:ascii="宋体" w:hAnsi="宋体"/>
                <w:color w:val="auto"/>
                <w:sz w:val="24"/>
                <w:highlight w:val="none"/>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bl>
    <w:p>
      <w:pPr>
        <w:rPr>
          <w:rFonts w:ascii="宋体" w:hAnsi="宋体"/>
          <w:color w:val="auto"/>
          <w:sz w:val="28"/>
          <w:highlight w:val="none"/>
        </w:rPr>
      </w:pPr>
    </w:p>
    <w:p>
      <w:pPr>
        <w:pStyle w:val="52"/>
        <w:rPr>
          <w:rFonts w:ascii="宋体" w:hAnsi="宋体"/>
          <w:color w:val="auto"/>
          <w:sz w:val="32"/>
          <w:szCs w:val="32"/>
          <w:highlight w:val="none"/>
        </w:rPr>
      </w:pPr>
      <w:bookmarkStart w:id="756" w:name="_Toc289241361"/>
      <w:bookmarkStart w:id="757" w:name="_Toc338840473"/>
      <w:bookmarkStart w:id="758" w:name="_Toc289238790"/>
      <w:bookmarkStart w:id="759" w:name="_Toc288748130"/>
      <w:bookmarkStart w:id="760" w:name="_Toc289241538"/>
      <w:bookmarkStart w:id="761" w:name="_Toc289182441"/>
      <w:bookmarkStart w:id="762" w:name="_Toc289096745"/>
      <w:bookmarkStart w:id="763" w:name="_Toc338840512"/>
      <w:bookmarkStart w:id="764" w:name="_Toc289182819"/>
      <w:bookmarkStart w:id="765" w:name="_Toc338840264"/>
      <w:r>
        <w:rPr>
          <w:rFonts w:hint="eastAsia" w:ascii="宋体" w:hAnsi="宋体" w:cs="宋体"/>
          <w:color w:val="auto"/>
          <w:sz w:val="32"/>
          <w:szCs w:val="32"/>
          <w:highlight w:val="none"/>
        </w:rPr>
        <w:t>注：1、投标文件内容与招标文件技术、商务要求有偏差时，</w:t>
      </w:r>
      <w:r>
        <w:rPr>
          <w:rFonts w:hint="eastAsia" w:ascii="宋体" w:hAnsi="宋体"/>
          <w:color w:val="auto"/>
          <w:sz w:val="32"/>
          <w:szCs w:val="32"/>
          <w:highlight w:val="none"/>
        </w:rPr>
        <w:t>应在上表中分别列明，填写偏差说明（注明正偏差或负偏差情况），</w:t>
      </w:r>
      <w:r>
        <w:rPr>
          <w:rFonts w:ascii="宋体" w:hAnsi="宋体"/>
          <w:color w:val="auto"/>
          <w:sz w:val="32"/>
          <w:szCs w:val="32"/>
          <w:highlight w:val="none"/>
        </w:rPr>
        <w:t>保证除列出的偏差外</w:t>
      </w:r>
      <w:r>
        <w:rPr>
          <w:rFonts w:hint="eastAsia" w:ascii="宋体" w:hAnsi="宋体"/>
          <w:color w:val="auto"/>
          <w:sz w:val="32"/>
          <w:szCs w:val="32"/>
          <w:highlight w:val="none"/>
        </w:rPr>
        <w:t>无其他偏差</w:t>
      </w:r>
      <w:r>
        <w:rPr>
          <w:rFonts w:ascii="宋体" w:hAnsi="宋体"/>
          <w:color w:val="auto"/>
          <w:sz w:val="32"/>
          <w:szCs w:val="32"/>
          <w:highlight w:val="none"/>
        </w:rPr>
        <w:t>。</w:t>
      </w:r>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2、无偏差时可不填列具体内容，只在“偏差说明”栏内注明“无偏差”。</w:t>
      </w:r>
    </w:p>
    <w:p>
      <w:pPr>
        <w:jc w:val="center"/>
        <w:rPr>
          <w:rFonts w:ascii="宋体" w:hAnsi="宋体"/>
          <w:b/>
          <w:color w:val="auto"/>
          <w:sz w:val="32"/>
          <w:szCs w:val="32"/>
          <w:highlight w:val="none"/>
        </w:rPr>
      </w:pPr>
      <w:r>
        <w:rPr>
          <w:rFonts w:ascii="宋体" w:hAnsi="宋体"/>
          <w:color w:val="auto"/>
          <w:sz w:val="32"/>
          <w:szCs w:val="32"/>
          <w:highlight w:val="none"/>
        </w:rPr>
        <w:br w:type="page"/>
      </w:r>
      <w:r>
        <w:rPr>
          <w:rFonts w:hint="eastAsia" w:ascii="宋体" w:hAnsi="宋体" w:cs="宋体"/>
          <w:b/>
          <w:color w:val="auto"/>
          <w:kern w:val="44"/>
          <w:sz w:val="44"/>
          <w:szCs w:val="44"/>
          <w:highlight w:val="none"/>
        </w:rPr>
        <w:t>六　备品备件及附送工具清单</w:t>
      </w:r>
      <w:bookmarkEnd w:id="756"/>
      <w:bookmarkEnd w:id="757"/>
      <w:bookmarkEnd w:id="758"/>
      <w:bookmarkEnd w:id="759"/>
      <w:bookmarkEnd w:id="760"/>
      <w:bookmarkEnd w:id="761"/>
      <w:bookmarkEnd w:id="762"/>
      <w:bookmarkEnd w:id="763"/>
      <w:bookmarkEnd w:id="764"/>
      <w:bookmarkEnd w:id="765"/>
    </w:p>
    <w:p>
      <w:pPr>
        <w:rPr>
          <w:rFonts w:ascii="宋体" w:hAnsi="宋体"/>
          <w:color w:val="auto"/>
          <w:highlight w:val="none"/>
        </w:rPr>
      </w:pPr>
      <w:r>
        <w:rPr>
          <w:rFonts w:hint="eastAsia" w:ascii="宋体" w:hAnsi="宋体"/>
          <w:color w:val="auto"/>
          <w:highlight w:val="none"/>
        </w:rPr>
        <w:t>　　　　　　　　　　　　　</w:t>
      </w:r>
    </w:p>
    <w:p>
      <w:pPr>
        <w:widowControl/>
        <w:spacing w:line="240" w:lineRule="atLeast"/>
        <w:jc w:val="left"/>
        <w:rPr>
          <w:rFonts w:ascii="宋体" w:hAnsi="宋体" w:cs="宋体"/>
          <w:color w:val="auto"/>
          <w:kern w:val="0"/>
          <w:sz w:val="32"/>
          <w:szCs w:val="32"/>
          <w:highlight w:val="none"/>
        </w:rPr>
      </w:pPr>
    </w:p>
    <w:p>
      <w:pPr>
        <w:widowControl/>
        <w:rPr>
          <w:rFonts w:ascii="宋体" w:hAnsi="宋体"/>
          <w:color w:val="auto"/>
          <w:sz w:val="32"/>
          <w:szCs w:val="32"/>
          <w:highlight w:val="none"/>
        </w:rPr>
      </w:pPr>
      <w:r>
        <w:rPr>
          <w:rFonts w:hint="eastAsia" w:ascii="宋体" w:hAnsi="宋体"/>
          <w:color w:val="auto"/>
          <w:kern w:val="0"/>
          <w:sz w:val="32"/>
          <w:szCs w:val="32"/>
          <w:highlight w:val="none"/>
        </w:rPr>
        <w:t>说明：如有附送专用工具和附送备品备件，此处应列明名称、数量、单价、生产商等情况。</w:t>
      </w:r>
    </w:p>
    <w:p>
      <w:pPr>
        <w:widowControl/>
        <w:ind w:firstLine="640" w:firstLineChars="200"/>
        <w:rPr>
          <w:rFonts w:ascii="宋体" w:hAnsi="宋体"/>
          <w:color w:val="auto"/>
          <w:kern w:val="0"/>
          <w:sz w:val="32"/>
          <w:szCs w:val="32"/>
          <w:highlight w:val="none"/>
        </w:rPr>
      </w:pPr>
    </w:p>
    <w:p>
      <w:pPr>
        <w:ind w:firstLine="640" w:firstLineChars="200"/>
        <w:rPr>
          <w:rFonts w:ascii="宋体" w:hAnsi="宋体"/>
          <w:color w:val="auto"/>
          <w:sz w:val="32"/>
          <w:szCs w:val="32"/>
          <w:highlight w:val="none"/>
        </w:rPr>
      </w:pPr>
    </w:p>
    <w:p>
      <w:pPr>
        <w:ind w:firstLine="640" w:firstLineChars="200"/>
        <w:rPr>
          <w:rFonts w:ascii="宋体" w:hAnsi="宋体"/>
          <w:color w:val="auto"/>
          <w:sz w:val="32"/>
          <w:szCs w:val="32"/>
          <w:highlight w:val="none"/>
        </w:rPr>
      </w:pPr>
    </w:p>
    <w:p>
      <w:pPr>
        <w:rPr>
          <w:rFonts w:ascii="宋体" w:hAnsi="宋体"/>
          <w:bCs/>
          <w:color w:val="auto"/>
          <w:sz w:val="32"/>
          <w:szCs w:val="32"/>
          <w:highlight w:val="none"/>
        </w:rPr>
      </w:pPr>
    </w:p>
    <w:p>
      <w:pPr>
        <w:rPr>
          <w:rFonts w:ascii="宋体" w:hAnsi="宋体"/>
          <w:bCs/>
          <w:color w:val="auto"/>
          <w:sz w:val="32"/>
          <w:szCs w:val="32"/>
          <w:highlight w:val="none"/>
        </w:rPr>
      </w:pPr>
    </w:p>
    <w:p>
      <w:pPr>
        <w:rPr>
          <w:rFonts w:ascii="宋体" w:hAnsi="宋体"/>
          <w:bCs/>
          <w:color w:val="auto"/>
          <w:sz w:val="32"/>
          <w:szCs w:val="32"/>
          <w:highlight w:val="none"/>
        </w:rPr>
      </w:pPr>
    </w:p>
    <w:p>
      <w:pPr>
        <w:rPr>
          <w:rFonts w:ascii="宋体" w:hAnsi="宋体"/>
          <w:bCs/>
          <w:color w:val="auto"/>
          <w:sz w:val="32"/>
          <w:szCs w:val="32"/>
          <w:highlight w:val="none"/>
        </w:rPr>
      </w:pPr>
      <w:bookmarkStart w:id="766" w:name="_Toc288115070"/>
      <w:bookmarkStart w:id="767" w:name="_Toc288115095"/>
    </w:p>
    <w:bookmarkEnd w:id="766"/>
    <w:bookmarkEnd w:id="767"/>
    <w:p>
      <w:pPr>
        <w:jc w:val="center"/>
        <w:rPr>
          <w:rFonts w:ascii="宋体" w:hAnsi="宋体"/>
          <w:b/>
          <w:color w:val="auto"/>
          <w:kern w:val="44"/>
          <w:sz w:val="44"/>
          <w:szCs w:val="44"/>
          <w:highlight w:val="none"/>
        </w:rPr>
      </w:pPr>
      <w:bookmarkStart w:id="768" w:name="_Toc289182823"/>
      <w:bookmarkStart w:id="769" w:name="_Toc289096749"/>
      <w:bookmarkStart w:id="770" w:name="_Toc289238794"/>
      <w:bookmarkStart w:id="771" w:name="_Toc338840265"/>
      <w:bookmarkStart w:id="772" w:name="_Toc289241365"/>
      <w:bookmarkStart w:id="773" w:name="_Toc338840474"/>
      <w:bookmarkStart w:id="774" w:name="_Toc338840513"/>
      <w:bookmarkStart w:id="775" w:name="_Toc288748134"/>
      <w:bookmarkStart w:id="776" w:name="_Toc289241542"/>
      <w:bookmarkStart w:id="777" w:name="_Toc289182445"/>
      <w:r>
        <w:rPr>
          <w:rFonts w:hint="eastAsia" w:ascii="宋体" w:hAnsi="宋体"/>
          <w:b/>
          <w:color w:val="auto"/>
          <w:kern w:val="44"/>
          <w:sz w:val="44"/>
          <w:szCs w:val="44"/>
          <w:highlight w:val="none"/>
        </w:rPr>
        <w:br w:type="page"/>
      </w:r>
      <w:r>
        <w:rPr>
          <w:rFonts w:hint="eastAsia" w:ascii="宋体" w:hAnsi="宋体"/>
          <w:b/>
          <w:color w:val="auto"/>
          <w:kern w:val="44"/>
          <w:sz w:val="44"/>
          <w:szCs w:val="44"/>
          <w:highlight w:val="none"/>
        </w:rPr>
        <w:t xml:space="preserve">七  </w:t>
      </w:r>
      <w:bookmarkEnd w:id="768"/>
      <w:bookmarkEnd w:id="769"/>
      <w:bookmarkEnd w:id="770"/>
      <w:bookmarkEnd w:id="771"/>
      <w:bookmarkEnd w:id="772"/>
      <w:bookmarkEnd w:id="773"/>
      <w:bookmarkEnd w:id="774"/>
      <w:bookmarkEnd w:id="775"/>
      <w:bookmarkEnd w:id="776"/>
      <w:bookmarkEnd w:id="777"/>
      <w:r>
        <w:rPr>
          <w:rFonts w:hint="eastAsia" w:ascii="宋体" w:hAnsi="宋体"/>
          <w:b/>
          <w:color w:val="auto"/>
          <w:kern w:val="44"/>
          <w:sz w:val="44"/>
          <w:szCs w:val="44"/>
          <w:highlight w:val="none"/>
        </w:rPr>
        <w:t>业绩合同</w:t>
      </w:r>
    </w:p>
    <w:p>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pPr>
        <w:jc w:val="center"/>
        <w:rPr>
          <w:rFonts w:ascii="宋体" w:hAnsi="宋体"/>
          <w:b/>
          <w:color w:val="auto"/>
          <w:kern w:val="44"/>
          <w:sz w:val="44"/>
          <w:szCs w:val="44"/>
          <w:highlight w:val="none"/>
        </w:rPr>
      </w:pPr>
    </w:p>
    <w:p>
      <w:pPr>
        <w:jc w:val="center"/>
        <w:rPr>
          <w:rFonts w:hint="eastAsia" w:ascii="宋体" w:hAnsi="宋体"/>
          <w:b/>
          <w:color w:val="auto"/>
          <w:kern w:val="44"/>
          <w:sz w:val="44"/>
          <w:szCs w:val="44"/>
          <w:highlight w:val="none"/>
          <w:lang w:val="en-US" w:eastAsia="zh-CN"/>
        </w:rPr>
      </w:pPr>
      <w:r>
        <w:rPr>
          <w:rFonts w:hint="eastAsia" w:ascii="宋体" w:hAnsi="宋体"/>
          <w:b/>
          <w:color w:val="auto"/>
          <w:kern w:val="44"/>
          <w:sz w:val="44"/>
          <w:szCs w:val="44"/>
          <w:highlight w:val="none"/>
        </w:rPr>
        <w:t xml:space="preserve">八 </w:t>
      </w:r>
      <w:r>
        <w:rPr>
          <w:rFonts w:hint="eastAsia" w:ascii="宋体" w:hAnsi="宋体"/>
          <w:b/>
          <w:color w:val="auto"/>
          <w:kern w:val="44"/>
          <w:sz w:val="44"/>
          <w:szCs w:val="44"/>
          <w:highlight w:val="none"/>
          <w:lang w:val="en-US" w:eastAsia="zh-CN"/>
        </w:rPr>
        <w:t xml:space="preserve"> 企业实力</w:t>
      </w:r>
    </w:p>
    <w:p>
      <w:pPr>
        <w:pStyle w:val="2"/>
        <w:rPr>
          <w:rFonts w:hint="eastAsia" w:ascii="宋体" w:hAnsi="宋体"/>
          <w:b/>
          <w:color w:val="auto"/>
          <w:kern w:val="44"/>
          <w:sz w:val="44"/>
          <w:szCs w:val="44"/>
          <w:highlight w:val="none"/>
          <w:lang w:val="en-US" w:eastAsia="zh-CN"/>
        </w:rPr>
      </w:pPr>
    </w:p>
    <w:p>
      <w:pPr>
        <w:rPr>
          <w:rFonts w:hint="eastAsia"/>
          <w:color w:val="auto"/>
          <w:highlight w:val="none"/>
          <w:lang w:val="en-US" w:eastAsia="zh-CN"/>
        </w:rPr>
      </w:pPr>
      <w:r>
        <w:rPr>
          <w:rFonts w:hint="eastAsia"/>
          <w:color w:val="auto"/>
          <w:highlight w:val="none"/>
          <w:lang w:val="en-US" w:eastAsia="zh-CN"/>
        </w:rPr>
        <w:br w:type="page"/>
      </w:r>
    </w:p>
    <w:p>
      <w:pPr>
        <w:rPr>
          <w:rFonts w:hint="eastAsia"/>
          <w:color w:val="auto"/>
          <w:highlight w:val="none"/>
          <w:lang w:val="en-US" w:eastAsia="zh-CN"/>
        </w:rPr>
      </w:pPr>
    </w:p>
    <w:p>
      <w:pPr>
        <w:jc w:val="center"/>
        <w:rPr>
          <w:rFonts w:hint="eastAsia" w:ascii="宋体" w:hAnsi="宋体"/>
          <w:b/>
          <w:color w:val="auto"/>
          <w:kern w:val="44"/>
          <w:sz w:val="44"/>
          <w:szCs w:val="44"/>
          <w:highlight w:val="none"/>
          <w:lang w:val="en-US" w:eastAsia="zh-CN"/>
        </w:rPr>
      </w:pPr>
      <w:r>
        <w:rPr>
          <w:rFonts w:hint="eastAsia" w:ascii="宋体" w:hAnsi="宋体"/>
          <w:b/>
          <w:color w:val="auto"/>
          <w:kern w:val="44"/>
          <w:sz w:val="44"/>
          <w:szCs w:val="44"/>
          <w:highlight w:val="none"/>
          <w:lang w:val="en-US" w:eastAsia="zh-CN"/>
        </w:rPr>
        <w:t>九  服务方案</w:t>
      </w:r>
    </w:p>
    <w:p>
      <w:pPr>
        <w:pStyle w:val="2"/>
        <w:rPr>
          <w:rFonts w:hint="eastAsia" w:ascii="宋体" w:hAnsi="宋体"/>
          <w:b/>
          <w:color w:val="auto"/>
          <w:kern w:val="44"/>
          <w:sz w:val="44"/>
          <w:szCs w:val="44"/>
          <w:highlight w:val="none"/>
          <w:lang w:val="en-US" w:eastAsia="zh-CN"/>
        </w:rPr>
      </w:pPr>
    </w:p>
    <w:p>
      <w:pPr>
        <w:rPr>
          <w:rFonts w:hint="eastAsia"/>
          <w:color w:val="auto"/>
          <w:highlight w:val="none"/>
          <w:lang w:val="en-US" w:eastAsia="zh-CN"/>
        </w:rPr>
      </w:pPr>
      <w:r>
        <w:rPr>
          <w:rFonts w:hint="eastAsia"/>
          <w:color w:val="auto"/>
          <w:highlight w:val="none"/>
          <w:lang w:val="en-US" w:eastAsia="zh-CN"/>
        </w:rPr>
        <w:br w:type="page"/>
      </w:r>
    </w:p>
    <w:p>
      <w:pPr>
        <w:rPr>
          <w:rFonts w:hint="eastAsia"/>
          <w:color w:val="auto"/>
          <w:highlight w:val="none"/>
          <w:lang w:val="en-US" w:eastAsia="zh-CN"/>
        </w:rPr>
      </w:pPr>
    </w:p>
    <w:p>
      <w:pPr>
        <w:jc w:val="center"/>
        <w:rPr>
          <w:rFonts w:hint="eastAsia" w:ascii="宋体" w:hAnsi="宋体"/>
          <w:b/>
          <w:color w:val="auto"/>
          <w:kern w:val="44"/>
          <w:sz w:val="44"/>
          <w:szCs w:val="44"/>
          <w:highlight w:val="none"/>
          <w:lang w:val="en-US" w:eastAsia="zh-CN"/>
        </w:rPr>
      </w:pPr>
      <w:r>
        <w:rPr>
          <w:rFonts w:hint="eastAsia" w:ascii="宋体" w:hAnsi="宋体"/>
          <w:b/>
          <w:color w:val="auto"/>
          <w:kern w:val="44"/>
          <w:sz w:val="44"/>
          <w:szCs w:val="44"/>
          <w:highlight w:val="none"/>
          <w:lang w:val="en-US" w:eastAsia="zh-CN"/>
        </w:rPr>
        <w:t>十  管理培训方案</w:t>
      </w:r>
    </w:p>
    <w:p>
      <w:pPr>
        <w:rPr>
          <w:rFonts w:hint="eastAsia" w:ascii="宋体" w:hAnsi="宋体"/>
          <w:b/>
          <w:color w:val="auto"/>
          <w:kern w:val="44"/>
          <w:sz w:val="44"/>
          <w:szCs w:val="44"/>
          <w:highlight w:val="none"/>
          <w:lang w:val="en-US" w:eastAsia="zh-CN"/>
        </w:rPr>
      </w:pPr>
      <w:r>
        <w:rPr>
          <w:rFonts w:hint="eastAsia" w:ascii="宋体" w:hAnsi="宋体"/>
          <w:b/>
          <w:color w:val="auto"/>
          <w:kern w:val="44"/>
          <w:sz w:val="44"/>
          <w:szCs w:val="44"/>
          <w:highlight w:val="none"/>
          <w:lang w:val="en-US" w:eastAsia="zh-CN"/>
        </w:rPr>
        <w:br w:type="page"/>
      </w:r>
    </w:p>
    <w:p>
      <w:pPr>
        <w:pStyle w:val="5"/>
        <w:rPr>
          <w:rFonts w:hint="eastAsia"/>
          <w:color w:val="auto"/>
          <w:highlight w:val="none"/>
          <w:lang w:val="en-US" w:eastAsia="zh-CN"/>
        </w:rPr>
      </w:pPr>
    </w:p>
    <w:p>
      <w:pPr>
        <w:pStyle w:val="5"/>
        <w:rPr>
          <w:rFonts w:hint="eastAsia"/>
          <w:color w:val="auto"/>
          <w:highlight w:val="none"/>
          <w:lang w:val="en-US" w:eastAsia="zh-CN"/>
        </w:rPr>
      </w:pPr>
    </w:p>
    <w:p>
      <w:pPr>
        <w:jc w:val="center"/>
        <w:rPr>
          <w:rFonts w:ascii="宋体" w:hAnsi="宋体"/>
          <w:b/>
          <w:color w:val="auto"/>
          <w:kern w:val="44"/>
          <w:sz w:val="44"/>
          <w:szCs w:val="44"/>
          <w:highlight w:val="none"/>
        </w:rPr>
      </w:pPr>
      <w:r>
        <w:rPr>
          <w:rFonts w:hint="eastAsia" w:ascii="宋体" w:hAnsi="宋体"/>
          <w:b/>
          <w:color w:val="auto"/>
          <w:kern w:val="44"/>
          <w:sz w:val="44"/>
          <w:szCs w:val="44"/>
          <w:highlight w:val="none"/>
          <w:lang w:val="en-US" w:eastAsia="zh-CN"/>
        </w:rPr>
        <w:t>十一  拟投入设备</w:t>
      </w:r>
    </w:p>
    <w:p>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pPr>
        <w:jc w:val="center"/>
        <w:rPr>
          <w:rFonts w:ascii="宋体" w:hAnsi="宋体" w:cs="宋体"/>
          <w:b/>
          <w:color w:val="auto"/>
          <w:kern w:val="44"/>
          <w:sz w:val="32"/>
          <w:szCs w:val="32"/>
          <w:highlight w:val="none"/>
        </w:rPr>
      </w:pPr>
      <w:r>
        <w:rPr>
          <w:rFonts w:hint="eastAsia" w:ascii="宋体" w:hAnsi="宋体" w:cs="宋体"/>
          <w:b/>
          <w:color w:val="auto"/>
          <w:kern w:val="44"/>
          <w:sz w:val="44"/>
          <w:szCs w:val="44"/>
          <w:highlight w:val="none"/>
        </w:rPr>
        <w:t>十</w:t>
      </w:r>
      <w:r>
        <w:rPr>
          <w:rFonts w:hint="eastAsia" w:ascii="宋体" w:hAnsi="宋体" w:cs="宋体"/>
          <w:b/>
          <w:color w:val="auto"/>
          <w:kern w:val="44"/>
          <w:sz w:val="44"/>
          <w:szCs w:val="44"/>
          <w:highlight w:val="none"/>
          <w:lang w:val="en-US" w:eastAsia="zh-CN"/>
        </w:rPr>
        <w:t>二</w:t>
      </w:r>
      <w:r>
        <w:rPr>
          <w:rFonts w:hint="eastAsia" w:ascii="宋体" w:hAnsi="宋体" w:cs="宋体"/>
          <w:b/>
          <w:color w:val="auto"/>
          <w:kern w:val="44"/>
          <w:sz w:val="44"/>
          <w:szCs w:val="44"/>
          <w:highlight w:val="none"/>
        </w:rPr>
        <w:t xml:space="preserve">  </w:t>
      </w:r>
      <w:r>
        <w:rPr>
          <w:rFonts w:hint="eastAsia" w:ascii="宋体" w:hAnsi="宋体"/>
          <w:b/>
          <w:color w:val="auto"/>
          <w:kern w:val="44"/>
          <w:sz w:val="44"/>
          <w:szCs w:val="44"/>
          <w:highlight w:val="none"/>
        </w:rPr>
        <w:t>相关证明材料</w:t>
      </w:r>
    </w:p>
    <w:p>
      <w:pPr>
        <w:widowControl/>
        <w:snapToGrid w:val="0"/>
        <w:spacing w:line="480" w:lineRule="exact"/>
        <w:ind w:left="420" w:leftChars="200" w:firstLine="160" w:firstLineChars="50"/>
        <w:jc w:val="left"/>
        <w:rPr>
          <w:rFonts w:ascii="宋体" w:hAnsi="宋体"/>
          <w:color w:val="auto"/>
          <w:sz w:val="32"/>
          <w:szCs w:val="32"/>
          <w:highlight w:val="none"/>
        </w:rPr>
      </w:pPr>
    </w:p>
    <w:p>
      <w:pPr>
        <w:widowControl/>
        <w:tabs>
          <w:tab w:val="left" w:pos="1571"/>
        </w:tabs>
        <w:snapToGrid w:val="0"/>
        <w:spacing w:line="480" w:lineRule="exact"/>
        <w:ind w:firstLine="640" w:firstLineChars="200"/>
        <w:jc w:val="left"/>
        <w:rPr>
          <w:rFonts w:ascii="宋体" w:hAnsi="宋体"/>
          <w:color w:val="auto"/>
          <w:kern w:val="0"/>
          <w:sz w:val="32"/>
          <w:szCs w:val="32"/>
          <w:highlight w:val="none"/>
        </w:rPr>
      </w:pP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1、供应商结合项目要求和自身情况提供相关证明材料。</w:t>
      </w:r>
    </w:p>
    <w:p>
      <w:pPr>
        <w:spacing w:line="480" w:lineRule="exact"/>
        <w:ind w:firstLine="640" w:firstLineChars="200"/>
        <w:rPr>
          <w:rFonts w:ascii="宋体" w:hAnsi="宋体"/>
          <w:color w:val="auto"/>
          <w:sz w:val="32"/>
          <w:szCs w:val="32"/>
          <w:highlight w:val="none"/>
        </w:rPr>
      </w:pP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2、中小微企业相关材料（格式见附件）：</w:t>
      </w: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只面向中小微企业采购项目。中型、小型、微型企业须在“三　供应商基本情况和资格证明材料”处按要求提供《中小企业声明函》[若为货物类采购项目，其全部标的（产品）应均为中型、小型、微型企业生产，并在声明函中分别列明与“投标内容及报价明细表”中对应的每一标的（产品）及其生产制造商情况]，作为资格审查内容。</w:t>
      </w: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非专门面向中小微企业采购项目。小型、微型企业按要求提供《中小企业声明函》的[若为货物类采购项目，其全部标的（产品）应均为小型、微型企业生产，并在声明函中分别列明与“投标内容及报价明细表”中对应的每一标的（产品）及其生产制造商情况]，符合要求者在评标时给予价格扣除。</w:t>
      </w: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监狱企业、残疾人福利性单位提供符合要求的《监狱企业证明文件》或《残疾人福利性单位声明函》，视同小型、微型企业。多重身份者不重复计算。</w:t>
      </w:r>
    </w:p>
    <w:p>
      <w:pPr>
        <w:spacing w:before="120" w:beforeLines="50" w:after="120" w:afterLines="50"/>
        <w:ind w:firstLine="630" w:firstLineChars="196"/>
        <w:rPr>
          <w:rFonts w:ascii="宋体" w:hAnsi="宋体"/>
          <w:b/>
          <w:color w:val="auto"/>
          <w:kern w:val="44"/>
          <w:sz w:val="32"/>
          <w:szCs w:val="32"/>
          <w:highlight w:val="none"/>
        </w:rPr>
      </w:pPr>
      <w:r>
        <w:rPr>
          <w:rFonts w:hint="eastAsia"/>
          <w:b/>
          <w:color w:val="auto"/>
          <w:kern w:val="44"/>
          <w:sz w:val="32"/>
          <w:szCs w:val="32"/>
          <w:highlight w:val="none"/>
        </w:rPr>
        <w:br w:type="page"/>
      </w:r>
      <w:r>
        <w:rPr>
          <w:rFonts w:hint="eastAsia" w:ascii="宋体" w:hAnsi="宋体"/>
          <w:b/>
          <w:color w:val="auto"/>
          <w:kern w:val="44"/>
          <w:sz w:val="32"/>
          <w:szCs w:val="32"/>
          <w:highlight w:val="none"/>
        </w:rPr>
        <w:t>附件1</w:t>
      </w:r>
      <w:r>
        <w:rPr>
          <w:rFonts w:hint="eastAsia" w:ascii="宋体" w:hAnsi="宋体"/>
          <w:b/>
          <w:color w:val="auto"/>
          <w:sz w:val="28"/>
          <w:szCs w:val="28"/>
          <w:highlight w:val="none"/>
        </w:rPr>
        <w:t>（符合政策要求，并申请按小型微型企业投标者提供）</w:t>
      </w:r>
      <w:r>
        <w:rPr>
          <w:rFonts w:hint="eastAsia" w:ascii="宋体" w:hAnsi="宋体"/>
          <w:b/>
          <w:color w:val="auto"/>
          <w:kern w:val="44"/>
          <w:sz w:val="28"/>
          <w:szCs w:val="28"/>
          <w:highlight w:val="none"/>
        </w:rPr>
        <w:t>：</w:t>
      </w:r>
    </w:p>
    <w:p>
      <w:pPr>
        <w:pStyle w:val="6"/>
        <w:spacing w:after="340" w:line="360" w:lineRule="auto"/>
        <w:jc w:val="center"/>
        <w:rPr>
          <w:rFonts w:ascii="宋体" w:hAnsi="宋体"/>
          <w:bCs w:val="0"/>
          <w:color w:val="auto"/>
          <w:kern w:val="2"/>
          <w:sz w:val="36"/>
          <w:szCs w:val="36"/>
          <w:highlight w:val="none"/>
        </w:rPr>
      </w:pPr>
      <w:bookmarkStart w:id="778" w:name="_Toc16214"/>
      <w:bookmarkStart w:id="779" w:name="_Toc28255"/>
      <w:r>
        <w:rPr>
          <w:rFonts w:hint="eastAsia" w:ascii="宋体" w:hAnsi="宋体"/>
          <w:bCs w:val="0"/>
          <w:color w:val="auto"/>
          <w:kern w:val="2"/>
          <w:sz w:val="36"/>
          <w:szCs w:val="36"/>
          <w:highlight w:val="none"/>
        </w:rPr>
        <w:t>中小企业声明函（工程、服务）</w:t>
      </w:r>
      <w:bookmarkEnd w:id="778"/>
      <w:bookmarkEnd w:id="779"/>
    </w:p>
    <w:p>
      <w:pPr>
        <w:spacing w:before="120" w:beforeLines="50" w:after="120" w:afterLines="50" w:line="440" w:lineRule="exact"/>
        <w:ind w:firstLine="600" w:firstLineChars="200"/>
        <w:jc w:val="left"/>
        <w:rPr>
          <w:rFonts w:ascii="宋体" w:hAnsi="宋体"/>
          <w:color w:val="auto"/>
          <w:sz w:val="30"/>
          <w:szCs w:val="30"/>
          <w:highlight w:val="none"/>
        </w:rPr>
      </w:pPr>
      <w:r>
        <w:rPr>
          <w:rFonts w:hint="eastAsia" w:ascii="宋体" w:hAnsi="宋体"/>
          <w:color w:val="auto"/>
          <w:sz w:val="30"/>
          <w:szCs w:val="30"/>
          <w:highlight w:val="none"/>
        </w:rPr>
        <w:t>本公司（联合体）郑重声明，根据《政府采购促进中小企业发展管理办法》（财库﹝2020﹞46 号）的规定，本公司（联合体）参加</w:t>
      </w:r>
      <w:r>
        <w:rPr>
          <w:rFonts w:hint="eastAsia" w:ascii="宋体" w:hAnsi="宋体"/>
          <w:i/>
          <w:iCs/>
          <w:color w:val="auto"/>
          <w:sz w:val="30"/>
          <w:szCs w:val="30"/>
          <w:highlight w:val="none"/>
          <w:u w:val="single"/>
        </w:rPr>
        <w:t>（单位名称）</w:t>
      </w:r>
      <w:r>
        <w:rPr>
          <w:rFonts w:hint="eastAsia" w:ascii="宋体" w:hAnsi="宋体"/>
          <w:color w:val="auto"/>
          <w:sz w:val="30"/>
          <w:szCs w:val="30"/>
          <w:highlight w:val="none"/>
        </w:rPr>
        <w:t>的</w:t>
      </w:r>
      <w:r>
        <w:rPr>
          <w:rFonts w:hint="eastAsia" w:ascii="宋体" w:hAnsi="宋体"/>
          <w:i/>
          <w:iCs/>
          <w:color w:val="auto"/>
          <w:sz w:val="30"/>
          <w:szCs w:val="30"/>
          <w:highlight w:val="none"/>
          <w:u w:val="single"/>
        </w:rPr>
        <w:t>（项目名称）</w:t>
      </w:r>
      <w:r>
        <w:rPr>
          <w:rFonts w:hint="eastAsia" w:ascii="宋体" w:hAnsi="宋体"/>
          <w:color w:val="auto"/>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spacing w:before="120" w:beforeLines="50" w:after="120" w:afterLines="50" w:line="440" w:lineRule="exact"/>
        <w:ind w:firstLine="900" w:firstLineChars="300"/>
        <w:jc w:val="left"/>
        <w:rPr>
          <w:rFonts w:ascii="宋体" w:hAnsi="宋体"/>
          <w:color w:val="auto"/>
          <w:sz w:val="30"/>
          <w:szCs w:val="30"/>
          <w:highlight w:val="none"/>
        </w:rPr>
      </w:pPr>
      <w:r>
        <w:rPr>
          <w:rFonts w:hint="eastAsia" w:ascii="宋体" w:hAnsi="宋体"/>
          <w:i/>
          <w:iCs/>
          <w:color w:val="auto"/>
          <w:sz w:val="30"/>
          <w:szCs w:val="30"/>
          <w:highlight w:val="none"/>
          <w:u w:val="single"/>
        </w:rPr>
        <w:t xml:space="preserve">    （标的名称）</w:t>
      </w:r>
      <w:r>
        <w:rPr>
          <w:rFonts w:hint="eastAsia" w:ascii="宋体" w:hAnsi="宋体"/>
          <w:color w:val="auto"/>
          <w:sz w:val="30"/>
          <w:szCs w:val="30"/>
          <w:highlight w:val="none"/>
        </w:rPr>
        <w:t>，</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w:t>
      </w:r>
      <w:r>
        <w:rPr>
          <w:rFonts w:hint="eastAsia" w:ascii="宋体" w:hAnsi="宋体"/>
          <w:color w:val="auto"/>
          <w:sz w:val="30"/>
          <w:szCs w:val="30"/>
          <w:highlight w:val="none"/>
        </w:rPr>
        <w:t>；承建（承接）企业为</w:t>
      </w:r>
      <w:r>
        <w:rPr>
          <w:rFonts w:hint="eastAsia" w:ascii="宋体" w:hAnsi="宋体"/>
          <w:i/>
          <w:iCs/>
          <w:color w:val="auto"/>
          <w:sz w:val="30"/>
          <w:szCs w:val="30"/>
          <w:highlight w:val="none"/>
          <w:u w:val="single"/>
        </w:rPr>
        <w:t>（企业名称）</w:t>
      </w:r>
      <w:r>
        <w:rPr>
          <w:rFonts w:hint="eastAsia" w:ascii="宋体" w:hAnsi="宋体"/>
          <w:color w:val="auto"/>
          <w:sz w:val="30"/>
          <w:szCs w:val="30"/>
          <w:highlight w:val="none"/>
        </w:rPr>
        <w:t>，从业人员</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rPr>
        <w:tab/>
      </w:r>
      <w:r>
        <w:rPr>
          <w:rFonts w:hint="eastAsia" w:ascii="宋体" w:hAnsi="宋体"/>
          <w:color w:val="auto"/>
          <w:sz w:val="30"/>
          <w:szCs w:val="30"/>
          <w:highlight w:val="none"/>
        </w:rPr>
        <w:t>人，营业收入为</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rPr>
        <w:tab/>
      </w:r>
      <w:r>
        <w:rPr>
          <w:rFonts w:hint="eastAsia" w:ascii="宋体" w:hAnsi="宋体"/>
          <w:color w:val="auto"/>
          <w:sz w:val="30"/>
          <w:szCs w:val="30"/>
          <w:highlight w:val="none"/>
        </w:rPr>
        <w:t>万元，资产总额为</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rPr>
        <w:tab/>
      </w:r>
      <w:r>
        <w:rPr>
          <w:rFonts w:hint="eastAsia" w:ascii="宋体" w:hAnsi="宋体"/>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color w:val="auto"/>
          <w:sz w:val="30"/>
          <w:szCs w:val="30"/>
          <w:highlight w:val="none"/>
        </w:rPr>
        <w:t>；</w:t>
      </w:r>
    </w:p>
    <w:p>
      <w:pPr>
        <w:spacing w:before="120" w:beforeLines="50" w:after="120" w:afterLines="50" w:line="440" w:lineRule="exact"/>
        <w:ind w:firstLine="600" w:firstLineChars="200"/>
        <w:jc w:val="left"/>
        <w:rPr>
          <w:rFonts w:ascii="宋体" w:hAnsi="宋体"/>
          <w:color w:val="auto"/>
          <w:sz w:val="30"/>
          <w:szCs w:val="30"/>
          <w:highlight w:val="none"/>
        </w:rPr>
      </w:pPr>
    </w:p>
    <w:p>
      <w:pPr>
        <w:spacing w:before="120" w:beforeLines="50" w:after="120" w:afterLines="50" w:line="440" w:lineRule="exact"/>
        <w:ind w:firstLine="600" w:firstLineChars="200"/>
        <w:jc w:val="left"/>
        <w:rPr>
          <w:rFonts w:ascii="宋体" w:hAnsi="宋体"/>
          <w:color w:val="auto"/>
          <w:sz w:val="30"/>
          <w:szCs w:val="30"/>
          <w:highlight w:val="none"/>
        </w:rPr>
      </w:pPr>
      <w:r>
        <w:rPr>
          <w:rFonts w:hint="eastAsia" w:ascii="宋体" w:hAnsi="宋体"/>
          <w:color w:val="auto"/>
          <w:sz w:val="30"/>
          <w:szCs w:val="30"/>
          <w:highlight w:val="none"/>
        </w:rPr>
        <w:t>以上企业，不属于大企业的分支机构，不存在控股股东为大企业的情形，也不存在与大企业的负责人为同一人的情形。</w:t>
      </w:r>
    </w:p>
    <w:p>
      <w:pPr>
        <w:spacing w:before="120" w:beforeLines="50" w:after="120" w:afterLines="50" w:line="440" w:lineRule="exact"/>
        <w:ind w:firstLine="600" w:firstLineChars="200"/>
        <w:jc w:val="left"/>
        <w:rPr>
          <w:rFonts w:ascii="宋体" w:hAnsi="宋体"/>
          <w:color w:val="auto"/>
          <w:sz w:val="30"/>
          <w:szCs w:val="30"/>
          <w:highlight w:val="none"/>
        </w:rPr>
      </w:pPr>
      <w:r>
        <w:rPr>
          <w:rFonts w:hint="eastAsia" w:ascii="宋体" w:hAnsi="宋体"/>
          <w:color w:val="auto"/>
          <w:sz w:val="30"/>
          <w:szCs w:val="30"/>
          <w:highlight w:val="none"/>
        </w:rPr>
        <w:t>本企业对上述声明内容的真实性负责。如有虚假，将依法承担相应责任。</w:t>
      </w:r>
    </w:p>
    <w:p>
      <w:pPr>
        <w:spacing w:before="120" w:beforeLines="50" w:after="120" w:afterLines="50" w:line="440" w:lineRule="exact"/>
        <w:ind w:right="968" w:rightChars="461" w:firstLine="600" w:firstLineChars="200"/>
        <w:jc w:val="right"/>
        <w:rPr>
          <w:rFonts w:ascii="宋体" w:hAnsi="宋体"/>
          <w:color w:val="auto"/>
          <w:sz w:val="30"/>
          <w:szCs w:val="30"/>
          <w:highlight w:val="none"/>
        </w:rPr>
      </w:pPr>
      <w:r>
        <w:rPr>
          <w:rFonts w:hint="eastAsia" w:ascii="宋体" w:hAnsi="宋体"/>
          <w:color w:val="auto"/>
          <w:sz w:val="30"/>
          <w:szCs w:val="30"/>
          <w:highlight w:val="none"/>
        </w:rPr>
        <w:t>企业名称（盖章）：</w:t>
      </w:r>
    </w:p>
    <w:p>
      <w:pPr>
        <w:spacing w:before="120" w:beforeLines="50" w:after="120" w:afterLines="50" w:line="440" w:lineRule="exact"/>
        <w:ind w:right="968" w:rightChars="461" w:firstLine="600" w:firstLineChars="200"/>
        <w:jc w:val="center"/>
        <w:rPr>
          <w:rFonts w:ascii="宋体" w:hAnsi="宋体"/>
          <w:color w:val="auto"/>
          <w:sz w:val="30"/>
          <w:szCs w:val="30"/>
          <w:highlight w:val="none"/>
        </w:rPr>
      </w:pPr>
      <w:r>
        <w:rPr>
          <w:rFonts w:hint="eastAsia" w:ascii="宋体" w:hAnsi="宋体"/>
          <w:color w:val="auto"/>
          <w:sz w:val="30"/>
          <w:szCs w:val="30"/>
          <w:highlight w:val="none"/>
        </w:rPr>
        <w:t xml:space="preserve">                   日期：</w:t>
      </w:r>
    </w:p>
    <w:p>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注：1、本采购标的对应的中小企业划分标准所属行业为</w:t>
      </w:r>
      <w:r>
        <w:rPr>
          <w:rFonts w:hint="eastAsia" w:ascii="宋体" w:hAnsi="宋体"/>
          <w:b/>
          <w:color w:val="auto"/>
          <w:sz w:val="24"/>
          <w:highlight w:val="none"/>
          <w:u w:val="single"/>
        </w:rPr>
        <w:t>：物业管理</w:t>
      </w:r>
      <w:r>
        <w:rPr>
          <w:rFonts w:hint="eastAsia" w:ascii="宋体" w:hAnsi="宋体"/>
          <w:b/>
          <w:color w:val="auto"/>
          <w:sz w:val="24"/>
          <w:highlight w:val="none"/>
        </w:rPr>
        <w:t>行业。供应商应按该行业，对照《中小企业划型标准规定》判定标的承接企业是否属于中小微企业。在本声明函中写明标的及承接企业情况。</w:t>
      </w:r>
    </w:p>
    <w:p>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2、从业人员、营业收入、资产总额填报上一年度数据，无上一年度数据的新成立企业可不填报。</w:t>
      </w:r>
    </w:p>
    <w:p>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3、中标人的本声明函随中标结果同时公布，接受其他供应商和社会监督。</w:t>
      </w:r>
    </w:p>
    <w:p>
      <w:pPr>
        <w:spacing w:before="120" w:beforeLines="50" w:after="120" w:afterLines="50" w:line="400" w:lineRule="exact"/>
        <w:ind w:right="-92" w:rightChars="-44"/>
        <w:rPr>
          <w:rFonts w:ascii="宋体" w:hAnsi="宋体"/>
          <w:b/>
          <w:color w:val="auto"/>
          <w:sz w:val="24"/>
          <w:highlight w:val="none"/>
        </w:rPr>
        <w:sectPr>
          <w:footerReference r:id="rId10" w:type="default"/>
          <w:pgSz w:w="11910" w:h="16840"/>
          <w:pgMar w:top="1500" w:right="1380" w:bottom="1780" w:left="1580" w:header="0" w:footer="1595" w:gutter="0"/>
          <w:cols w:space="720" w:num="1"/>
        </w:sectPr>
      </w:pPr>
    </w:p>
    <w:p>
      <w:pPr>
        <w:rPr>
          <w:rFonts w:ascii="宋体" w:hAnsi="宋体"/>
          <w:b/>
          <w:color w:val="auto"/>
          <w:kern w:val="44"/>
          <w:sz w:val="32"/>
          <w:szCs w:val="32"/>
          <w:highlight w:val="none"/>
        </w:rPr>
      </w:pPr>
      <w:r>
        <w:rPr>
          <w:rFonts w:hint="eastAsia" w:ascii="宋体" w:hAnsi="宋体"/>
          <w:b/>
          <w:color w:val="auto"/>
          <w:kern w:val="44"/>
          <w:sz w:val="32"/>
          <w:szCs w:val="32"/>
          <w:highlight w:val="none"/>
        </w:rPr>
        <w:t>附件2</w:t>
      </w:r>
      <w:r>
        <w:rPr>
          <w:rFonts w:hint="eastAsia" w:ascii="宋体" w:hAnsi="宋体"/>
          <w:b/>
          <w:color w:val="auto"/>
          <w:sz w:val="28"/>
          <w:szCs w:val="28"/>
          <w:highlight w:val="none"/>
        </w:rPr>
        <w:t>（符合政策要求，并申请按残疾人福利性单位投标者提供）</w:t>
      </w:r>
      <w:r>
        <w:rPr>
          <w:rFonts w:hint="eastAsia" w:ascii="宋体" w:hAnsi="宋体"/>
          <w:b/>
          <w:color w:val="auto"/>
          <w:kern w:val="44"/>
          <w:sz w:val="28"/>
          <w:szCs w:val="28"/>
          <w:highlight w:val="none"/>
        </w:rPr>
        <w:t>：</w:t>
      </w:r>
    </w:p>
    <w:p>
      <w:pPr>
        <w:spacing w:line="588" w:lineRule="exact"/>
        <w:rPr>
          <w:rFonts w:ascii="宋体" w:hAnsi="宋体"/>
          <w:color w:val="auto"/>
          <w:spacing w:val="6"/>
          <w:sz w:val="30"/>
          <w:szCs w:val="30"/>
          <w:highlight w:val="none"/>
        </w:rPr>
      </w:pPr>
    </w:p>
    <w:p>
      <w:pPr>
        <w:spacing w:line="588" w:lineRule="exact"/>
        <w:jc w:val="center"/>
        <w:rPr>
          <w:rFonts w:ascii="宋体" w:hAnsi="宋体"/>
          <w:b/>
          <w:color w:val="auto"/>
          <w:spacing w:val="6"/>
          <w:sz w:val="32"/>
          <w:szCs w:val="32"/>
          <w:highlight w:val="none"/>
        </w:rPr>
      </w:pPr>
      <w:bookmarkStart w:id="780" w:name="OLE_LINK14"/>
      <w:bookmarkStart w:id="781" w:name="OLE_LINK13"/>
      <w:r>
        <w:rPr>
          <w:rFonts w:hint="eastAsia" w:ascii="宋体" w:hAnsi="宋体"/>
          <w:b/>
          <w:color w:val="auto"/>
          <w:spacing w:val="6"/>
          <w:sz w:val="32"/>
          <w:szCs w:val="32"/>
          <w:highlight w:val="none"/>
        </w:rPr>
        <w:t>残疾人福利性单位声明函</w:t>
      </w:r>
      <w:bookmarkEnd w:id="780"/>
      <w:bookmarkEnd w:id="781"/>
    </w:p>
    <w:p>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本单位郑重声明，根据《财政部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民政部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中国残疾人联合会关于促进残疾人就业政府采购政策的通知》（财库</w:t>
      </w:r>
      <w:r>
        <w:rPr>
          <w:rFonts w:hint="eastAsia" w:ascii="宋体" w:hAnsi="宋体"/>
          <w:color w:val="auto"/>
          <w:sz w:val="32"/>
          <w:szCs w:val="32"/>
          <w:highlight w:val="none"/>
        </w:rPr>
        <w:t>〔</w:t>
      </w:r>
      <w:r>
        <w:rPr>
          <w:rFonts w:ascii="宋体" w:hAnsi="宋体"/>
          <w:color w:val="auto"/>
          <w:sz w:val="32"/>
          <w:szCs w:val="32"/>
          <w:highlight w:val="none"/>
        </w:rPr>
        <w:t>2017</w:t>
      </w:r>
      <w:r>
        <w:rPr>
          <w:rFonts w:hint="eastAsia" w:ascii="宋体" w:hAnsi="宋体"/>
          <w:color w:val="auto"/>
          <w:sz w:val="32"/>
          <w:szCs w:val="32"/>
          <w:highlight w:val="none"/>
        </w:rPr>
        <w:t>〕</w:t>
      </w:r>
      <w:r>
        <w:rPr>
          <w:rFonts w:ascii="宋体" w:hAnsi="宋体"/>
          <w:color w:val="auto"/>
          <w:sz w:val="32"/>
          <w:szCs w:val="32"/>
          <w:highlight w:val="none"/>
        </w:rPr>
        <w:t xml:space="preserve"> 141</w:t>
      </w:r>
      <w:r>
        <w:rPr>
          <w:rFonts w:hint="eastAsia" w:ascii="宋体" w:hAnsi="宋体"/>
          <w:color w:val="auto"/>
          <w:spacing w:val="6"/>
          <w:sz w:val="30"/>
          <w:szCs w:val="30"/>
          <w:highlight w:val="none"/>
        </w:rPr>
        <w:t>号）的规定，本单位为符合条件的残疾人福利性单位，且本单位参加</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单位的</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项目采购活动提供本单位制造的货物（由本单位承担工程</w:t>
      </w:r>
      <w:r>
        <w:rPr>
          <w:rFonts w:ascii="宋体" w:hAnsi="宋体"/>
          <w:color w:val="auto"/>
          <w:spacing w:val="6"/>
          <w:sz w:val="30"/>
          <w:szCs w:val="30"/>
          <w:highlight w:val="none"/>
        </w:rPr>
        <w:t>/</w:t>
      </w:r>
      <w:r>
        <w:rPr>
          <w:rFonts w:hint="eastAsia" w:ascii="宋体" w:hAnsi="宋体"/>
          <w:color w:val="auto"/>
          <w:spacing w:val="6"/>
          <w:sz w:val="30"/>
          <w:szCs w:val="30"/>
          <w:highlight w:val="none"/>
        </w:rPr>
        <w:t>提供服务），或者提供其他残疾人福利性单位制造的货物（不包括使用非残疾人福利性单位注册商标的货物）。</w:t>
      </w:r>
    </w:p>
    <w:p>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本单位对上述声明的真实性负责。如有虚假，将依法承担相应责任。</w:t>
      </w:r>
    </w:p>
    <w:p>
      <w:pPr>
        <w:tabs>
          <w:tab w:val="left" w:pos="4860"/>
        </w:tabs>
        <w:spacing w:line="588" w:lineRule="exact"/>
        <w:ind w:right="1560" w:firstLine="3432" w:firstLineChars="1100"/>
        <w:rPr>
          <w:rFonts w:ascii="宋体" w:hAnsi="宋体"/>
          <w:color w:val="auto"/>
          <w:spacing w:val="6"/>
          <w:sz w:val="30"/>
          <w:szCs w:val="30"/>
          <w:highlight w:val="none"/>
        </w:rPr>
      </w:pPr>
    </w:p>
    <w:p>
      <w:pPr>
        <w:tabs>
          <w:tab w:val="left" w:pos="4860"/>
        </w:tabs>
        <w:spacing w:line="588" w:lineRule="exact"/>
        <w:ind w:right="1560" w:firstLine="3432" w:firstLineChars="1100"/>
        <w:rPr>
          <w:rFonts w:ascii="宋体" w:hAnsi="宋体"/>
          <w:color w:val="auto"/>
          <w:spacing w:val="6"/>
          <w:sz w:val="30"/>
          <w:szCs w:val="30"/>
          <w:highlight w:val="none"/>
        </w:rPr>
      </w:pPr>
    </w:p>
    <w:p>
      <w:pPr>
        <w:tabs>
          <w:tab w:val="left" w:pos="4860"/>
        </w:tabs>
        <w:spacing w:line="588" w:lineRule="exact"/>
        <w:ind w:right="1560" w:firstLine="3432" w:firstLineChars="1100"/>
        <w:rPr>
          <w:rFonts w:ascii="宋体" w:hAnsi="宋体"/>
          <w:color w:val="auto"/>
          <w:spacing w:val="6"/>
          <w:sz w:val="30"/>
          <w:szCs w:val="30"/>
          <w:highlight w:val="none"/>
        </w:rPr>
      </w:pPr>
      <w:r>
        <w:rPr>
          <w:rFonts w:hint="eastAsia" w:ascii="宋体" w:hAnsi="宋体"/>
          <w:color w:val="auto"/>
          <w:spacing w:val="6"/>
          <w:sz w:val="30"/>
          <w:szCs w:val="30"/>
          <w:highlight w:val="none"/>
        </w:rPr>
        <w:t>单位名称（盖章）：</w:t>
      </w:r>
    </w:p>
    <w:p>
      <w:pPr>
        <w:tabs>
          <w:tab w:val="left" w:pos="4860"/>
        </w:tabs>
        <w:spacing w:line="588" w:lineRule="exact"/>
        <w:ind w:right="1560" w:firstLine="4680" w:firstLineChars="1500"/>
        <w:rPr>
          <w:rFonts w:ascii="宋体" w:hAnsi="宋体"/>
          <w:color w:val="auto"/>
          <w:spacing w:val="6"/>
          <w:sz w:val="30"/>
          <w:szCs w:val="30"/>
          <w:highlight w:val="none"/>
        </w:rPr>
      </w:pPr>
      <w:r>
        <w:rPr>
          <w:rFonts w:hint="eastAsia" w:ascii="宋体" w:hAnsi="宋体"/>
          <w:color w:val="auto"/>
          <w:spacing w:val="6"/>
          <w:sz w:val="30"/>
          <w:szCs w:val="30"/>
          <w:highlight w:val="none"/>
        </w:rPr>
        <w:t>日</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期：</w:t>
      </w:r>
    </w:p>
    <w:p>
      <w:pPr>
        <w:spacing w:line="440" w:lineRule="exact"/>
        <w:ind w:firstLine="506" w:firstLineChars="200"/>
        <w:rPr>
          <w:rFonts w:ascii="宋体" w:hAnsi="宋体"/>
          <w:b/>
          <w:bCs/>
          <w:color w:val="auto"/>
          <w:spacing w:val="6"/>
          <w:sz w:val="24"/>
          <w:highlight w:val="none"/>
        </w:rPr>
      </w:pPr>
    </w:p>
    <w:p>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pPr>
        <w:rPr>
          <w:rFonts w:ascii="宋体" w:hAnsi="宋体"/>
          <w:b/>
          <w:color w:val="auto"/>
          <w:kern w:val="44"/>
          <w:sz w:val="32"/>
          <w:szCs w:val="32"/>
          <w:highlight w:val="none"/>
        </w:rPr>
      </w:pPr>
      <w:r>
        <w:rPr>
          <w:rFonts w:ascii="宋体" w:hAnsi="宋体"/>
          <w:color w:val="auto"/>
          <w:highlight w:val="none"/>
        </w:rPr>
        <w:br w:type="page"/>
      </w:r>
      <w:r>
        <w:rPr>
          <w:rFonts w:hint="eastAsia" w:ascii="宋体" w:hAnsi="宋体"/>
          <w:b/>
          <w:color w:val="auto"/>
          <w:kern w:val="44"/>
          <w:sz w:val="32"/>
          <w:szCs w:val="32"/>
          <w:highlight w:val="none"/>
        </w:rPr>
        <w:t>附件3</w:t>
      </w:r>
      <w:r>
        <w:rPr>
          <w:rFonts w:hint="eastAsia" w:ascii="宋体" w:hAnsi="宋体"/>
          <w:b/>
          <w:color w:val="auto"/>
          <w:sz w:val="28"/>
          <w:szCs w:val="28"/>
          <w:highlight w:val="none"/>
        </w:rPr>
        <w:t>（符合政策要求，并申请按监狱企业投标者提供）</w:t>
      </w:r>
      <w:r>
        <w:rPr>
          <w:rFonts w:hint="eastAsia" w:ascii="宋体" w:hAnsi="宋体"/>
          <w:b/>
          <w:color w:val="auto"/>
          <w:kern w:val="44"/>
          <w:sz w:val="28"/>
          <w:szCs w:val="28"/>
          <w:highlight w:val="none"/>
        </w:rPr>
        <w:t>：</w:t>
      </w:r>
    </w:p>
    <w:p>
      <w:pPr>
        <w:spacing w:line="588" w:lineRule="exact"/>
        <w:rPr>
          <w:rFonts w:ascii="宋体" w:hAnsi="宋体"/>
          <w:color w:val="auto"/>
          <w:spacing w:val="6"/>
          <w:sz w:val="30"/>
          <w:szCs w:val="30"/>
          <w:highlight w:val="none"/>
        </w:rPr>
      </w:pPr>
    </w:p>
    <w:p>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监狱企业证明</w:t>
      </w:r>
    </w:p>
    <w:p>
      <w:pPr>
        <w:spacing w:line="340" w:lineRule="exact"/>
        <w:ind w:firstLine="560" w:firstLineChars="200"/>
        <w:rPr>
          <w:rFonts w:ascii="宋体" w:hAnsi="宋体"/>
          <w:color w:val="auto"/>
          <w:sz w:val="28"/>
          <w:szCs w:val="28"/>
          <w:highlight w:val="none"/>
        </w:rPr>
      </w:pPr>
    </w:p>
    <w:p>
      <w:pPr>
        <w:spacing w:line="340" w:lineRule="exact"/>
        <w:ind w:firstLine="560" w:firstLineChars="200"/>
        <w:rPr>
          <w:rFonts w:ascii="宋体" w:hAnsi="宋体"/>
          <w:color w:val="auto"/>
          <w:sz w:val="28"/>
          <w:szCs w:val="28"/>
          <w:highlight w:val="none"/>
        </w:rPr>
      </w:pPr>
    </w:p>
    <w:p>
      <w:pPr>
        <w:spacing w:line="340" w:lineRule="exact"/>
        <w:ind w:firstLine="560" w:firstLineChars="200"/>
        <w:rPr>
          <w:rFonts w:ascii="宋体" w:hAnsi="宋体"/>
          <w:color w:val="auto"/>
          <w:sz w:val="28"/>
          <w:szCs w:val="28"/>
          <w:highlight w:val="none"/>
        </w:rPr>
      </w:pPr>
    </w:p>
    <w:p>
      <w:pPr>
        <w:spacing w:line="340" w:lineRule="exact"/>
        <w:ind w:firstLine="560" w:firstLineChars="200"/>
        <w:rPr>
          <w:rFonts w:ascii="宋体" w:hAnsi="宋体"/>
          <w:color w:val="auto"/>
          <w:sz w:val="28"/>
          <w:szCs w:val="28"/>
          <w:highlight w:val="none"/>
        </w:rPr>
      </w:pPr>
    </w:p>
    <w:p>
      <w:pPr>
        <w:spacing w:line="340" w:lineRule="exact"/>
        <w:ind w:firstLine="580" w:firstLineChars="200"/>
        <w:rPr>
          <w:rFonts w:ascii="宋体" w:hAnsi="宋体"/>
          <w:color w:val="auto"/>
          <w:sz w:val="28"/>
          <w:szCs w:val="28"/>
          <w:highlight w:val="none"/>
        </w:rPr>
      </w:pPr>
      <w:r>
        <w:rPr>
          <w:rFonts w:hint="eastAsia" w:ascii="宋体" w:hAnsi="宋体"/>
          <w:color w:val="auto"/>
          <w:sz w:val="29"/>
          <w:szCs w:val="29"/>
          <w:highlight w:val="none"/>
        </w:rPr>
        <w:t>提供由省级以上监狱管理局、戒毒管理局（含新疆生产建设兵团）出具的属于监狱企业的证明文件。</w:t>
      </w: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autoSpaceDE w:val="0"/>
        <w:autoSpaceDN w:val="0"/>
        <w:adjustRightInd w:val="0"/>
        <w:ind w:firstLine="482" w:firstLineChars="200"/>
        <w:jc w:val="left"/>
        <w:rPr>
          <w:rFonts w:ascii="宋体" w:hAnsi="宋体" w:cs="仿宋_GB2312"/>
          <w:color w:val="auto"/>
          <w:sz w:val="32"/>
          <w:szCs w:val="32"/>
          <w:highlight w:val="none"/>
        </w:rPr>
      </w:pPr>
      <w:r>
        <w:rPr>
          <w:rFonts w:hint="eastAsia" w:ascii="宋体" w:hAnsi="宋体"/>
          <w:b/>
          <w:color w:val="auto"/>
          <w:sz w:val="24"/>
          <w:highlight w:val="none"/>
        </w:rPr>
        <w:t>注：中标人的本证明文件随中标结果同时公布，接受其他供应商和社会监督。</w:t>
      </w:r>
    </w:p>
    <w:p>
      <w:pPr>
        <w:widowControl/>
        <w:spacing w:line="400" w:lineRule="exact"/>
        <w:jc w:val="left"/>
        <w:rPr>
          <w:rFonts w:ascii="宋体" w:hAnsi="宋体" w:cs="宋体"/>
          <w:bCs/>
          <w:color w:val="auto"/>
          <w:kern w:val="0"/>
          <w:sz w:val="32"/>
          <w:szCs w:val="32"/>
          <w:highlight w:val="none"/>
        </w:rPr>
      </w:pPr>
    </w:p>
    <w:p>
      <w:pPr>
        <w:widowControl/>
        <w:jc w:val="left"/>
        <w:rPr>
          <w:rFonts w:ascii="仿宋_GB2312" w:eastAsia="仿宋_GB2312"/>
          <w:color w:val="auto"/>
          <w:sz w:val="32"/>
          <w:szCs w:val="32"/>
          <w:highlight w:val="none"/>
        </w:rPr>
      </w:pPr>
    </w:p>
    <w:sectPr>
      <w:footerReference r:id="rId11" w:type="default"/>
      <w:pgSz w:w="11906" w:h="16838"/>
      <w:pgMar w:top="1440" w:right="1800" w:bottom="1869"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小标宋_GBK">
    <w:altName w:val="Arial Unicode MS"/>
    <w:panose1 w:val="02000000000000000000"/>
    <w:charset w:val="86"/>
    <w:family w:val="auto"/>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hs_boot">
    <w:altName w:val="宋体"/>
    <w:panose1 w:val="00000000000000000000"/>
    <w:charset w:val="00"/>
    <w:family w:val="swiss"/>
    <w:pitch w:val="default"/>
    <w:sig w:usb0="00000000" w:usb1="00000000" w:usb2="00000016" w:usb3="00000000" w:csb0="001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rPr>
        <w:rFonts w:hint="eastAsia"/>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4292184"/>
    </w:sdtPr>
    <w:sdtContent>
      <w:p>
        <w:pPr>
          <w:pStyle w:val="21"/>
          <w:jc w:val="center"/>
        </w:pPr>
        <w:r>
          <w:fldChar w:fldCharType="begin"/>
        </w:r>
        <w:r>
          <w:instrText xml:space="preserve">PAGE   \* MERGEFORMAT</w:instrText>
        </w:r>
        <w:r>
          <w:fldChar w:fldCharType="separate"/>
        </w:r>
        <w:r>
          <w:rPr>
            <w:lang w:val="zh-CN"/>
          </w:rPr>
          <w:t>2</w:t>
        </w:r>
        <w:r>
          <w:fldChar w:fldCharType="end"/>
        </w:r>
      </w:p>
    </w:sdtContent>
  </w:sdt>
  <w:p>
    <w:pPr>
      <w:pStyle w:val="2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58802951"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pPr>
                            <w:pStyle w:val="21"/>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13"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4vdRNAAAAACAQAADwAAAAAAAAABACAAAAAi&#10;AAAAZHJzL2Rvd25yZXYueG1sUEsBAhQAFAAAAAgAh07iQJE1aD4SAgAACgQAAA4AAAAAAAAAAQAg&#10;AAAAHwEAAGRycy9lMm9Eb2MueG1sUEsFBgAAAAAGAAYAWQEAAKMFAAAAAA==&#10;">
              <v:fill on="f" focussize="0,0"/>
              <v:stroke on="f"/>
              <v:imagedata o:title=""/>
              <o:lock v:ext="edit" aspectratio="f"/>
              <v:textbox inset="0mm,0mm,0mm,0mm" style="mso-fit-shape-to-text:t;">
                <w:txbxContent>
                  <w:p>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90507527"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21"/>
                          </w:pPr>
                          <w:r>
                            <w:fldChar w:fldCharType="begin"/>
                          </w:r>
                          <w:r>
                            <w:instrText xml:space="preserve"> PAGE  \* MERGEFORMAT </w:instrText>
                          </w:r>
                          <w:r>
                            <w:fldChar w:fldCharType="separate"/>
                          </w:r>
                          <w:r>
                            <w:t>9</w:t>
                          </w:r>
                          <w:r>
                            <w:fldChar w:fldCharType="end"/>
                          </w:r>
                        </w:p>
                      </w:txbxContent>
                    </wps:txbx>
                    <wps:bodyPr rot="0" vert="horz" wrap="none" lIns="0" tIns="0" rIns="0" bIns="0" anchor="t" anchorCtr="0" upright="1">
                      <a:spAutoFit/>
                    </wps:bodyPr>
                  </wps:wsp>
                </a:graphicData>
              </a:graphic>
            </wp:anchor>
          </w:drawing>
        </mc:Choice>
        <mc:Fallback>
          <w:pict>
            <v:shape id="文本框 15"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V+SdAAAAADAQAADwAAAAAAAAABACAAAAAi&#10;AAAAZHJzL2Rvd25yZXYueG1sUEsBAhQAFAAAAAgAh07iQKclsQgSAgAACwQAAA4AAAAAAAAAAQAg&#10;AAAAHwEAAGRycy9lMm9Eb2MueG1sUEsFBgAAAAAGAAYAWQEAAKMFAAAAAA==&#10;">
              <v:fill on="f" focussize="0,0"/>
              <v:stroke on="f"/>
              <v:imagedata o:title=""/>
              <o:lock v:ext="edit" aspectratio="f"/>
              <v:textbox inset="0mm,0mm,0mm,0mm" style="mso-fit-shape-to-text:t;">
                <w:txbxContent>
                  <w:p>
                    <w:pPr>
                      <w:pStyle w:val="21"/>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2050397720"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21"/>
                          </w:pPr>
                          <w:r>
                            <w:fldChar w:fldCharType="begin"/>
                          </w:r>
                          <w:r>
                            <w:instrText xml:space="preserve"> PAGE  \* MERGEFORMAT </w:instrText>
                          </w:r>
                          <w:r>
                            <w:fldChar w:fldCharType="separate"/>
                          </w:r>
                          <w:r>
                            <w:t>65</w:t>
                          </w:r>
                          <w:r>
                            <w:fldChar w:fldCharType="end"/>
                          </w:r>
                        </w:p>
                      </w:txbxContent>
                    </wps:txbx>
                    <wps:bodyPr rot="0" vert="horz" wrap="none" lIns="0" tIns="0" rIns="0" bIns="0" anchor="t" anchorCtr="0" upright="1">
                      <a:spAutoFit/>
                    </wps:bodyPr>
                  </wps:wsp>
                </a:graphicData>
              </a:graphic>
            </wp:anchor>
          </w:drawing>
        </mc:Choice>
        <mc:Fallback>
          <w:pict>
            <v:shape id="文本框 1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PlfknQAAAAAwEAAA8AAAAAAAAAAQAgAAAA&#10;IgAAAGRycy9kb3ducmV2LnhtbFBLAQIUABQAAAAIAIdO4kBEpsO7EwIAAAwEAAAOAAAAAAAAAAEA&#10;IAAAAB8BAABkcnMvZTJvRG9jLnhtbFBLBQYAAAAABgAGAFkBAACkBQAAAAA=&#10;">
              <v:fill on="f" focussize="0,0"/>
              <v:stroke on="f"/>
              <v:imagedata o:title=""/>
              <o:lock v:ext="edit" aspectratio="f"/>
              <v:textbox inset="0mm,0mm,0mm,0mm" style="mso-fit-shape-to-text:t;">
                <w:txbxContent>
                  <w:p>
                    <w:pPr>
                      <w:pStyle w:val="21"/>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ascii="仿宋_GB2312" w:eastAsia="仿宋_GB2312"/>
      </w:rPr>
    </w:pPr>
    <w:r>
      <w:rPr>
        <w:rFonts w:hint="eastAsia" w:ascii="仿宋_GB2312" w:eastAsia="仿宋_GB2312"/>
      </w:rPr>
      <w:t>开封市政府采购中心政府采购招标文件</w:t>
    </w:r>
  </w:p>
  <w:p>
    <w:pPr>
      <w:pStyle w:val="2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993D3DE8"/>
    <w:multiLevelType w:val="singleLevel"/>
    <w:tmpl w:val="993D3DE8"/>
    <w:lvl w:ilvl="0" w:tentative="0">
      <w:start w:val="1"/>
      <w:numFmt w:val="decimal"/>
      <w:suff w:val="nothing"/>
      <w:lvlText w:val="%1、"/>
      <w:lvlJc w:val="left"/>
    </w:lvl>
  </w:abstractNum>
  <w:abstractNum w:abstractNumId="3">
    <w:nsid w:val="ADC82848"/>
    <w:multiLevelType w:val="singleLevel"/>
    <w:tmpl w:val="ADC82848"/>
    <w:lvl w:ilvl="0" w:tentative="0">
      <w:start w:val="5"/>
      <w:numFmt w:val="decimal"/>
      <w:suff w:val="nothing"/>
      <w:lvlText w:val="%1、"/>
      <w:lvlJc w:val="left"/>
    </w:lvl>
  </w:abstractNum>
  <w:abstractNum w:abstractNumId="4">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5">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6">
    <w:nsid w:val="DF9259D5"/>
    <w:multiLevelType w:val="singleLevel"/>
    <w:tmpl w:val="DF9259D5"/>
    <w:lvl w:ilvl="0" w:tentative="0">
      <w:start w:val="1"/>
      <w:numFmt w:val="decimalEnclosedCircleChinese"/>
      <w:suff w:val="nothing"/>
      <w:lvlText w:val="%1　"/>
      <w:lvlJc w:val="left"/>
      <w:pPr>
        <w:ind w:left="0" w:firstLine="400"/>
      </w:pPr>
      <w:rPr>
        <w:rFonts w:hint="eastAsia"/>
      </w:rPr>
    </w:lvl>
  </w:abstractNum>
  <w:abstractNum w:abstractNumId="7">
    <w:nsid w:val="29C65DBA"/>
    <w:multiLevelType w:val="multilevel"/>
    <w:tmpl w:val="29C65DBA"/>
    <w:lvl w:ilvl="0" w:tentative="0">
      <w:start w:val="2"/>
      <w:numFmt w:val="japaneseCounting"/>
      <w:lvlText w:val="（%1）"/>
      <w:lvlJc w:val="left"/>
      <w:pPr>
        <w:tabs>
          <w:tab w:val="left" w:pos="1080"/>
        </w:tabs>
        <w:ind w:left="1080" w:hanging="10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9">
    <w:nsid w:val="326FAE77"/>
    <w:multiLevelType w:val="singleLevel"/>
    <w:tmpl w:val="326FAE77"/>
    <w:lvl w:ilvl="0" w:tentative="0">
      <w:start w:val="1"/>
      <w:numFmt w:val="decimal"/>
      <w:suff w:val="space"/>
      <w:lvlText w:val="%1."/>
      <w:lvlJc w:val="left"/>
    </w:lvl>
  </w:abstractNum>
  <w:abstractNum w:abstractNumId="10">
    <w:nsid w:val="3F768232"/>
    <w:multiLevelType w:val="singleLevel"/>
    <w:tmpl w:val="3F768232"/>
    <w:lvl w:ilvl="0" w:tentative="0">
      <w:start w:val="10"/>
      <w:numFmt w:val="decimal"/>
      <w:suff w:val="nothing"/>
      <w:lvlText w:val="（%1）"/>
      <w:lvlJc w:val="left"/>
    </w:lvl>
  </w:abstractNum>
  <w:abstractNum w:abstractNumId="11">
    <w:nsid w:val="64CF817D"/>
    <w:multiLevelType w:val="singleLevel"/>
    <w:tmpl w:val="64CF817D"/>
    <w:lvl w:ilvl="0" w:tentative="0">
      <w:start w:val="1"/>
      <w:numFmt w:val="chineseCounting"/>
      <w:suff w:val="nothing"/>
      <w:lvlText w:val="%1、"/>
      <w:lvlJc w:val="left"/>
      <w:pPr>
        <w:ind w:left="0" w:firstLine="420"/>
      </w:pPr>
      <w:rPr>
        <w:rFonts w:hint="eastAsia"/>
      </w:rPr>
    </w:lvl>
  </w:abstractNum>
  <w:abstractNum w:abstractNumId="12">
    <w:nsid w:val="719E64EC"/>
    <w:multiLevelType w:val="singleLevel"/>
    <w:tmpl w:val="719E64EC"/>
    <w:lvl w:ilvl="0" w:tentative="0">
      <w:start w:val="1"/>
      <w:numFmt w:val="decimal"/>
      <w:suff w:val="nothing"/>
      <w:lvlText w:val="（%1）"/>
      <w:lvlJc w:val="left"/>
    </w:lvl>
  </w:abstractNum>
  <w:abstractNum w:abstractNumId="13">
    <w:nsid w:val="790079DA"/>
    <w:multiLevelType w:val="singleLevel"/>
    <w:tmpl w:val="790079DA"/>
    <w:lvl w:ilvl="0" w:tentative="0">
      <w:start w:val="3"/>
      <w:numFmt w:val="chineseCounting"/>
      <w:suff w:val="nothing"/>
      <w:lvlText w:val="%1、"/>
      <w:lvlJc w:val="left"/>
      <w:rPr>
        <w:rFonts w:hint="eastAsia"/>
      </w:rPr>
    </w:lvl>
  </w:abstractNum>
  <w:num w:numId="1">
    <w:abstractNumId w:val="1"/>
  </w:num>
  <w:num w:numId="2">
    <w:abstractNumId w:val="3"/>
  </w:num>
  <w:num w:numId="3">
    <w:abstractNumId w:val="4"/>
  </w:num>
  <w:num w:numId="4">
    <w:abstractNumId w:val="5"/>
  </w:num>
  <w:num w:numId="5">
    <w:abstractNumId w:val="2"/>
  </w:num>
  <w:num w:numId="6">
    <w:abstractNumId w:val="9"/>
  </w:num>
  <w:num w:numId="7">
    <w:abstractNumId w:val="6"/>
  </w:num>
  <w:num w:numId="8">
    <w:abstractNumId w:val="8"/>
  </w:num>
  <w:num w:numId="9">
    <w:abstractNumId w:val="13"/>
  </w:num>
  <w:num w:numId="10">
    <w:abstractNumId w:val="12"/>
  </w:num>
  <w:num w:numId="11">
    <w:abstractNumId w:val="10"/>
  </w:num>
  <w:num w:numId="12">
    <w:abstractNumId w:val="11"/>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32642"/>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3771DC"/>
    <w:rsid w:val="03393105"/>
    <w:rsid w:val="033F77AA"/>
    <w:rsid w:val="033F7AFD"/>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118A6"/>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5C030B"/>
    <w:rsid w:val="08733B60"/>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7498D"/>
    <w:rsid w:val="0AA95618"/>
    <w:rsid w:val="0AAA48E8"/>
    <w:rsid w:val="0AD91FC9"/>
    <w:rsid w:val="0ADB075F"/>
    <w:rsid w:val="0ADE20E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B44B0"/>
    <w:rsid w:val="0BD51A4F"/>
    <w:rsid w:val="0BE054A7"/>
    <w:rsid w:val="0BF04736"/>
    <w:rsid w:val="0BF16E09"/>
    <w:rsid w:val="0BF91214"/>
    <w:rsid w:val="0BFB0479"/>
    <w:rsid w:val="0C02432C"/>
    <w:rsid w:val="0C117EF3"/>
    <w:rsid w:val="0C1465FD"/>
    <w:rsid w:val="0C180307"/>
    <w:rsid w:val="0C1F4542"/>
    <w:rsid w:val="0C220839"/>
    <w:rsid w:val="0C2564DE"/>
    <w:rsid w:val="0C2D4BF7"/>
    <w:rsid w:val="0C2D7F94"/>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33688"/>
    <w:rsid w:val="0E49061A"/>
    <w:rsid w:val="0E4B01DA"/>
    <w:rsid w:val="0E4E5E22"/>
    <w:rsid w:val="0E5065FE"/>
    <w:rsid w:val="0E527771"/>
    <w:rsid w:val="0E5756DE"/>
    <w:rsid w:val="0E667896"/>
    <w:rsid w:val="0E697251"/>
    <w:rsid w:val="0E760A01"/>
    <w:rsid w:val="0E7A15D0"/>
    <w:rsid w:val="0E852E98"/>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C139E"/>
    <w:rsid w:val="0FD31486"/>
    <w:rsid w:val="0FE61E3D"/>
    <w:rsid w:val="0FEF6A66"/>
    <w:rsid w:val="0FFC1742"/>
    <w:rsid w:val="0FFE2130"/>
    <w:rsid w:val="102A39F0"/>
    <w:rsid w:val="103449ED"/>
    <w:rsid w:val="10367DFD"/>
    <w:rsid w:val="103C2486"/>
    <w:rsid w:val="104C7B89"/>
    <w:rsid w:val="106D155F"/>
    <w:rsid w:val="106F4149"/>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F35801"/>
    <w:rsid w:val="11F97327"/>
    <w:rsid w:val="11FC5678"/>
    <w:rsid w:val="121508E7"/>
    <w:rsid w:val="12396910"/>
    <w:rsid w:val="12396A15"/>
    <w:rsid w:val="12422B59"/>
    <w:rsid w:val="12473638"/>
    <w:rsid w:val="124F770E"/>
    <w:rsid w:val="125455B6"/>
    <w:rsid w:val="12652E2F"/>
    <w:rsid w:val="12774495"/>
    <w:rsid w:val="12B72298"/>
    <w:rsid w:val="12B92B80"/>
    <w:rsid w:val="12C434C0"/>
    <w:rsid w:val="12DA262E"/>
    <w:rsid w:val="12E4182F"/>
    <w:rsid w:val="12EA49F9"/>
    <w:rsid w:val="12F808F3"/>
    <w:rsid w:val="12FE5880"/>
    <w:rsid w:val="133236CD"/>
    <w:rsid w:val="133B6A25"/>
    <w:rsid w:val="1342014B"/>
    <w:rsid w:val="134A0A16"/>
    <w:rsid w:val="135A7AEB"/>
    <w:rsid w:val="135E0C2E"/>
    <w:rsid w:val="135F3508"/>
    <w:rsid w:val="136070E5"/>
    <w:rsid w:val="138133C6"/>
    <w:rsid w:val="138C13B1"/>
    <w:rsid w:val="13994D5D"/>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672B7C"/>
    <w:rsid w:val="18707E15"/>
    <w:rsid w:val="188643B8"/>
    <w:rsid w:val="188B2D6D"/>
    <w:rsid w:val="188F3C2E"/>
    <w:rsid w:val="18914013"/>
    <w:rsid w:val="18A33803"/>
    <w:rsid w:val="18AA1733"/>
    <w:rsid w:val="18C94A94"/>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FC1190"/>
    <w:rsid w:val="1B0510F1"/>
    <w:rsid w:val="1B0644E6"/>
    <w:rsid w:val="1B2D1349"/>
    <w:rsid w:val="1B2F1017"/>
    <w:rsid w:val="1B5E59A7"/>
    <w:rsid w:val="1B652F97"/>
    <w:rsid w:val="1B72386C"/>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5834BE"/>
    <w:rsid w:val="1E591A59"/>
    <w:rsid w:val="1E5E6EE1"/>
    <w:rsid w:val="1E700AAC"/>
    <w:rsid w:val="1E7255DB"/>
    <w:rsid w:val="1E737AD4"/>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E2199"/>
    <w:rsid w:val="20D01EB7"/>
    <w:rsid w:val="20D22ECB"/>
    <w:rsid w:val="20F22122"/>
    <w:rsid w:val="20F557A1"/>
    <w:rsid w:val="20FE424D"/>
    <w:rsid w:val="210303E4"/>
    <w:rsid w:val="21240098"/>
    <w:rsid w:val="21244F9D"/>
    <w:rsid w:val="213749DC"/>
    <w:rsid w:val="21416D41"/>
    <w:rsid w:val="2142426F"/>
    <w:rsid w:val="21431371"/>
    <w:rsid w:val="214A2426"/>
    <w:rsid w:val="214C33EF"/>
    <w:rsid w:val="215525E8"/>
    <w:rsid w:val="2156204B"/>
    <w:rsid w:val="215C4E9A"/>
    <w:rsid w:val="216457A9"/>
    <w:rsid w:val="217C1192"/>
    <w:rsid w:val="21821CC3"/>
    <w:rsid w:val="219537A4"/>
    <w:rsid w:val="21962AAA"/>
    <w:rsid w:val="219A6D4B"/>
    <w:rsid w:val="21AB495F"/>
    <w:rsid w:val="21C43C75"/>
    <w:rsid w:val="21C97EEF"/>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1385C"/>
    <w:rsid w:val="231565F6"/>
    <w:rsid w:val="23407CCF"/>
    <w:rsid w:val="23443B5F"/>
    <w:rsid w:val="234E7A9A"/>
    <w:rsid w:val="236773C3"/>
    <w:rsid w:val="236E0751"/>
    <w:rsid w:val="2375458A"/>
    <w:rsid w:val="2378337E"/>
    <w:rsid w:val="239D405B"/>
    <w:rsid w:val="239D5ED0"/>
    <w:rsid w:val="23B3034A"/>
    <w:rsid w:val="23B32618"/>
    <w:rsid w:val="23B64E06"/>
    <w:rsid w:val="23D40C4E"/>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AF2DCF"/>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8B38BF"/>
    <w:rsid w:val="25947C91"/>
    <w:rsid w:val="259B0FC8"/>
    <w:rsid w:val="25A4389E"/>
    <w:rsid w:val="25AB180A"/>
    <w:rsid w:val="25B81297"/>
    <w:rsid w:val="25C26294"/>
    <w:rsid w:val="25DE0ABB"/>
    <w:rsid w:val="25EA227D"/>
    <w:rsid w:val="25EE2F6B"/>
    <w:rsid w:val="25EE5AEF"/>
    <w:rsid w:val="25F03B65"/>
    <w:rsid w:val="25F95A76"/>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AB3053"/>
    <w:rsid w:val="2BBE65D9"/>
    <w:rsid w:val="2BD15D21"/>
    <w:rsid w:val="2BD50067"/>
    <w:rsid w:val="2BD63337"/>
    <w:rsid w:val="2BE55033"/>
    <w:rsid w:val="2BF043F9"/>
    <w:rsid w:val="2BF2576A"/>
    <w:rsid w:val="2BFB2D9E"/>
    <w:rsid w:val="2C0A417D"/>
    <w:rsid w:val="2C0B4465"/>
    <w:rsid w:val="2C162605"/>
    <w:rsid w:val="2C1B755F"/>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F73D3E"/>
    <w:rsid w:val="2D052228"/>
    <w:rsid w:val="2D26387C"/>
    <w:rsid w:val="2D2638BF"/>
    <w:rsid w:val="2D264FE2"/>
    <w:rsid w:val="2D266A1B"/>
    <w:rsid w:val="2D2C63EA"/>
    <w:rsid w:val="2D2E53F9"/>
    <w:rsid w:val="2D580189"/>
    <w:rsid w:val="2D660E42"/>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F0BC6"/>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390163"/>
    <w:rsid w:val="313930CC"/>
    <w:rsid w:val="313A4199"/>
    <w:rsid w:val="314145BC"/>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1A587C"/>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B4322"/>
    <w:rsid w:val="32CC0B3A"/>
    <w:rsid w:val="32E9446A"/>
    <w:rsid w:val="32ED6D0D"/>
    <w:rsid w:val="32EE21EF"/>
    <w:rsid w:val="32FB6F3A"/>
    <w:rsid w:val="32FE403C"/>
    <w:rsid w:val="3301516C"/>
    <w:rsid w:val="330847A6"/>
    <w:rsid w:val="330E3473"/>
    <w:rsid w:val="331D6515"/>
    <w:rsid w:val="332445D4"/>
    <w:rsid w:val="33374A05"/>
    <w:rsid w:val="333F7A14"/>
    <w:rsid w:val="33420DD0"/>
    <w:rsid w:val="336D3CCC"/>
    <w:rsid w:val="337B723F"/>
    <w:rsid w:val="338D4C76"/>
    <w:rsid w:val="33AC25F0"/>
    <w:rsid w:val="33CB37C6"/>
    <w:rsid w:val="33D01002"/>
    <w:rsid w:val="33D840F1"/>
    <w:rsid w:val="33D9076A"/>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E1B9C"/>
    <w:rsid w:val="354268E3"/>
    <w:rsid w:val="354C1621"/>
    <w:rsid w:val="354D3607"/>
    <w:rsid w:val="35513745"/>
    <w:rsid w:val="35521CDA"/>
    <w:rsid w:val="35797275"/>
    <w:rsid w:val="35900175"/>
    <w:rsid w:val="359C56FD"/>
    <w:rsid w:val="35AD5FDE"/>
    <w:rsid w:val="35AF3C99"/>
    <w:rsid w:val="35B244CD"/>
    <w:rsid w:val="35BD4675"/>
    <w:rsid w:val="35BF0570"/>
    <w:rsid w:val="35D24B6F"/>
    <w:rsid w:val="35D31D82"/>
    <w:rsid w:val="35F3196D"/>
    <w:rsid w:val="35F66D7E"/>
    <w:rsid w:val="36010FB1"/>
    <w:rsid w:val="36071834"/>
    <w:rsid w:val="3615268B"/>
    <w:rsid w:val="362C71B5"/>
    <w:rsid w:val="363E5073"/>
    <w:rsid w:val="366531FD"/>
    <w:rsid w:val="366559E4"/>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B02C8E"/>
    <w:rsid w:val="37BD5263"/>
    <w:rsid w:val="37BDBCE1"/>
    <w:rsid w:val="37BE5BCC"/>
    <w:rsid w:val="37BF2ED1"/>
    <w:rsid w:val="37DC25AF"/>
    <w:rsid w:val="37DD2E3D"/>
    <w:rsid w:val="37E42D93"/>
    <w:rsid w:val="37E82C91"/>
    <w:rsid w:val="37F92688"/>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C26CA9"/>
    <w:rsid w:val="39F134B3"/>
    <w:rsid w:val="3A041E9E"/>
    <w:rsid w:val="3A047516"/>
    <w:rsid w:val="3A051129"/>
    <w:rsid w:val="3A0B3F2D"/>
    <w:rsid w:val="3A1F6829"/>
    <w:rsid w:val="3A26548A"/>
    <w:rsid w:val="3A287497"/>
    <w:rsid w:val="3A296D28"/>
    <w:rsid w:val="3A384A7C"/>
    <w:rsid w:val="3A3A6426"/>
    <w:rsid w:val="3A471399"/>
    <w:rsid w:val="3A485400"/>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8000C"/>
    <w:rsid w:val="3B5249B8"/>
    <w:rsid w:val="3B5C71EE"/>
    <w:rsid w:val="3B633B4C"/>
    <w:rsid w:val="3B64395D"/>
    <w:rsid w:val="3B6D2223"/>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D0C6484"/>
    <w:rsid w:val="3D2008B6"/>
    <w:rsid w:val="3D2D072D"/>
    <w:rsid w:val="3D38472D"/>
    <w:rsid w:val="3D4445A5"/>
    <w:rsid w:val="3D463A9A"/>
    <w:rsid w:val="3D60664C"/>
    <w:rsid w:val="3D8A3AC0"/>
    <w:rsid w:val="3DA407DA"/>
    <w:rsid w:val="3DCA0ECE"/>
    <w:rsid w:val="3DCC6120"/>
    <w:rsid w:val="3DD700F5"/>
    <w:rsid w:val="3DDA529F"/>
    <w:rsid w:val="3DDC7181"/>
    <w:rsid w:val="3DEE62BF"/>
    <w:rsid w:val="3DFB5797"/>
    <w:rsid w:val="3E123215"/>
    <w:rsid w:val="3E146DC6"/>
    <w:rsid w:val="3E2A0839"/>
    <w:rsid w:val="3E412892"/>
    <w:rsid w:val="3E432AAE"/>
    <w:rsid w:val="3E565B39"/>
    <w:rsid w:val="3E5B4912"/>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A41CC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430E8"/>
    <w:rsid w:val="41AC56F4"/>
    <w:rsid w:val="41AF1F3C"/>
    <w:rsid w:val="41B4616B"/>
    <w:rsid w:val="41B74BE7"/>
    <w:rsid w:val="41C304DF"/>
    <w:rsid w:val="41C87E4F"/>
    <w:rsid w:val="41CE77BD"/>
    <w:rsid w:val="41CF6C2B"/>
    <w:rsid w:val="41CF7FC1"/>
    <w:rsid w:val="41EF2605"/>
    <w:rsid w:val="41F25DF7"/>
    <w:rsid w:val="41F560D9"/>
    <w:rsid w:val="42044568"/>
    <w:rsid w:val="42057EE3"/>
    <w:rsid w:val="420A7CC6"/>
    <w:rsid w:val="42154762"/>
    <w:rsid w:val="42175FB4"/>
    <w:rsid w:val="42441D7B"/>
    <w:rsid w:val="424B2350"/>
    <w:rsid w:val="42541790"/>
    <w:rsid w:val="42581620"/>
    <w:rsid w:val="426D50E1"/>
    <w:rsid w:val="42870F07"/>
    <w:rsid w:val="429064A2"/>
    <w:rsid w:val="429F20A7"/>
    <w:rsid w:val="42B13CAF"/>
    <w:rsid w:val="42B67332"/>
    <w:rsid w:val="42B84AB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166DA"/>
    <w:rsid w:val="44031929"/>
    <w:rsid w:val="44386DC7"/>
    <w:rsid w:val="444B0AB7"/>
    <w:rsid w:val="44546674"/>
    <w:rsid w:val="446A779D"/>
    <w:rsid w:val="446B06FF"/>
    <w:rsid w:val="44843DC2"/>
    <w:rsid w:val="448D5A66"/>
    <w:rsid w:val="44A410C8"/>
    <w:rsid w:val="44A616A1"/>
    <w:rsid w:val="44AA25B1"/>
    <w:rsid w:val="44B35568"/>
    <w:rsid w:val="44CA5540"/>
    <w:rsid w:val="44E26451"/>
    <w:rsid w:val="44E61C88"/>
    <w:rsid w:val="44F81AEE"/>
    <w:rsid w:val="44FA76E5"/>
    <w:rsid w:val="450A088A"/>
    <w:rsid w:val="451323E3"/>
    <w:rsid w:val="45356B84"/>
    <w:rsid w:val="454B218E"/>
    <w:rsid w:val="454B5917"/>
    <w:rsid w:val="454D7D6F"/>
    <w:rsid w:val="455603DA"/>
    <w:rsid w:val="4562080B"/>
    <w:rsid w:val="457A48DC"/>
    <w:rsid w:val="457F0578"/>
    <w:rsid w:val="4586204A"/>
    <w:rsid w:val="45911C42"/>
    <w:rsid w:val="45966550"/>
    <w:rsid w:val="45A44293"/>
    <w:rsid w:val="45A71A97"/>
    <w:rsid w:val="45B11820"/>
    <w:rsid w:val="45B17333"/>
    <w:rsid w:val="45B40A62"/>
    <w:rsid w:val="45B66687"/>
    <w:rsid w:val="45BC5BBE"/>
    <w:rsid w:val="45DF7A91"/>
    <w:rsid w:val="45ED221F"/>
    <w:rsid w:val="45F17051"/>
    <w:rsid w:val="45F662B5"/>
    <w:rsid w:val="46072173"/>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3F5D2E"/>
    <w:rsid w:val="47437DF0"/>
    <w:rsid w:val="474B1D32"/>
    <w:rsid w:val="475C24EB"/>
    <w:rsid w:val="47623D37"/>
    <w:rsid w:val="476A4880"/>
    <w:rsid w:val="476D355D"/>
    <w:rsid w:val="477B5067"/>
    <w:rsid w:val="477F1359"/>
    <w:rsid w:val="479C778F"/>
    <w:rsid w:val="479F5922"/>
    <w:rsid w:val="47A74F93"/>
    <w:rsid w:val="47B55DC2"/>
    <w:rsid w:val="47B95AE3"/>
    <w:rsid w:val="47C54635"/>
    <w:rsid w:val="48084775"/>
    <w:rsid w:val="480D4044"/>
    <w:rsid w:val="48284AC3"/>
    <w:rsid w:val="48305B8F"/>
    <w:rsid w:val="48317C01"/>
    <w:rsid w:val="483956BD"/>
    <w:rsid w:val="484B4AC6"/>
    <w:rsid w:val="486D6CE9"/>
    <w:rsid w:val="48833616"/>
    <w:rsid w:val="488439A9"/>
    <w:rsid w:val="48924524"/>
    <w:rsid w:val="489F6228"/>
    <w:rsid w:val="48A42282"/>
    <w:rsid w:val="48F63FC2"/>
    <w:rsid w:val="49142B20"/>
    <w:rsid w:val="49261002"/>
    <w:rsid w:val="493251EE"/>
    <w:rsid w:val="49423962"/>
    <w:rsid w:val="494E1CBC"/>
    <w:rsid w:val="495A6FB4"/>
    <w:rsid w:val="495E4BAF"/>
    <w:rsid w:val="49690EE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A53E5F"/>
    <w:rsid w:val="4AC4127E"/>
    <w:rsid w:val="4AC665FA"/>
    <w:rsid w:val="4AD109E2"/>
    <w:rsid w:val="4AD52A4C"/>
    <w:rsid w:val="4AD85F80"/>
    <w:rsid w:val="4B176DB6"/>
    <w:rsid w:val="4B1873D3"/>
    <w:rsid w:val="4B1F377B"/>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17531"/>
    <w:rsid w:val="4DFE254E"/>
    <w:rsid w:val="4E0263E8"/>
    <w:rsid w:val="4E03137F"/>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B59C1"/>
    <w:rsid w:val="4F715FC6"/>
    <w:rsid w:val="4F7A7569"/>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347CC"/>
    <w:rsid w:val="50E579F5"/>
    <w:rsid w:val="50EF2A50"/>
    <w:rsid w:val="510F05CE"/>
    <w:rsid w:val="511E12FF"/>
    <w:rsid w:val="5157604D"/>
    <w:rsid w:val="515A3289"/>
    <w:rsid w:val="515D758B"/>
    <w:rsid w:val="51676DFF"/>
    <w:rsid w:val="51682F45"/>
    <w:rsid w:val="5178039D"/>
    <w:rsid w:val="51870AAC"/>
    <w:rsid w:val="51915487"/>
    <w:rsid w:val="51932FAD"/>
    <w:rsid w:val="51B03B5F"/>
    <w:rsid w:val="51B46176"/>
    <w:rsid w:val="51DA4DD6"/>
    <w:rsid w:val="51E41A5B"/>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9453CB"/>
    <w:rsid w:val="5398626F"/>
    <w:rsid w:val="53BD2563"/>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74786"/>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49231F"/>
    <w:rsid w:val="555F0079"/>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8F6A5A"/>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33F8D"/>
    <w:rsid w:val="5785381A"/>
    <w:rsid w:val="57B40731"/>
    <w:rsid w:val="57BD0238"/>
    <w:rsid w:val="57CA583D"/>
    <w:rsid w:val="57F553A3"/>
    <w:rsid w:val="58005114"/>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111763"/>
    <w:rsid w:val="5A141C15"/>
    <w:rsid w:val="5A386AC4"/>
    <w:rsid w:val="5A3B1633"/>
    <w:rsid w:val="5A614EC3"/>
    <w:rsid w:val="5A6A4473"/>
    <w:rsid w:val="5A822CB6"/>
    <w:rsid w:val="5A883ACC"/>
    <w:rsid w:val="5A89170D"/>
    <w:rsid w:val="5A951B44"/>
    <w:rsid w:val="5A9E4652"/>
    <w:rsid w:val="5AA34820"/>
    <w:rsid w:val="5ABA5DFE"/>
    <w:rsid w:val="5AC46702"/>
    <w:rsid w:val="5ACA752C"/>
    <w:rsid w:val="5ADB4989"/>
    <w:rsid w:val="5ADD12F1"/>
    <w:rsid w:val="5ADD678A"/>
    <w:rsid w:val="5AFC6067"/>
    <w:rsid w:val="5AFF2821"/>
    <w:rsid w:val="5AFF3964"/>
    <w:rsid w:val="5B2722C6"/>
    <w:rsid w:val="5B3475AF"/>
    <w:rsid w:val="5B473724"/>
    <w:rsid w:val="5B5045A9"/>
    <w:rsid w:val="5B511702"/>
    <w:rsid w:val="5B584F7A"/>
    <w:rsid w:val="5B6F0A06"/>
    <w:rsid w:val="5B741FBF"/>
    <w:rsid w:val="5B7630F7"/>
    <w:rsid w:val="5B981697"/>
    <w:rsid w:val="5B9B1222"/>
    <w:rsid w:val="5BA54009"/>
    <w:rsid w:val="5BA65FD3"/>
    <w:rsid w:val="5BB243EA"/>
    <w:rsid w:val="5BC9758F"/>
    <w:rsid w:val="5BD364CA"/>
    <w:rsid w:val="5BD62312"/>
    <w:rsid w:val="5BD963A8"/>
    <w:rsid w:val="5BE40EDF"/>
    <w:rsid w:val="5BEA4A79"/>
    <w:rsid w:val="5BEA61EE"/>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451B0B"/>
    <w:rsid w:val="5D4A6B09"/>
    <w:rsid w:val="5D5E19FF"/>
    <w:rsid w:val="5D642DEA"/>
    <w:rsid w:val="5D663C6C"/>
    <w:rsid w:val="5D794CE4"/>
    <w:rsid w:val="5D7E7207"/>
    <w:rsid w:val="5D801225"/>
    <w:rsid w:val="5D8B15BF"/>
    <w:rsid w:val="5D8F6D1E"/>
    <w:rsid w:val="5D9C768D"/>
    <w:rsid w:val="5DA51A05"/>
    <w:rsid w:val="5DA867CA"/>
    <w:rsid w:val="5DA9797C"/>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2654C"/>
    <w:rsid w:val="5ECE13BF"/>
    <w:rsid w:val="5EDB4A3D"/>
    <w:rsid w:val="5EDD61AF"/>
    <w:rsid w:val="5EE75AC7"/>
    <w:rsid w:val="5EE920F4"/>
    <w:rsid w:val="5EF4074C"/>
    <w:rsid w:val="5EFD0859"/>
    <w:rsid w:val="5F1540E6"/>
    <w:rsid w:val="5F262F0E"/>
    <w:rsid w:val="5F2B0CC9"/>
    <w:rsid w:val="5F3B3043"/>
    <w:rsid w:val="5F4375DE"/>
    <w:rsid w:val="5F4A65CE"/>
    <w:rsid w:val="5F5475FA"/>
    <w:rsid w:val="5F567D9F"/>
    <w:rsid w:val="5F650A27"/>
    <w:rsid w:val="5F785718"/>
    <w:rsid w:val="5F794626"/>
    <w:rsid w:val="5F840C68"/>
    <w:rsid w:val="5F8779E8"/>
    <w:rsid w:val="5F8C3EEF"/>
    <w:rsid w:val="5FC32D89"/>
    <w:rsid w:val="5FC50612"/>
    <w:rsid w:val="5FC722E8"/>
    <w:rsid w:val="5FEA370B"/>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210E1"/>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C5629"/>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120C4"/>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B37CD"/>
    <w:rsid w:val="648226C8"/>
    <w:rsid w:val="64963088"/>
    <w:rsid w:val="649C6ACA"/>
    <w:rsid w:val="64B516F2"/>
    <w:rsid w:val="64C14A81"/>
    <w:rsid w:val="64D23842"/>
    <w:rsid w:val="64E016B4"/>
    <w:rsid w:val="64E36309"/>
    <w:rsid w:val="64F53BCB"/>
    <w:rsid w:val="65355D7F"/>
    <w:rsid w:val="653B6605"/>
    <w:rsid w:val="65443ED7"/>
    <w:rsid w:val="656D0D62"/>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FF0C5F"/>
    <w:rsid w:val="67FF8B64"/>
    <w:rsid w:val="680D7763"/>
    <w:rsid w:val="682162F1"/>
    <w:rsid w:val="682E6D63"/>
    <w:rsid w:val="684C2BD7"/>
    <w:rsid w:val="68533339"/>
    <w:rsid w:val="68680898"/>
    <w:rsid w:val="68685893"/>
    <w:rsid w:val="686F00CC"/>
    <w:rsid w:val="68762BDA"/>
    <w:rsid w:val="68770F26"/>
    <w:rsid w:val="6888718C"/>
    <w:rsid w:val="688E486E"/>
    <w:rsid w:val="68953657"/>
    <w:rsid w:val="68A94636"/>
    <w:rsid w:val="68C47A98"/>
    <w:rsid w:val="68C64D5F"/>
    <w:rsid w:val="68E73BBC"/>
    <w:rsid w:val="68E8348B"/>
    <w:rsid w:val="68FD3526"/>
    <w:rsid w:val="69020CEC"/>
    <w:rsid w:val="690D0FD5"/>
    <w:rsid w:val="692100FE"/>
    <w:rsid w:val="69350587"/>
    <w:rsid w:val="693747D7"/>
    <w:rsid w:val="693900F9"/>
    <w:rsid w:val="694E2184"/>
    <w:rsid w:val="695603C1"/>
    <w:rsid w:val="69574C91"/>
    <w:rsid w:val="69584DB0"/>
    <w:rsid w:val="695D0F42"/>
    <w:rsid w:val="69674A06"/>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305BA"/>
    <w:rsid w:val="6ADC7A1E"/>
    <w:rsid w:val="6AE4298E"/>
    <w:rsid w:val="6AF0599D"/>
    <w:rsid w:val="6AF35F9A"/>
    <w:rsid w:val="6AF66935"/>
    <w:rsid w:val="6B0A0338"/>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B92B8F"/>
    <w:rsid w:val="6BBEAF0D"/>
    <w:rsid w:val="6BC4419C"/>
    <w:rsid w:val="6BCF0C2E"/>
    <w:rsid w:val="6BD63F74"/>
    <w:rsid w:val="6BE91E36"/>
    <w:rsid w:val="6BF23772"/>
    <w:rsid w:val="6C0001D3"/>
    <w:rsid w:val="6C05469A"/>
    <w:rsid w:val="6C0C006C"/>
    <w:rsid w:val="6C137DF3"/>
    <w:rsid w:val="6C2A02D2"/>
    <w:rsid w:val="6C3A3D49"/>
    <w:rsid w:val="6C472EBA"/>
    <w:rsid w:val="6C594B3B"/>
    <w:rsid w:val="6C676BAF"/>
    <w:rsid w:val="6C71409B"/>
    <w:rsid w:val="6C7524C4"/>
    <w:rsid w:val="6C790046"/>
    <w:rsid w:val="6CA07FF2"/>
    <w:rsid w:val="6CAA6341"/>
    <w:rsid w:val="6CAC0708"/>
    <w:rsid w:val="6CB21200"/>
    <w:rsid w:val="6CB433CC"/>
    <w:rsid w:val="6CCD093A"/>
    <w:rsid w:val="6CCD611B"/>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253230"/>
    <w:rsid w:val="6E2A5D31"/>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B0514"/>
    <w:rsid w:val="6F1D7A2C"/>
    <w:rsid w:val="6F2474E3"/>
    <w:rsid w:val="6F2F0361"/>
    <w:rsid w:val="6F4B556B"/>
    <w:rsid w:val="6F521DA8"/>
    <w:rsid w:val="6F56268D"/>
    <w:rsid w:val="6F5738DB"/>
    <w:rsid w:val="6F7524D3"/>
    <w:rsid w:val="6F7A3AB1"/>
    <w:rsid w:val="6F7E0E20"/>
    <w:rsid w:val="6F8B5EDC"/>
    <w:rsid w:val="6F933826"/>
    <w:rsid w:val="6FA44B57"/>
    <w:rsid w:val="6FAD7B35"/>
    <w:rsid w:val="6FB2669E"/>
    <w:rsid w:val="6FBD68AC"/>
    <w:rsid w:val="6FC05C17"/>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F6D10"/>
    <w:rsid w:val="70A94752"/>
    <w:rsid w:val="70AA0678"/>
    <w:rsid w:val="70BC2AB1"/>
    <w:rsid w:val="70C24848"/>
    <w:rsid w:val="70CD1EA1"/>
    <w:rsid w:val="70D16D5B"/>
    <w:rsid w:val="70E65F31"/>
    <w:rsid w:val="70EA4D0B"/>
    <w:rsid w:val="70F3310B"/>
    <w:rsid w:val="70F529D8"/>
    <w:rsid w:val="70FD1E74"/>
    <w:rsid w:val="7103039C"/>
    <w:rsid w:val="71094EE1"/>
    <w:rsid w:val="71234381"/>
    <w:rsid w:val="712D6B22"/>
    <w:rsid w:val="71324139"/>
    <w:rsid w:val="713B0EDB"/>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6770F1"/>
    <w:rsid w:val="72745768"/>
    <w:rsid w:val="727A5D97"/>
    <w:rsid w:val="729130E1"/>
    <w:rsid w:val="72927344"/>
    <w:rsid w:val="7295156C"/>
    <w:rsid w:val="729D2580"/>
    <w:rsid w:val="72A67B87"/>
    <w:rsid w:val="72B4208D"/>
    <w:rsid w:val="72BD74AB"/>
    <w:rsid w:val="72CC2F73"/>
    <w:rsid w:val="72CC5629"/>
    <w:rsid w:val="72D045AE"/>
    <w:rsid w:val="72D30170"/>
    <w:rsid w:val="72DE56EC"/>
    <w:rsid w:val="72E02A57"/>
    <w:rsid w:val="731D1288"/>
    <w:rsid w:val="73263829"/>
    <w:rsid w:val="7342148F"/>
    <w:rsid w:val="734B09AB"/>
    <w:rsid w:val="735569E4"/>
    <w:rsid w:val="735D6F92"/>
    <w:rsid w:val="736F5970"/>
    <w:rsid w:val="737D29E8"/>
    <w:rsid w:val="73835463"/>
    <w:rsid w:val="738E752A"/>
    <w:rsid w:val="73A20B1D"/>
    <w:rsid w:val="73AC346E"/>
    <w:rsid w:val="73AD5DF1"/>
    <w:rsid w:val="73B330F9"/>
    <w:rsid w:val="73C23B2B"/>
    <w:rsid w:val="73C44CED"/>
    <w:rsid w:val="73D0510F"/>
    <w:rsid w:val="73ED31EC"/>
    <w:rsid w:val="73EF0526"/>
    <w:rsid w:val="740D2F81"/>
    <w:rsid w:val="740F42BD"/>
    <w:rsid w:val="74314888"/>
    <w:rsid w:val="7458018C"/>
    <w:rsid w:val="745B1793"/>
    <w:rsid w:val="7461241C"/>
    <w:rsid w:val="746820E1"/>
    <w:rsid w:val="747431F1"/>
    <w:rsid w:val="7475083E"/>
    <w:rsid w:val="74794E04"/>
    <w:rsid w:val="7497700C"/>
    <w:rsid w:val="749E606B"/>
    <w:rsid w:val="74A108C3"/>
    <w:rsid w:val="74A51618"/>
    <w:rsid w:val="74A761E5"/>
    <w:rsid w:val="74B84955"/>
    <w:rsid w:val="74D82307"/>
    <w:rsid w:val="74DD2099"/>
    <w:rsid w:val="74EB19F9"/>
    <w:rsid w:val="74FA3218"/>
    <w:rsid w:val="74FB4B6A"/>
    <w:rsid w:val="75014144"/>
    <w:rsid w:val="750712FE"/>
    <w:rsid w:val="75086702"/>
    <w:rsid w:val="75137C89"/>
    <w:rsid w:val="753078C7"/>
    <w:rsid w:val="753164B5"/>
    <w:rsid w:val="7537210A"/>
    <w:rsid w:val="753D0242"/>
    <w:rsid w:val="75405EF4"/>
    <w:rsid w:val="75591E6C"/>
    <w:rsid w:val="755F74C6"/>
    <w:rsid w:val="75653843"/>
    <w:rsid w:val="75666F53"/>
    <w:rsid w:val="756A393F"/>
    <w:rsid w:val="756D6C3E"/>
    <w:rsid w:val="757836DE"/>
    <w:rsid w:val="758E6C35"/>
    <w:rsid w:val="759A2644"/>
    <w:rsid w:val="75A53176"/>
    <w:rsid w:val="75B3143C"/>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94F71"/>
    <w:rsid w:val="76EA5F76"/>
    <w:rsid w:val="76F118C6"/>
    <w:rsid w:val="77040325"/>
    <w:rsid w:val="77040389"/>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8E60A12"/>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A0A5C53"/>
    <w:rsid w:val="7A1209C3"/>
    <w:rsid w:val="7A385FB5"/>
    <w:rsid w:val="7A634B02"/>
    <w:rsid w:val="7A8A7BB0"/>
    <w:rsid w:val="7A8EDC86"/>
    <w:rsid w:val="7A9279C8"/>
    <w:rsid w:val="7A934189"/>
    <w:rsid w:val="7A980376"/>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D3E06"/>
    <w:rsid w:val="7B3F29E6"/>
    <w:rsid w:val="7B4B2CA9"/>
    <w:rsid w:val="7B574C01"/>
    <w:rsid w:val="7B5F17E9"/>
    <w:rsid w:val="7B74F02E"/>
    <w:rsid w:val="7B8210B6"/>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42"/>
    <w:autoRedefine/>
    <w:qFormat/>
    <w:uiPriority w:val="0"/>
    <w:pPr>
      <w:keepNext/>
      <w:keepLines/>
      <w:spacing w:before="340" w:after="330" w:line="576" w:lineRule="auto"/>
      <w:outlineLvl w:val="0"/>
    </w:pPr>
    <w:rPr>
      <w:b/>
      <w:bCs/>
      <w:kern w:val="44"/>
      <w:sz w:val="44"/>
      <w:szCs w:val="44"/>
    </w:rPr>
  </w:style>
  <w:style w:type="paragraph" w:styleId="7">
    <w:name w:val="heading 2"/>
    <w:basedOn w:val="1"/>
    <w:next w:val="1"/>
    <w:link w:val="43"/>
    <w:autoRedefine/>
    <w:qFormat/>
    <w:uiPriority w:val="0"/>
    <w:pPr>
      <w:keepNext/>
      <w:keepLines/>
      <w:spacing w:before="260" w:after="260" w:line="415" w:lineRule="auto"/>
      <w:outlineLvl w:val="1"/>
    </w:pPr>
    <w:rPr>
      <w:rFonts w:ascii="Arial" w:hAnsi="Arial" w:eastAsia="黑体"/>
      <w:b/>
      <w:bCs/>
      <w:sz w:val="32"/>
      <w:szCs w:val="32"/>
    </w:rPr>
  </w:style>
  <w:style w:type="paragraph" w:styleId="8">
    <w:name w:val="heading 3"/>
    <w:basedOn w:val="1"/>
    <w:next w:val="1"/>
    <w:autoRedefine/>
    <w:qFormat/>
    <w:uiPriority w:val="0"/>
    <w:pPr>
      <w:keepNext/>
      <w:keepLines/>
      <w:spacing w:before="260" w:after="260" w:line="415" w:lineRule="auto"/>
      <w:outlineLvl w:val="2"/>
    </w:pPr>
    <w:rPr>
      <w:b/>
      <w:bCs/>
      <w:sz w:val="32"/>
      <w:szCs w:val="32"/>
    </w:rPr>
  </w:style>
  <w:style w:type="paragraph" w:styleId="9">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5">
    <w:name w:val="Default Paragraph Font"/>
    <w:autoRedefine/>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customStyle="1" w:styleId="2">
    <w:name w:val="Body Text First Indent 21"/>
    <w:basedOn w:val="3"/>
    <w:next w:val="5"/>
    <w:autoRedefine/>
    <w:qFormat/>
    <w:uiPriority w:val="0"/>
    <w:pPr>
      <w:ind w:firstLine="420" w:firstLineChars="200"/>
    </w:pPr>
  </w:style>
  <w:style w:type="paragraph" w:customStyle="1" w:styleId="3">
    <w:name w:val="Body Text Indent1"/>
    <w:basedOn w:val="1"/>
    <w:next w:val="4"/>
    <w:autoRedefine/>
    <w:qFormat/>
    <w:uiPriority w:val="0"/>
    <w:pPr>
      <w:spacing w:after="120"/>
      <w:ind w:left="420" w:leftChars="200"/>
    </w:pPr>
  </w:style>
  <w:style w:type="paragraph" w:styleId="4">
    <w:name w:val="Body Text"/>
    <w:basedOn w:val="1"/>
    <w:next w:val="1"/>
    <w:link w:val="45"/>
    <w:autoRedefine/>
    <w:qFormat/>
    <w:uiPriority w:val="0"/>
    <w:pPr>
      <w:spacing w:after="120"/>
    </w:pPr>
  </w:style>
  <w:style w:type="paragraph" w:customStyle="1" w:styleId="5">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styleId="10">
    <w:name w:val="toc 7"/>
    <w:basedOn w:val="1"/>
    <w:next w:val="1"/>
    <w:autoRedefine/>
    <w:semiHidden/>
    <w:qFormat/>
    <w:uiPriority w:val="0"/>
    <w:pPr>
      <w:ind w:left="1260"/>
      <w:jc w:val="left"/>
    </w:pPr>
    <w:rPr>
      <w:sz w:val="18"/>
      <w:szCs w:val="18"/>
    </w:rPr>
  </w:style>
  <w:style w:type="paragraph" w:styleId="11">
    <w:name w:val="Normal Indent"/>
    <w:basedOn w:val="1"/>
    <w:autoRedefine/>
    <w:qFormat/>
    <w:uiPriority w:val="0"/>
    <w:pPr>
      <w:ind w:firstLine="420"/>
    </w:pPr>
    <w:rPr>
      <w:szCs w:val="20"/>
    </w:rPr>
  </w:style>
  <w:style w:type="paragraph" w:styleId="12">
    <w:name w:val="annotation text"/>
    <w:basedOn w:val="1"/>
    <w:link w:val="44"/>
    <w:autoRedefine/>
    <w:semiHidden/>
    <w:qFormat/>
    <w:uiPriority w:val="0"/>
    <w:pPr>
      <w:jc w:val="left"/>
    </w:pPr>
  </w:style>
  <w:style w:type="paragraph" w:styleId="13">
    <w:name w:val="Body Text 3"/>
    <w:basedOn w:val="1"/>
    <w:autoRedefine/>
    <w:qFormat/>
    <w:uiPriority w:val="0"/>
    <w:rPr>
      <w:rFonts w:ascii="宋体"/>
      <w:sz w:val="24"/>
      <w:szCs w:val="20"/>
    </w:rPr>
  </w:style>
  <w:style w:type="paragraph" w:styleId="14">
    <w:name w:val="Body Text Indent"/>
    <w:basedOn w:val="1"/>
    <w:next w:val="4"/>
    <w:autoRedefine/>
    <w:unhideWhenUsed/>
    <w:qFormat/>
    <w:uiPriority w:val="99"/>
    <w:pPr>
      <w:spacing w:after="120"/>
      <w:ind w:left="420" w:leftChars="200"/>
    </w:pPr>
    <w:rPr>
      <w:kern w:val="0"/>
      <w:sz w:val="20"/>
    </w:rPr>
  </w:style>
  <w:style w:type="paragraph" w:styleId="15">
    <w:name w:val="toc 5"/>
    <w:basedOn w:val="1"/>
    <w:next w:val="1"/>
    <w:autoRedefine/>
    <w:semiHidden/>
    <w:qFormat/>
    <w:uiPriority w:val="0"/>
    <w:pPr>
      <w:ind w:left="840"/>
      <w:jc w:val="left"/>
    </w:pPr>
    <w:rPr>
      <w:sz w:val="18"/>
      <w:szCs w:val="18"/>
    </w:rPr>
  </w:style>
  <w:style w:type="paragraph" w:styleId="16">
    <w:name w:val="toc 3"/>
    <w:basedOn w:val="1"/>
    <w:next w:val="1"/>
    <w:autoRedefine/>
    <w:qFormat/>
    <w:uiPriority w:val="0"/>
    <w:pPr>
      <w:ind w:left="420"/>
      <w:jc w:val="left"/>
    </w:pPr>
    <w:rPr>
      <w:i/>
      <w:iCs/>
      <w:sz w:val="20"/>
      <w:szCs w:val="20"/>
    </w:rPr>
  </w:style>
  <w:style w:type="paragraph" w:styleId="17">
    <w:name w:val="Plain Text"/>
    <w:basedOn w:val="1"/>
    <w:autoRedefine/>
    <w:qFormat/>
    <w:uiPriority w:val="0"/>
    <w:rPr>
      <w:rFonts w:ascii="Courier New" w:hAnsi="Courier New"/>
      <w:szCs w:val="20"/>
    </w:rPr>
  </w:style>
  <w:style w:type="paragraph" w:styleId="18">
    <w:name w:val="toc 8"/>
    <w:basedOn w:val="1"/>
    <w:next w:val="1"/>
    <w:autoRedefine/>
    <w:semiHidden/>
    <w:qFormat/>
    <w:uiPriority w:val="0"/>
    <w:pPr>
      <w:ind w:left="1470"/>
      <w:jc w:val="left"/>
    </w:pPr>
    <w:rPr>
      <w:sz w:val="18"/>
      <w:szCs w:val="18"/>
    </w:rPr>
  </w:style>
  <w:style w:type="paragraph" w:styleId="19">
    <w:name w:val="Date"/>
    <w:basedOn w:val="1"/>
    <w:next w:val="1"/>
    <w:autoRedefine/>
    <w:qFormat/>
    <w:uiPriority w:val="0"/>
    <w:pPr>
      <w:ind w:left="100" w:leftChars="2500"/>
    </w:pPr>
  </w:style>
  <w:style w:type="paragraph" w:styleId="20">
    <w:name w:val="Balloon Text"/>
    <w:basedOn w:val="1"/>
    <w:autoRedefine/>
    <w:semiHidden/>
    <w:qFormat/>
    <w:uiPriority w:val="0"/>
    <w:rPr>
      <w:sz w:val="18"/>
      <w:szCs w:val="18"/>
    </w:rPr>
  </w:style>
  <w:style w:type="paragraph" w:styleId="21">
    <w:name w:val="footer"/>
    <w:basedOn w:val="1"/>
    <w:link w:val="54"/>
    <w:autoRedefine/>
    <w:qFormat/>
    <w:uiPriority w:val="99"/>
    <w:pPr>
      <w:tabs>
        <w:tab w:val="center" w:pos="4153"/>
        <w:tab w:val="right" w:pos="8306"/>
      </w:tabs>
      <w:snapToGrid w:val="0"/>
      <w:jc w:val="left"/>
    </w:pPr>
    <w:rPr>
      <w:sz w:val="18"/>
      <w:szCs w:val="18"/>
    </w:rPr>
  </w:style>
  <w:style w:type="paragraph" w:styleId="22">
    <w:name w:val="envelope return"/>
    <w:basedOn w:val="1"/>
    <w:autoRedefine/>
    <w:qFormat/>
    <w:uiPriority w:val="0"/>
    <w:pPr>
      <w:snapToGrid w:val="0"/>
    </w:pPr>
    <w:rPr>
      <w:rFonts w:ascii="Arial" w:hAnsi="Arial"/>
    </w:rPr>
  </w:style>
  <w:style w:type="paragraph" w:styleId="2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0"/>
    <w:pPr>
      <w:spacing w:before="120" w:after="120"/>
      <w:jc w:val="left"/>
    </w:pPr>
    <w:rPr>
      <w:b/>
      <w:bCs/>
      <w:caps/>
      <w:sz w:val="20"/>
      <w:szCs w:val="20"/>
    </w:rPr>
  </w:style>
  <w:style w:type="paragraph" w:styleId="25">
    <w:name w:val="toc 4"/>
    <w:basedOn w:val="1"/>
    <w:next w:val="1"/>
    <w:autoRedefine/>
    <w:semiHidden/>
    <w:qFormat/>
    <w:uiPriority w:val="0"/>
    <w:pPr>
      <w:ind w:left="630"/>
      <w:jc w:val="left"/>
    </w:pPr>
    <w:rPr>
      <w:sz w:val="18"/>
      <w:szCs w:val="18"/>
    </w:rPr>
  </w:style>
  <w:style w:type="paragraph" w:styleId="26">
    <w:name w:val="toc 6"/>
    <w:basedOn w:val="1"/>
    <w:next w:val="1"/>
    <w:autoRedefine/>
    <w:semiHidden/>
    <w:qFormat/>
    <w:uiPriority w:val="0"/>
    <w:pPr>
      <w:ind w:left="1050"/>
      <w:jc w:val="left"/>
    </w:pPr>
    <w:rPr>
      <w:sz w:val="18"/>
      <w:szCs w:val="18"/>
    </w:rPr>
  </w:style>
  <w:style w:type="paragraph" w:styleId="27">
    <w:name w:val="toc 2"/>
    <w:basedOn w:val="1"/>
    <w:next w:val="1"/>
    <w:autoRedefine/>
    <w:qFormat/>
    <w:uiPriority w:val="0"/>
    <w:pPr>
      <w:ind w:left="210"/>
      <w:jc w:val="left"/>
    </w:pPr>
    <w:rPr>
      <w:smallCaps/>
      <w:sz w:val="20"/>
      <w:szCs w:val="20"/>
    </w:rPr>
  </w:style>
  <w:style w:type="paragraph" w:styleId="28">
    <w:name w:val="toc 9"/>
    <w:basedOn w:val="1"/>
    <w:next w:val="1"/>
    <w:autoRedefine/>
    <w:semiHidden/>
    <w:qFormat/>
    <w:uiPriority w:val="0"/>
    <w:pPr>
      <w:ind w:left="1680"/>
      <w:jc w:val="left"/>
    </w:pPr>
    <w:rPr>
      <w:sz w:val="18"/>
      <w:szCs w:val="18"/>
    </w:rPr>
  </w:style>
  <w:style w:type="paragraph" w:styleId="29">
    <w:name w:val="Body Text 2"/>
    <w:basedOn w:val="1"/>
    <w:autoRedefine/>
    <w:qFormat/>
    <w:uiPriority w:val="0"/>
    <w:pPr>
      <w:spacing w:line="240" w:lineRule="exact"/>
    </w:pPr>
    <w:rPr>
      <w:rFonts w:eastAsia="仿宋_GB2312"/>
    </w:rPr>
  </w:style>
  <w:style w:type="paragraph" w:styleId="30">
    <w:name w:val="HTML Preformatted"/>
    <w:basedOn w:val="1"/>
    <w:link w:val="46"/>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1">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32">
    <w:name w:val="annotation subject"/>
    <w:basedOn w:val="12"/>
    <w:next w:val="12"/>
    <w:autoRedefine/>
    <w:semiHidden/>
    <w:qFormat/>
    <w:uiPriority w:val="0"/>
    <w:rPr>
      <w:b/>
      <w:bCs/>
    </w:rPr>
  </w:style>
  <w:style w:type="paragraph" w:styleId="33">
    <w:name w:val="Body Text First Indent 2"/>
    <w:basedOn w:val="14"/>
    <w:next w:val="5"/>
    <w:autoRedefine/>
    <w:qFormat/>
    <w:uiPriority w:val="99"/>
    <w:pPr>
      <w:ind w:firstLine="420"/>
    </w:pPr>
    <w:rPr>
      <w:sz w:val="24"/>
    </w:rPr>
  </w:style>
  <w:style w:type="character" w:styleId="36">
    <w:name w:val="page number"/>
    <w:autoRedefine/>
    <w:qFormat/>
    <w:uiPriority w:val="0"/>
  </w:style>
  <w:style w:type="character" w:styleId="37">
    <w:name w:val="FollowedHyperlink"/>
    <w:autoRedefine/>
    <w:qFormat/>
    <w:uiPriority w:val="0"/>
    <w:rPr>
      <w:color w:val="000000"/>
      <w:u w:val="none"/>
    </w:rPr>
  </w:style>
  <w:style w:type="character" w:styleId="38">
    <w:name w:val="line number"/>
    <w:autoRedefine/>
    <w:qFormat/>
    <w:uiPriority w:val="0"/>
  </w:style>
  <w:style w:type="character" w:styleId="39">
    <w:name w:val="Hyperlink"/>
    <w:autoRedefine/>
    <w:qFormat/>
    <w:uiPriority w:val="0"/>
    <w:rPr>
      <w:color w:val="000000"/>
      <w:u w:val="none"/>
    </w:rPr>
  </w:style>
  <w:style w:type="character" w:styleId="40">
    <w:name w:val="annotation reference"/>
    <w:autoRedefine/>
    <w:semiHidden/>
    <w:qFormat/>
    <w:uiPriority w:val="0"/>
    <w:rPr>
      <w:sz w:val="21"/>
      <w:szCs w:val="21"/>
    </w:rPr>
  </w:style>
  <w:style w:type="paragraph" w:styleId="41">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2">
    <w:name w:val="标题 1 字符"/>
    <w:link w:val="6"/>
    <w:autoRedefine/>
    <w:qFormat/>
    <w:uiPriority w:val="0"/>
    <w:rPr>
      <w:rFonts w:eastAsia="宋体"/>
      <w:b/>
      <w:bCs/>
      <w:kern w:val="44"/>
      <w:sz w:val="44"/>
      <w:szCs w:val="44"/>
      <w:lang w:val="en-US" w:eastAsia="zh-CN" w:bidi="ar-SA"/>
    </w:rPr>
  </w:style>
  <w:style w:type="character" w:customStyle="1" w:styleId="43">
    <w:name w:val="标题 2 字符"/>
    <w:link w:val="7"/>
    <w:autoRedefine/>
    <w:qFormat/>
    <w:uiPriority w:val="0"/>
    <w:rPr>
      <w:rFonts w:ascii="Arial" w:hAnsi="Arial" w:eastAsia="黑体"/>
      <w:b/>
      <w:bCs/>
      <w:kern w:val="2"/>
      <w:sz w:val="32"/>
      <w:szCs w:val="32"/>
      <w:lang w:val="en-US" w:eastAsia="zh-CN" w:bidi="ar-SA"/>
    </w:rPr>
  </w:style>
  <w:style w:type="character" w:customStyle="1" w:styleId="44">
    <w:name w:val="批注文字 字符"/>
    <w:link w:val="12"/>
    <w:autoRedefine/>
    <w:qFormat/>
    <w:uiPriority w:val="0"/>
    <w:rPr>
      <w:rFonts w:eastAsia="宋体"/>
      <w:kern w:val="2"/>
      <w:sz w:val="21"/>
      <w:szCs w:val="24"/>
      <w:lang w:val="en-US" w:eastAsia="zh-CN" w:bidi="ar-SA"/>
    </w:rPr>
  </w:style>
  <w:style w:type="character" w:customStyle="1" w:styleId="45">
    <w:name w:val="正文文本 字符"/>
    <w:link w:val="4"/>
    <w:autoRedefine/>
    <w:qFormat/>
    <w:uiPriority w:val="0"/>
    <w:rPr>
      <w:kern w:val="2"/>
      <w:sz w:val="21"/>
      <w:szCs w:val="24"/>
    </w:rPr>
  </w:style>
  <w:style w:type="character" w:customStyle="1" w:styleId="46">
    <w:name w:val="HTML 预设格式 字符"/>
    <w:link w:val="30"/>
    <w:autoRedefine/>
    <w:qFormat/>
    <w:uiPriority w:val="99"/>
    <w:rPr>
      <w:rFonts w:ascii="宋体" w:hAnsi="宋体" w:cs="宋体"/>
      <w:sz w:val="24"/>
      <w:szCs w:val="24"/>
    </w:rPr>
  </w:style>
  <w:style w:type="character" w:customStyle="1" w:styleId="47">
    <w:name w:val="Char Char Char"/>
    <w:autoRedefine/>
    <w:qFormat/>
    <w:locked/>
    <w:uiPriority w:val="0"/>
    <w:rPr>
      <w:rFonts w:eastAsia="宋体"/>
      <w:b/>
      <w:bCs/>
      <w:kern w:val="44"/>
      <w:sz w:val="44"/>
      <w:szCs w:val="44"/>
      <w:lang w:val="en-US" w:eastAsia="zh-CN" w:bidi="ar-SA"/>
    </w:rPr>
  </w:style>
  <w:style w:type="character" w:customStyle="1" w:styleId="48">
    <w:name w:val="hover16"/>
    <w:autoRedefine/>
    <w:qFormat/>
    <w:uiPriority w:val="0"/>
  </w:style>
  <w:style w:type="character" w:customStyle="1" w:styleId="49">
    <w:name w:val="明显强调1"/>
    <w:autoRedefine/>
    <w:qFormat/>
    <w:uiPriority w:val="0"/>
    <w:rPr>
      <w:rFonts w:eastAsia="仿宋_GB2312"/>
      <w:bCs/>
      <w:iCs/>
      <w:color w:val="auto"/>
      <w:sz w:val="32"/>
    </w:rPr>
  </w:style>
  <w:style w:type="paragraph" w:customStyle="1" w:styleId="50">
    <w:name w:val="cjk"/>
    <w:basedOn w:val="1"/>
    <w:autoRedefine/>
    <w:qFormat/>
    <w:uiPriority w:val="0"/>
    <w:pPr>
      <w:widowControl/>
      <w:spacing w:line="480" w:lineRule="auto"/>
      <w:jc w:val="left"/>
    </w:pPr>
    <w:rPr>
      <w:rFonts w:ascii="宋体" w:hAnsi="宋体" w:cs="宋体"/>
      <w:kern w:val="0"/>
      <w:sz w:val="24"/>
    </w:rPr>
  </w:style>
  <w:style w:type="paragraph" w:customStyle="1" w:styleId="51">
    <w:name w:val="样式 标题 2 + Times New Roman 四号 非加粗 段前: 5 磅 段后: 0 磅 行距: 固定值 20..."/>
    <w:basedOn w:val="7"/>
    <w:autoRedefine/>
    <w:qFormat/>
    <w:uiPriority w:val="0"/>
    <w:pPr>
      <w:spacing w:before="100" w:after="0" w:line="400" w:lineRule="exact"/>
    </w:pPr>
    <w:rPr>
      <w:rFonts w:ascii="Times New Roman" w:hAnsi="Times New Roman" w:cs="宋体"/>
      <w:b w:val="0"/>
      <w:bCs w:val="0"/>
      <w:sz w:val="28"/>
      <w:szCs w:val="20"/>
    </w:rPr>
  </w:style>
  <w:style w:type="paragraph" w:customStyle="1" w:styleId="5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3">
    <w:name w:val="大标题"/>
    <w:basedOn w:val="1"/>
    <w:next w:val="33"/>
    <w:autoRedefine/>
    <w:qFormat/>
    <w:uiPriority w:val="0"/>
    <w:pPr>
      <w:jc w:val="center"/>
    </w:pPr>
    <w:rPr>
      <w:rFonts w:ascii="Arial" w:hAnsi="Arial"/>
      <w:b/>
    </w:rPr>
  </w:style>
  <w:style w:type="character" w:customStyle="1" w:styleId="54">
    <w:name w:val="页脚 字符"/>
    <w:basedOn w:val="35"/>
    <w:link w:val="21"/>
    <w:autoRedefine/>
    <w:qFormat/>
    <w:uiPriority w:val="99"/>
    <w:rPr>
      <w:kern w:val="2"/>
      <w:sz w:val="18"/>
      <w:szCs w:val="18"/>
    </w:rPr>
  </w:style>
  <w:style w:type="character" w:customStyle="1" w:styleId="55">
    <w:name w:val="font01"/>
    <w:basedOn w:val="35"/>
    <w:autoRedefine/>
    <w:qFormat/>
    <w:uiPriority w:val="0"/>
    <w:rPr>
      <w:rFonts w:hint="eastAsia" w:ascii="方正小标宋_GBK" w:hAnsi="方正小标宋_GBK" w:eastAsia="方正小标宋_GBK" w:cs="方正小标宋_GBK"/>
      <w:color w:val="000000"/>
      <w:sz w:val="40"/>
      <w:szCs w:val="4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74</Pages>
  <Words>5424</Words>
  <Characters>30921</Characters>
  <Lines>1</Lines>
  <Paragraphs>1</Paragraphs>
  <TotalTime>11</TotalTime>
  <ScaleCrop>false</ScaleCrop>
  <LinksUpToDate>false</LinksUpToDate>
  <CharactersWithSpaces>36273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空 境</cp:lastModifiedBy>
  <cp:lastPrinted>2020-07-20T15:54:00Z</cp:lastPrinted>
  <dcterms:modified xsi:type="dcterms:W3CDTF">2025-03-05T08:47:21Z</dcterms:modified>
  <dc:title>目   录</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517B11D749E44D5F9ABF116659ACEBDA_13</vt:lpwstr>
  </property>
</Properties>
</file>