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楷体_GB2312" w:eastAsia="楷体_GB2312"/>
          <w:b/>
          <w:color w:val="auto"/>
          <w:sz w:val="52"/>
          <w:szCs w:val="52"/>
          <w:highlight w:val="none"/>
        </w:rPr>
      </w:pPr>
      <w:bookmarkStart w:id="0" w:name="_Toc246996898"/>
      <w:bookmarkStart w:id="1" w:name="_Toc296602400"/>
      <w:bookmarkStart w:id="2" w:name="_Toc247085669"/>
      <w:bookmarkStart w:id="782" w:name="_GoBack"/>
      <w:bookmarkEnd w:id="782"/>
    </w:p>
    <w:p>
      <w:pPr>
        <w:spacing w:line="560" w:lineRule="exact"/>
        <w:jc w:val="center"/>
        <w:rPr>
          <w:rFonts w:hint="eastAsia"/>
          <w:color w:val="auto"/>
          <w:sz w:val="32"/>
          <w:szCs w:val="32"/>
          <w:highlight w:val="none"/>
        </w:rPr>
      </w:pPr>
      <w:r>
        <w:rPr>
          <w:rFonts w:hint="eastAsia"/>
          <w:color w:val="auto"/>
          <w:sz w:val="32"/>
          <w:szCs w:val="32"/>
          <w:highlight w:val="none"/>
        </w:rPr>
        <w:t>开封市机关事务中心八大街办公区保安、保洁、消防及</w:t>
      </w:r>
    </w:p>
    <w:p>
      <w:pPr>
        <w:spacing w:line="560" w:lineRule="exact"/>
        <w:jc w:val="center"/>
        <w:rPr>
          <w:rFonts w:hint="eastAsia"/>
          <w:color w:val="auto"/>
          <w:sz w:val="32"/>
          <w:szCs w:val="32"/>
          <w:highlight w:val="none"/>
        </w:rPr>
      </w:pPr>
      <w:r>
        <w:rPr>
          <w:rFonts w:hint="eastAsia"/>
          <w:color w:val="auto"/>
          <w:sz w:val="32"/>
          <w:szCs w:val="32"/>
          <w:highlight w:val="none"/>
        </w:rPr>
        <w:t>监控维保项目第一标段</w:t>
      </w: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pPr>
        <w:jc w:val="center"/>
        <w:rPr>
          <w:rFonts w:hint="eastAsia" w:ascii="宋体" w:hAnsi="宋体" w:eastAsia="楷体_GB2312"/>
          <w:color w:val="auto"/>
          <w:sz w:val="48"/>
          <w:szCs w:val="48"/>
          <w:highlight w:val="none"/>
          <w:lang w:val="en-US" w:eastAsia="zh-CN"/>
        </w:rPr>
      </w:pPr>
      <w:r>
        <w:rPr>
          <w:rFonts w:hint="eastAsia" w:ascii="楷体_GB2312" w:hAnsi="宋体" w:eastAsia="楷体_GB2312"/>
          <w:b/>
          <w:color w:val="auto"/>
          <w:sz w:val="32"/>
          <w:szCs w:val="32"/>
          <w:highlight w:val="none"/>
        </w:rPr>
        <w:t>项目编号：汴财招标</w:t>
      </w:r>
      <w:r>
        <w:rPr>
          <w:rFonts w:hint="eastAsia" w:ascii="楷体_GB2312" w:hAnsi="宋体" w:eastAsia="楷体_GB2312" w:cs="宋体"/>
          <w:b/>
          <w:color w:val="auto"/>
          <w:sz w:val="32"/>
          <w:szCs w:val="32"/>
          <w:highlight w:val="none"/>
        </w:rPr>
        <w:t>采购-202</w:t>
      </w:r>
      <w:r>
        <w:rPr>
          <w:rFonts w:hint="eastAsia" w:ascii="楷体_GB2312" w:hAnsi="宋体" w:eastAsia="楷体_GB2312" w:cs="宋体"/>
          <w:b/>
          <w:color w:val="auto"/>
          <w:sz w:val="32"/>
          <w:szCs w:val="32"/>
          <w:highlight w:val="none"/>
          <w:lang w:val="en-US" w:eastAsia="zh-CN"/>
        </w:rPr>
        <w:t>5</w:t>
      </w:r>
      <w:r>
        <w:rPr>
          <w:rFonts w:hint="eastAsia" w:ascii="楷体_GB2312" w:hAnsi="宋体" w:eastAsia="楷体_GB2312" w:cs="宋体"/>
          <w:b/>
          <w:color w:val="auto"/>
          <w:sz w:val="32"/>
          <w:szCs w:val="32"/>
          <w:highlight w:val="none"/>
        </w:rPr>
        <w:t>-</w:t>
      </w:r>
      <w:r>
        <w:rPr>
          <w:rFonts w:hint="eastAsia" w:ascii="楷体_GB2312" w:hAnsi="宋体" w:eastAsia="楷体_GB2312" w:cs="宋体"/>
          <w:b/>
          <w:color w:val="auto"/>
          <w:sz w:val="32"/>
          <w:szCs w:val="32"/>
          <w:highlight w:val="none"/>
          <w:lang w:val="en-US" w:eastAsia="zh-CN"/>
        </w:rPr>
        <w:t>6</w:t>
      </w:r>
    </w:p>
    <w:p>
      <w:pPr>
        <w:jc w:val="center"/>
        <w:rPr>
          <w:rFonts w:ascii="楷体_GB2312" w:eastAsia="楷体_GB2312"/>
          <w:color w:val="auto"/>
          <w:sz w:val="32"/>
          <w:szCs w:val="32"/>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560" w:lineRule="exact"/>
        <w:jc w:val="center"/>
        <w:rPr>
          <w:rFonts w:ascii="楷体_GB2312" w:eastAsia="楷体_GB2312"/>
          <w:b/>
          <w:color w:val="auto"/>
          <w:spacing w:val="40"/>
          <w:sz w:val="36"/>
          <w:szCs w:val="36"/>
          <w:highlight w:val="none"/>
        </w:rPr>
      </w:pPr>
      <w:r>
        <w:rPr>
          <w:rFonts w:hint="eastAsia" w:ascii="楷体_GB2312" w:eastAsia="楷体_GB2312"/>
          <w:b/>
          <w:color w:val="auto"/>
          <w:spacing w:val="40"/>
          <w:sz w:val="36"/>
          <w:szCs w:val="36"/>
          <w:highlight w:val="none"/>
        </w:rPr>
        <w:t>开封市政府采购中心</w:t>
      </w:r>
    </w:p>
    <w:p>
      <w:pPr>
        <w:pStyle w:val="24"/>
        <w:tabs>
          <w:tab w:val="right" w:leader="dot" w:pos="8834"/>
        </w:tabs>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fmt="decimal" w:start="1"/>
          <w:cols w:space="720" w:num="1"/>
          <w:titlePg/>
          <w:docGrid w:type="lines" w:linePitch="312" w:charSpace="0"/>
        </w:sectPr>
      </w:pPr>
    </w:p>
    <w:p>
      <w:pPr>
        <w:pStyle w:val="6"/>
        <w:tabs>
          <w:tab w:val="right" w:leader="dot" w:pos="8834"/>
        </w:tabs>
        <w:jc w:val="center"/>
        <w:rPr>
          <w:rFonts w:ascii="宋体" w:hAnsi="宋体"/>
          <w:b w:val="0"/>
          <w:bCs w:val="0"/>
          <w:iCs/>
          <w:caps/>
          <w:color w:val="auto"/>
          <w:highlight w:val="none"/>
        </w:rPr>
      </w:pPr>
      <w:bookmarkStart w:id="3" w:name="_Toc29748"/>
      <w:bookmarkStart w:id="4" w:name="_Toc29393"/>
      <w:r>
        <w:rPr>
          <w:rFonts w:hint="eastAsia" w:ascii="宋体" w:hAnsi="宋体"/>
          <w:color w:val="auto"/>
          <w:highlight w:val="none"/>
        </w:rPr>
        <w:t>目   录</w:t>
      </w:r>
      <w:bookmarkEnd w:id="0"/>
      <w:bookmarkEnd w:id="1"/>
      <w:bookmarkEnd w:id="2"/>
      <w:bookmarkEnd w:id="3"/>
      <w:bookmarkEnd w:id="4"/>
      <w:bookmarkStart w:id="5" w:name="_Toc289241344"/>
      <w:bookmarkStart w:id="6" w:name="_Toc289241521"/>
      <w:bookmarkStart w:id="7" w:name="_Toc338840184"/>
      <w:bookmarkStart w:id="8" w:name="_Toc338840439"/>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TOC \o "1-2" \h \z \u</w:instrText>
      </w:r>
      <w:r>
        <w:rPr>
          <w:rFonts w:ascii="宋体" w:hAnsi="宋体"/>
          <w:color w:val="auto"/>
          <w:highlight w:val="none"/>
        </w:rPr>
        <w:instrText xml:space="preserve"> </w:instrText>
      </w:r>
      <w:r>
        <w:rPr>
          <w:rFonts w:ascii="宋体" w:hAnsi="宋体"/>
          <w:color w:val="auto"/>
          <w:highlight w:val="none"/>
        </w:rPr>
        <w:fldChar w:fldCharType="separate"/>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"_Toc26571" </w:instrText>
      </w:r>
      <w:r>
        <w:rPr>
          <w:color w:val="auto"/>
          <w:highlight w:val="none"/>
        </w:rPr>
        <w:fldChar w:fldCharType="separate"/>
      </w:r>
      <w:r>
        <w:rPr>
          <w:rFonts w:hint="eastAsia" w:ascii="宋体" w:hAnsi="宋体" w:cs="宋体"/>
          <w:color w:val="auto"/>
          <w:sz w:val="28"/>
          <w:szCs w:val="28"/>
          <w:highlight w:val="none"/>
        </w:rPr>
        <w:t>第一章 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_Toc26571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"_Toc13151" </w:instrText>
      </w:r>
      <w:r>
        <w:rPr>
          <w:color w:val="auto"/>
          <w:highlight w:val="none"/>
        </w:rPr>
        <w:fldChar w:fldCharType="separate"/>
      </w:r>
      <w:r>
        <w:rPr>
          <w:rFonts w:hint="eastAsia" w:ascii="宋体" w:hAnsi="宋体" w:cs="宋体"/>
          <w:color w:val="auto"/>
          <w:sz w:val="28"/>
          <w:szCs w:val="28"/>
          <w:highlight w:val="none"/>
        </w:rPr>
        <w:t>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_Toc13151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"_Toc18827" </w:instrText>
      </w:r>
      <w:r>
        <w:rPr>
          <w:color w:val="auto"/>
          <w:highlight w:val="none"/>
        </w:rPr>
        <w:fldChar w:fldCharType="separate"/>
      </w:r>
      <w:r>
        <w:rPr>
          <w:rFonts w:hint="eastAsia" w:ascii="宋体" w:hAnsi="宋体" w:cs="宋体"/>
          <w:color w:val="auto"/>
          <w:sz w:val="28"/>
          <w:szCs w:val="28"/>
          <w:highlight w:val="none"/>
        </w:rPr>
        <w:t>供应商须知前附表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_Toc18827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"_Toc29445" </w:instrText>
      </w:r>
      <w:r>
        <w:rPr>
          <w:color w:val="auto"/>
          <w:highlight w:val="none"/>
        </w:rPr>
        <w:fldChar w:fldCharType="separate"/>
      </w:r>
      <w:r>
        <w:rPr>
          <w:rFonts w:hint="eastAsia" w:ascii="宋体" w:hAnsi="宋体" w:cs="宋体"/>
          <w:color w:val="auto"/>
          <w:sz w:val="28"/>
          <w:szCs w:val="28"/>
          <w:highlight w:val="none"/>
        </w:rPr>
        <w:t>1. 总则</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_Toc29445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"_Toc28300" </w:instrText>
      </w:r>
      <w:r>
        <w:rPr>
          <w:color w:val="auto"/>
          <w:highlight w:val="none"/>
        </w:rPr>
        <w:fldChar w:fldCharType="separate"/>
      </w:r>
      <w:r>
        <w:rPr>
          <w:rFonts w:hint="eastAsia" w:ascii="宋体" w:hAnsi="宋体" w:cs="宋体"/>
          <w:color w:val="auto"/>
          <w:sz w:val="28"/>
          <w:szCs w:val="28"/>
          <w:highlight w:val="none"/>
        </w:rPr>
        <w:t>2. 招标文件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_Toc28300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"_Toc8262" </w:instrText>
      </w:r>
      <w:r>
        <w:rPr>
          <w:color w:val="auto"/>
          <w:highlight w:val="none"/>
        </w:rPr>
        <w:fldChar w:fldCharType="separate"/>
      </w:r>
      <w:r>
        <w:rPr>
          <w:rFonts w:hint="eastAsia" w:ascii="宋体" w:hAnsi="宋体" w:cs="宋体"/>
          <w:color w:val="auto"/>
          <w:sz w:val="28"/>
          <w:szCs w:val="28"/>
          <w:highlight w:val="none"/>
        </w:rPr>
        <w:t>3. 投标文件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_Toc8262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"_Toc14743" </w:instrText>
      </w:r>
      <w:r>
        <w:rPr>
          <w:color w:val="auto"/>
          <w:highlight w:val="none"/>
        </w:rPr>
        <w:fldChar w:fldCharType="separate"/>
      </w:r>
      <w:r>
        <w:rPr>
          <w:rFonts w:hint="eastAsia" w:ascii="宋体" w:hAnsi="宋体" w:cs="宋体"/>
          <w:color w:val="auto"/>
          <w:sz w:val="28"/>
          <w:szCs w:val="28"/>
          <w:highlight w:val="none"/>
        </w:rPr>
        <w:t>4. 投标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_Toc14743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"_Toc20438" </w:instrText>
      </w:r>
      <w:r>
        <w:rPr>
          <w:color w:val="auto"/>
          <w:highlight w:val="none"/>
        </w:rPr>
        <w:fldChar w:fldCharType="separate"/>
      </w:r>
      <w:r>
        <w:rPr>
          <w:rFonts w:hint="eastAsia" w:ascii="宋体" w:hAnsi="宋体" w:cs="宋体"/>
          <w:color w:val="auto"/>
          <w:sz w:val="28"/>
          <w:szCs w:val="28"/>
          <w:highlight w:val="none"/>
        </w:rPr>
        <w:t>5. 开标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_Toc20438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"_Toc23925" </w:instrText>
      </w:r>
      <w:r>
        <w:rPr>
          <w:color w:val="auto"/>
          <w:highlight w:val="none"/>
        </w:rPr>
        <w:fldChar w:fldCharType="separate"/>
      </w:r>
      <w:r>
        <w:rPr>
          <w:rFonts w:hint="eastAsia" w:ascii="宋体" w:hAnsi="宋体" w:cs="宋体"/>
          <w:color w:val="auto"/>
          <w:sz w:val="28"/>
          <w:szCs w:val="28"/>
          <w:highlight w:val="none"/>
        </w:rPr>
        <w:t>6. 评标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_Toc23925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"_Toc7858" </w:instrText>
      </w:r>
      <w:r>
        <w:rPr>
          <w:color w:val="auto"/>
          <w:highlight w:val="none"/>
        </w:rPr>
        <w:fldChar w:fldCharType="separate"/>
      </w:r>
      <w:r>
        <w:rPr>
          <w:rFonts w:hint="eastAsia" w:ascii="宋体" w:hAnsi="宋体" w:cs="宋体"/>
          <w:color w:val="auto"/>
          <w:sz w:val="28"/>
          <w:szCs w:val="28"/>
          <w:highlight w:val="none"/>
        </w:rPr>
        <w:t>7. 合同授予</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_Toc7858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"_Toc19232" </w:instrText>
      </w:r>
      <w:r>
        <w:rPr>
          <w:color w:val="auto"/>
          <w:highlight w:val="none"/>
        </w:rPr>
        <w:fldChar w:fldCharType="separate"/>
      </w:r>
      <w:r>
        <w:rPr>
          <w:rFonts w:hint="eastAsia" w:ascii="宋体" w:hAnsi="宋体" w:cs="宋体"/>
          <w:color w:val="auto"/>
          <w:sz w:val="28"/>
          <w:szCs w:val="28"/>
          <w:highlight w:val="none"/>
        </w:rPr>
        <w:t>8. 纪律和监督</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_Toc19232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"_Toc10773" </w:instrText>
      </w:r>
      <w:r>
        <w:rPr>
          <w:color w:val="auto"/>
          <w:highlight w:val="none"/>
        </w:rPr>
        <w:fldChar w:fldCharType="separate"/>
      </w:r>
      <w:r>
        <w:rPr>
          <w:rFonts w:hint="eastAsia" w:ascii="宋体" w:hAnsi="宋体" w:cs="宋体"/>
          <w:color w:val="auto"/>
          <w:sz w:val="28"/>
          <w:szCs w:val="28"/>
          <w:highlight w:val="none"/>
        </w:rPr>
        <w:t>9. 关于中小企业、监狱企业、残疾人福利性单位投标的说明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_Toc10773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"_Toc615" </w:instrText>
      </w:r>
      <w:r>
        <w:rPr>
          <w:color w:val="auto"/>
          <w:highlight w:val="none"/>
        </w:rPr>
        <w:fldChar w:fldCharType="separate"/>
      </w:r>
      <w:r>
        <w:rPr>
          <w:rFonts w:hint="eastAsia" w:ascii="宋体" w:hAnsi="宋体" w:cs="宋体"/>
          <w:color w:val="auto"/>
          <w:sz w:val="28"/>
          <w:szCs w:val="28"/>
          <w:highlight w:val="none"/>
        </w:rPr>
        <w:t>10. 需要补充的其他内容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_Toc615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"_Toc29712" </w:instrText>
      </w:r>
      <w:r>
        <w:rPr>
          <w:color w:val="auto"/>
          <w:highlight w:val="none"/>
        </w:rPr>
        <w:fldChar w:fldCharType="separate"/>
      </w:r>
      <w:r>
        <w:rPr>
          <w:rFonts w:hint="eastAsia" w:ascii="宋体" w:hAnsi="宋体" w:cs="宋体"/>
          <w:color w:val="auto"/>
          <w:sz w:val="28"/>
          <w:szCs w:val="28"/>
          <w:highlight w:val="none"/>
        </w:rPr>
        <w:t>11．电子招标投标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_Toc29712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"_Toc24747" </w:instrText>
      </w:r>
      <w:r>
        <w:rPr>
          <w:color w:val="auto"/>
          <w:highlight w:val="none"/>
        </w:rPr>
        <w:fldChar w:fldCharType="separate"/>
      </w:r>
      <w:r>
        <w:rPr>
          <w:rFonts w:hint="eastAsia" w:ascii="宋体" w:hAnsi="宋体" w:cs="宋体"/>
          <w:color w:val="auto"/>
          <w:sz w:val="28"/>
          <w:szCs w:val="28"/>
          <w:highlight w:val="none"/>
        </w:rPr>
        <w:t>第三章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_Toc24747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"_Toc452" </w:instrText>
      </w:r>
      <w:r>
        <w:rPr>
          <w:color w:val="auto"/>
          <w:highlight w:val="none"/>
        </w:rPr>
        <w:fldChar w:fldCharType="separate"/>
      </w:r>
      <w:r>
        <w:rPr>
          <w:rFonts w:hint="eastAsia" w:ascii="宋体" w:hAnsi="宋体" w:cs="宋体"/>
          <w:color w:val="auto"/>
          <w:sz w:val="28"/>
          <w:szCs w:val="28"/>
          <w:highlight w:val="none"/>
        </w:rPr>
        <w:t>评标办法前附表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_Toc452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"_Toc9899" </w:instrText>
      </w:r>
      <w:r>
        <w:rPr>
          <w:color w:val="auto"/>
          <w:highlight w:val="none"/>
        </w:rPr>
        <w:fldChar w:fldCharType="separate"/>
      </w:r>
      <w:r>
        <w:rPr>
          <w:rFonts w:hint="eastAsia" w:ascii="宋体" w:hAnsi="宋体" w:cs="宋体"/>
          <w:color w:val="auto"/>
          <w:sz w:val="28"/>
          <w:szCs w:val="28"/>
          <w:highlight w:val="none"/>
        </w:rPr>
        <w:t>1. 评标方法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_Toc9899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"_Toc10387" </w:instrText>
      </w:r>
      <w:r>
        <w:rPr>
          <w:color w:val="auto"/>
          <w:highlight w:val="none"/>
        </w:rPr>
        <w:fldChar w:fldCharType="separate"/>
      </w:r>
      <w:r>
        <w:rPr>
          <w:rFonts w:hint="eastAsia" w:ascii="宋体" w:hAnsi="宋体" w:cs="宋体"/>
          <w:color w:val="auto"/>
          <w:sz w:val="28"/>
          <w:szCs w:val="28"/>
          <w:highlight w:val="none"/>
        </w:rPr>
        <w:t>2. 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_Toc10387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"_Toc30064" </w:instrText>
      </w:r>
      <w:r>
        <w:rPr>
          <w:color w:val="auto"/>
          <w:highlight w:val="none"/>
        </w:rPr>
        <w:fldChar w:fldCharType="separate"/>
      </w:r>
      <w:r>
        <w:rPr>
          <w:rFonts w:hint="eastAsia" w:ascii="宋体" w:hAnsi="宋体" w:cs="宋体"/>
          <w:color w:val="auto"/>
          <w:sz w:val="28"/>
          <w:szCs w:val="28"/>
          <w:highlight w:val="none"/>
        </w:rPr>
        <w:t>3. 评标程序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_Toc30064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"_Toc27082" </w:instrText>
      </w:r>
      <w:r>
        <w:rPr>
          <w:color w:val="auto"/>
          <w:highlight w:val="none"/>
        </w:rPr>
        <w:fldChar w:fldCharType="separate"/>
      </w:r>
      <w:r>
        <w:rPr>
          <w:rFonts w:hint="eastAsia" w:ascii="宋体" w:hAnsi="宋体" w:cs="宋体"/>
          <w:color w:val="auto"/>
          <w:sz w:val="28"/>
          <w:szCs w:val="28"/>
          <w:highlight w:val="none"/>
        </w:rPr>
        <w:t>附件Ａ：</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_Toc27082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"_Toc17369" </w:instrText>
      </w:r>
      <w:r>
        <w:rPr>
          <w:color w:val="auto"/>
          <w:highlight w:val="none"/>
        </w:rPr>
        <w:fldChar w:fldCharType="separate"/>
      </w:r>
      <w:r>
        <w:rPr>
          <w:rFonts w:hint="eastAsia" w:ascii="宋体" w:hAnsi="宋体" w:cs="宋体"/>
          <w:color w:val="auto"/>
          <w:sz w:val="28"/>
          <w:szCs w:val="28"/>
          <w:highlight w:val="none"/>
        </w:rPr>
        <w:t>第四章 合同条款及格式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_Toc17369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"_Toc30854" </w:instrText>
      </w:r>
      <w:r>
        <w:rPr>
          <w:color w:val="auto"/>
          <w:highlight w:val="none"/>
        </w:rPr>
        <w:fldChar w:fldCharType="separate"/>
      </w:r>
      <w:r>
        <w:rPr>
          <w:rFonts w:hint="eastAsia" w:ascii="宋体" w:hAnsi="宋体" w:cs="宋体"/>
          <w:color w:val="auto"/>
          <w:sz w:val="28"/>
          <w:szCs w:val="28"/>
          <w:highlight w:val="none"/>
        </w:rPr>
        <w:t>开封政府采购合同融资政策告知函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_Toc30854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"_Toc6494" </w:instrText>
      </w:r>
      <w:r>
        <w:rPr>
          <w:color w:val="auto"/>
          <w:highlight w:val="none"/>
        </w:rPr>
        <w:fldChar w:fldCharType="separate"/>
      </w:r>
      <w:r>
        <w:rPr>
          <w:rFonts w:hint="eastAsia" w:ascii="宋体" w:hAnsi="宋体" w:cs="宋体"/>
          <w:bCs/>
          <w:color w:val="auto"/>
          <w:sz w:val="28"/>
          <w:szCs w:val="28"/>
          <w:highlight w:val="none"/>
        </w:rPr>
        <w:t>开封政府采购合同履约保函政策告知函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_Toc6494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"_Toc9194" </w:instrText>
      </w:r>
      <w:r>
        <w:rPr>
          <w:color w:val="auto"/>
          <w:highlight w:val="none"/>
        </w:rPr>
        <w:fldChar w:fldCharType="separate"/>
      </w:r>
      <w:r>
        <w:rPr>
          <w:rFonts w:hint="eastAsia" w:ascii="宋体" w:hAnsi="宋体" w:cs="宋体"/>
          <w:color w:val="auto"/>
          <w:sz w:val="28"/>
          <w:szCs w:val="28"/>
          <w:highlight w:val="none"/>
        </w:rPr>
        <w:t>第五章  招标内容及商务技术要求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_Toc9194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"_Toc32761" </w:instrText>
      </w:r>
      <w:r>
        <w:rPr>
          <w:color w:val="auto"/>
          <w:highlight w:val="none"/>
        </w:rPr>
        <w:fldChar w:fldCharType="separate"/>
      </w:r>
      <w:r>
        <w:rPr>
          <w:rFonts w:hint="eastAsia" w:ascii="宋体" w:hAnsi="宋体" w:cs="宋体"/>
          <w:color w:val="auto"/>
          <w:sz w:val="28"/>
          <w:szCs w:val="28"/>
          <w:highlight w:val="none"/>
        </w:rPr>
        <w:t>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_Toc32761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34"/>
        </w:tabs>
        <w:jc w:val="center"/>
        <w:rPr>
          <w:rFonts w:ascii="宋体" w:hAnsi="宋体"/>
          <w:b w:val="0"/>
          <w:bCs w:val="0"/>
          <w:iCs/>
          <w:caps w:val="0"/>
          <w:color w:val="auto"/>
          <w:highlight w:val="none"/>
        </w:rPr>
        <w:sectPr>
          <w:footerReference r:id="rId6" w:type="default"/>
          <w:pgSz w:w="11906" w:h="16838"/>
          <w:pgMar w:top="1417" w:right="1474" w:bottom="1417" w:left="1588" w:header="851" w:footer="992" w:gutter="0"/>
          <w:pgNumType w:fmt="decimal" w:start="1"/>
          <w:cols w:space="720" w:num="1"/>
          <w:docGrid w:type="lines" w:linePitch="312" w:charSpace="0"/>
        </w:sectPr>
      </w:pPr>
      <w:r>
        <w:rPr>
          <w:rFonts w:ascii="宋体" w:hAnsi="宋体"/>
          <w:b w:val="0"/>
          <w:bCs w:val="0"/>
          <w:iCs/>
          <w:caps w:val="0"/>
          <w:color w:val="auto"/>
          <w:sz w:val="44"/>
          <w:szCs w:val="44"/>
          <w:highlight w:val="none"/>
        </w:rPr>
        <w:fldChar w:fldCharType="end"/>
      </w:r>
      <w:bookmarkStart w:id="9" w:name="_Toc346523399"/>
      <w:bookmarkStart w:id="10" w:name="_Toc346523462"/>
      <w:bookmarkStart w:id="11" w:name="_Toc494526398"/>
      <w:bookmarkStart w:id="12" w:name="_Toc338840478"/>
      <w:bookmarkStart w:id="13" w:name="_Toc494526397"/>
      <w:bookmarkStart w:id="14" w:name="_Toc1607"/>
      <w:bookmarkStart w:id="15" w:name="_Toc494093426"/>
    </w:p>
    <w:p>
      <w:pPr>
        <w:pStyle w:val="6"/>
        <w:numPr>
          <w:ilvl w:val="0"/>
          <w:numId w:val="1"/>
        </w:numPr>
        <w:jc w:val="center"/>
        <w:rPr>
          <w:rFonts w:ascii="宋体" w:hAnsi="宋体"/>
          <w:color w:val="auto"/>
          <w:highlight w:val="none"/>
        </w:rPr>
      </w:pPr>
      <w:bookmarkStart w:id="16" w:name="_Toc17934"/>
      <w:r>
        <w:rPr>
          <w:rFonts w:hint="eastAsia" w:ascii="宋体" w:hAnsi="宋体"/>
          <w:color w:val="auto"/>
          <w:highlight w:val="none"/>
        </w:rPr>
        <w:t xml:space="preserve"> </w:t>
      </w:r>
      <w:bookmarkEnd w:id="5"/>
      <w:bookmarkEnd w:id="6"/>
      <w:bookmarkStart w:id="17" w:name="_Toc26571"/>
      <w:bookmarkStart w:id="18" w:name="_Toc2387"/>
      <w:r>
        <w:rPr>
          <w:rFonts w:hint="eastAsia" w:ascii="宋体" w:hAnsi="宋体"/>
          <w:color w:val="auto"/>
          <w:highlight w:val="none"/>
        </w:rPr>
        <w:t>招标公告</w:t>
      </w:r>
      <w:bookmarkEnd w:id="7"/>
      <w:bookmarkEnd w:id="8"/>
      <w:bookmarkEnd w:id="9"/>
      <w:bookmarkEnd w:id="10"/>
      <w:bookmarkEnd w:id="11"/>
      <w:bookmarkEnd w:id="12"/>
      <w:bookmarkEnd w:id="13"/>
      <w:bookmarkEnd w:id="14"/>
      <w:bookmarkEnd w:id="15"/>
      <w:bookmarkEnd w:id="16"/>
      <w:bookmarkEnd w:id="17"/>
      <w:bookmarkEnd w:id="18"/>
    </w:p>
    <w:p>
      <w:pPr>
        <w:spacing w:line="560" w:lineRule="exact"/>
        <w:jc w:val="center"/>
        <w:rPr>
          <w:rFonts w:hint="eastAsia"/>
          <w:color w:val="auto"/>
          <w:sz w:val="32"/>
          <w:szCs w:val="32"/>
          <w:highlight w:val="none"/>
        </w:rPr>
      </w:pPr>
      <w:r>
        <w:rPr>
          <w:rFonts w:hint="eastAsia"/>
          <w:color w:val="auto"/>
          <w:sz w:val="32"/>
          <w:szCs w:val="32"/>
          <w:highlight w:val="none"/>
        </w:rPr>
        <w:t>开封市机关事务中心八大街办公区保安、保洁、消防及</w:t>
      </w:r>
    </w:p>
    <w:p>
      <w:pPr>
        <w:jc w:val="center"/>
        <w:rPr>
          <w:rFonts w:ascii="宋体" w:hAnsi="宋体" w:cs="宋体"/>
          <w:bCs/>
          <w:color w:val="auto"/>
          <w:kern w:val="0"/>
          <w:sz w:val="32"/>
          <w:szCs w:val="32"/>
          <w:highlight w:val="none"/>
        </w:rPr>
      </w:pPr>
      <w:r>
        <w:rPr>
          <w:rFonts w:hint="eastAsia"/>
          <w:color w:val="auto"/>
          <w:sz w:val="32"/>
          <w:szCs w:val="32"/>
          <w:highlight w:val="none"/>
        </w:rPr>
        <w:t>监控维保项目</w:t>
      </w:r>
      <w:r>
        <w:rPr>
          <w:rFonts w:hint="eastAsia" w:ascii="宋体" w:hAnsi="宋体" w:cs="宋体"/>
          <w:bCs/>
          <w:color w:val="auto"/>
          <w:spacing w:val="-10"/>
          <w:kern w:val="0"/>
          <w:sz w:val="32"/>
          <w:szCs w:val="32"/>
          <w:highlight w:val="none"/>
        </w:rPr>
        <w:t>公开招标</w:t>
      </w:r>
      <w:r>
        <w:rPr>
          <w:rFonts w:hint="eastAsia" w:ascii="宋体" w:hAnsi="宋体" w:cs="宋体"/>
          <w:bCs/>
          <w:color w:val="auto"/>
          <w:kern w:val="0"/>
          <w:sz w:val="32"/>
          <w:szCs w:val="32"/>
          <w:highlight w:val="none"/>
        </w:rPr>
        <w:t>公告</w:t>
      </w:r>
    </w:p>
    <w:p>
      <w:pPr>
        <w:jc w:val="center"/>
        <w:rPr>
          <w:rFonts w:ascii="宋体" w:hAnsi="宋体" w:cs="宋体"/>
          <w:bCs/>
          <w:color w:val="auto"/>
          <w:kern w:val="0"/>
          <w:sz w:val="32"/>
          <w:szCs w:val="32"/>
          <w:highlight w:val="none"/>
        </w:rPr>
      </w:pP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一、项目基本情况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1、项目编号：</w:t>
      </w:r>
      <w:r>
        <w:rPr>
          <w:rFonts w:hint="eastAsia" w:ascii="宋体" w:hAnsi="宋体"/>
          <w:color w:val="auto"/>
          <w:sz w:val="24"/>
          <w:highlight w:val="none"/>
        </w:rPr>
        <w:t>汴财招标</w:t>
      </w:r>
      <w:r>
        <w:rPr>
          <w:rFonts w:hint="eastAsia" w:ascii="宋体" w:hAnsi="宋体" w:cs="宋体"/>
          <w:color w:val="auto"/>
          <w:sz w:val="24"/>
          <w:highlight w:val="none"/>
        </w:rPr>
        <w:t>采购</w:t>
      </w:r>
      <w:r>
        <w:rPr>
          <w:rFonts w:hint="eastAsia" w:ascii="宋体" w:hAnsi="宋体" w:cs="宋体"/>
          <w:color w:val="auto"/>
          <w:sz w:val="24"/>
          <w:highlight w:val="none"/>
          <w:lang w:val="en-US" w:eastAsia="zh-CN"/>
        </w:rPr>
        <w:t>-2025-6</w:t>
      </w:r>
      <w:r>
        <w:rPr>
          <w:rFonts w:hint="eastAsia" w:ascii="宋体" w:hAnsi="宋体" w:cs="宋体"/>
          <w:color w:val="auto"/>
          <w:sz w:val="24"/>
          <w:highlight w:val="none"/>
        </w:rPr>
        <w:t xml:space="preserve">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2、项目名称：开封市机关事务中心八大街办公区保安、保洁、消防及</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监控维保项目</w:t>
      </w:r>
      <w:r>
        <w:rPr>
          <w:rFonts w:hint="eastAsia"/>
          <w:color w:val="auto"/>
          <w:sz w:val="24"/>
          <w:highlight w:val="none"/>
        </w:rPr>
        <w:t xml:space="preserve">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2634000元</w:t>
      </w:r>
      <w:r>
        <w:rPr>
          <w:rFonts w:hint="eastAsia" w:ascii="宋体" w:hAnsi="宋体" w:cs="宋体"/>
          <w:color w:val="auto"/>
          <w:kern w:val="0"/>
          <w:sz w:val="24"/>
          <w:highlight w:val="none"/>
        </w:rPr>
        <w:t xml:space="preserve">   </w:t>
      </w:r>
    </w:p>
    <w:p>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2634000元</w:t>
      </w:r>
      <w:r>
        <w:rPr>
          <w:rFonts w:hint="eastAsia" w:ascii="宋体" w:hAnsi="宋体" w:cs="宋体"/>
          <w:color w:val="auto"/>
          <w:kern w:val="0"/>
          <w:sz w:val="24"/>
          <w:highlight w:val="none"/>
        </w:rPr>
        <w:t xml:space="preserve">    </w:t>
      </w:r>
    </w:p>
    <w:tbl>
      <w:tblPr>
        <w:tblStyle w:val="34"/>
        <w:tblW w:w="8683"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357"/>
        <w:gridCol w:w="1582"/>
        <w:gridCol w:w="1905"/>
        <w:gridCol w:w="1582"/>
        <w:gridCol w:w="2257"/>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1582"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包号</w:t>
            </w:r>
          </w:p>
        </w:tc>
        <w:tc>
          <w:tcPr>
            <w:tcW w:w="1905"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包名称</w:t>
            </w:r>
          </w:p>
        </w:tc>
        <w:tc>
          <w:tcPr>
            <w:tcW w:w="1582"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2257"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包最高限价（元）</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第一标段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保安</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1164</w:t>
            </w:r>
            <w:r>
              <w:rPr>
                <w:rFonts w:hint="eastAsia" w:ascii="宋体" w:hAnsi="宋体" w:eastAsia="宋体" w:cs="宋体"/>
                <w:color w:val="auto"/>
                <w:kern w:val="0"/>
                <w:sz w:val="24"/>
                <w:highlight w:val="none"/>
              </w:rPr>
              <w:t>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1164</w:t>
            </w:r>
            <w:r>
              <w:rPr>
                <w:rFonts w:hint="eastAsia" w:ascii="宋体" w:hAnsi="宋体" w:eastAsia="宋体" w:cs="宋体"/>
                <w:color w:val="auto"/>
                <w:kern w:val="0"/>
                <w:sz w:val="24"/>
                <w:highlight w:val="none"/>
              </w:rPr>
              <w:t>000</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第二标段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保洁</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02</w:t>
            </w:r>
            <w:r>
              <w:rPr>
                <w:rFonts w:hint="eastAsia" w:ascii="宋体" w:hAnsi="宋体" w:eastAsia="宋体" w:cs="宋体"/>
                <w:color w:val="auto"/>
                <w:kern w:val="0"/>
                <w:sz w:val="24"/>
                <w:highlight w:val="none"/>
              </w:rPr>
              <w:t>0000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02</w:t>
            </w:r>
            <w:r>
              <w:rPr>
                <w:rFonts w:hint="eastAsia" w:ascii="宋体" w:hAnsi="宋体" w:eastAsia="宋体" w:cs="宋体"/>
                <w:color w:val="auto"/>
                <w:kern w:val="0"/>
                <w:sz w:val="24"/>
                <w:highlight w:val="none"/>
              </w:rPr>
              <w:t>0000</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第三标段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消防及监控维保</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450</w:t>
            </w:r>
            <w:r>
              <w:rPr>
                <w:rFonts w:hint="eastAsia" w:ascii="宋体" w:hAnsi="宋体" w:eastAsia="宋体" w:cs="宋体"/>
                <w:color w:val="auto"/>
                <w:kern w:val="0"/>
                <w:sz w:val="24"/>
                <w:highlight w:val="none"/>
              </w:rPr>
              <w:t>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450</w:t>
            </w:r>
            <w:r>
              <w:rPr>
                <w:rFonts w:hint="eastAsia" w:ascii="宋体" w:hAnsi="宋体" w:eastAsia="宋体" w:cs="宋体"/>
                <w:color w:val="auto"/>
                <w:kern w:val="0"/>
                <w:sz w:val="24"/>
                <w:highlight w:val="none"/>
              </w:rPr>
              <w:t>000</w:t>
            </w:r>
          </w:p>
        </w:tc>
      </w:tr>
    </w:tbl>
    <w:p>
      <w:pPr>
        <w:widowControl/>
        <w:adjustRightInd w:val="0"/>
        <w:snapToGrid w:val="0"/>
        <w:spacing w:line="360" w:lineRule="auto"/>
        <w:ind w:firstLine="840"/>
        <w:jc w:val="left"/>
        <w:rPr>
          <w:rFonts w:ascii="宋体" w:hAnsi="宋体" w:cs="宋体"/>
          <w:color w:val="auto"/>
          <w:kern w:val="0"/>
          <w:sz w:val="24"/>
          <w:highlight w:val="none"/>
        </w:rPr>
      </w:pPr>
    </w:p>
    <w:p>
      <w:pPr>
        <w:widowControl/>
        <w:numPr>
          <w:ilvl w:val="0"/>
          <w:numId w:val="2"/>
        </w:numPr>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采购需求（包括但不限于标的的名称、数量、简要技术需求或服务要求等）    </w:t>
      </w:r>
    </w:p>
    <w:p>
      <w:pPr>
        <w:widowControl/>
        <w:numPr>
          <w:ilvl w:val="0"/>
          <w:numId w:val="0"/>
        </w:numPr>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八大街办公区保安、保洁、消防及监控维保(本项目所列预算金额及最高限价均为18个月)</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eastAsia="宋体" w:cs="宋体"/>
          <w:color w:val="auto"/>
          <w:kern w:val="0"/>
          <w:sz w:val="24"/>
          <w:highlight w:val="none"/>
          <w:lang w:val="en-US" w:eastAsia="zh-CN"/>
        </w:rPr>
        <w:t>18个月</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二、申请人资格要求：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详见招标文件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pPr>
        <w:widowControl/>
        <w:numPr>
          <w:ilvl w:val="0"/>
          <w:numId w:val="3"/>
        </w:numPr>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提供距开标不超过半年（缴款日期、入库日期等）任意一次经营缴税凭据或税务部门出具的“无欠税证明”相关证明材料。属于免税对象者，自行出具免税声明或提供其他证明材料。】</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依法缴纳社会保障资金的证明材料。（提供距开标不超过半年任意一次为职工缴纳社会保险的缴纳凭据或清单或社保部门证明。）</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pPr>
        <w:widowControl/>
        <w:numPr>
          <w:ilvl w:val="0"/>
          <w:numId w:val="3"/>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pPr>
        <w:widowControl/>
        <w:numPr>
          <w:ilvl w:val="0"/>
          <w:numId w:val="3"/>
        </w:numPr>
        <w:adjustRightInd w:val="0"/>
        <w:snapToGrid w:val="0"/>
        <w:spacing w:line="360" w:lineRule="auto"/>
        <w:ind w:left="5" w:firstLine="415"/>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第一标段保安 具有公安机关部门颁发的《保安服务许可证》。</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三、获取招标文件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26</w:t>
      </w:r>
      <w:r>
        <w:rPr>
          <w:rFonts w:hint="eastAsia" w:ascii="宋体" w:hAnsi="宋体" w:cs="宋体"/>
          <w:color w:val="auto"/>
          <w:kern w:val="0"/>
          <w:sz w:val="24"/>
          <w:highlight w:val="none"/>
        </w:rPr>
        <w:t xml:space="preserve">日，每天上午00:00至12:00，下午12:00至23:59（北京时间，法定节假日除外。）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四、投标截止时间及地点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 xml:space="preserve"> 月</w:t>
      </w: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五、开标时间及地点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六、发布公告的媒介及招标公告期限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七、其他补充事宜 </w:t>
      </w:r>
    </w:p>
    <w:p>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电话：0371-23859291；采购人及采购中心仅作为平台使用方不负责解决技术问题。</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八、凡对本次招标提出询问，请按照以下方式联系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名称：开封市机关事务中心 </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地址：开封市金明区晋安路158号</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联系人：</w:t>
      </w:r>
      <w:r>
        <w:rPr>
          <w:rFonts w:hint="eastAsia" w:ascii="宋体" w:hAnsi="宋体" w:eastAsia="宋体" w:cs="宋体"/>
          <w:color w:val="auto"/>
          <w:kern w:val="0"/>
          <w:sz w:val="24"/>
          <w:highlight w:val="none"/>
          <w:lang w:eastAsia="zh-CN"/>
        </w:rPr>
        <w:t>李</w:t>
      </w:r>
      <w:r>
        <w:rPr>
          <w:rFonts w:hint="eastAsia" w:ascii="宋体" w:hAnsi="宋体" w:eastAsia="宋体" w:cs="宋体"/>
          <w:color w:val="auto"/>
          <w:kern w:val="0"/>
          <w:sz w:val="24"/>
          <w:highlight w:val="none"/>
          <w:lang w:val="en-US" w:eastAsia="zh-CN"/>
        </w:rPr>
        <w:t>先生</w:t>
      </w:r>
    </w:p>
    <w:p>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eastAsia="宋体" w:cs="宋体"/>
          <w:color w:val="auto"/>
          <w:kern w:val="0"/>
          <w:sz w:val="24"/>
          <w:highlight w:val="none"/>
        </w:rPr>
        <w:t>联系方式：0371—238750</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 xml:space="preserve">2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联系人：李女士  </w:t>
      </w:r>
    </w:p>
    <w:p>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  23856103</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项目联系人：李女士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23856103  </w:t>
      </w:r>
    </w:p>
    <w:p>
      <w:pPr>
        <w:spacing w:line="312" w:lineRule="auto"/>
        <w:ind w:firstLine="421"/>
        <w:rPr>
          <w:rFonts w:ascii="宋体" w:hAnsi="宋体"/>
          <w:color w:val="auto"/>
          <w:sz w:val="24"/>
          <w:highlight w:val="none"/>
          <w:lang w:val="zh-CN"/>
        </w:rPr>
      </w:pPr>
    </w:p>
    <w:p>
      <w:pPr>
        <w:pStyle w:val="6"/>
        <w:jc w:val="center"/>
        <w:rPr>
          <w:rFonts w:ascii="宋体" w:hAnsi="宋体"/>
          <w:color w:val="auto"/>
          <w:highlight w:val="none"/>
        </w:rPr>
      </w:pPr>
      <w:bookmarkStart w:id="19" w:name="_Toc494526399"/>
      <w:bookmarkStart w:id="20" w:name="_Toc152042303"/>
      <w:bookmarkStart w:id="21" w:name="_Toc246996173"/>
      <w:bookmarkStart w:id="22" w:name="_Toc28703"/>
      <w:bookmarkStart w:id="23" w:name="_Toc338840440"/>
      <w:bookmarkStart w:id="24" w:name="_Toc346523463"/>
      <w:bookmarkStart w:id="25" w:name="_Toc152045527"/>
      <w:bookmarkStart w:id="26" w:name="_Toc338840185"/>
      <w:bookmarkStart w:id="27" w:name="_Toc494093427"/>
      <w:bookmarkStart w:id="28" w:name="_Toc179632544"/>
      <w:bookmarkStart w:id="29" w:name="_Toc247085687"/>
      <w:bookmarkStart w:id="30" w:name="_Toc338840479"/>
      <w:bookmarkStart w:id="31" w:name="_Toc246996916"/>
      <w:bookmarkStart w:id="32" w:name="_Toc144974495"/>
      <w:bookmarkStart w:id="33" w:name="_Toc3179"/>
      <w:bookmarkStart w:id="34" w:name="_Toc346523400"/>
      <w:bookmarkStart w:id="35" w:name="_Toc8884"/>
      <w:r>
        <w:rPr>
          <w:rFonts w:hint="eastAsia" w:ascii="宋体" w:hAnsi="宋体"/>
          <w:color w:val="auto"/>
          <w:highlight w:val="none"/>
        </w:rPr>
        <w:br w:type="page"/>
      </w:r>
      <w:bookmarkStart w:id="36" w:name="_Toc13151"/>
      <w:r>
        <w:rPr>
          <w:rFonts w:hint="eastAsia" w:ascii="宋体" w:hAnsi="宋体"/>
          <w:color w:val="auto"/>
          <w:highlight w:val="none"/>
        </w:rPr>
        <w:t>第二章 供应商须知</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pStyle w:val="7"/>
        <w:jc w:val="center"/>
        <w:rPr>
          <w:rFonts w:ascii="宋体" w:hAnsi="宋体" w:eastAsia="宋体"/>
          <w:color w:val="auto"/>
          <w:highlight w:val="none"/>
        </w:rPr>
      </w:pPr>
      <w:bookmarkStart w:id="37" w:name="_Toc338840480"/>
      <w:bookmarkStart w:id="38" w:name="_Toc494526400"/>
      <w:bookmarkStart w:id="39" w:name="_Toc246996174"/>
      <w:bookmarkStart w:id="40" w:name="_Toc18612"/>
      <w:bookmarkStart w:id="41" w:name="_Toc246996917"/>
      <w:bookmarkStart w:id="42" w:name="_Toc494093428"/>
      <w:bookmarkStart w:id="43" w:name="_Toc346523464"/>
      <w:bookmarkStart w:id="44" w:name="_Toc11060"/>
      <w:bookmarkStart w:id="45" w:name="_Toc346523401"/>
      <w:bookmarkStart w:id="46" w:name="_Toc338840441"/>
      <w:bookmarkStart w:id="47" w:name="_Toc23185"/>
      <w:bookmarkStart w:id="48" w:name="_Toc18827"/>
      <w:bookmarkStart w:id="49" w:name="_Toc144974496"/>
      <w:bookmarkStart w:id="50" w:name="_Toc247085688"/>
      <w:bookmarkStart w:id="51" w:name="_Toc152042304"/>
      <w:bookmarkStart w:id="52" w:name="_Toc179632545"/>
      <w:bookmarkStart w:id="53" w:name="_Toc152045528"/>
      <w:bookmarkStart w:id="54" w:name="_Toc338840186"/>
      <w:r>
        <w:rPr>
          <w:rFonts w:hint="eastAsia" w:ascii="宋体" w:hAnsi="宋体" w:eastAsia="宋体"/>
          <w:color w:val="auto"/>
          <w:highlight w:val="none"/>
        </w:rPr>
        <w:t>供应商须知前附表</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4"/>
        <w:tblW w:w="0" w:type="auto"/>
        <w:tblInd w:w="0" w:type="dxa"/>
        <w:tblLayout w:type="fixed"/>
        <w:tblCellMar>
          <w:top w:w="0" w:type="dxa"/>
          <w:left w:w="108" w:type="dxa"/>
          <w:bottom w:w="0" w:type="dxa"/>
          <w:right w:w="108" w:type="dxa"/>
        </w:tblCellMar>
      </w:tblPr>
      <w:tblGrid>
        <w:gridCol w:w="1008"/>
        <w:gridCol w:w="1980"/>
        <w:gridCol w:w="5534"/>
      </w:tblGrid>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名称：开封市机关事务中心</w:t>
            </w:r>
          </w:p>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地址：开封市金明区晋安路158号</w:t>
            </w:r>
          </w:p>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w:t>
            </w:r>
            <w:r>
              <w:rPr>
                <w:rFonts w:hint="eastAsia" w:ascii="宋体" w:hAnsi="宋体" w:eastAsia="宋体" w:cs="Times New Roman"/>
                <w:color w:val="auto"/>
                <w:szCs w:val="21"/>
                <w:highlight w:val="none"/>
                <w:lang w:eastAsia="zh-CN"/>
              </w:rPr>
              <w:t>李</w:t>
            </w:r>
            <w:r>
              <w:rPr>
                <w:rFonts w:hint="eastAsia" w:ascii="宋体" w:hAnsi="宋体" w:cs="Times New Roman"/>
                <w:color w:val="auto"/>
                <w:szCs w:val="21"/>
                <w:highlight w:val="none"/>
                <w:lang w:val="en-US" w:eastAsia="zh-CN"/>
              </w:rPr>
              <w:t>先生</w:t>
            </w:r>
          </w:p>
          <w:p>
            <w:pPr>
              <w:spacing w:line="440" w:lineRule="atLeast"/>
              <w:rPr>
                <w:rFonts w:ascii="宋体" w:hAnsi="宋体"/>
                <w:color w:val="auto"/>
                <w:szCs w:val="21"/>
                <w:highlight w:val="none"/>
              </w:rPr>
            </w:pPr>
            <w:r>
              <w:rPr>
                <w:rFonts w:hint="eastAsia" w:ascii="宋体" w:hAnsi="宋体" w:eastAsia="宋体" w:cs="Times New Roman"/>
                <w:color w:val="auto"/>
                <w:szCs w:val="21"/>
                <w:highlight w:val="none"/>
              </w:rPr>
              <w:t>电话：0371—238750</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2　</w:t>
            </w:r>
            <w:r>
              <w:rPr>
                <w:rFonts w:hint="eastAsia" w:ascii="宋体" w:hAnsi="宋体"/>
                <w:color w:val="auto"/>
                <w:szCs w:val="21"/>
                <w:highlight w:val="none"/>
              </w:rPr>
              <w:t>　</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开封市政府采购中心</w:t>
            </w:r>
          </w:p>
          <w:p>
            <w:pPr>
              <w:spacing w:line="440" w:lineRule="atLeast"/>
              <w:rPr>
                <w:rFonts w:hint="eastAsia" w:ascii="宋体" w:hAnsi="宋体" w:eastAsia="宋体" w:cs="Times New Roman"/>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w:t>
            </w:r>
            <w:r>
              <w:rPr>
                <w:rFonts w:hint="eastAsia" w:ascii="宋体" w:hAnsi="宋体" w:eastAsia="宋体" w:cs="Times New Roman"/>
                <w:color w:val="auto"/>
                <w:szCs w:val="21"/>
                <w:highlight w:val="none"/>
              </w:rPr>
              <w:t>郑开大道与三大街交汇处路北，开封市民之家6楼西头向北6067房间（政府采购）</w:t>
            </w:r>
          </w:p>
          <w:p>
            <w:pPr>
              <w:spacing w:line="44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w:t>
            </w:r>
            <w:r>
              <w:rPr>
                <w:rFonts w:hint="eastAsia" w:ascii="宋体" w:hAnsi="宋体" w:eastAsia="宋体" w:cs="Times New Roman"/>
                <w:color w:val="auto"/>
                <w:szCs w:val="21"/>
                <w:highlight w:val="none"/>
                <w:lang w:val="en-US" w:eastAsia="zh-CN"/>
              </w:rPr>
              <w:t>李女士</w:t>
            </w:r>
          </w:p>
          <w:p>
            <w:pPr>
              <w:spacing w:line="440" w:lineRule="atLeast"/>
              <w:rPr>
                <w:rFonts w:ascii="宋体" w:hAnsi="宋体"/>
                <w:color w:val="auto"/>
                <w:szCs w:val="21"/>
                <w:highlight w:val="none"/>
              </w:rPr>
            </w:pPr>
            <w:r>
              <w:rPr>
                <w:rFonts w:hint="eastAsia" w:ascii="宋体" w:hAnsi="宋体" w:eastAsia="宋体" w:cs="Times New Roman"/>
                <w:color w:val="auto"/>
                <w:szCs w:val="21"/>
                <w:highlight w:val="none"/>
              </w:rPr>
              <w:t>电话：0371—23856102   23856103</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lang w:val="en-US" w:eastAsia="zh-CN"/>
              </w:rPr>
              <w:t>开封市机关事务中心八大街办公区保安、保洁、消防及监控维保</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开封市机关事务中心八大街办公区</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rPr>
              <w:t>100%财政资金</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lang w:val="en-US" w:eastAsia="zh-CN"/>
              </w:rPr>
              <w:t>18个月</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color w:val="auto"/>
                <w:highlight w:val="none"/>
              </w:rPr>
            </w:pPr>
            <w:r>
              <w:rPr>
                <w:rFonts w:hint="eastAsia"/>
                <w:color w:val="auto"/>
                <w:highlight w:val="none"/>
              </w:rPr>
              <w:t xml:space="preserve">1、满足《中华人民共和国政府采购法》第二十二条规定； </w:t>
            </w:r>
          </w:p>
          <w:p>
            <w:pPr>
              <w:spacing w:line="440" w:lineRule="atLeast"/>
              <w:rPr>
                <w:color w:val="auto"/>
                <w:highlight w:val="none"/>
              </w:rPr>
            </w:pPr>
            <w:r>
              <w:rPr>
                <w:rFonts w:hint="eastAsia"/>
                <w:color w:val="auto"/>
                <w:highlight w:val="none"/>
              </w:rPr>
              <w:t>2、落实政府采购政策满足的资格要求：</w:t>
            </w:r>
          </w:p>
          <w:p>
            <w:pPr>
              <w:spacing w:line="440" w:lineRule="atLeast"/>
              <w:jc w:val="left"/>
              <w:rPr>
                <w:rFonts w:hint="eastAsia"/>
                <w:color w:val="auto"/>
                <w:highlight w:val="none"/>
              </w:rPr>
            </w:pPr>
            <w:r>
              <w:rPr>
                <w:rFonts w:hint="eastAsia"/>
                <w:color w:val="auto"/>
                <w:highlight w:val="none"/>
              </w:rPr>
              <w:t xml:space="preserve">详见招标文件 </w:t>
            </w:r>
          </w:p>
          <w:p>
            <w:pPr>
              <w:spacing w:line="440" w:lineRule="atLeast"/>
              <w:rPr>
                <w:color w:val="auto"/>
                <w:highlight w:val="none"/>
              </w:rPr>
            </w:pPr>
            <w:r>
              <w:rPr>
                <w:rFonts w:hint="eastAsia"/>
                <w:color w:val="auto"/>
                <w:highlight w:val="none"/>
              </w:rPr>
              <w:t xml:space="preserve">3、本项目的特定资格要求 </w:t>
            </w:r>
          </w:p>
          <w:p>
            <w:pPr>
              <w:spacing w:line="440" w:lineRule="atLeast"/>
              <w:rPr>
                <w:color w:val="auto"/>
                <w:highlight w:val="none"/>
              </w:rPr>
            </w:pPr>
            <w:r>
              <w:rPr>
                <w:rFonts w:hint="eastAsia"/>
                <w:color w:val="auto"/>
                <w:highlight w:val="none"/>
              </w:rPr>
              <w:t>1)供应商应具备下列条件，并提供相应材料：</w:t>
            </w:r>
          </w:p>
          <w:p>
            <w:pPr>
              <w:spacing w:line="440" w:lineRule="atLeast"/>
              <w:jc w:val="left"/>
              <w:rPr>
                <w:color w:val="auto"/>
                <w:highlight w:val="none"/>
              </w:rPr>
            </w:pPr>
            <w:r>
              <w:rPr>
                <w:rFonts w:hint="eastAsia"/>
                <w:color w:val="auto"/>
                <w:highlight w:val="none"/>
              </w:rPr>
              <w:t>(1)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pPr>
              <w:spacing w:line="440" w:lineRule="atLeast"/>
              <w:jc w:val="left"/>
              <w:rPr>
                <w:color w:val="auto"/>
                <w:highlight w:val="none"/>
              </w:rPr>
            </w:pPr>
            <w:r>
              <w:rPr>
                <w:rFonts w:hint="eastAsia"/>
                <w:color w:val="auto"/>
                <w:highlight w:val="none"/>
              </w:rPr>
              <w:t>(2)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pPr>
              <w:spacing w:line="440" w:lineRule="atLeast"/>
              <w:jc w:val="left"/>
              <w:rPr>
                <w:rFonts w:hint="eastAsia"/>
                <w:color w:val="auto"/>
                <w:highlight w:val="none"/>
              </w:rPr>
            </w:pPr>
            <w:r>
              <w:rPr>
                <w:rFonts w:hint="eastAsia"/>
                <w:color w:val="auto"/>
                <w:highlight w:val="none"/>
              </w:rPr>
              <w:t>(3)依法缴纳税收的证明材料。【提供距开标不超过半年（缴款日期、入库日期等）任意一次经营缴税凭据或税务部门出具的“无欠税证明”相关证明材料。属于免税对象者，自行出具免税声明或提供其他证明材料。】</w:t>
            </w:r>
          </w:p>
          <w:p>
            <w:pPr>
              <w:spacing w:line="440" w:lineRule="atLeast"/>
              <w:jc w:val="left"/>
              <w:rPr>
                <w:color w:val="auto"/>
                <w:highlight w:val="none"/>
              </w:rPr>
            </w:pPr>
            <w:r>
              <w:rPr>
                <w:rFonts w:hint="eastAsia"/>
                <w:color w:val="auto"/>
                <w:highlight w:val="none"/>
              </w:rPr>
              <w:t>(4)依法缴纳社会保障资金的证明材料。（提供距开标不超过半年任意一次为职工缴纳社会保险的缴纳凭据或清单或社保部门证明。）(5)具备履行合同所必需的设备和专业技术能力的承诺。</w:t>
            </w:r>
          </w:p>
          <w:p>
            <w:pPr>
              <w:spacing w:line="440" w:lineRule="atLeast"/>
              <w:jc w:val="left"/>
              <w:rPr>
                <w:color w:val="auto"/>
                <w:highlight w:val="none"/>
              </w:rPr>
            </w:pPr>
            <w:r>
              <w:rPr>
                <w:rFonts w:hint="eastAsia"/>
                <w:color w:val="auto"/>
                <w:highlight w:val="none"/>
              </w:rPr>
              <w:t>(6)供应商开标前三年内在经营活动中无重大违法记录的书面声明。</w:t>
            </w:r>
          </w:p>
          <w:p>
            <w:pPr>
              <w:spacing w:line="440" w:lineRule="atLeast"/>
              <w:jc w:val="left"/>
              <w:rPr>
                <w:rFonts w:hint="eastAsia"/>
                <w:color w:val="auto"/>
                <w:highlight w:val="none"/>
              </w:rPr>
            </w:pPr>
            <w:r>
              <w:rPr>
                <w:rFonts w:hint="eastAsia"/>
                <w:color w:val="auto"/>
                <w:highlight w:val="none"/>
              </w:rPr>
              <w:t>2)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pPr>
              <w:spacing w:line="440" w:lineRule="atLeast"/>
              <w:jc w:val="left"/>
              <w:rPr>
                <w:color w:val="auto"/>
                <w:highlight w:val="none"/>
              </w:rPr>
            </w:pPr>
            <w:r>
              <w:rPr>
                <w:rFonts w:hint="eastAsia"/>
                <w:color w:val="auto"/>
                <w:highlight w:val="none"/>
                <w:lang w:val="en-US" w:eastAsia="zh-CN"/>
              </w:rPr>
              <w:t>3）第一标段保安 具有公安机关部门颁发的《保安服务许可证》。</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pPr>
              <w:pStyle w:val="13"/>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pPr>
              <w:pStyle w:val="13"/>
              <w:topLinePunct/>
              <w:spacing w:line="440" w:lineRule="atLeast"/>
              <w:rPr>
                <w:rFonts w:hAnsi="宋体"/>
                <w:color w:val="auto"/>
                <w:sz w:val="21"/>
                <w:szCs w:val="21"/>
                <w:highlight w:val="none"/>
              </w:rPr>
            </w:pPr>
            <w:r>
              <w:rPr>
                <w:rFonts w:hint="eastAsia" w:hAnsi="宋体"/>
                <w:color w:val="auto"/>
                <w:sz w:val="21"/>
                <w:szCs w:val="21"/>
                <w:highlight w:val="none"/>
              </w:rPr>
              <w:t>3、采购文件列明的其他构成无效投标的内容。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pPr>
              <w:rPr>
                <w:color w:val="auto"/>
                <w:szCs w:val="21"/>
                <w:highlight w:val="none"/>
              </w:rPr>
            </w:pPr>
            <w:r>
              <w:rPr>
                <w:rFonts w:hint="eastAsia" w:ascii="宋体" w:hAnsi="宋体"/>
                <w:color w:val="auto"/>
                <w:szCs w:val="21"/>
                <w:highlight w:val="none"/>
              </w:rPr>
              <w:t>投标人应按第五章“招标内容及商务技术要求”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color w:val="auto"/>
                <w:szCs w:val="21"/>
                <w:highlight w:val="none"/>
                <w:u w:val="single"/>
              </w:rPr>
              <w:t>　第一标段保安</w:t>
            </w:r>
            <w:r>
              <w:rPr>
                <w:rFonts w:hint="eastAsia" w:ascii="宋体" w:hAnsi="宋体"/>
                <w:color w:val="auto"/>
                <w:szCs w:val="21"/>
                <w:highlight w:val="none"/>
                <w:u w:val="single"/>
                <w:lang w:val="en-US" w:eastAsia="zh-CN"/>
              </w:rPr>
              <w:t>1164</w:t>
            </w:r>
            <w:r>
              <w:rPr>
                <w:rFonts w:hint="eastAsia" w:ascii="宋体" w:hAnsi="宋体"/>
                <w:color w:val="auto"/>
                <w:szCs w:val="21"/>
                <w:highlight w:val="none"/>
                <w:u w:val="single"/>
              </w:rPr>
              <w:t>000</w:t>
            </w:r>
            <w:r>
              <w:rPr>
                <w:rFonts w:hint="eastAsia" w:ascii="宋体" w:hAnsi="宋体"/>
                <w:color w:val="auto"/>
                <w:szCs w:val="21"/>
                <w:highlight w:val="none"/>
              </w:rPr>
              <w:t>元。</w:t>
            </w:r>
          </w:p>
          <w:p>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color w:val="auto"/>
                <w:szCs w:val="21"/>
                <w:highlight w:val="none"/>
                <w:u w:val="single"/>
              </w:rPr>
              <w:t>第一标段保安</w:t>
            </w:r>
            <w:r>
              <w:rPr>
                <w:rFonts w:hint="eastAsia" w:ascii="宋体" w:hAnsi="宋体"/>
                <w:color w:val="auto"/>
                <w:szCs w:val="21"/>
                <w:highlight w:val="none"/>
                <w:u w:val="single"/>
                <w:lang w:val="en-US" w:eastAsia="zh-CN"/>
              </w:rPr>
              <w:t>1164</w:t>
            </w:r>
            <w:r>
              <w:rPr>
                <w:rFonts w:hint="eastAsia" w:ascii="宋体" w:hAnsi="宋体"/>
                <w:color w:val="auto"/>
                <w:szCs w:val="21"/>
                <w:highlight w:val="none"/>
                <w:u w:val="single"/>
              </w:rPr>
              <w:t>000</w:t>
            </w:r>
            <w:r>
              <w:rPr>
                <w:rFonts w:hint="eastAsia" w:ascii="宋体" w:hAnsi="宋体"/>
                <w:color w:val="auto"/>
                <w:szCs w:val="21"/>
                <w:highlight w:val="none"/>
              </w:rPr>
              <w:t>元。</w:t>
            </w:r>
          </w:p>
          <w:p>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w:t>
            </w:r>
            <w:r>
              <w:rPr>
                <w:rFonts w:hint="eastAsia" w:ascii="宋体" w:hAnsi="宋体"/>
                <w:color w:val="auto"/>
                <w:szCs w:val="21"/>
                <w:highlight w:val="none"/>
                <w:u w:val="single"/>
                <w:lang w:val="en-US" w:eastAsia="zh-CN"/>
              </w:rPr>
              <w:t>2025</w:t>
            </w:r>
            <w:r>
              <w:rPr>
                <w:rFonts w:hint="eastAsia" w:ascii="宋体" w:hAnsi="宋体"/>
                <w:color w:val="auto"/>
                <w:szCs w:val="21"/>
                <w:highlight w:val="none"/>
              </w:rPr>
              <w:t>年</w:t>
            </w:r>
            <w:r>
              <w:rPr>
                <w:rFonts w:hint="eastAsia" w:ascii="宋体" w:hAnsi="宋体"/>
                <w:color w:val="auto"/>
                <w:szCs w:val="21"/>
                <w:highlight w:val="none"/>
                <w:u w:val="single"/>
                <w:lang w:val="en-US" w:eastAsia="zh-CN"/>
              </w:rPr>
              <w:t>3</w:t>
            </w:r>
            <w:r>
              <w:rPr>
                <w:rFonts w:hint="eastAsia" w:ascii="宋体" w:hAnsi="宋体"/>
                <w:color w:val="auto"/>
                <w:szCs w:val="21"/>
                <w:highlight w:val="none"/>
              </w:rPr>
              <w:t>月</w:t>
            </w:r>
            <w:r>
              <w:rPr>
                <w:rFonts w:hint="eastAsia" w:ascii="宋体" w:hAnsi="宋体"/>
                <w:color w:val="auto"/>
                <w:szCs w:val="21"/>
                <w:highlight w:val="none"/>
                <w:u w:val="single"/>
                <w:lang w:val="en-US" w:eastAsia="zh-CN"/>
              </w:rPr>
              <w:t>27</w:t>
            </w:r>
            <w:r>
              <w:rPr>
                <w:rFonts w:hint="eastAsia" w:ascii="宋体" w:hAnsi="宋体"/>
                <w:color w:val="auto"/>
                <w:szCs w:val="21"/>
                <w:highlight w:val="none"/>
              </w:rPr>
              <w:t>日</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时</w:t>
            </w:r>
            <w:r>
              <w:rPr>
                <w:rFonts w:hint="eastAsia" w:ascii="宋体" w:hAnsi="宋体"/>
                <w:color w:val="auto"/>
                <w:szCs w:val="21"/>
                <w:highlight w:val="none"/>
                <w:u w:val="single"/>
                <w:lang w:val="en-US" w:eastAsia="zh-CN"/>
              </w:rPr>
              <w:t>30</w:t>
            </w:r>
            <w:r>
              <w:rPr>
                <w:rFonts w:hint="eastAsia" w:ascii="宋体" w:hAnsi="宋体"/>
                <w:color w:val="auto"/>
                <w:szCs w:val="21"/>
                <w:highlight w:val="none"/>
                <w:u w:val="single"/>
              </w:rPr>
              <w:t>分</w:t>
            </w:r>
          </w:p>
          <w:p>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w:t>
            </w:r>
            <w:r>
              <w:rPr>
                <w:rFonts w:hint="eastAsia" w:ascii="宋体" w:hAnsi="宋体"/>
                <w:color w:val="auto"/>
                <w:szCs w:val="21"/>
                <w:highlight w:val="none"/>
              </w:rPr>
              <w:t>人组成，其中评审专家不少于成员总数的三分之二。</w:t>
            </w:r>
          </w:p>
          <w:p>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询问和质疑</w:t>
            </w:r>
          </w:p>
          <w:p>
            <w:pPr>
              <w:spacing w:line="440" w:lineRule="atLeast"/>
              <w:jc w:val="center"/>
              <w:rPr>
                <w:rFonts w:ascii="宋体" w:hAnsi="宋体"/>
                <w:color w:val="auto"/>
                <w:szCs w:val="21"/>
                <w:highlight w:val="none"/>
              </w:rPr>
            </w:pPr>
          </w:p>
          <w:p>
            <w:pPr>
              <w:spacing w:line="440" w:lineRule="atLeast"/>
              <w:jc w:val="center"/>
              <w:rPr>
                <w:rFonts w:ascii="宋体" w:hAnsi="宋体"/>
                <w:color w:val="auto"/>
                <w:szCs w:val="21"/>
                <w:highlight w:val="none"/>
              </w:rPr>
            </w:pPr>
            <w:r>
              <w:rPr>
                <w:rFonts w:hint="eastAsia" w:ascii="宋体" w:hAnsi="宋体"/>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按月付款</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szCs w:val="21"/>
                <w:highlight w:val="none"/>
              </w:rPr>
            </w:pPr>
            <w:r>
              <w:rPr>
                <w:rFonts w:ascii="宋体" w:hAnsi="宋体" w:cs="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原件扫描件</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本项目所要求提供的原件扫描件均应为能准确反映原件色彩原貌的彩色扫描件。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r>
    </w:tbl>
    <w:p>
      <w:pPr>
        <w:pStyle w:val="7"/>
        <w:rPr>
          <w:rFonts w:ascii="宋体" w:hAnsi="宋体" w:eastAsia="宋体"/>
          <w:color w:val="auto"/>
          <w:highlight w:val="none"/>
        </w:rPr>
      </w:pPr>
      <w:bookmarkStart w:id="55" w:name="_Toc247085689"/>
      <w:bookmarkStart w:id="56" w:name="_Toc152045529"/>
      <w:bookmarkStart w:id="57" w:name="_Toc494526401"/>
      <w:bookmarkStart w:id="58" w:name="_Toc144974497"/>
      <w:bookmarkStart w:id="59" w:name="_Toc338840481"/>
      <w:bookmarkStart w:id="60" w:name="_Toc346523465"/>
      <w:bookmarkStart w:id="61" w:name="_Toc338840187"/>
      <w:bookmarkStart w:id="62" w:name="_Toc179632546"/>
      <w:bookmarkStart w:id="63" w:name="_Toc246996175"/>
      <w:bookmarkStart w:id="64" w:name="_Toc246996918"/>
      <w:bookmarkStart w:id="65" w:name="_Toc338840442"/>
      <w:bookmarkStart w:id="66" w:name="_Toc346523402"/>
      <w:bookmarkStart w:id="67" w:name="_Toc494093429"/>
      <w:bookmarkStart w:id="68" w:name="_Toc152042305"/>
      <w:r>
        <w:rPr>
          <w:rFonts w:hint="eastAsia" w:ascii="宋体" w:hAnsi="宋体" w:eastAsia="宋体"/>
          <w:color w:val="auto"/>
          <w:highlight w:val="none"/>
        </w:rPr>
        <w:br w:type="page"/>
      </w:r>
      <w:bookmarkStart w:id="69" w:name="_Toc29445"/>
      <w:bookmarkStart w:id="70" w:name="_Toc25787"/>
      <w:bookmarkStart w:id="71" w:name="_Toc18686"/>
      <w:bookmarkStart w:id="72" w:name="_Toc28332"/>
      <w:r>
        <w:rPr>
          <w:rFonts w:hint="eastAsia" w:ascii="宋体" w:hAnsi="宋体" w:eastAsia="宋体"/>
          <w:color w:val="auto"/>
          <w:highlight w:val="none"/>
        </w:rPr>
        <w:t>1. 总则</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8"/>
        <w:rPr>
          <w:rFonts w:ascii="宋体" w:hAnsi="宋体"/>
          <w:color w:val="auto"/>
          <w:highlight w:val="none"/>
        </w:rPr>
      </w:pPr>
      <w:bookmarkStart w:id="73" w:name="_Toc246996176"/>
      <w:bookmarkStart w:id="74" w:name="_Toc144974498"/>
      <w:bookmarkStart w:id="75" w:name="_Toc152045530"/>
      <w:bookmarkStart w:id="76" w:name="_Toc338840188"/>
      <w:bookmarkStart w:id="77" w:name="_Toc247085690"/>
      <w:bookmarkStart w:id="78" w:name="_Toc246996919"/>
      <w:bookmarkStart w:id="79" w:name="_Toc179632547"/>
      <w:bookmarkStart w:id="80" w:name="_Toc152042306"/>
      <w:r>
        <w:rPr>
          <w:rFonts w:hint="eastAsia" w:ascii="宋体" w:hAnsi="宋体"/>
          <w:color w:val="auto"/>
          <w:highlight w:val="none"/>
        </w:rPr>
        <w:t>1.1 项目概况</w:t>
      </w:r>
      <w:bookmarkEnd w:id="73"/>
      <w:bookmarkEnd w:id="74"/>
      <w:bookmarkEnd w:id="75"/>
      <w:bookmarkEnd w:id="76"/>
      <w:bookmarkEnd w:id="77"/>
      <w:bookmarkEnd w:id="78"/>
      <w:bookmarkEnd w:id="79"/>
      <w:bookmarkEnd w:id="80"/>
    </w:p>
    <w:p>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1.1.1根据《中华人民共和国政府采购法》、《中华人民共和国招标投标法》等有关法律、法规和规章的规定，本招标项目已具备招标条件，现对本项目进行招标。</w:t>
      </w:r>
    </w:p>
    <w:p>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pPr>
        <w:pStyle w:val="8"/>
        <w:rPr>
          <w:rFonts w:ascii="宋体" w:hAnsi="宋体"/>
          <w:color w:val="auto"/>
          <w:highlight w:val="none"/>
        </w:rPr>
      </w:pPr>
      <w:bookmarkStart w:id="81" w:name="_Toc246996920"/>
      <w:bookmarkStart w:id="82" w:name="_Toc179632548"/>
      <w:bookmarkStart w:id="83" w:name="_Toc338840189"/>
      <w:bookmarkStart w:id="84" w:name="_Toc152042307"/>
      <w:bookmarkStart w:id="85" w:name="_Toc144974499"/>
      <w:bookmarkStart w:id="86" w:name="_Toc247085691"/>
      <w:bookmarkStart w:id="87" w:name="_Toc246996177"/>
      <w:bookmarkStart w:id="88" w:name="_Toc152045531"/>
      <w:r>
        <w:rPr>
          <w:rFonts w:hint="eastAsia" w:ascii="宋体" w:hAnsi="宋体"/>
          <w:color w:val="auto"/>
          <w:highlight w:val="none"/>
        </w:rPr>
        <w:t>1.2 资金来源和落实情况</w:t>
      </w:r>
      <w:bookmarkEnd w:id="81"/>
      <w:bookmarkEnd w:id="82"/>
      <w:bookmarkEnd w:id="83"/>
      <w:bookmarkEnd w:id="84"/>
      <w:bookmarkEnd w:id="85"/>
      <w:bookmarkEnd w:id="86"/>
      <w:bookmarkEnd w:id="87"/>
      <w:bookmarkEnd w:id="88"/>
    </w:p>
    <w:p>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1.2.2 本招标项目的资金落实情况：见供应商须知前附表。</w:t>
      </w:r>
    </w:p>
    <w:p>
      <w:pPr>
        <w:pStyle w:val="8"/>
        <w:rPr>
          <w:rFonts w:ascii="宋体" w:hAnsi="宋体"/>
          <w:color w:val="auto"/>
          <w:highlight w:val="none"/>
        </w:rPr>
      </w:pPr>
      <w:bookmarkStart w:id="89" w:name="_Toc338840190"/>
      <w:bookmarkStart w:id="90" w:name="_Toc152045532"/>
      <w:bookmarkStart w:id="91" w:name="_Toc179632549"/>
      <w:bookmarkStart w:id="92" w:name="_Toc152042308"/>
      <w:bookmarkStart w:id="93" w:name="_Toc247085692"/>
      <w:bookmarkStart w:id="94" w:name="_Toc246996921"/>
      <w:bookmarkStart w:id="95" w:name="_Toc144974500"/>
      <w:bookmarkStart w:id="96" w:name="_Toc246996178"/>
      <w:r>
        <w:rPr>
          <w:rFonts w:hint="eastAsia" w:ascii="宋体" w:hAnsi="宋体"/>
          <w:color w:val="auto"/>
          <w:highlight w:val="none"/>
        </w:rPr>
        <w:t>1.3 招标范围、合同履行期限、质量要求</w:t>
      </w:r>
      <w:bookmarkEnd w:id="89"/>
      <w:bookmarkEnd w:id="90"/>
      <w:bookmarkEnd w:id="91"/>
      <w:bookmarkEnd w:id="92"/>
      <w:bookmarkEnd w:id="93"/>
      <w:bookmarkEnd w:id="94"/>
      <w:bookmarkEnd w:id="95"/>
      <w:bookmarkEnd w:id="96"/>
    </w:p>
    <w:p>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pPr>
        <w:pStyle w:val="8"/>
        <w:rPr>
          <w:rFonts w:ascii="宋体" w:hAnsi="宋体"/>
          <w:color w:val="auto"/>
          <w:highlight w:val="none"/>
        </w:rPr>
      </w:pPr>
      <w:bookmarkStart w:id="97" w:name="_Toc144974502"/>
      <w:bookmarkStart w:id="98" w:name="_Toc246996179"/>
      <w:bookmarkStart w:id="99" w:name="_Toc247085693"/>
      <w:bookmarkStart w:id="100" w:name="_Toc179632551"/>
      <w:bookmarkStart w:id="101" w:name="_Toc152042310"/>
      <w:bookmarkStart w:id="102" w:name="_Toc152045534"/>
      <w:bookmarkStart w:id="103" w:name="_Toc246996922"/>
      <w:bookmarkStart w:id="104" w:name="_Toc338840191"/>
      <w:r>
        <w:rPr>
          <w:rFonts w:hint="eastAsia" w:ascii="宋体" w:hAnsi="宋体"/>
          <w:color w:val="auto"/>
          <w:highlight w:val="none"/>
        </w:rPr>
        <w:t>1.4 供应商资格要求</w:t>
      </w:r>
      <w:bookmarkEnd w:id="97"/>
      <w:bookmarkEnd w:id="98"/>
      <w:bookmarkEnd w:id="99"/>
      <w:bookmarkEnd w:id="100"/>
      <w:bookmarkEnd w:id="101"/>
      <w:bookmarkEnd w:id="102"/>
      <w:bookmarkEnd w:id="103"/>
      <w:bookmarkEnd w:id="104"/>
    </w:p>
    <w:p>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pPr>
        <w:spacing w:line="400" w:lineRule="exact"/>
        <w:ind w:firstLine="359" w:firstLineChars="171"/>
        <w:rPr>
          <w:rFonts w:ascii="宋体" w:hAnsi="宋体"/>
          <w:color w:val="auto"/>
          <w:highlight w:val="none"/>
        </w:rPr>
      </w:pPr>
      <w:r>
        <w:rPr>
          <w:rFonts w:hint="eastAsia" w:ascii="宋体" w:hAnsi="宋体"/>
          <w:color w:val="auto"/>
          <w:highlight w:val="none"/>
        </w:rPr>
        <w:t>1.4.2 供应商不得存在下列情形之一：</w:t>
      </w:r>
    </w:p>
    <w:p>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pPr>
        <w:pStyle w:val="8"/>
        <w:rPr>
          <w:rFonts w:ascii="宋体" w:hAnsi="宋体"/>
          <w:color w:val="auto"/>
          <w:highlight w:val="none"/>
        </w:rPr>
      </w:pPr>
      <w:bookmarkStart w:id="105" w:name="_Toc247085694"/>
      <w:bookmarkStart w:id="106" w:name="_Toc179632552"/>
      <w:bookmarkStart w:id="107" w:name="_Toc152042311"/>
      <w:bookmarkStart w:id="108" w:name="_Toc246996180"/>
      <w:bookmarkStart w:id="109" w:name="_Toc152045535"/>
      <w:bookmarkStart w:id="110" w:name="_Toc144974503"/>
      <w:bookmarkStart w:id="111" w:name="_Toc338840192"/>
      <w:bookmarkStart w:id="112" w:name="_Toc246996923"/>
      <w:r>
        <w:rPr>
          <w:rFonts w:hint="eastAsia" w:ascii="宋体" w:hAnsi="宋体"/>
          <w:color w:val="auto"/>
          <w:highlight w:val="none"/>
        </w:rPr>
        <w:t>1.5 费用承担</w:t>
      </w:r>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pPr>
        <w:pStyle w:val="8"/>
        <w:rPr>
          <w:rFonts w:ascii="宋体" w:hAnsi="宋体"/>
          <w:color w:val="auto"/>
          <w:highlight w:val="none"/>
        </w:rPr>
      </w:pPr>
      <w:bookmarkStart w:id="113" w:name="_Toc144974504"/>
      <w:bookmarkStart w:id="114" w:name="_Toc246996924"/>
      <w:bookmarkStart w:id="115" w:name="_Toc179632553"/>
      <w:bookmarkStart w:id="116" w:name="_Toc338840193"/>
      <w:bookmarkStart w:id="117" w:name="_Toc152042312"/>
      <w:bookmarkStart w:id="118" w:name="_Toc246996181"/>
      <w:bookmarkStart w:id="119" w:name="_Toc152045536"/>
      <w:bookmarkStart w:id="120" w:name="_Toc247085695"/>
      <w:r>
        <w:rPr>
          <w:rFonts w:hint="eastAsia" w:ascii="宋体" w:hAnsi="宋体"/>
          <w:color w:val="auto"/>
          <w:highlight w:val="none"/>
        </w:rPr>
        <w:t>1.6 保密</w:t>
      </w:r>
      <w:bookmarkEnd w:id="113"/>
      <w:bookmarkEnd w:id="114"/>
      <w:bookmarkEnd w:id="115"/>
      <w:bookmarkEnd w:id="116"/>
      <w:bookmarkEnd w:id="117"/>
      <w:bookmarkEnd w:id="118"/>
      <w:bookmarkEnd w:id="119"/>
      <w:bookmarkEnd w:id="120"/>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pPr>
        <w:pStyle w:val="8"/>
        <w:rPr>
          <w:rFonts w:ascii="宋体" w:hAnsi="宋体"/>
          <w:color w:val="auto"/>
          <w:highlight w:val="none"/>
        </w:rPr>
      </w:pPr>
      <w:bookmarkStart w:id="121" w:name="_Toc144974505"/>
      <w:bookmarkStart w:id="122" w:name="_Toc338840194"/>
      <w:bookmarkStart w:id="123" w:name="_Toc152045537"/>
      <w:bookmarkStart w:id="124" w:name="_Toc152042313"/>
      <w:bookmarkStart w:id="125" w:name="_Toc246996925"/>
      <w:bookmarkStart w:id="126" w:name="_Toc247085696"/>
      <w:bookmarkStart w:id="127" w:name="_Toc179632554"/>
      <w:bookmarkStart w:id="128" w:name="_Toc246996182"/>
      <w:r>
        <w:rPr>
          <w:rFonts w:hint="eastAsia" w:ascii="宋体" w:hAnsi="宋体"/>
          <w:color w:val="auto"/>
          <w:highlight w:val="none"/>
        </w:rPr>
        <w:t>1.7 语言</w:t>
      </w:r>
      <w:bookmarkEnd w:id="121"/>
      <w:r>
        <w:rPr>
          <w:rFonts w:hint="eastAsia" w:ascii="宋体" w:hAnsi="宋体"/>
          <w:color w:val="auto"/>
          <w:highlight w:val="none"/>
        </w:rPr>
        <w:t>文字</w:t>
      </w:r>
      <w:bookmarkEnd w:id="122"/>
      <w:bookmarkEnd w:id="123"/>
      <w:bookmarkEnd w:id="124"/>
      <w:bookmarkEnd w:id="125"/>
      <w:bookmarkEnd w:id="126"/>
      <w:bookmarkEnd w:id="127"/>
      <w:bookmarkEnd w:id="128"/>
    </w:p>
    <w:p>
      <w:pPr>
        <w:spacing w:line="400" w:lineRule="exact"/>
        <w:ind w:firstLine="420" w:firstLineChars="200"/>
        <w:rPr>
          <w:rFonts w:ascii="宋体" w:hAnsi="宋体"/>
          <w:color w:val="auto"/>
          <w:highlight w:val="none"/>
        </w:rPr>
      </w:pPr>
      <w:bookmarkStart w:id="129" w:name="_Toc246996183"/>
      <w:bookmarkStart w:id="130" w:name="_Toc144974506"/>
      <w:bookmarkStart w:id="131" w:name="_Toc179632555"/>
      <w:bookmarkStart w:id="132" w:name="_Toc152045538"/>
      <w:bookmarkStart w:id="133" w:name="_Toc247085697"/>
      <w:bookmarkStart w:id="134" w:name="_Toc246996926"/>
      <w:bookmarkStart w:id="135" w:name="_Toc152042314"/>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pPr>
        <w:pStyle w:val="8"/>
        <w:rPr>
          <w:rFonts w:ascii="宋体" w:hAnsi="宋体"/>
          <w:color w:val="auto"/>
          <w:highlight w:val="none"/>
        </w:rPr>
      </w:pPr>
      <w:bookmarkStart w:id="136" w:name="_Toc338840195"/>
      <w:r>
        <w:rPr>
          <w:rFonts w:hint="eastAsia" w:ascii="宋体" w:hAnsi="宋体"/>
          <w:color w:val="auto"/>
          <w:highlight w:val="none"/>
        </w:rPr>
        <w:t>1.8 计量单位</w:t>
      </w:r>
      <w:bookmarkEnd w:id="129"/>
      <w:bookmarkEnd w:id="130"/>
      <w:bookmarkEnd w:id="131"/>
      <w:bookmarkEnd w:id="132"/>
      <w:bookmarkEnd w:id="133"/>
      <w:bookmarkEnd w:id="134"/>
      <w:bookmarkEnd w:id="135"/>
      <w:bookmarkEnd w:id="136"/>
    </w:p>
    <w:p>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pPr>
        <w:pStyle w:val="8"/>
        <w:rPr>
          <w:rFonts w:ascii="宋体" w:hAnsi="宋体"/>
          <w:color w:val="auto"/>
          <w:highlight w:val="none"/>
        </w:rPr>
      </w:pPr>
      <w:bookmarkStart w:id="137" w:name="_Toc152042315"/>
      <w:bookmarkStart w:id="138" w:name="_Toc247592876"/>
      <w:bookmarkStart w:id="139" w:name="_Toc152045539"/>
      <w:bookmarkStart w:id="140" w:name="_Toc247513962"/>
      <w:bookmarkStart w:id="141" w:name="_Toc247527563"/>
      <w:bookmarkStart w:id="142" w:name="_Toc338840196"/>
      <w:bookmarkStart w:id="143" w:name="_Toc144974507"/>
      <w:r>
        <w:rPr>
          <w:rFonts w:hint="eastAsia" w:ascii="宋体" w:hAnsi="宋体"/>
          <w:color w:val="auto"/>
          <w:highlight w:val="none"/>
        </w:rPr>
        <w:t>1.9 踏勘现场</w:t>
      </w:r>
      <w:bookmarkEnd w:id="137"/>
      <w:bookmarkEnd w:id="138"/>
      <w:bookmarkEnd w:id="139"/>
      <w:bookmarkEnd w:id="140"/>
      <w:bookmarkEnd w:id="141"/>
      <w:bookmarkEnd w:id="142"/>
      <w:bookmarkEnd w:id="143"/>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pPr>
        <w:spacing w:line="400" w:lineRule="exact"/>
        <w:ind w:firstLine="420" w:firstLineChars="200"/>
        <w:rPr>
          <w:rFonts w:ascii="宋体" w:hAnsi="宋体"/>
          <w:color w:val="auto"/>
          <w:highlight w:val="none"/>
        </w:rPr>
      </w:pPr>
      <w:r>
        <w:rPr>
          <w:rFonts w:hint="eastAsia" w:ascii="宋体" w:hAnsi="宋体"/>
          <w:color w:val="auto"/>
          <w:highlight w:val="none"/>
        </w:rPr>
        <w:t>1.9.2 供应商踏勘现场发生的费用自理。</w:t>
      </w:r>
    </w:p>
    <w:p>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pPr>
        <w:pStyle w:val="8"/>
        <w:rPr>
          <w:rFonts w:ascii="宋体" w:hAnsi="宋体"/>
          <w:color w:val="auto"/>
          <w:highlight w:val="none"/>
        </w:rPr>
      </w:pPr>
      <w:bookmarkStart w:id="144" w:name="_Toc152042316"/>
      <w:bookmarkStart w:id="145" w:name="_Toc247527564"/>
      <w:bookmarkStart w:id="146" w:name="_Toc152045540"/>
      <w:bookmarkStart w:id="147" w:name="_Toc247592877"/>
      <w:bookmarkStart w:id="148" w:name="_Toc247513963"/>
      <w:bookmarkStart w:id="149" w:name="_Toc144974508"/>
      <w:bookmarkStart w:id="150" w:name="_Toc338840197"/>
      <w:r>
        <w:rPr>
          <w:rFonts w:hint="eastAsia" w:ascii="宋体" w:hAnsi="宋体"/>
          <w:color w:val="auto"/>
          <w:highlight w:val="none"/>
        </w:rPr>
        <w:t>1.10 投标预备会</w:t>
      </w:r>
      <w:bookmarkEnd w:id="144"/>
      <w:bookmarkEnd w:id="145"/>
      <w:bookmarkEnd w:id="146"/>
      <w:bookmarkEnd w:id="147"/>
      <w:bookmarkEnd w:id="148"/>
      <w:bookmarkEnd w:id="149"/>
      <w:bookmarkEnd w:id="150"/>
    </w:p>
    <w:p>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pPr>
        <w:pStyle w:val="8"/>
        <w:rPr>
          <w:rFonts w:ascii="宋体" w:hAnsi="宋体"/>
          <w:color w:val="auto"/>
          <w:highlight w:val="none"/>
        </w:rPr>
      </w:pPr>
      <w:bookmarkStart w:id="151" w:name="_Toc338840198"/>
      <w:r>
        <w:rPr>
          <w:rFonts w:hint="eastAsia" w:ascii="宋体" w:hAnsi="宋体"/>
          <w:color w:val="auto"/>
          <w:highlight w:val="none"/>
        </w:rPr>
        <w:t>1.11 响应和偏差</w:t>
      </w:r>
      <w:bookmarkEnd w:id="151"/>
    </w:p>
    <w:p>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pPr>
        <w:pStyle w:val="7"/>
        <w:rPr>
          <w:rFonts w:ascii="宋体" w:hAnsi="宋体" w:eastAsia="宋体"/>
          <w:color w:val="auto"/>
          <w:highlight w:val="none"/>
        </w:rPr>
      </w:pPr>
      <w:bookmarkStart w:id="152" w:name="_Toc25958"/>
      <w:bookmarkStart w:id="153" w:name="_Toc246996187"/>
      <w:bookmarkStart w:id="154" w:name="_Toc494093430"/>
      <w:bookmarkStart w:id="155" w:name="_Toc152045542"/>
      <w:bookmarkStart w:id="156" w:name="_Toc494526402"/>
      <w:bookmarkStart w:id="157" w:name="_Toc346523466"/>
      <w:bookmarkStart w:id="158" w:name="_Toc152042318"/>
      <w:bookmarkStart w:id="159" w:name="_Toc338840482"/>
      <w:bookmarkStart w:id="160" w:name="_Toc28300"/>
      <w:bookmarkStart w:id="161" w:name="_Toc246996930"/>
      <w:bookmarkStart w:id="162" w:name="_Toc346523403"/>
      <w:bookmarkStart w:id="163" w:name="_Toc9338"/>
      <w:bookmarkStart w:id="164" w:name="_Toc144974510"/>
      <w:bookmarkStart w:id="165" w:name="_Toc338840443"/>
      <w:bookmarkStart w:id="166" w:name="_Toc247085701"/>
      <w:bookmarkStart w:id="167" w:name="_Toc179632560"/>
      <w:bookmarkStart w:id="168" w:name="_Toc338840199"/>
      <w:bookmarkStart w:id="169" w:name="_Toc22322"/>
      <w:r>
        <w:rPr>
          <w:rFonts w:hint="eastAsia" w:ascii="宋体" w:hAnsi="宋体" w:eastAsia="宋体"/>
          <w:color w:val="auto"/>
          <w:highlight w:val="none"/>
        </w:rPr>
        <w:t>2.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pStyle w:val="8"/>
        <w:rPr>
          <w:rFonts w:ascii="宋体" w:hAnsi="宋体"/>
          <w:color w:val="auto"/>
          <w:highlight w:val="none"/>
        </w:rPr>
      </w:pPr>
      <w:bookmarkStart w:id="170" w:name="_Toc246996188"/>
      <w:bookmarkStart w:id="171" w:name="_Toc179632561"/>
      <w:bookmarkStart w:id="172" w:name="_Toc152042319"/>
      <w:bookmarkStart w:id="173" w:name="_Toc247085702"/>
      <w:bookmarkStart w:id="174" w:name="_Toc144974511"/>
      <w:bookmarkStart w:id="175" w:name="_Toc152045543"/>
      <w:bookmarkStart w:id="176" w:name="_Toc338840200"/>
      <w:bookmarkStart w:id="177" w:name="_Toc246996931"/>
      <w:r>
        <w:rPr>
          <w:rFonts w:hint="eastAsia" w:ascii="宋体" w:hAnsi="宋体"/>
          <w:color w:val="auto"/>
          <w:highlight w:val="none"/>
        </w:rPr>
        <w:t>2.1 招标文件的组成</w:t>
      </w:r>
      <w:bookmarkEnd w:id="170"/>
      <w:bookmarkEnd w:id="171"/>
      <w:bookmarkEnd w:id="172"/>
      <w:bookmarkEnd w:id="173"/>
      <w:bookmarkEnd w:id="174"/>
      <w:bookmarkEnd w:id="175"/>
      <w:bookmarkEnd w:id="176"/>
      <w:bookmarkEnd w:id="177"/>
    </w:p>
    <w:p>
      <w:pPr>
        <w:spacing w:line="400" w:lineRule="exact"/>
        <w:rPr>
          <w:rFonts w:ascii="宋体" w:hAnsi="宋体"/>
          <w:color w:val="auto"/>
          <w:highlight w:val="none"/>
        </w:rPr>
      </w:pPr>
      <w:r>
        <w:rPr>
          <w:rFonts w:hint="eastAsia" w:ascii="宋体" w:hAnsi="宋体"/>
          <w:color w:val="auto"/>
          <w:highlight w:val="none"/>
        </w:rPr>
        <w:t>　　2.1.1 本招标文件包括：</w:t>
      </w:r>
    </w:p>
    <w:p>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pPr>
        <w:spacing w:line="400" w:lineRule="exact"/>
        <w:ind w:firstLine="420" w:firstLineChars="200"/>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pPr>
        <w:pStyle w:val="8"/>
        <w:rPr>
          <w:rFonts w:ascii="宋体" w:hAnsi="宋体"/>
          <w:color w:val="auto"/>
          <w:highlight w:val="none"/>
        </w:rPr>
      </w:pPr>
      <w:bookmarkStart w:id="178" w:name="_Toc247085703"/>
      <w:bookmarkStart w:id="179" w:name="_Toc246996189"/>
      <w:bookmarkStart w:id="180" w:name="_Toc144974512"/>
      <w:bookmarkStart w:id="181" w:name="_Toc152045544"/>
      <w:bookmarkStart w:id="182" w:name="_Toc152042320"/>
      <w:bookmarkStart w:id="183" w:name="_Toc338840201"/>
      <w:bookmarkStart w:id="184" w:name="_Toc179632562"/>
      <w:bookmarkStart w:id="185" w:name="_Toc246996932"/>
      <w:r>
        <w:rPr>
          <w:rFonts w:hint="eastAsia" w:ascii="宋体" w:hAnsi="宋体"/>
          <w:color w:val="auto"/>
          <w:highlight w:val="none"/>
        </w:rPr>
        <w:t>2.2 招标文件的澄清</w:t>
      </w:r>
      <w:bookmarkEnd w:id="178"/>
      <w:bookmarkEnd w:id="179"/>
      <w:bookmarkEnd w:id="180"/>
      <w:bookmarkEnd w:id="181"/>
      <w:bookmarkEnd w:id="182"/>
      <w:bookmarkEnd w:id="183"/>
      <w:bookmarkEnd w:id="184"/>
      <w:bookmarkEnd w:id="185"/>
      <w:r>
        <w:rPr>
          <w:rFonts w:hint="eastAsia" w:ascii="宋体" w:hAnsi="宋体"/>
          <w:color w:val="auto"/>
          <w:highlight w:val="none"/>
        </w:rPr>
        <w:t xml:space="preserve">和修改 </w:t>
      </w:r>
    </w:p>
    <w:p>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pPr>
        <w:pStyle w:val="7"/>
        <w:rPr>
          <w:rFonts w:ascii="宋体" w:hAnsi="宋体" w:eastAsia="宋体"/>
          <w:color w:val="auto"/>
          <w:highlight w:val="none"/>
        </w:rPr>
      </w:pPr>
      <w:bookmarkStart w:id="186" w:name="_Toc14285"/>
      <w:bookmarkStart w:id="187" w:name="_Toc152045546"/>
      <w:bookmarkStart w:id="188" w:name="_Toc179632564"/>
      <w:bookmarkStart w:id="189" w:name="_Toc338840483"/>
      <w:bookmarkStart w:id="190" w:name="_Toc152042322"/>
      <w:bookmarkStart w:id="191" w:name="_Toc246996934"/>
      <w:bookmarkStart w:id="192" w:name="_Toc9061"/>
      <w:bookmarkStart w:id="193" w:name="_Toc338840203"/>
      <w:bookmarkStart w:id="194" w:name="_Toc346523404"/>
      <w:bookmarkStart w:id="195" w:name="_Toc10395"/>
      <w:bookmarkStart w:id="196" w:name="_Toc338840444"/>
      <w:bookmarkStart w:id="197" w:name="_Toc247085705"/>
      <w:bookmarkStart w:id="198" w:name="_Toc246996191"/>
      <w:bookmarkStart w:id="199" w:name="_Toc494526403"/>
      <w:bookmarkStart w:id="200" w:name="_Toc494093431"/>
      <w:bookmarkStart w:id="201" w:name="_Toc346523467"/>
      <w:bookmarkStart w:id="202" w:name="_Toc144974514"/>
      <w:bookmarkStart w:id="203" w:name="_Toc8262"/>
      <w:r>
        <w:rPr>
          <w:rFonts w:hint="eastAsia" w:ascii="宋体" w:hAnsi="宋体" w:eastAsia="宋体"/>
          <w:color w:val="auto"/>
          <w:highlight w:val="none"/>
        </w:rPr>
        <w:t>3. 投标文件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pStyle w:val="8"/>
        <w:rPr>
          <w:rFonts w:ascii="宋体" w:hAnsi="宋体"/>
          <w:color w:val="auto"/>
          <w:highlight w:val="none"/>
        </w:rPr>
      </w:pPr>
      <w:bookmarkStart w:id="204" w:name="_Toc179632565"/>
      <w:bookmarkStart w:id="205" w:name="_Toc152042323"/>
      <w:bookmarkStart w:id="206" w:name="_Toc338840204"/>
      <w:bookmarkStart w:id="207" w:name="_Toc246996935"/>
      <w:bookmarkStart w:id="208" w:name="_Toc144974515"/>
      <w:bookmarkStart w:id="209" w:name="_Toc247085706"/>
      <w:bookmarkStart w:id="210" w:name="_Toc152045547"/>
      <w:bookmarkStart w:id="211" w:name="_Toc246996192"/>
      <w:r>
        <w:rPr>
          <w:rFonts w:hint="eastAsia" w:ascii="宋体" w:hAnsi="宋体"/>
          <w:color w:val="auto"/>
          <w:highlight w:val="none"/>
        </w:rPr>
        <w:t>3.1 投标文件的组成</w:t>
      </w:r>
      <w:bookmarkEnd w:id="204"/>
      <w:bookmarkEnd w:id="205"/>
      <w:bookmarkEnd w:id="206"/>
      <w:bookmarkEnd w:id="207"/>
      <w:bookmarkEnd w:id="208"/>
      <w:bookmarkEnd w:id="209"/>
      <w:bookmarkEnd w:id="210"/>
      <w:bookmarkEnd w:id="211"/>
    </w:p>
    <w:p>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pPr>
        <w:pStyle w:val="8"/>
        <w:rPr>
          <w:rFonts w:ascii="宋体" w:hAnsi="宋体"/>
          <w:color w:val="auto"/>
          <w:sz w:val="21"/>
          <w:szCs w:val="21"/>
          <w:highlight w:val="none"/>
        </w:rPr>
      </w:pPr>
      <w:bookmarkStart w:id="212" w:name="_Toc338840205"/>
      <w:bookmarkStart w:id="213" w:name="_Toc246996193"/>
      <w:bookmarkStart w:id="214" w:name="_Toc179632566"/>
      <w:bookmarkStart w:id="215" w:name="_Toc247085707"/>
      <w:bookmarkStart w:id="216" w:name="_Toc144974516"/>
      <w:bookmarkStart w:id="217" w:name="_Toc246996936"/>
      <w:bookmarkStart w:id="218" w:name="_Toc152042324"/>
      <w:bookmarkStart w:id="219" w:name="_Toc152045548"/>
      <w:r>
        <w:rPr>
          <w:rFonts w:hint="eastAsia" w:ascii="宋体" w:hAnsi="宋体"/>
          <w:color w:val="auto"/>
          <w:highlight w:val="none"/>
        </w:rPr>
        <w:t>3.2 投标报价</w:t>
      </w:r>
      <w:bookmarkEnd w:id="212"/>
      <w:bookmarkEnd w:id="213"/>
      <w:bookmarkEnd w:id="214"/>
      <w:bookmarkEnd w:id="215"/>
      <w:bookmarkEnd w:id="216"/>
      <w:bookmarkEnd w:id="217"/>
      <w:bookmarkEnd w:id="218"/>
      <w:bookmarkEnd w:id="219"/>
    </w:p>
    <w:p>
      <w:pPr>
        <w:spacing w:line="400" w:lineRule="exact"/>
        <w:ind w:firstLine="420" w:firstLineChars="200"/>
        <w:rPr>
          <w:rFonts w:ascii="宋体" w:hAnsi="宋体"/>
          <w:color w:val="auto"/>
          <w:highlight w:val="none"/>
        </w:rPr>
      </w:pPr>
      <w:r>
        <w:rPr>
          <w:rFonts w:hint="eastAsia" w:ascii="宋体" w:hAnsi="宋体"/>
          <w:color w:val="auto"/>
          <w:highlight w:val="none"/>
        </w:rPr>
        <w:t>3.2.1 报价范围：见供应商须知前附表。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0" w:name="_Toc179632567"/>
      <w:bookmarkStart w:id="221" w:name="_Toc152042325"/>
      <w:bookmarkStart w:id="222" w:name="_Toc144974517"/>
      <w:bookmarkStart w:id="223" w:name="_Toc152045549"/>
      <w:r>
        <w:rPr>
          <w:rFonts w:hint="eastAsia" w:ascii="宋体" w:hAnsi="宋体"/>
          <w:color w:val="auto"/>
          <w:kern w:val="0"/>
          <w:szCs w:val="21"/>
          <w:highlight w:val="none"/>
        </w:rPr>
        <w:t>。</w:t>
      </w:r>
    </w:p>
    <w:p>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pPr>
        <w:spacing w:line="400" w:lineRule="exact"/>
        <w:ind w:firstLine="420" w:firstLineChars="200"/>
        <w:rPr>
          <w:rFonts w:ascii="宋体" w:hAnsi="宋体"/>
          <w:color w:val="auto"/>
          <w:highlight w:val="none"/>
        </w:rPr>
      </w:pPr>
      <w:r>
        <w:rPr>
          <w:rFonts w:hint="eastAsia" w:ascii="宋体" w:hAnsi="宋体"/>
          <w:color w:val="auto"/>
          <w:highlight w:val="none"/>
        </w:rPr>
        <w:t>3.2.4 报价币种：见供应商须知前附表。</w:t>
      </w:r>
    </w:p>
    <w:p>
      <w:pPr>
        <w:pStyle w:val="8"/>
        <w:rPr>
          <w:rFonts w:ascii="宋体" w:hAnsi="宋体"/>
          <w:color w:val="auto"/>
          <w:highlight w:val="none"/>
        </w:rPr>
      </w:pPr>
      <w:bookmarkStart w:id="224" w:name="_Toc338840206"/>
      <w:bookmarkStart w:id="225" w:name="_Toc247085708"/>
      <w:bookmarkStart w:id="226" w:name="_Toc246996194"/>
      <w:bookmarkStart w:id="227" w:name="_Toc246996937"/>
      <w:r>
        <w:rPr>
          <w:rFonts w:hint="eastAsia" w:ascii="宋体" w:hAnsi="宋体"/>
          <w:color w:val="auto"/>
          <w:highlight w:val="none"/>
        </w:rPr>
        <w:t>3.3 投标有效期</w:t>
      </w:r>
      <w:bookmarkEnd w:id="220"/>
      <w:bookmarkEnd w:id="221"/>
      <w:bookmarkEnd w:id="222"/>
      <w:bookmarkEnd w:id="223"/>
      <w:bookmarkEnd w:id="224"/>
      <w:bookmarkEnd w:id="225"/>
      <w:bookmarkEnd w:id="226"/>
      <w:bookmarkEnd w:id="227"/>
    </w:p>
    <w:p>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pPr>
        <w:pStyle w:val="8"/>
        <w:rPr>
          <w:rFonts w:ascii="宋体" w:hAnsi="宋体"/>
          <w:color w:val="auto"/>
          <w:highlight w:val="none"/>
        </w:rPr>
      </w:pPr>
      <w:bookmarkStart w:id="228" w:name="_Toc246996938"/>
      <w:bookmarkStart w:id="229" w:name="_Toc179632568"/>
      <w:bookmarkStart w:id="230" w:name="_Toc144974518"/>
      <w:bookmarkStart w:id="231" w:name="_Toc246996195"/>
      <w:bookmarkStart w:id="232" w:name="_Toc247085709"/>
      <w:bookmarkStart w:id="233" w:name="_Toc338840207"/>
      <w:bookmarkStart w:id="234" w:name="_Toc152042326"/>
      <w:bookmarkStart w:id="235" w:name="_Toc152045550"/>
      <w:r>
        <w:rPr>
          <w:rFonts w:hint="eastAsia" w:ascii="宋体" w:hAnsi="宋体"/>
          <w:color w:val="auto"/>
          <w:highlight w:val="none"/>
        </w:rPr>
        <w:t xml:space="preserve"> </w:t>
      </w:r>
      <w:bookmarkEnd w:id="228"/>
      <w:bookmarkEnd w:id="229"/>
      <w:bookmarkEnd w:id="230"/>
      <w:bookmarkEnd w:id="231"/>
      <w:bookmarkEnd w:id="232"/>
      <w:bookmarkEnd w:id="233"/>
      <w:bookmarkEnd w:id="234"/>
      <w:bookmarkEnd w:id="235"/>
      <w:r>
        <w:rPr>
          <w:rFonts w:hint="eastAsia" w:ascii="宋体" w:hAnsi="宋体"/>
          <w:color w:val="auto"/>
          <w:highlight w:val="none"/>
        </w:rPr>
        <w:t>3.4 投标保证金</w:t>
      </w:r>
    </w:p>
    <w:p>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3.4.4有下列情形之一的，投标保证金将不予退还： </w:t>
      </w:r>
    </w:p>
    <w:p>
      <w:pPr>
        <w:spacing w:line="400" w:lineRule="exact"/>
        <w:ind w:firstLine="718" w:firstLineChars="342"/>
        <w:rPr>
          <w:rFonts w:ascii="宋体" w:hAnsi="宋体"/>
          <w:color w:val="auto"/>
          <w:highlight w:val="none"/>
        </w:rPr>
      </w:pPr>
      <w:r>
        <w:rPr>
          <w:rFonts w:hint="eastAsia" w:ascii="宋体" w:hAnsi="宋体"/>
          <w:color w:val="auto"/>
          <w:highlight w:val="none"/>
        </w:rPr>
        <w:t>（1）供应商在规定的投标有效期内撤销或修改其投标文件；</w:t>
      </w:r>
    </w:p>
    <w:p>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pPr>
        <w:spacing w:line="400" w:lineRule="exact"/>
        <w:ind w:firstLine="718" w:firstLineChars="342"/>
        <w:rPr>
          <w:rFonts w:ascii="宋体" w:hAnsi="宋体"/>
          <w:color w:val="auto"/>
          <w:highlight w:val="none"/>
        </w:rPr>
      </w:pPr>
      <w:r>
        <w:rPr>
          <w:rFonts w:hint="eastAsia" w:ascii="宋体" w:hAnsi="宋体"/>
          <w:color w:val="auto"/>
          <w:highlight w:val="none"/>
        </w:rPr>
        <w:t>（3）提供虚假资料或存在违法违规行为的。</w:t>
      </w:r>
    </w:p>
    <w:p>
      <w:pPr>
        <w:pStyle w:val="8"/>
        <w:rPr>
          <w:rFonts w:ascii="宋体" w:hAnsi="宋体"/>
          <w:color w:val="auto"/>
          <w:highlight w:val="none"/>
        </w:rPr>
      </w:pPr>
      <w:bookmarkStart w:id="236" w:name="_Toc144974520"/>
      <w:bookmarkStart w:id="237" w:name="_Toc246996196"/>
      <w:bookmarkStart w:id="238" w:name="_Toc179632570"/>
      <w:bookmarkStart w:id="239" w:name="_Toc247085710"/>
      <w:bookmarkStart w:id="240" w:name="_Toc152042328"/>
      <w:bookmarkStart w:id="241" w:name="_Toc152045552"/>
      <w:bookmarkStart w:id="242" w:name="_Toc246996939"/>
      <w:bookmarkStart w:id="243" w:name="_Toc338840208"/>
      <w:r>
        <w:rPr>
          <w:rFonts w:hint="eastAsia" w:ascii="宋体" w:hAnsi="宋体"/>
          <w:color w:val="auto"/>
          <w:highlight w:val="none"/>
        </w:rPr>
        <w:t>3.5 资格审查资料</w:t>
      </w:r>
      <w:bookmarkEnd w:id="236"/>
      <w:bookmarkEnd w:id="237"/>
      <w:bookmarkEnd w:id="238"/>
      <w:bookmarkEnd w:id="239"/>
      <w:bookmarkEnd w:id="240"/>
      <w:bookmarkEnd w:id="241"/>
      <w:bookmarkEnd w:id="242"/>
      <w:bookmarkEnd w:id="243"/>
    </w:p>
    <w:p>
      <w:pPr>
        <w:spacing w:line="400" w:lineRule="exact"/>
        <w:ind w:firstLine="420" w:firstLineChars="200"/>
        <w:rPr>
          <w:rFonts w:ascii="宋体" w:hAnsi="宋体"/>
          <w:color w:val="auto"/>
          <w:highlight w:val="none"/>
        </w:rPr>
      </w:pPr>
      <w:r>
        <w:rPr>
          <w:rFonts w:hint="eastAsia" w:ascii="宋体" w:hAnsi="宋体"/>
          <w:color w:val="auto"/>
          <w:highlight w:val="none"/>
        </w:rPr>
        <w:t>3.5.1 资格要求：见供应商须知前附表。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pPr>
        <w:pStyle w:val="8"/>
        <w:rPr>
          <w:rFonts w:ascii="宋体" w:hAnsi="宋体"/>
          <w:color w:val="auto"/>
          <w:highlight w:val="none"/>
        </w:rPr>
      </w:pPr>
      <w:bookmarkStart w:id="244" w:name="_Toc338840209"/>
      <w:bookmarkStart w:id="245" w:name="_Toc152045553"/>
      <w:bookmarkStart w:id="246" w:name="_Toc152042329"/>
      <w:bookmarkStart w:id="247" w:name="_Toc246996940"/>
      <w:bookmarkStart w:id="248" w:name="_Toc247085711"/>
      <w:bookmarkStart w:id="249" w:name="_Toc144974521"/>
      <w:bookmarkStart w:id="250" w:name="_Toc246996197"/>
      <w:bookmarkStart w:id="251" w:name="_Toc179632571"/>
      <w:r>
        <w:rPr>
          <w:rFonts w:hint="eastAsia" w:ascii="宋体" w:hAnsi="宋体"/>
          <w:color w:val="auto"/>
          <w:highlight w:val="none"/>
        </w:rPr>
        <w:t>3.6投标文件的编制</w:t>
      </w:r>
      <w:bookmarkEnd w:id="244"/>
    </w:p>
    <w:p>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，按招标文件要求在相应位置加盖电子印章。签字或盖章的具体要求见供应商须知前附表。</w:t>
      </w:r>
    </w:p>
    <w:bookmarkEnd w:id="245"/>
    <w:bookmarkEnd w:id="246"/>
    <w:bookmarkEnd w:id="247"/>
    <w:bookmarkEnd w:id="248"/>
    <w:bookmarkEnd w:id="249"/>
    <w:bookmarkEnd w:id="250"/>
    <w:bookmarkEnd w:id="251"/>
    <w:p>
      <w:pPr>
        <w:pStyle w:val="7"/>
        <w:rPr>
          <w:rFonts w:ascii="宋体" w:hAnsi="宋体" w:eastAsia="宋体"/>
          <w:color w:val="auto"/>
          <w:highlight w:val="none"/>
        </w:rPr>
      </w:pPr>
      <w:bookmarkStart w:id="252" w:name="_Toc338840445"/>
      <w:bookmarkStart w:id="253" w:name="_Toc338840210"/>
      <w:bookmarkStart w:id="254" w:name="_Toc346523468"/>
      <w:bookmarkStart w:id="255" w:name="_Toc494526404"/>
      <w:bookmarkStart w:id="256" w:name="_Toc346523405"/>
      <w:bookmarkStart w:id="257" w:name="_Toc8915"/>
      <w:bookmarkStart w:id="258" w:name="_Toc152045555"/>
      <w:bookmarkStart w:id="259" w:name="_Toc494093432"/>
      <w:bookmarkStart w:id="260" w:name="_Toc2826"/>
      <w:bookmarkStart w:id="261" w:name="_Toc338840484"/>
      <w:bookmarkStart w:id="262" w:name="_Toc152042331"/>
      <w:bookmarkStart w:id="263" w:name="_Toc26446"/>
      <w:bookmarkStart w:id="264" w:name="_Toc247085713"/>
      <w:bookmarkStart w:id="265" w:name="_Toc14743"/>
      <w:bookmarkStart w:id="266" w:name="_Toc179632573"/>
      <w:bookmarkStart w:id="267" w:name="_Toc246996942"/>
      <w:bookmarkStart w:id="268" w:name="_Toc144974523"/>
      <w:bookmarkStart w:id="269" w:name="_Toc246996199"/>
      <w:r>
        <w:rPr>
          <w:rFonts w:hint="eastAsia" w:ascii="宋体" w:hAnsi="宋体" w:eastAsia="宋体"/>
          <w:color w:val="auto"/>
          <w:highlight w:val="none"/>
        </w:rPr>
        <w:t>4. 投标</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pPr>
        <w:pStyle w:val="8"/>
        <w:rPr>
          <w:rFonts w:ascii="宋体" w:hAnsi="宋体"/>
          <w:color w:val="auto"/>
          <w:highlight w:val="none"/>
        </w:rPr>
      </w:pPr>
      <w:bookmarkStart w:id="270" w:name="_Toc152045556"/>
      <w:bookmarkStart w:id="271" w:name="_Toc246996200"/>
      <w:bookmarkStart w:id="272" w:name="_Toc144974524"/>
      <w:bookmarkStart w:id="273" w:name="_Toc152042332"/>
      <w:bookmarkStart w:id="274" w:name="_Toc179632574"/>
      <w:bookmarkStart w:id="275" w:name="_Toc246996943"/>
      <w:bookmarkStart w:id="276" w:name="_Toc338840211"/>
      <w:bookmarkStart w:id="277" w:name="_Toc247085714"/>
      <w:r>
        <w:rPr>
          <w:rFonts w:hint="eastAsia" w:ascii="宋体" w:hAnsi="宋体"/>
          <w:color w:val="auto"/>
          <w:highlight w:val="none"/>
        </w:rPr>
        <w:t>4.1 投标文件的加密</w:t>
      </w:r>
      <w:bookmarkEnd w:id="270"/>
      <w:bookmarkEnd w:id="271"/>
      <w:bookmarkEnd w:id="272"/>
      <w:bookmarkEnd w:id="273"/>
      <w:bookmarkEnd w:id="274"/>
      <w:bookmarkEnd w:id="275"/>
      <w:bookmarkEnd w:id="276"/>
      <w:bookmarkEnd w:id="277"/>
    </w:p>
    <w:p>
      <w:pPr>
        <w:spacing w:line="400" w:lineRule="exact"/>
        <w:ind w:firstLine="420" w:firstLineChars="200"/>
        <w:rPr>
          <w:rFonts w:ascii="宋体" w:hAnsi="宋体"/>
          <w:color w:val="auto"/>
          <w:highlight w:val="none"/>
        </w:rPr>
      </w:pPr>
      <w:bookmarkStart w:id="278" w:name="_Toc152045557"/>
      <w:bookmarkStart w:id="279" w:name="_Toc247085715"/>
      <w:bookmarkStart w:id="280" w:name="_Toc144974525"/>
      <w:bookmarkStart w:id="281" w:name="_Toc179632575"/>
      <w:bookmarkStart w:id="282" w:name="_Toc246996944"/>
      <w:bookmarkStart w:id="283" w:name="_Toc246996201"/>
      <w:bookmarkStart w:id="284" w:name="_Toc152042333"/>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pPr>
        <w:pStyle w:val="8"/>
        <w:rPr>
          <w:rFonts w:ascii="宋体" w:hAnsi="宋体"/>
          <w:color w:val="auto"/>
          <w:highlight w:val="none"/>
        </w:rPr>
      </w:pPr>
      <w:bookmarkStart w:id="285" w:name="_Toc338840212"/>
      <w:r>
        <w:rPr>
          <w:rFonts w:hint="eastAsia" w:ascii="宋体" w:hAnsi="宋体"/>
          <w:color w:val="auto"/>
          <w:highlight w:val="none"/>
        </w:rPr>
        <w:t>4.2 投标文件的递交</w:t>
      </w:r>
      <w:bookmarkEnd w:id="278"/>
      <w:bookmarkEnd w:id="279"/>
      <w:bookmarkEnd w:id="280"/>
      <w:bookmarkEnd w:id="281"/>
      <w:bookmarkEnd w:id="282"/>
      <w:bookmarkEnd w:id="283"/>
      <w:bookmarkEnd w:id="284"/>
      <w:bookmarkEnd w:id="285"/>
    </w:p>
    <w:p>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pPr>
        <w:pStyle w:val="8"/>
        <w:rPr>
          <w:rFonts w:ascii="宋体" w:hAnsi="宋体"/>
          <w:color w:val="auto"/>
          <w:highlight w:val="none"/>
        </w:rPr>
      </w:pPr>
      <w:bookmarkStart w:id="286" w:name="_Toc152045558"/>
      <w:bookmarkStart w:id="287" w:name="_Toc246996202"/>
      <w:bookmarkStart w:id="288" w:name="_Toc338840213"/>
      <w:bookmarkStart w:id="289" w:name="_Toc144974526"/>
      <w:bookmarkStart w:id="290" w:name="_Toc179632576"/>
      <w:bookmarkStart w:id="291" w:name="_Toc152042334"/>
      <w:bookmarkStart w:id="292" w:name="_Toc247085716"/>
      <w:bookmarkStart w:id="293" w:name="_Toc246996945"/>
      <w:r>
        <w:rPr>
          <w:rFonts w:hint="eastAsia" w:ascii="宋体" w:hAnsi="宋体"/>
          <w:color w:val="auto"/>
          <w:highlight w:val="none"/>
        </w:rPr>
        <w:t>4.3 投标文件的修改与撤回</w:t>
      </w:r>
      <w:bookmarkEnd w:id="286"/>
      <w:bookmarkEnd w:id="287"/>
      <w:bookmarkEnd w:id="288"/>
      <w:bookmarkEnd w:id="289"/>
      <w:bookmarkEnd w:id="290"/>
      <w:bookmarkEnd w:id="291"/>
      <w:bookmarkEnd w:id="292"/>
      <w:bookmarkEnd w:id="293"/>
    </w:p>
    <w:p>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pPr>
        <w:pStyle w:val="7"/>
        <w:rPr>
          <w:rFonts w:ascii="宋体" w:hAnsi="宋体" w:eastAsia="宋体"/>
          <w:color w:val="auto"/>
          <w:highlight w:val="none"/>
        </w:rPr>
      </w:pPr>
      <w:bookmarkStart w:id="294" w:name="_Toc246996203"/>
      <w:bookmarkStart w:id="295" w:name="_Toc494526405"/>
      <w:bookmarkStart w:id="296" w:name="_Toc19059"/>
      <w:bookmarkStart w:id="297" w:name="_Toc22635"/>
      <w:bookmarkStart w:id="298" w:name="_Toc247085717"/>
      <w:bookmarkStart w:id="299" w:name="_Toc20438"/>
      <w:bookmarkStart w:id="300" w:name="_Toc338840214"/>
      <w:bookmarkStart w:id="301" w:name="_Toc144974527"/>
      <w:bookmarkStart w:id="302" w:name="_Toc246996946"/>
      <w:bookmarkStart w:id="303" w:name="_Toc338840485"/>
      <w:bookmarkStart w:id="304" w:name="_Toc11800"/>
      <w:bookmarkStart w:id="305" w:name="_Toc152042335"/>
      <w:bookmarkStart w:id="306" w:name="_Toc152045559"/>
      <w:bookmarkStart w:id="307" w:name="_Toc346523469"/>
      <w:bookmarkStart w:id="308" w:name="_Toc346523406"/>
      <w:bookmarkStart w:id="309" w:name="_Toc179632577"/>
      <w:bookmarkStart w:id="310" w:name="_Toc338840446"/>
      <w:bookmarkStart w:id="311" w:name="_Toc494093433"/>
      <w:r>
        <w:rPr>
          <w:rFonts w:hint="eastAsia" w:ascii="宋体" w:hAnsi="宋体" w:eastAsia="宋体"/>
          <w:color w:val="auto"/>
          <w:highlight w:val="none"/>
        </w:rPr>
        <w:t>5. 开标</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pStyle w:val="8"/>
        <w:rPr>
          <w:rFonts w:ascii="宋体" w:hAnsi="宋体"/>
          <w:color w:val="auto"/>
          <w:highlight w:val="none"/>
        </w:rPr>
      </w:pPr>
      <w:r>
        <w:rPr>
          <w:rFonts w:hint="eastAsia" w:ascii="宋体" w:hAnsi="宋体"/>
          <w:color w:val="auto"/>
          <w:highlight w:val="none"/>
        </w:rPr>
        <w:t>5.1 投标截止及开标时间、地点</w:t>
      </w:r>
    </w:p>
    <w:p>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pPr>
        <w:pStyle w:val="8"/>
        <w:rPr>
          <w:rFonts w:ascii="宋体" w:hAnsi="宋体"/>
          <w:color w:val="auto"/>
          <w:highlight w:val="none"/>
        </w:rPr>
      </w:pPr>
      <w:bookmarkStart w:id="312" w:name="_Toc179632579"/>
      <w:bookmarkStart w:id="313" w:name="_Toc247085719"/>
      <w:bookmarkStart w:id="314" w:name="_Toc152042337"/>
      <w:bookmarkStart w:id="315" w:name="_Toc246996948"/>
      <w:bookmarkStart w:id="316" w:name="_Toc246996205"/>
      <w:bookmarkStart w:id="317" w:name="_Toc152045561"/>
      <w:bookmarkStart w:id="318" w:name="_Toc338840216"/>
      <w:bookmarkStart w:id="319" w:name="_Toc144974529"/>
      <w:r>
        <w:rPr>
          <w:rFonts w:hint="eastAsia" w:ascii="宋体" w:hAnsi="宋体"/>
          <w:color w:val="auto"/>
          <w:highlight w:val="none"/>
        </w:rPr>
        <w:t>5.2 开标程序</w:t>
      </w:r>
      <w:bookmarkEnd w:id="312"/>
      <w:bookmarkEnd w:id="313"/>
      <w:bookmarkEnd w:id="314"/>
      <w:bookmarkEnd w:id="315"/>
      <w:bookmarkEnd w:id="316"/>
      <w:bookmarkEnd w:id="317"/>
      <w:bookmarkEnd w:id="318"/>
      <w:bookmarkEnd w:id="319"/>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pPr>
        <w:pStyle w:val="8"/>
        <w:rPr>
          <w:rFonts w:ascii="宋体" w:hAnsi="宋体"/>
          <w:color w:val="auto"/>
          <w:highlight w:val="none"/>
        </w:rPr>
      </w:pPr>
      <w:bookmarkStart w:id="320" w:name="_Toc338840217"/>
      <w:r>
        <w:rPr>
          <w:rFonts w:hint="eastAsia" w:ascii="宋体" w:hAnsi="宋体"/>
          <w:color w:val="auto"/>
          <w:highlight w:val="none"/>
        </w:rPr>
        <w:t>5.3 开标异议</w:t>
      </w:r>
      <w:bookmarkEnd w:id="320"/>
    </w:p>
    <w:p>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pPr>
        <w:pStyle w:val="7"/>
        <w:rPr>
          <w:rFonts w:ascii="宋体" w:hAnsi="宋体" w:eastAsia="宋体"/>
          <w:color w:val="auto"/>
          <w:highlight w:val="none"/>
        </w:rPr>
      </w:pPr>
      <w:bookmarkStart w:id="321" w:name="_Toc23221"/>
      <w:bookmarkStart w:id="322" w:name="_Toc144974530"/>
      <w:bookmarkStart w:id="323" w:name="_Toc25260"/>
      <w:bookmarkStart w:id="324" w:name="_Toc179632580"/>
      <w:bookmarkStart w:id="325" w:name="_Toc338840486"/>
      <w:bookmarkStart w:id="326" w:name="_Toc247085720"/>
      <w:bookmarkStart w:id="327" w:name="_Toc246996206"/>
      <w:bookmarkStart w:id="328" w:name="_Toc15053"/>
      <w:bookmarkStart w:id="329" w:name="_Toc346523470"/>
      <w:bookmarkStart w:id="330" w:name="_Toc494526406"/>
      <w:bookmarkStart w:id="331" w:name="_Toc346523407"/>
      <w:bookmarkStart w:id="332" w:name="_Toc246996949"/>
      <w:bookmarkStart w:id="333" w:name="_Toc152042338"/>
      <w:bookmarkStart w:id="334" w:name="_Toc23925"/>
      <w:bookmarkStart w:id="335" w:name="_Toc494093434"/>
      <w:bookmarkStart w:id="336" w:name="_Toc338840218"/>
      <w:bookmarkStart w:id="337" w:name="_Toc152045562"/>
      <w:bookmarkStart w:id="338" w:name="_Toc338840447"/>
      <w:r>
        <w:rPr>
          <w:rFonts w:hint="eastAsia" w:ascii="宋体" w:hAnsi="宋体" w:eastAsia="宋体"/>
          <w:color w:val="auto"/>
          <w:highlight w:val="none"/>
        </w:rPr>
        <w:t>6. 评标</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8"/>
        <w:rPr>
          <w:rFonts w:ascii="宋体" w:hAnsi="宋体"/>
          <w:color w:val="auto"/>
          <w:highlight w:val="none"/>
        </w:rPr>
      </w:pPr>
      <w:bookmarkStart w:id="339" w:name="_Toc179632581"/>
      <w:bookmarkStart w:id="340" w:name="_Toc338840219"/>
      <w:bookmarkStart w:id="341" w:name="_Toc246996207"/>
      <w:bookmarkStart w:id="342" w:name="_Toc152042339"/>
      <w:bookmarkStart w:id="343" w:name="_Toc247085721"/>
      <w:bookmarkStart w:id="344" w:name="_Toc152045563"/>
      <w:bookmarkStart w:id="345" w:name="_Toc246996950"/>
      <w:bookmarkStart w:id="346" w:name="_Toc144974531"/>
      <w:r>
        <w:rPr>
          <w:rFonts w:hint="eastAsia" w:ascii="宋体" w:hAnsi="宋体"/>
          <w:color w:val="auto"/>
          <w:highlight w:val="none"/>
        </w:rPr>
        <w:t>6.1 评标委员会</w:t>
      </w:r>
      <w:bookmarkEnd w:id="339"/>
      <w:bookmarkEnd w:id="340"/>
      <w:bookmarkEnd w:id="341"/>
      <w:bookmarkEnd w:id="342"/>
      <w:bookmarkEnd w:id="343"/>
      <w:bookmarkEnd w:id="344"/>
      <w:bookmarkEnd w:id="345"/>
      <w:bookmarkEnd w:id="346"/>
    </w:p>
    <w:p>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6.1.2 评标委员会成员有下列情形之一的，应当回避：</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（5）与供应商有其他利害关系。</w:t>
      </w:r>
    </w:p>
    <w:p>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8"/>
        <w:rPr>
          <w:rFonts w:ascii="宋体" w:hAnsi="宋体"/>
          <w:color w:val="auto"/>
          <w:highlight w:val="none"/>
        </w:rPr>
      </w:pPr>
      <w:bookmarkStart w:id="347" w:name="_Toc152045564"/>
      <w:bookmarkStart w:id="348" w:name="_Toc246996208"/>
      <w:bookmarkStart w:id="349" w:name="_Toc179632582"/>
      <w:bookmarkStart w:id="350" w:name="_Toc152042340"/>
      <w:bookmarkStart w:id="351" w:name="_Toc144974532"/>
      <w:bookmarkStart w:id="352" w:name="_Toc338840220"/>
      <w:bookmarkStart w:id="353" w:name="_Toc247085722"/>
      <w:bookmarkStart w:id="354" w:name="_Toc246996951"/>
      <w:r>
        <w:rPr>
          <w:rFonts w:hint="eastAsia" w:ascii="宋体" w:hAnsi="宋体"/>
          <w:color w:val="auto"/>
          <w:highlight w:val="none"/>
        </w:rPr>
        <w:t>6.2 评标原则</w:t>
      </w:r>
      <w:bookmarkEnd w:id="347"/>
      <w:bookmarkEnd w:id="348"/>
      <w:bookmarkEnd w:id="349"/>
      <w:bookmarkEnd w:id="350"/>
      <w:bookmarkEnd w:id="351"/>
      <w:bookmarkEnd w:id="352"/>
      <w:bookmarkEnd w:id="353"/>
      <w:bookmarkEnd w:id="354"/>
    </w:p>
    <w:p>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pPr>
        <w:pStyle w:val="8"/>
        <w:rPr>
          <w:rFonts w:ascii="宋体" w:hAnsi="宋体"/>
          <w:color w:val="auto"/>
          <w:highlight w:val="none"/>
        </w:rPr>
      </w:pPr>
      <w:bookmarkStart w:id="355" w:name="_Toc246996952"/>
      <w:bookmarkStart w:id="356" w:name="_Toc144974533"/>
      <w:bookmarkStart w:id="357" w:name="_Toc247085723"/>
      <w:bookmarkStart w:id="358" w:name="_Toc338840221"/>
      <w:bookmarkStart w:id="359" w:name="_Toc152042341"/>
      <w:bookmarkStart w:id="360" w:name="_Toc246996209"/>
      <w:bookmarkStart w:id="361" w:name="_Toc152045565"/>
      <w:bookmarkStart w:id="362" w:name="_Toc179632583"/>
      <w:r>
        <w:rPr>
          <w:rFonts w:hint="eastAsia" w:ascii="宋体" w:hAnsi="宋体"/>
          <w:color w:val="auto"/>
          <w:highlight w:val="none"/>
        </w:rPr>
        <w:t>6.3 评标</w:t>
      </w:r>
      <w:bookmarkEnd w:id="355"/>
      <w:bookmarkEnd w:id="356"/>
      <w:bookmarkEnd w:id="357"/>
      <w:bookmarkEnd w:id="358"/>
      <w:bookmarkEnd w:id="359"/>
      <w:bookmarkEnd w:id="360"/>
      <w:bookmarkEnd w:id="361"/>
      <w:bookmarkEnd w:id="362"/>
    </w:p>
    <w:p>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pPr>
        <w:pStyle w:val="7"/>
        <w:rPr>
          <w:rFonts w:ascii="宋体" w:hAnsi="宋体" w:eastAsia="宋体"/>
          <w:color w:val="auto"/>
          <w:highlight w:val="none"/>
        </w:rPr>
      </w:pPr>
      <w:bookmarkStart w:id="363" w:name="_Toc11962"/>
      <w:bookmarkStart w:id="364" w:name="_Toc7858"/>
      <w:bookmarkStart w:id="365" w:name="_Toc152045566"/>
      <w:bookmarkStart w:id="366" w:name="_Toc494526407"/>
      <w:bookmarkStart w:id="367" w:name="_Toc346523408"/>
      <w:bookmarkStart w:id="368" w:name="_Toc346523471"/>
      <w:bookmarkStart w:id="369" w:name="_Toc338840487"/>
      <w:bookmarkStart w:id="370" w:name="_Toc3710"/>
      <w:bookmarkStart w:id="371" w:name="_Toc246996210"/>
      <w:bookmarkStart w:id="372" w:name="_Toc494093435"/>
      <w:bookmarkStart w:id="373" w:name="_Toc152042342"/>
      <w:bookmarkStart w:id="374" w:name="_Toc179632584"/>
      <w:bookmarkStart w:id="375" w:name="_Toc30344"/>
      <w:bookmarkStart w:id="376" w:name="_Toc246996953"/>
      <w:bookmarkStart w:id="377" w:name="_Toc338840448"/>
      <w:bookmarkStart w:id="378" w:name="_Toc338840222"/>
      <w:bookmarkStart w:id="379" w:name="_Toc247085724"/>
      <w:bookmarkStart w:id="380" w:name="_Toc144974534"/>
      <w:r>
        <w:rPr>
          <w:rFonts w:hint="eastAsia" w:ascii="宋体" w:hAnsi="宋体" w:eastAsia="宋体"/>
          <w:color w:val="auto"/>
          <w:highlight w:val="none"/>
        </w:rPr>
        <w:t>7. 合同授予</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pStyle w:val="8"/>
        <w:rPr>
          <w:rFonts w:ascii="宋体" w:hAnsi="宋体"/>
          <w:color w:val="auto"/>
          <w:highlight w:val="none"/>
        </w:rPr>
      </w:pPr>
      <w:bookmarkStart w:id="381" w:name="_Toc338840223"/>
      <w:bookmarkStart w:id="382" w:name="_Toc247085725"/>
      <w:bookmarkStart w:id="383" w:name="_Toc179632585"/>
      <w:bookmarkStart w:id="384" w:name="_Toc246996954"/>
      <w:bookmarkStart w:id="385" w:name="_Toc152045567"/>
      <w:bookmarkStart w:id="386" w:name="_Toc246996211"/>
      <w:bookmarkStart w:id="387" w:name="_Toc152042343"/>
      <w:bookmarkStart w:id="388" w:name="_Toc144974535"/>
      <w:r>
        <w:rPr>
          <w:rFonts w:hint="eastAsia" w:ascii="宋体" w:hAnsi="宋体"/>
          <w:color w:val="auto"/>
          <w:highlight w:val="none"/>
        </w:rPr>
        <w:t>7.1 定标方式</w:t>
      </w:r>
      <w:bookmarkEnd w:id="381"/>
      <w:bookmarkEnd w:id="382"/>
      <w:bookmarkEnd w:id="383"/>
      <w:bookmarkEnd w:id="384"/>
      <w:bookmarkEnd w:id="385"/>
      <w:bookmarkEnd w:id="386"/>
      <w:bookmarkEnd w:id="387"/>
      <w:bookmarkEnd w:id="388"/>
    </w:p>
    <w:p>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pPr>
        <w:pStyle w:val="8"/>
        <w:rPr>
          <w:rFonts w:ascii="宋体" w:hAnsi="宋体"/>
          <w:color w:val="auto"/>
          <w:highlight w:val="none"/>
        </w:rPr>
      </w:pPr>
      <w:bookmarkStart w:id="389" w:name="_Toc338840224"/>
      <w:r>
        <w:rPr>
          <w:rFonts w:hint="eastAsia" w:ascii="宋体" w:hAnsi="宋体"/>
          <w:color w:val="auto"/>
          <w:highlight w:val="none"/>
        </w:rPr>
        <w:t>7.2 中标人公布</w:t>
      </w:r>
      <w:bookmarkEnd w:id="389"/>
      <w:r>
        <w:rPr>
          <w:rFonts w:hint="eastAsia" w:ascii="宋体" w:hAnsi="宋体"/>
          <w:color w:val="auto"/>
          <w:highlight w:val="none"/>
        </w:rPr>
        <w:t>媒介</w:t>
      </w:r>
    </w:p>
    <w:p>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pPr>
        <w:pStyle w:val="8"/>
        <w:rPr>
          <w:rFonts w:ascii="宋体" w:hAnsi="宋体"/>
          <w:color w:val="auto"/>
          <w:highlight w:val="none"/>
        </w:rPr>
      </w:pPr>
      <w:bookmarkStart w:id="390" w:name="_Toc246996955"/>
      <w:bookmarkStart w:id="391" w:name="_Toc179632586"/>
      <w:bookmarkStart w:id="392" w:name="_Toc247085726"/>
      <w:bookmarkStart w:id="393" w:name="_Toc152042344"/>
      <w:bookmarkStart w:id="394" w:name="_Toc144974536"/>
      <w:bookmarkStart w:id="395" w:name="_Toc338840225"/>
      <w:bookmarkStart w:id="396" w:name="_Toc246996212"/>
      <w:bookmarkStart w:id="397" w:name="_Toc152045568"/>
      <w:r>
        <w:rPr>
          <w:rFonts w:hint="eastAsia" w:ascii="宋体" w:hAnsi="宋体"/>
          <w:color w:val="auto"/>
          <w:highlight w:val="none"/>
        </w:rPr>
        <w:t>7.3 中标通知</w:t>
      </w:r>
      <w:bookmarkEnd w:id="390"/>
      <w:bookmarkEnd w:id="391"/>
      <w:bookmarkEnd w:id="392"/>
      <w:bookmarkEnd w:id="393"/>
      <w:bookmarkEnd w:id="394"/>
      <w:bookmarkEnd w:id="395"/>
      <w:bookmarkEnd w:id="396"/>
      <w:bookmarkEnd w:id="397"/>
    </w:p>
    <w:p>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pPr>
        <w:pStyle w:val="8"/>
        <w:rPr>
          <w:rFonts w:ascii="宋体" w:hAnsi="宋体"/>
          <w:color w:val="auto"/>
          <w:highlight w:val="none"/>
        </w:rPr>
      </w:pPr>
      <w:bookmarkStart w:id="398" w:name="_Toc246996956"/>
      <w:bookmarkStart w:id="399" w:name="_Toc152045569"/>
      <w:bookmarkStart w:id="400" w:name="_Toc338840226"/>
      <w:bookmarkStart w:id="401" w:name="_Toc179632587"/>
      <w:bookmarkStart w:id="402" w:name="_Toc246996213"/>
      <w:bookmarkStart w:id="403" w:name="_Toc152042345"/>
      <w:bookmarkStart w:id="404" w:name="_Toc247085727"/>
      <w:bookmarkStart w:id="405" w:name="_Toc144974537"/>
      <w:r>
        <w:rPr>
          <w:rFonts w:hint="eastAsia" w:ascii="宋体" w:hAnsi="宋体"/>
          <w:color w:val="auto"/>
          <w:highlight w:val="none"/>
        </w:rPr>
        <w:t>7.4 履约担保</w:t>
      </w:r>
      <w:bookmarkEnd w:id="398"/>
      <w:bookmarkEnd w:id="399"/>
      <w:bookmarkEnd w:id="400"/>
      <w:bookmarkEnd w:id="401"/>
      <w:bookmarkEnd w:id="402"/>
      <w:bookmarkEnd w:id="403"/>
      <w:bookmarkEnd w:id="404"/>
      <w:bookmarkEnd w:id="405"/>
    </w:p>
    <w:p>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pPr>
        <w:pStyle w:val="8"/>
        <w:rPr>
          <w:rFonts w:ascii="宋体" w:hAnsi="宋体"/>
          <w:color w:val="auto"/>
          <w:highlight w:val="none"/>
        </w:rPr>
      </w:pPr>
      <w:bookmarkStart w:id="406" w:name="_Toc152045570"/>
      <w:bookmarkStart w:id="407" w:name="_Toc246996957"/>
      <w:bookmarkStart w:id="408" w:name="_Toc152042346"/>
      <w:bookmarkStart w:id="409" w:name="_Toc144974538"/>
      <w:bookmarkStart w:id="410" w:name="_Toc246996214"/>
      <w:bookmarkStart w:id="411" w:name="_Toc338840227"/>
      <w:bookmarkStart w:id="412" w:name="_Toc179632588"/>
      <w:bookmarkStart w:id="413" w:name="_Toc247085728"/>
      <w:r>
        <w:rPr>
          <w:rFonts w:hint="eastAsia" w:ascii="宋体" w:hAnsi="宋体"/>
          <w:color w:val="auto"/>
          <w:highlight w:val="none"/>
        </w:rPr>
        <w:t>7.5 签订合同</w:t>
      </w:r>
      <w:bookmarkEnd w:id="406"/>
      <w:bookmarkEnd w:id="407"/>
      <w:bookmarkEnd w:id="408"/>
      <w:bookmarkEnd w:id="409"/>
      <w:bookmarkEnd w:id="410"/>
      <w:bookmarkEnd w:id="411"/>
      <w:bookmarkEnd w:id="412"/>
      <w:bookmarkEnd w:id="413"/>
    </w:p>
    <w:p>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pPr>
        <w:pStyle w:val="7"/>
        <w:rPr>
          <w:rFonts w:ascii="宋体" w:hAnsi="宋体" w:eastAsia="宋体"/>
          <w:color w:val="auto"/>
          <w:highlight w:val="none"/>
        </w:rPr>
      </w:pPr>
      <w:bookmarkStart w:id="414" w:name="_Toc4153"/>
      <w:bookmarkStart w:id="415" w:name="_Toc494526408"/>
      <w:bookmarkStart w:id="416" w:name="_Toc19232"/>
      <w:bookmarkStart w:id="417" w:name="_Toc346523409"/>
      <w:bookmarkStart w:id="418" w:name="_Toc338840449"/>
      <w:bookmarkStart w:id="419" w:name="_Toc338840488"/>
      <w:bookmarkStart w:id="420" w:name="_Toc338840228"/>
      <w:bookmarkStart w:id="421" w:name="_Toc346523472"/>
      <w:bookmarkStart w:id="422" w:name="_Toc1612"/>
      <w:bookmarkStart w:id="423" w:name="_Toc494093436"/>
      <w:bookmarkStart w:id="424" w:name="_Toc21421"/>
      <w:r>
        <w:rPr>
          <w:rFonts w:hint="eastAsia" w:ascii="宋体" w:hAnsi="宋体" w:eastAsia="宋体"/>
          <w:color w:val="auto"/>
          <w:highlight w:val="none"/>
        </w:rPr>
        <w:t>8. 纪律和监督</w:t>
      </w:r>
      <w:bookmarkEnd w:id="414"/>
      <w:bookmarkEnd w:id="415"/>
      <w:bookmarkEnd w:id="416"/>
      <w:bookmarkEnd w:id="417"/>
      <w:bookmarkEnd w:id="418"/>
      <w:bookmarkEnd w:id="419"/>
      <w:bookmarkEnd w:id="420"/>
      <w:bookmarkEnd w:id="421"/>
      <w:bookmarkEnd w:id="422"/>
      <w:bookmarkEnd w:id="423"/>
      <w:bookmarkEnd w:id="424"/>
    </w:p>
    <w:p>
      <w:pPr>
        <w:pStyle w:val="8"/>
        <w:rPr>
          <w:rFonts w:ascii="宋体" w:hAnsi="宋体"/>
          <w:color w:val="auto"/>
          <w:highlight w:val="none"/>
        </w:rPr>
      </w:pPr>
      <w:bookmarkStart w:id="425" w:name="_Toc152042351"/>
      <w:bookmarkStart w:id="426" w:name="_Toc296590983"/>
      <w:bookmarkStart w:id="427" w:name="_Toc152045575"/>
      <w:bookmarkStart w:id="428" w:name="_Toc144974543"/>
      <w:bookmarkStart w:id="429" w:name="_Toc247085733"/>
      <w:bookmarkStart w:id="430" w:name="_Toc246996219"/>
      <w:bookmarkStart w:id="431" w:name="_Toc179632593"/>
      <w:bookmarkStart w:id="432" w:name="_Toc338840229"/>
      <w:bookmarkStart w:id="433" w:name="_Toc246996962"/>
      <w:r>
        <w:rPr>
          <w:rFonts w:hint="eastAsia" w:ascii="宋体" w:hAnsi="宋体"/>
          <w:color w:val="auto"/>
          <w:highlight w:val="none"/>
        </w:rPr>
        <w:t>8.1 对采购人的纪律要求</w:t>
      </w:r>
      <w:bookmarkEnd w:id="425"/>
      <w:bookmarkEnd w:id="426"/>
      <w:bookmarkEnd w:id="427"/>
      <w:bookmarkEnd w:id="428"/>
      <w:bookmarkEnd w:id="429"/>
      <w:bookmarkEnd w:id="430"/>
      <w:bookmarkEnd w:id="431"/>
      <w:bookmarkEnd w:id="432"/>
      <w:bookmarkEnd w:id="433"/>
    </w:p>
    <w:p>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pPr>
        <w:pStyle w:val="8"/>
        <w:rPr>
          <w:rFonts w:ascii="宋体" w:hAnsi="宋体"/>
          <w:color w:val="auto"/>
          <w:highlight w:val="none"/>
        </w:rPr>
      </w:pPr>
      <w:bookmarkStart w:id="434" w:name="_Toc246996963"/>
      <w:bookmarkStart w:id="435" w:name="_Toc152042352"/>
      <w:bookmarkStart w:id="436" w:name="_Toc152045576"/>
      <w:bookmarkStart w:id="437" w:name="_Toc246996220"/>
      <w:bookmarkStart w:id="438" w:name="_Toc247085734"/>
      <w:bookmarkStart w:id="439" w:name="_Toc179632594"/>
      <w:bookmarkStart w:id="440" w:name="_Toc144974544"/>
      <w:bookmarkStart w:id="441" w:name="_Toc338840230"/>
      <w:r>
        <w:rPr>
          <w:rFonts w:hint="eastAsia" w:ascii="宋体" w:hAnsi="宋体"/>
          <w:color w:val="auto"/>
          <w:highlight w:val="none"/>
        </w:rPr>
        <w:t>8.2 对供应商的纪律要求</w:t>
      </w:r>
      <w:bookmarkEnd w:id="434"/>
      <w:bookmarkEnd w:id="435"/>
      <w:bookmarkEnd w:id="436"/>
      <w:bookmarkEnd w:id="437"/>
      <w:bookmarkEnd w:id="438"/>
      <w:bookmarkEnd w:id="439"/>
      <w:bookmarkEnd w:id="440"/>
      <w:bookmarkEnd w:id="441"/>
    </w:p>
    <w:p>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pPr>
        <w:pStyle w:val="8"/>
        <w:rPr>
          <w:rFonts w:ascii="宋体" w:hAnsi="宋体"/>
          <w:color w:val="auto"/>
          <w:highlight w:val="none"/>
        </w:rPr>
      </w:pPr>
      <w:bookmarkStart w:id="442" w:name="_Toc246996221"/>
      <w:bookmarkStart w:id="443" w:name="_Toc144974545"/>
      <w:bookmarkStart w:id="444" w:name="_Toc246996964"/>
      <w:bookmarkStart w:id="445" w:name="_Toc247085735"/>
      <w:bookmarkStart w:id="446" w:name="_Toc179632595"/>
      <w:bookmarkStart w:id="447" w:name="_Toc152042353"/>
      <w:bookmarkStart w:id="448" w:name="_Toc338840231"/>
      <w:bookmarkStart w:id="449" w:name="_Toc152045577"/>
      <w:r>
        <w:rPr>
          <w:rFonts w:hint="eastAsia" w:ascii="宋体" w:hAnsi="宋体"/>
          <w:color w:val="auto"/>
          <w:highlight w:val="none"/>
        </w:rPr>
        <w:t>8.3 对评标委员会成员的纪律要求</w:t>
      </w:r>
      <w:bookmarkEnd w:id="442"/>
      <w:bookmarkEnd w:id="443"/>
      <w:bookmarkEnd w:id="444"/>
      <w:bookmarkEnd w:id="445"/>
      <w:bookmarkEnd w:id="446"/>
      <w:bookmarkEnd w:id="447"/>
      <w:bookmarkEnd w:id="448"/>
      <w:bookmarkEnd w:id="449"/>
    </w:p>
    <w:p>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pPr>
        <w:pStyle w:val="8"/>
        <w:rPr>
          <w:rFonts w:ascii="宋体" w:hAnsi="宋体"/>
          <w:color w:val="auto"/>
          <w:highlight w:val="none"/>
        </w:rPr>
      </w:pPr>
      <w:bookmarkStart w:id="450" w:name="_Toc179632596"/>
      <w:bookmarkStart w:id="451" w:name="_Toc152045578"/>
      <w:bookmarkStart w:id="452" w:name="_Toc338840232"/>
      <w:bookmarkStart w:id="453" w:name="_Toc246996965"/>
      <w:bookmarkStart w:id="454" w:name="_Toc246996222"/>
      <w:bookmarkStart w:id="455" w:name="_Toc247085736"/>
      <w:bookmarkStart w:id="456" w:name="_Toc152042354"/>
      <w:bookmarkStart w:id="457" w:name="_Toc144974546"/>
      <w:r>
        <w:rPr>
          <w:rFonts w:hint="eastAsia" w:ascii="宋体" w:hAnsi="宋体"/>
          <w:color w:val="auto"/>
          <w:highlight w:val="none"/>
        </w:rPr>
        <w:t>8.4 对有关招投标工作人员的纪律要求</w:t>
      </w:r>
      <w:bookmarkEnd w:id="450"/>
      <w:bookmarkEnd w:id="451"/>
      <w:bookmarkEnd w:id="452"/>
      <w:bookmarkEnd w:id="453"/>
      <w:bookmarkEnd w:id="454"/>
      <w:bookmarkEnd w:id="455"/>
      <w:bookmarkEnd w:id="456"/>
    </w:p>
    <w:p>
      <w:pPr>
        <w:spacing w:line="400" w:lineRule="exact"/>
        <w:ind w:firstLine="420" w:firstLineChars="200"/>
        <w:rPr>
          <w:rFonts w:ascii="宋体" w:hAnsi="宋体"/>
          <w:color w:val="auto"/>
          <w:highlight w:val="none"/>
        </w:rPr>
      </w:pPr>
      <w:bookmarkStart w:id="458"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58"/>
    </w:p>
    <w:p>
      <w:pPr>
        <w:pStyle w:val="8"/>
        <w:rPr>
          <w:rFonts w:ascii="宋体" w:hAnsi="宋体"/>
          <w:color w:val="auto"/>
          <w:highlight w:val="none"/>
        </w:rPr>
      </w:pPr>
      <w:bookmarkStart w:id="459" w:name="_Toc338840233"/>
      <w:bookmarkStart w:id="460" w:name="_Toc152045579"/>
      <w:bookmarkStart w:id="461" w:name="_Toc152042356"/>
      <w:bookmarkStart w:id="462" w:name="_Toc246996223"/>
      <w:bookmarkStart w:id="463" w:name="_Toc247085737"/>
      <w:bookmarkStart w:id="464" w:name="_Toc179632597"/>
      <w:bookmarkStart w:id="465" w:name="_Toc246996966"/>
      <w:r>
        <w:rPr>
          <w:rFonts w:hint="eastAsia" w:ascii="宋体" w:hAnsi="宋体"/>
          <w:color w:val="auto"/>
          <w:highlight w:val="none"/>
        </w:rPr>
        <w:t>8.5 质疑</w:t>
      </w:r>
      <w:bookmarkEnd w:id="459"/>
    </w:p>
    <w:p>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pPr>
        <w:pStyle w:val="8"/>
        <w:rPr>
          <w:rFonts w:ascii="宋体" w:hAnsi="宋体"/>
          <w:color w:val="auto"/>
          <w:highlight w:val="none"/>
        </w:rPr>
      </w:pPr>
      <w:bookmarkStart w:id="466" w:name="_Toc338840234"/>
      <w:r>
        <w:rPr>
          <w:rFonts w:hint="eastAsia" w:ascii="宋体" w:hAnsi="宋体"/>
          <w:color w:val="auto"/>
          <w:highlight w:val="none"/>
        </w:rPr>
        <w:t>8.6 投诉</w:t>
      </w:r>
      <w:bookmarkEnd w:id="457"/>
      <w:bookmarkEnd w:id="460"/>
      <w:bookmarkEnd w:id="461"/>
      <w:bookmarkEnd w:id="462"/>
      <w:bookmarkEnd w:id="463"/>
      <w:bookmarkEnd w:id="464"/>
      <w:bookmarkEnd w:id="465"/>
      <w:bookmarkEnd w:id="466"/>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67" w:name="_Toc419645322"/>
    </w:p>
    <w:p>
      <w:pPr>
        <w:pStyle w:val="7"/>
        <w:rPr>
          <w:rFonts w:ascii="宋体" w:hAnsi="宋体" w:eastAsia="宋体"/>
          <w:color w:val="auto"/>
          <w:highlight w:val="none"/>
        </w:rPr>
      </w:pPr>
      <w:bookmarkStart w:id="468" w:name="_Toc6099"/>
      <w:bookmarkStart w:id="469" w:name="_Toc17117"/>
      <w:bookmarkStart w:id="470" w:name="_Toc10773"/>
      <w:bookmarkStart w:id="471" w:name="_Toc31310"/>
      <w:r>
        <w:rPr>
          <w:rFonts w:hint="eastAsia" w:ascii="宋体" w:hAnsi="宋体" w:eastAsia="宋体"/>
          <w:color w:val="auto"/>
          <w:highlight w:val="none"/>
        </w:rPr>
        <w:t>9. 关于中小企业、监狱企业、残疾人福利性单位投标的</w:t>
      </w:r>
      <w:bookmarkEnd w:id="467"/>
      <w:bookmarkStart w:id="472" w:name="_Toc419645323"/>
      <w:r>
        <w:rPr>
          <w:rFonts w:hint="eastAsia" w:ascii="宋体" w:hAnsi="宋体" w:eastAsia="宋体"/>
          <w:color w:val="auto"/>
          <w:highlight w:val="none"/>
        </w:rPr>
        <w:t>说明</w:t>
      </w:r>
      <w:bookmarkEnd w:id="468"/>
      <w:bookmarkEnd w:id="469"/>
      <w:bookmarkEnd w:id="470"/>
      <w:bookmarkEnd w:id="471"/>
    </w:p>
    <w:p>
      <w:pPr>
        <w:pStyle w:val="8"/>
        <w:rPr>
          <w:rFonts w:ascii="宋体" w:hAnsi="宋体"/>
          <w:color w:val="auto"/>
          <w:highlight w:val="none"/>
        </w:rPr>
      </w:pPr>
      <w:r>
        <w:rPr>
          <w:rFonts w:hint="eastAsia" w:ascii="宋体" w:hAnsi="宋体"/>
          <w:color w:val="auto"/>
          <w:highlight w:val="none"/>
        </w:rPr>
        <w:t xml:space="preserve">9.1 </w:t>
      </w:r>
      <w:bookmarkEnd w:id="472"/>
      <w:r>
        <w:rPr>
          <w:rFonts w:hint="eastAsia" w:ascii="宋体" w:hAnsi="宋体"/>
          <w:color w:val="auto"/>
          <w:highlight w:val="none"/>
        </w:rPr>
        <w:t>含义</w:t>
      </w:r>
    </w:p>
    <w:p>
      <w:pPr>
        <w:spacing w:line="400" w:lineRule="exact"/>
        <w:ind w:firstLine="420" w:firstLineChars="200"/>
        <w:rPr>
          <w:rFonts w:ascii="宋体" w:hAnsi="宋体"/>
          <w:color w:val="auto"/>
          <w:highlight w:val="none"/>
        </w:rPr>
      </w:pPr>
      <w:r>
        <w:rPr>
          <w:rFonts w:hint="eastAsia" w:ascii="宋体" w:hAnsi="宋体"/>
          <w:color w:val="auto"/>
          <w:highlight w:val="none"/>
        </w:rPr>
        <w:t>9.1.1中小企业。符合国务院有关部门制定的中小企业划型标准</w:t>
      </w:r>
      <w:bookmarkStart w:id="473" w:name="_Toc419645324"/>
      <w:r>
        <w:rPr>
          <w:rFonts w:hint="eastAsia" w:ascii="宋体" w:hAnsi="宋体"/>
          <w:color w:val="auto"/>
          <w:highlight w:val="none"/>
        </w:rPr>
        <w:t>，提供本企业制造的货物、承担的工程或者服务，或者提供其他中小企业制造的货物。</w:t>
      </w:r>
    </w:p>
    <w:p>
      <w:pPr>
        <w:spacing w:line="400" w:lineRule="exact"/>
        <w:ind w:firstLine="420" w:firstLineChars="200"/>
        <w:rPr>
          <w:rFonts w:ascii="宋体" w:hAnsi="宋体"/>
          <w:color w:val="auto"/>
          <w:highlight w:val="none"/>
        </w:rPr>
      </w:pPr>
      <w:r>
        <w:rPr>
          <w:rFonts w:hint="eastAsia" w:ascii="宋体" w:hAnsi="宋体"/>
          <w:color w:val="auto"/>
          <w:highlight w:val="none"/>
        </w:rPr>
        <w:t>9.1.2监狱企业。监狱企业参加政府采购活动时，应当提供由省级以上监狱管理局、戒毒管理局（含新疆生产建设兵团）出具的属于监狱企业的证明文件，才可享受相关政策。</w:t>
      </w:r>
      <w:r>
        <w:rPr>
          <w:rFonts w:hint="eastAsia" w:ascii="宋体" w:hAnsi="宋体"/>
          <w:color w:val="auto"/>
          <w:highlight w:val="none"/>
        </w:rPr>
        <w:br w:type="textWrapping"/>
      </w:r>
      <w:r>
        <w:rPr>
          <w:rFonts w:hint="eastAsia" w:ascii="宋体" w:hAnsi="宋体"/>
          <w:color w:val="auto"/>
          <w:highlight w:val="none"/>
        </w:rPr>
        <w:t>　　在政府采购活动中监狱企业视同小型、微型企业并适用其相关规定，提供本企业制造的货物、承担的工程或服务，享受预留份额、评审中价格扣除等政府采购促进中小企业发展的政府采购政策。</w:t>
      </w:r>
    </w:p>
    <w:p>
      <w:pPr>
        <w:spacing w:line="400" w:lineRule="exact"/>
        <w:ind w:firstLine="420" w:firstLineChars="200"/>
        <w:rPr>
          <w:rFonts w:ascii="宋体" w:hAnsi="宋体"/>
          <w:color w:val="auto"/>
          <w:highlight w:val="none"/>
        </w:rPr>
      </w:pPr>
      <w:r>
        <w:rPr>
          <w:rFonts w:hint="eastAsia" w:ascii="宋体" w:hAnsi="宋体"/>
          <w:color w:val="auto"/>
          <w:highlight w:val="none"/>
        </w:rPr>
        <w:t>9.1.3残疾人福利性单位。</w:t>
      </w:r>
    </w:p>
    <w:p>
      <w:pPr>
        <w:spacing w:line="400" w:lineRule="exact"/>
        <w:ind w:firstLine="420" w:firstLineChars="200"/>
        <w:rPr>
          <w:rFonts w:ascii="宋体" w:hAnsi="宋体"/>
          <w:color w:val="auto"/>
          <w:highlight w:val="none"/>
        </w:rPr>
      </w:pPr>
      <w:r>
        <w:rPr>
          <w:rFonts w:hint="eastAsia" w:ascii="宋体" w:hAnsi="宋体"/>
          <w:color w:val="auto"/>
          <w:highlight w:val="none"/>
        </w:rPr>
        <w:t>9.1.3.1享受政府采购支持政策的残疾人福利性单位应当同时满足以下条件：</w:t>
      </w:r>
    </w:p>
    <w:p>
      <w:pPr>
        <w:spacing w:line="400" w:lineRule="exact"/>
        <w:ind w:firstLine="420" w:firstLineChars="200"/>
        <w:rPr>
          <w:rFonts w:ascii="宋体" w:hAnsi="宋体"/>
          <w:color w:val="auto"/>
          <w:highlight w:val="none"/>
        </w:rPr>
      </w:pPr>
      <w:r>
        <w:rPr>
          <w:rFonts w:hint="eastAsia" w:ascii="宋体" w:hAnsi="宋体"/>
          <w:color w:val="auto"/>
          <w:highlight w:val="none"/>
        </w:rPr>
        <w:t>　　（一）安置的残疾人占本单位在职职工人数的比例不低于25%（含25%），并且安置的残疾人人数不少于10人（含10人）；</w:t>
      </w:r>
    </w:p>
    <w:p>
      <w:pPr>
        <w:spacing w:line="400" w:lineRule="exact"/>
        <w:ind w:firstLine="420" w:firstLineChars="200"/>
        <w:rPr>
          <w:rFonts w:ascii="宋体" w:hAnsi="宋体"/>
          <w:color w:val="auto"/>
          <w:highlight w:val="none"/>
        </w:rPr>
      </w:pPr>
      <w:r>
        <w:rPr>
          <w:rFonts w:hint="eastAsia" w:ascii="宋体" w:hAnsi="宋体"/>
          <w:color w:val="auto"/>
          <w:highlight w:val="none"/>
        </w:rPr>
        <w:t>　　（二）依法与安置的每位残疾人签订了一年以上（含一年）的劳动合同或服务协议；</w:t>
      </w:r>
    </w:p>
    <w:p>
      <w:pPr>
        <w:spacing w:line="400" w:lineRule="exact"/>
        <w:ind w:firstLine="420" w:firstLineChars="200"/>
        <w:rPr>
          <w:rFonts w:ascii="宋体" w:hAnsi="宋体"/>
          <w:color w:val="auto"/>
          <w:highlight w:val="none"/>
        </w:rPr>
      </w:pPr>
      <w:r>
        <w:rPr>
          <w:rFonts w:hint="eastAsia" w:ascii="宋体" w:hAnsi="宋体"/>
          <w:color w:val="auto"/>
          <w:highlight w:val="none"/>
        </w:rPr>
        <w:t>　　（三）为安置的每位残疾人按月足额缴纳了基本养老保险、基本医疗保险、失业保险、工伤保险和生育保险等社会保险费；</w:t>
      </w:r>
    </w:p>
    <w:p>
      <w:pPr>
        <w:spacing w:line="400" w:lineRule="exact"/>
        <w:ind w:firstLine="420" w:firstLineChars="200"/>
        <w:rPr>
          <w:rFonts w:ascii="宋体" w:hAnsi="宋体"/>
          <w:color w:val="auto"/>
          <w:highlight w:val="none"/>
        </w:rPr>
      </w:pPr>
      <w:r>
        <w:rPr>
          <w:rFonts w:hint="eastAsia" w:ascii="宋体" w:hAnsi="宋体"/>
          <w:color w:val="auto"/>
          <w:highlight w:val="none"/>
        </w:rPr>
        <w:t>　　（四）通过银行等金融机构向安置的每位残疾人，按月支付了不低于单位所在区县适用的经省级人民政府批准的月最低工资标准的工资；</w:t>
      </w:r>
    </w:p>
    <w:p>
      <w:pPr>
        <w:spacing w:line="400" w:lineRule="exact"/>
        <w:ind w:firstLine="420" w:firstLineChars="200"/>
        <w:rPr>
          <w:rFonts w:ascii="宋体" w:hAnsi="宋体"/>
          <w:color w:val="auto"/>
          <w:highlight w:val="none"/>
        </w:rPr>
      </w:pPr>
      <w:r>
        <w:rPr>
          <w:rFonts w:hint="eastAsia" w:ascii="宋体" w:hAnsi="宋体"/>
          <w:color w:val="auto"/>
          <w:highlight w:val="none"/>
        </w:rPr>
        <w:t>　　（五）提供本单位制造的货物、承担的工程或者服务（以下简称产品），或者提供其他残疾人福利性单位制造的货物（不包括使用非残疾人福利性单位注册商标的货物）。</w:t>
      </w:r>
    </w:p>
    <w:p>
      <w:pPr>
        <w:spacing w:line="400" w:lineRule="exact"/>
        <w:ind w:firstLine="420" w:firstLineChars="200"/>
        <w:rPr>
          <w:rFonts w:ascii="宋体" w:hAnsi="宋体"/>
          <w:color w:val="auto"/>
          <w:highlight w:val="none"/>
        </w:rPr>
      </w:pPr>
      <w:r>
        <w:rPr>
          <w:rFonts w:hint="eastAsia" w:ascii="宋体" w:hAnsi="宋体"/>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00" w:lineRule="exact"/>
        <w:ind w:firstLine="420" w:firstLineChars="200"/>
        <w:rPr>
          <w:rFonts w:ascii="宋体" w:hAnsi="宋体"/>
          <w:color w:val="auto"/>
          <w:highlight w:val="none"/>
        </w:rPr>
      </w:pPr>
      <w:r>
        <w:rPr>
          <w:rFonts w:hint="eastAsia" w:ascii="宋体" w:hAnsi="宋体"/>
          <w:color w:val="auto"/>
          <w:highlight w:val="none"/>
        </w:rPr>
        <w:t>9.1.3.2、符合条件的残疾人福利性单位在参加政府采购活动时，应当提供规定的《残疾人福利性单位声明函》（见附件），并对声明的真实性负责。</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供应商提供的《残疾人福利性单位声明函》与事实不符的，依照《政府采购法》第七十七条第一款和招标文件规定追究法律责任。</w:t>
      </w:r>
    </w:p>
    <w:p>
      <w:pPr>
        <w:spacing w:line="400" w:lineRule="exact"/>
        <w:ind w:firstLine="420" w:firstLineChars="200"/>
        <w:rPr>
          <w:rFonts w:ascii="宋体" w:hAnsi="宋体"/>
          <w:color w:val="auto"/>
          <w:highlight w:val="none"/>
        </w:rPr>
      </w:pPr>
      <w:r>
        <w:rPr>
          <w:rFonts w:hint="eastAsia" w:ascii="宋体" w:hAnsi="宋体"/>
          <w:color w:val="auto"/>
          <w:highlight w:val="none"/>
        </w:rPr>
        <w:t>9.1.3.3、在政府采购活动中残疾人福利性单位视同小型、微型企业并适用其相关规定，提供本企业制造的货物、承担的工程或服务，享受预留份额、评审中价格扣除等促进中小企业发展的政府采购政策。</w:t>
      </w:r>
    </w:p>
    <w:p>
      <w:pPr>
        <w:rPr>
          <w:rFonts w:ascii="宋体" w:hAnsi="宋体"/>
          <w:color w:val="auto"/>
          <w:highlight w:val="none"/>
        </w:rPr>
      </w:pPr>
      <w:r>
        <w:rPr>
          <w:rFonts w:hint="eastAsia" w:ascii="宋体" w:hAnsi="宋体"/>
          <w:color w:val="auto"/>
          <w:highlight w:val="none"/>
        </w:rPr>
        <w:t>　　9.1.4 中标、成交结果公告同时公告其小微企业、监狱企业、残疾人福利性单位的证明材料及相关资料，接受社会监督。</w:t>
      </w:r>
    </w:p>
    <w:p>
      <w:pPr>
        <w:pStyle w:val="8"/>
        <w:rPr>
          <w:rFonts w:ascii="宋体" w:hAnsi="宋体"/>
          <w:color w:val="auto"/>
          <w:highlight w:val="none"/>
        </w:rPr>
      </w:pPr>
      <w:r>
        <w:rPr>
          <w:rFonts w:hint="eastAsia" w:ascii="宋体" w:hAnsi="宋体"/>
          <w:color w:val="auto"/>
          <w:highlight w:val="none"/>
        </w:rPr>
        <w:t>9.2价格扣除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9.2.1供应商按要求出具《中小企业声明函》，符合下列情形的，可享受中小企业扶持政策：（一）在货物采购项目中，货物由中小企业制造，即货物由中小企业生产且使用该中小企业商号或者注册商标；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 </w:t>
      </w:r>
    </w:p>
    <w:p>
      <w:pPr>
        <w:spacing w:line="400" w:lineRule="exact"/>
        <w:ind w:firstLine="420" w:firstLineChars="200"/>
        <w:rPr>
          <w:rFonts w:ascii="宋体" w:hAnsi="宋体"/>
          <w:color w:val="auto"/>
          <w:highlight w:val="none"/>
        </w:rPr>
      </w:pPr>
      <w:r>
        <w:rPr>
          <w:rFonts w:hint="eastAsia" w:ascii="宋体" w:hAnsi="宋体"/>
          <w:color w:val="auto"/>
          <w:highlight w:val="none"/>
        </w:rPr>
        <w:t>在货物采购项目中，供应商提供的货物既有中小企业制造货物，也有大型企业制造货物的，不享受本办法规定的中小企业扶持政策。</w:t>
      </w:r>
    </w:p>
    <w:p>
      <w:pPr>
        <w:spacing w:line="400" w:lineRule="exact"/>
        <w:ind w:firstLine="420" w:firstLineChars="200"/>
        <w:rPr>
          <w:rFonts w:ascii="宋体" w:hAnsi="宋体"/>
          <w:color w:val="auto"/>
          <w:highlight w:val="none"/>
        </w:rPr>
      </w:pPr>
      <w:r>
        <w:rPr>
          <w:rFonts w:hint="eastAsia" w:ascii="宋体" w:hAnsi="宋体"/>
          <w:color w:val="auto"/>
          <w:highlight w:val="none"/>
        </w:rPr>
        <w:t>以联合体形式参加政府采购活动，联合体各方均为中小企业的，联合体视同中小企业。其中，联合体各方均为小微企业的，联合体视同小微企业。</w:t>
      </w:r>
    </w:p>
    <w:p>
      <w:pPr>
        <w:spacing w:line="400" w:lineRule="exact"/>
        <w:ind w:firstLine="420" w:firstLineChars="200"/>
        <w:rPr>
          <w:rFonts w:ascii="宋体" w:hAnsi="宋体"/>
          <w:color w:val="auto"/>
          <w:highlight w:val="none"/>
        </w:rPr>
      </w:pPr>
      <w:r>
        <w:rPr>
          <w:rFonts w:hint="eastAsia" w:ascii="宋体" w:hAnsi="宋体"/>
          <w:color w:val="auto"/>
          <w:highlight w:val="none"/>
        </w:rPr>
        <w:t>9.2.2供应商属于监狱企业并以该身份投标，按要求提供《监狱企业证明》，视同小型、微型企业，对该企业生产的货物、提供的工程或服务在评审时给予价格扣除。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9.2.3、供应商属于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在评审时给予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供应商对其提供的资料真实性自行负责，如有虚假，列入财政部“政府采购严重违法失信行为信息记录”，若为中标人者其中标资格将被取消。</w:t>
      </w:r>
    </w:p>
    <w:p>
      <w:pPr>
        <w:pStyle w:val="8"/>
        <w:rPr>
          <w:rFonts w:ascii="宋体" w:hAnsi="宋体"/>
          <w:color w:val="auto"/>
          <w:highlight w:val="none"/>
        </w:rPr>
      </w:pPr>
      <w:r>
        <w:rPr>
          <w:rFonts w:hint="eastAsia" w:ascii="宋体" w:hAnsi="宋体"/>
          <w:color w:val="auto"/>
          <w:highlight w:val="none"/>
        </w:rPr>
        <w:t>9.3</w:t>
      </w:r>
      <w:bookmarkEnd w:id="473"/>
      <w:r>
        <w:rPr>
          <w:rFonts w:hint="eastAsia" w:ascii="宋体" w:hAnsi="宋体"/>
          <w:color w:val="auto"/>
          <w:highlight w:val="none"/>
        </w:rPr>
        <w:t>中小企业划型标准（国家政策和标准如有调整时以最新为准）</w:t>
      </w:r>
    </w:p>
    <w:p>
      <w:pPr>
        <w:spacing w:line="400" w:lineRule="exact"/>
        <w:rPr>
          <w:rFonts w:ascii="宋体" w:hAnsi="宋体" w:cs="宋体"/>
          <w:color w:val="auto"/>
          <w:highlight w:val="none"/>
        </w:rPr>
      </w:pPr>
      <w:bookmarkStart w:id="474" w:name="_Toc6557"/>
      <w:bookmarkStart w:id="475" w:name="_Hlk161150004"/>
      <w:bookmarkStart w:id="476" w:name="_Toc246996967"/>
      <w:bookmarkStart w:id="477" w:name="_Toc144974547"/>
      <w:bookmarkStart w:id="478" w:name="_Toc338840235"/>
      <w:bookmarkStart w:id="479" w:name="_Toc338840450"/>
      <w:bookmarkStart w:id="480" w:name="_Toc152042357"/>
      <w:bookmarkStart w:id="481" w:name="_Toc246996224"/>
      <w:bookmarkStart w:id="482" w:name="_Toc152045580"/>
      <w:bookmarkStart w:id="483" w:name="_Toc346523473"/>
      <w:bookmarkStart w:id="484" w:name="_Toc30779"/>
      <w:bookmarkStart w:id="485" w:name="_Toc346523410"/>
      <w:bookmarkStart w:id="486" w:name="_Toc247085738"/>
      <w:bookmarkStart w:id="487" w:name="_Toc338840489"/>
      <w:bookmarkStart w:id="488" w:name="_Toc16148"/>
      <w:bookmarkStart w:id="489" w:name="_Toc179632598"/>
      <w:bookmarkStart w:id="490" w:name="_Toc5690"/>
      <w:r>
        <w:rPr>
          <w:rFonts w:hint="eastAsia" w:ascii="宋体" w:hAnsi="宋体" w:cs="宋体"/>
          <w:color w:val="auto"/>
          <w:highlight w:val="none"/>
        </w:rPr>
        <w:t>中小企业划型标准规定</w:t>
      </w:r>
      <w:bookmarkEnd w:id="474"/>
      <w:r>
        <w:rPr>
          <w:rFonts w:hint="eastAsia" w:ascii="宋体" w:hAnsi="宋体" w:cs="宋体"/>
          <w:color w:val="auto"/>
          <w:highlight w:val="none"/>
        </w:rPr>
        <w:t>（工信部联企业〔2011〕300号）</w:t>
      </w:r>
      <w:bookmarkEnd w:id="475"/>
      <w:r>
        <w:rPr>
          <w:rFonts w:hint="eastAsia" w:ascii="宋体" w:hAnsi="宋体" w:cs="宋体"/>
          <w:color w:val="auto"/>
          <w:highlight w:val="none"/>
        </w:rPr>
        <w:t>： </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一、根据《中华人民共和国中小企业促进法》和《国务院关于进一步促进中小企业发展的若干意见》(国发〔2009〕36号)，制定本规定。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二、中小企业划分为中型、小型、微型三种类型，具体标准根据企业从业人员、营业收入、资产总额等指标，结合行业特点制定。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四、各行业划型标准为：</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五、企业类型的划分以统计部门的统计数据为依据。</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六、本规定适用于在中华人民共和国境内依法设立的各类所有制和各种组织形式的企业。个体工商户和本规定以外的行业，参照本规定进行划型。</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八、本规定由工业和信息化部、国家统计局会同有关部门根据《国民经济行业分类》修订情况和企业发展变化情况适时修订。</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九、本规定由工业和信息化部、国家统计局会同有关部门负责解释。</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十、本规定自发布之日起执行，原国家经贸委、原国家计委、财政部和国家统计局2003年颁布的《中小企业标准暂行规定》同时废止。</w:t>
      </w:r>
    </w:p>
    <w:p>
      <w:pPr>
        <w:pStyle w:val="7"/>
        <w:rPr>
          <w:rFonts w:ascii="宋体" w:hAnsi="宋体" w:eastAsia="宋体"/>
          <w:color w:val="auto"/>
          <w:highlight w:val="none"/>
        </w:rPr>
      </w:pPr>
      <w:bookmarkStart w:id="491" w:name="_Toc615"/>
      <w:r>
        <w:rPr>
          <w:rFonts w:hint="eastAsia" w:ascii="宋体" w:hAnsi="宋体" w:eastAsia="宋体"/>
          <w:color w:val="auto"/>
          <w:highlight w:val="none"/>
        </w:rPr>
        <w:t>10. 需要补充的其他内容</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pPr>
        <w:spacing w:line="400" w:lineRule="exact"/>
        <w:ind w:firstLine="420" w:firstLineChars="200"/>
        <w:rPr>
          <w:rFonts w:ascii="宋体" w:hAnsi="宋体"/>
          <w:color w:val="auto"/>
          <w:highlight w:val="none"/>
        </w:rPr>
      </w:pPr>
      <w:r>
        <w:rPr>
          <w:rFonts w:hint="eastAsia" w:ascii="宋体" w:hAnsi="宋体"/>
          <w:color w:val="auto"/>
          <w:highlight w:val="none"/>
        </w:rPr>
        <w:t>需要补充的其他内容：见供应商须知前附表。</w:t>
      </w:r>
    </w:p>
    <w:p>
      <w:pPr>
        <w:pStyle w:val="7"/>
        <w:rPr>
          <w:rFonts w:ascii="宋体" w:hAnsi="宋体" w:eastAsia="宋体"/>
          <w:color w:val="auto"/>
          <w:highlight w:val="none"/>
        </w:rPr>
      </w:pPr>
      <w:bookmarkStart w:id="492" w:name="_Toc338840236"/>
      <w:bookmarkStart w:id="493" w:name="_Toc494093437"/>
      <w:bookmarkStart w:id="494" w:name="_Toc29712"/>
      <w:bookmarkStart w:id="495" w:name="_Toc16122"/>
      <w:bookmarkStart w:id="496" w:name="_Toc494526409"/>
      <w:bookmarkStart w:id="497" w:name="_Toc338840451"/>
      <w:bookmarkStart w:id="498" w:name="_Toc346523474"/>
      <w:bookmarkStart w:id="499" w:name="_Toc338840490"/>
      <w:bookmarkStart w:id="500" w:name="_Toc13623"/>
      <w:bookmarkStart w:id="501" w:name="_Toc23287"/>
      <w:bookmarkStart w:id="502" w:name="_Toc346523411"/>
      <w:r>
        <w:rPr>
          <w:rFonts w:hint="eastAsia" w:ascii="宋体" w:hAnsi="宋体" w:eastAsia="宋体"/>
          <w:color w:val="auto"/>
          <w:highlight w:val="none"/>
        </w:rPr>
        <w:t>11．电子招标投标</w:t>
      </w:r>
      <w:bookmarkEnd w:id="492"/>
      <w:bookmarkEnd w:id="493"/>
      <w:bookmarkEnd w:id="494"/>
      <w:bookmarkEnd w:id="495"/>
      <w:bookmarkEnd w:id="496"/>
      <w:bookmarkEnd w:id="497"/>
      <w:bookmarkEnd w:id="498"/>
      <w:bookmarkEnd w:id="499"/>
      <w:bookmarkEnd w:id="500"/>
      <w:bookmarkEnd w:id="501"/>
      <w:bookmarkEnd w:id="502"/>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pPr>
        <w:pStyle w:val="6"/>
        <w:jc w:val="center"/>
        <w:rPr>
          <w:rFonts w:ascii="宋体" w:hAnsi="宋体"/>
          <w:b w:val="0"/>
          <w:bCs w:val="0"/>
          <w:color w:val="auto"/>
          <w:highlight w:val="none"/>
        </w:rPr>
      </w:pPr>
      <w:bookmarkStart w:id="503" w:name="_Toc152042375"/>
      <w:bookmarkStart w:id="504" w:name="_Toc246996241"/>
      <w:bookmarkStart w:id="505" w:name="_Toc494093438"/>
      <w:bookmarkStart w:id="506" w:name="_Toc346523412"/>
      <w:bookmarkStart w:id="507" w:name="_Toc144974565"/>
      <w:bookmarkStart w:id="508" w:name="_Toc338840491"/>
      <w:bookmarkStart w:id="509" w:name="_Toc246996984"/>
      <w:bookmarkStart w:id="510" w:name="_Toc338840452"/>
      <w:bookmarkStart w:id="511" w:name="_Toc152045598"/>
      <w:bookmarkStart w:id="512" w:name="_Toc338840237"/>
      <w:bookmarkStart w:id="513" w:name="_Toc179632616"/>
      <w:bookmarkStart w:id="514" w:name="_Toc247085756"/>
      <w:bookmarkStart w:id="515" w:name="_Toc346523475"/>
      <w:bookmarkStart w:id="516" w:name="_Toc494526410"/>
      <w:r>
        <w:rPr>
          <w:rFonts w:hint="eastAsia" w:ascii="宋体" w:hAnsi="宋体"/>
          <w:color w:val="auto"/>
          <w:highlight w:val="none"/>
        </w:rPr>
        <w:br w:type="page"/>
      </w:r>
      <w:bookmarkStart w:id="517" w:name="_Toc24747"/>
      <w:r>
        <w:rPr>
          <w:rFonts w:hint="eastAsia" w:ascii="宋体" w:hAnsi="宋体"/>
          <w:b w:val="0"/>
          <w:bCs w:val="0"/>
          <w:color w:val="auto"/>
          <w:highlight w:val="none"/>
        </w:rPr>
        <w:t>第三章 评标办法</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Start w:id="518" w:name="_Toc247085757"/>
      <w:bookmarkStart w:id="519" w:name="_Toc179632617"/>
      <w:bookmarkStart w:id="520" w:name="_Toc246996242"/>
      <w:bookmarkStart w:id="521" w:name="_Toc246996985"/>
      <w:bookmarkStart w:id="522" w:name="_Toc144974566"/>
      <w:bookmarkStart w:id="523" w:name="_Toc152042376"/>
      <w:bookmarkStart w:id="524" w:name="_Toc152045599"/>
    </w:p>
    <w:bookmarkEnd w:id="517"/>
    <w:p>
      <w:pPr>
        <w:pStyle w:val="7"/>
        <w:rPr>
          <w:rFonts w:ascii="宋体" w:hAnsi="宋体" w:eastAsia="宋体"/>
          <w:color w:val="auto"/>
          <w:highlight w:val="none"/>
        </w:rPr>
      </w:pPr>
      <w:bookmarkStart w:id="525" w:name="_Toc32258"/>
      <w:bookmarkStart w:id="526" w:name="_Toc452"/>
      <w:bookmarkStart w:id="527" w:name="_Toc338840453"/>
      <w:bookmarkStart w:id="528" w:name="_Toc3628"/>
      <w:bookmarkStart w:id="529" w:name="_Toc31260"/>
      <w:bookmarkStart w:id="530" w:name="_Toc346523413"/>
      <w:bookmarkStart w:id="531" w:name="_Toc494093439"/>
      <w:bookmarkStart w:id="532" w:name="_Toc338840492"/>
      <w:bookmarkStart w:id="533" w:name="_Toc338840238"/>
      <w:bookmarkStart w:id="534" w:name="_Toc346523476"/>
      <w:bookmarkStart w:id="535" w:name="_Toc494526411"/>
      <w:r>
        <w:rPr>
          <w:rFonts w:hint="eastAsia" w:ascii="宋体" w:hAnsi="宋体" w:eastAsia="宋体"/>
          <w:color w:val="auto"/>
          <w:highlight w:val="none"/>
        </w:rPr>
        <w:t>评标办法前附表</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pPr>
        <w:ind w:left="833" w:leftChars="228" w:hanging="354" w:hangingChars="147"/>
        <w:rPr>
          <w:rFonts w:ascii="宋体" w:hAnsi="宋体"/>
          <w:b/>
          <w:color w:val="auto"/>
          <w:sz w:val="24"/>
          <w:highlight w:val="none"/>
        </w:rPr>
      </w:pPr>
      <w:r>
        <w:rPr>
          <w:rFonts w:hint="eastAsia" w:ascii="宋体" w:hAnsi="宋体"/>
          <w:b/>
          <w:color w:val="auto"/>
          <w:sz w:val="24"/>
          <w:highlight w:val="none"/>
        </w:rPr>
        <w:t>2、评标办法前附表中涉及到的有关内容均应体现在投标文件中。</w:t>
      </w:r>
    </w:p>
    <w:p>
      <w:pPr>
        <w:ind w:left="787" w:leftChars="228" w:hanging="308" w:hangingChars="147"/>
        <w:rPr>
          <w:rFonts w:ascii="宋体" w:hAnsi="宋体"/>
          <w:color w:val="auto"/>
          <w:highlight w:val="none"/>
        </w:rPr>
      </w:pPr>
    </w:p>
    <w:tbl>
      <w:tblPr>
        <w:tblStyle w:val="3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440"/>
        <w:gridCol w:w="55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（资格审查、符合性审查未通过者为无效投标）</w:t>
            </w:r>
          </w:p>
          <w:p>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推荐中标候选人。按得分由高到低顺序推荐中标候选人。得分相同者按投标报价由低到高排序。报价也相同者用随机抽取法确定排序。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投标函、法定代表人资格证明（或授权委托书）按投标文件格式要求签字、盖章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color w:val="auto"/>
                <w:highlight w:val="none"/>
              </w:rPr>
            </w:pPr>
            <w:r>
              <w:rPr>
                <w:rFonts w:hint="eastAsia"/>
                <w:color w:val="auto"/>
                <w:highlight w:val="none"/>
              </w:rPr>
              <w:t>1、投标函中只能有一个有效投标报价（招标文件另有要求者除外）。</w:t>
            </w:r>
          </w:p>
          <w:p>
            <w:pPr>
              <w:spacing w:line="440" w:lineRule="atLeast"/>
              <w:rPr>
                <w:color w:val="auto"/>
                <w:highlight w:val="none"/>
              </w:rPr>
            </w:pPr>
            <w:r>
              <w:rPr>
                <w:rFonts w:hint="eastAsia"/>
                <w:color w:val="auto"/>
                <w:highlight w:val="none"/>
              </w:rPr>
              <w:t>2、设有最高限价者不得高于最高限价。</w:t>
            </w:r>
          </w:p>
          <w:p>
            <w:pPr>
              <w:spacing w:line="440" w:lineRule="atLeast"/>
              <w:rPr>
                <w:color w:val="auto"/>
                <w:highlight w:val="none"/>
              </w:rPr>
            </w:pPr>
            <w:r>
              <w:rPr>
                <w:rFonts w:hint="eastAsia"/>
                <w:color w:val="auto"/>
                <w:highlight w:val="none"/>
              </w:rPr>
              <w:t>3、明显低价。评标委员会认为供应商的报价明显低于其他通过符合性审查供应商的报价，有可能影响产品质量或者不能诚信履约的，应当通过电子交易系统向该供应商提出，供应商在30分钟内（另有约定者按约定）通过该系统提供书面说明，必要时提交相关证明材料；供应商不能证明其报价合理性的，评标委员会应当将其作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580"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不多于"供应商须知前附表"规定的时间。(查看投标函)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580"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响应“供应商须知前附表”要求。(查看投标函)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不得少于“供应商须知前附表”规定的时间。(查看投标函)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响应“供应商须知前附表”要求(查看投标函)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硬件特征码</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color w:val="auto"/>
                <w:highlight w:val="none"/>
              </w:rPr>
            </w:pPr>
            <w:r>
              <w:rPr>
                <w:rFonts w:hint="eastAsia"/>
                <w:color w:val="auto"/>
                <w:highlight w:val="none"/>
              </w:rPr>
              <w:t>不存在本章“附件Ａ　无效投标条件”所列情形。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pPr>
        <w:spacing w:line="440" w:lineRule="exact"/>
        <w:rPr>
          <w:rFonts w:ascii="宋体" w:hAnsi="宋体"/>
          <w:b/>
          <w:bCs/>
          <w:color w:val="auto"/>
          <w:highlight w:val="none"/>
        </w:rPr>
      </w:pPr>
    </w:p>
    <w:p>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20</w:t>
            </w:r>
            <w:r>
              <w:rPr>
                <w:rFonts w:hint="eastAsia" w:ascii="宋体" w:hAnsi="宋体"/>
                <w:color w:val="auto"/>
                <w:highlight w:val="none"/>
                <w:u w:val="single"/>
              </w:rPr>
              <w:t xml:space="preserve"> </w:t>
            </w:r>
            <w:r>
              <w:rPr>
                <w:rFonts w:hint="eastAsia" w:ascii="宋体" w:hAnsi="宋体"/>
                <w:color w:val="auto"/>
                <w:highlight w:val="none"/>
              </w:rPr>
              <w:t>分</w:t>
            </w:r>
          </w:p>
          <w:p>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30</w:t>
            </w:r>
            <w:r>
              <w:rPr>
                <w:rFonts w:hint="eastAsia" w:ascii="宋体" w:hAnsi="宋体"/>
                <w:color w:val="auto"/>
                <w:highlight w:val="none"/>
                <w:u w:val="single"/>
              </w:rPr>
              <w:t xml:space="preserve"> </w:t>
            </w:r>
            <w:r>
              <w:rPr>
                <w:rFonts w:hint="eastAsia" w:ascii="宋体" w:hAnsi="宋体"/>
                <w:color w:val="auto"/>
                <w:highlight w:val="none"/>
              </w:rPr>
              <w:t>分</w:t>
            </w:r>
          </w:p>
          <w:p>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50</w:t>
            </w:r>
            <w:r>
              <w:rPr>
                <w:rFonts w:hint="eastAsia" w:ascii="宋体" w:hAnsi="宋体"/>
                <w:color w:val="auto"/>
                <w:highlight w:val="none"/>
                <w:u w:val="single"/>
              </w:rPr>
              <w:t xml:space="preserve"> </w:t>
            </w:r>
            <w:r>
              <w:rPr>
                <w:rFonts w:hint="eastAsia" w:ascii="宋体" w:hAnsi="宋体"/>
                <w:color w:val="auto"/>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pPr>
              <w:numPr>
                <w:ilvl w:val="0"/>
                <w:numId w:val="5"/>
              </w:numPr>
              <w:ind w:firstLine="420" w:firstLineChars="200"/>
              <w:rPr>
                <w:color w:val="auto"/>
                <w:highlight w:val="none"/>
              </w:rPr>
            </w:pPr>
            <w:r>
              <w:rPr>
                <w:rFonts w:hint="eastAsia"/>
                <w:color w:val="auto"/>
                <w:highlight w:val="none"/>
              </w:rPr>
              <w:t>价格分采用低价优先法计算，即满足项目需求且投标报价最低的有效投标报价为评标基准价，其价格分为满分。</w:t>
            </w:r>
          </w:p>
          <w:p>
            <w:pPr>
              <w:spacing w:line="440" w:lineRule="exact"/>
              <w:rPr>
                <w:color w:val="auto"/>
                <w:highlight w:val="none"/>
              </w:rPr>
            </w:pPr>
            <w:r>
              <w:rPr>
                <w:rFonts w:hint="eastAsia"/>
                <w:color w:val="auto"/>
                <w:highlight w:val="none"/>
              </w:rPr>
              <w:t>投标报价得分＝（评标基准价/投标报价）×价格分值</w:t>
            </w:r>
          </w:p>
          <w:p>
            <w:pPr>
              <w:ind w:firstLine="210" w:firstLineChars="100"/>
              <w:rPr>
                <w:rFonts w:hint="eastAsia"/>
                <w:color w:val="auto"/>
                <w:highlight w:val="none"/>
              </w:rPr>
            </w:pPr>
            <w:r>
              <w:rPr>
                <w:rFonts w:hint="eastAsia"/>
                <w:color w:val="auto"/>
                <w:highlight w:val="none"/>
              </w:rPr>
              <w:t>（公式中的评标基准价、投标报价，涉及价格扣除时指扣除后价格）</w:t>
            </w:r>
          </w:p>
          <w:p>
            <w:pPr>
              <w:pStyle w:val="5"/>
              <w:ind w:left="0" w:leftChars="0" w:firstLine="0" w:firstLineChars="0"/>
              <w:rPr>
                <w:color w:val="auto"/>
                <w:highlight w:val="none"/>
              </w:rPr>
            </w:pPr>
            <w:r>
              <w:rPr>
                <w:rFonts w:hint="eastAsia" w:ascii="Times New Roman" w:hAnsi="Times New Roman" w:eastAsia="宋体" w:cs="Times New Roman"/>
                <w:color w:val="auto"/>
                <w:kern w:val="2"/>
                <w:sz w:val="21"/>
                <w:szCs w:val="24"/>
                <w:highlight w:val="none"/>
                <w:lang w:val="en-US" w:eastAsia="zh-CN" w:bidi="ar-SA"/>
              </w:rPr>
              <w:t>2、非专门面向中小企业采购项目，小型、微型企业按要求提供《中小企业声明函》[若为货物类采购项目，其全部标的(产品)应均为小型、微型企业生产，并在声明函中分别列明与“投标内容及报价明细表”中对应的每一标的(产品)及其生产制造商情况]，符合要求者在评标时给予20%价格扣除，符合要求的监狱企业、残疾人福利性单位视同小型、微型企业，多重身份者不重复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lang w:val="en-US" w:eastAsia="zh-CN"/>
              </w:rPr>
              <w:t>2022</w:t>
            </w:r>
            <w:r>
              <w:rPr>
                <w:rFonts w:hint="eastAsia" w:ascii="宋体" w:hAnsi="宋体"/>
                <w:color w:val="auto"/>
                <w:szCs w:val="21"/>
                <w:highlight w:val="none"/>
              </w:rPr>
              <w:t>年1月1日以来（签订日期）相同或类似项目业绩合同及中标通知书。</w:t>
            </w:r>
          </w:p>
          <w:p>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restart"/>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eastAsia="宋体" w:cs="Times New Roman"/>
                <w:color w:val="auto"/>
                <w:highlight w:val="none"/>
              </w:rPr>
              <w:t>企业实力</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eastAsia="宋体" w:cs="Times New Roman"/>
                <w:color w:val="auto"/>
                <w:highlight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jc w:val="left"/>
              <w:rPr>
                <w:rFonts w:ascii="宋体" w:hAnsi="宋体"/>
                <w:color w:val="auto"/>
                <w:szCs w:val="21"/>
                <w:highlight w:val="none"/>
              </w:rPr>
            </w:pPr>
            <w:r>
              <w:rPr>
                <w:rFonts w:hint="eastAsia" w:ascii="宋体" w:hAnsi="宋体"/>
                <w:b w:val="0"/>
                <w:bCs w:val="0"/>
                <w:color w:val="auto"/>
                <w:szCs w:val="21"/>
                <w:highlight w:val="none"/>
                <w:u w:val="single"/>
                <w:lang w:val="en-US" w:eastAsia="zh-CN"/>
              </w:rPr>
              <w:t>2022</w:t>
            </w:r>
            <w:r>
              <w:rPr>
                <w:rFonts w:hint="eastAsia" w:ascii="宋体" w:hAnsi="宋体"/>
                <w:b w:val="0"/>
                <w:bCs w:val="0"/>
                <w:color w:val="auto"/>
                <w:szCs w:val="21"/>
                <w:highlight w:val="none"/>
              </w:rPr>
              <w:t>年1月1日以来（以落款日期为准）获市（含）以上人民政府及行政主管部门颁发的荣誉证书</w:t>
            </w:r>
            <w:r>
              <w:rPr>
                <w:rFonts w:hint="eastAsia"/>
                <w:b w:val="0"/>
                <w:bCs w:val="0"/>
                <w:color w:val="auto"/>
                <w:highlight w:val="none"/>
                <w:u w:val="single"/>
              </w:rPr>
              <w:t>得</w:t>
            </w:r>
            <w:r>
              <w:rPr>
                <w:rFonts w:hint="eastAsia"/>
                <w:b w:val="0"/>
                <w:bCs w:val="0"/>
                <w:color w:val="auto"/>
                <w:highlight w:val="none"/>
                <w:u w:val="single"/>
                <w:lang w:val="en-US" w:eastAsia="zh-CN"/>
              </w:rPr>
              <w:t>3</w:t>
            </w:r>
            <w:r>
              <w:rPr>
                <w:rFonts w:hint="eastAsia"/>
                <w:b w:val="0"/>
                <w:bCs w:val="0"/>
                <w:color w:val="auto"/>
                <w:highlight w:val="none"/>
                <w:u w:val="single"/>
              </w:rPr>
              <w:t>分，</w:t>
            </w:r>
            <w:r>
              <w:rPr>
                <w:rFonts w:hint="eastAsia"/>
                <w:b w:val="0"/>
                <w:bCs w:val="0"/>
                <w:color w:val="auto"/>
                <w:highlight w:val="none"/>
                <w:u w:val="none"/>
              </w:rPr>
              <w:t>省</w:t>
            </w:r>
            <w:r>
              <w:rPr>
                <w:rFonts w:hint="eastAsia" w:ascii="宋体" w:hAnsi="宋体"/>
                <w:b w:val="0"/>
                <w:bCs w:val="0"/>
                <w:color w:val="auto"/>
                <w:szCs w:val="21"/>
                <w:highlight w:val="none"/>
                <w:u w:val="none"/>
              </w:rPr>
              <w:t>（含）</w:t>
            </w:r>
            <w:r>
              <w:rPr>
                <w:rFonts w:hint="eastAsia"/>
                <w:b w:val="0"/>
                <w:bCs w:val="0"/>
                <w:color w:val="auto"/>
                <w:highlight w:val="none"/>
                <w:u w:val="none"/>
              </w:rPr>
              <w:t>以上荣誉</w:t>
            </w:r>
            <w:r>
              <w:rPr>
                <w:rFonts w:hint="eastAsia" w:ascii="宋体" w:hAnsi="宋体"/>
                <w:b w:val="0"/>
                <w:bCs w:val="0"/>
                <w:color w:val="auto"/>
                <w:szCs w:val="21"/>
                <w:highlight w:val="none"/>
                <w:u w:val="none"/>
              </w:rPr>
              <w:t>证</w:t>
            </w:r>
            <w:r>
              <w:rPr>
                <w:rFonts w:hint="eastAsia" w:ascii="宋体" w:hAnsi="宋体"/>
                <w:b w:val="0"/>
                <w:bCs w:val="0"/>
                <w:color w:val="auto"/>
                <w:szCs w:val="21"/>
                <w:highlight w:val="none"/>
              </w:rPr>
              <w:t>书</w:t>
            </w:r>
            <w:r>
              <w:rPr>
                <w:rFonts w:hint="eastAsia"/>
                <w:b w:val="0"/>
                <w:bCs w:val="0"/>
                <w:color w:val="auto"/>
                <w:highlight w:val="none"/>
                <w:u w:val="single"/>
              </w:rPr>
              <w:t>得</w:t>
            </w:r>
            <w:r>
              <w:rPr>
                <w:rFonts w:hint="eastAsia"/>
                <w:b w:val="0"/>
                <w:bCs w:val="0"/>
                <w:color w:val="auto"/>
                <w:highlight w:val="none"/>
                <w:u w:val="single"/>
                <w:lang w:val="en-US" w:eastAsia="zh-CN"/>
              </w:rPr>
              <w:t>5</w:t>
            </w:r>
            <w:r>
              <w:rPr>
                <w:rFonts w:hint="eastAsia"/>
                <w:b w:val="0"/>
                <w:bCs w:val="0"/>
                <w:color w:val="auto"/>
                <w:highlight w:val="none"/>
                <w:u w:val="single"/>
              </w:rPr>
              <w:t>分。</w:t>
            </w:r>
            <w:r>
              <w:rPr>
                <w:rFonts w:hint="eastAsia" w:ascii="宋体" w:hAnsi="宋体"/>
                <w:b w:val="0"/>
                <w:bCs w:val="0"/>
                <w:color w:val="auto"/>
                <w:szCs w:val="21"/>
                <w:highlight w:val="none"/>
              </w:rPr>
              <w:t>（附</w:t>
            </w:r>
            <w:r>
              <w:rPr>
                <w:rFonts w:hint="eastAsia" w:ascii="宋体" w:hAnsi="宋体"/>
                <w:b w:val="0"/>
                <w:bCs w:val="0"/>
                <w:color w:val="auto"/>
                <w:szCs w:val="21"/>
                <w:highlight w:val="none"/>
                <w:lang w:val="en-US" w:eastAsia="zh-CN"/>
              </w:rPr>
              <w:t>原件</w:t>
            </w:r>
            <w:r>
              <w:rPr>
                <w:rFonts w:hint="eastAsia" w:ascii="宋体" w:hAnsi="宋体"/>
                <w:b w:val="0"/>
                <w:bCs w:val="0"/>
                <w:color w:val="auto"/>
                <w:szCs w:val="21"/>
                <w:highlight w:val="none"/>
              </w:rPr>
              <w:t>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continue"/>
            <w:tcBorders>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eastAsia="宋体" w:cs="Times New Roman"/>
                <w:color w:val="auto"/>
                <w:highlight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jc w:val="left"/>
              <w:rPr>
                <w:rFonts w:ascii="宋体" w:hAnsi="宋体"/>
                <w:color w:val="auto"/>
                <w:szCs w:val="21"/>
                <w:highlight w:val="none"/>
              </w:rPr>
            </w:pPr>
            <w:r>
              <w:rPr>
                <w:rFonts w:hint="eastAsia" w:ascii="宋体" w:hAnsi="宋体" w:eastAsia="宋体" w:cs="Times New Roman"/>
                <w:color w:val="auto"/>
                <w:szCs w:val="21"/>
                <w:highlight w:val="none"/>
                <w:lang w:val="zh-CN" w:eastAsia="zh-CN"/>
              </w:rPr>
              <w:t>具有信用评级机构颁发的 AAA 级信用证书得 4分，AA 级的得 2分，没有不得分。(在有效期内，</w:t>
            </w:r>
            <w:r>
              <w:rPr>
                <w:rFonts w:hint="eastAsia" w:ascii="宋体" w:hAnsi="宋体" w:eastAsia="宋体" w:cs="Times New Roman"/>
                <w:color w:val="auto"/>
                <w:szCs w:val="21"/>
                <w:highlight w:val="none"/>
                <w:lang w:val="en-US" w:eastAsia="zh-CN"/>
              </w:rPr>
              <w:t>提供证书原件扫描件。</w:t>
            </w:r>
            <w:r>
              <w:rPr>
                <w:rFonts w:hint="eastAsia" w:ascii="宋体" w:hAnsi="宋体" w:eastAsia="宋体" w:cs="Times New Roman"/>
                <w:color w:val="auto"/>
                <w:szCs w:val="21"/>
                <w:highlight w:val="none"/>
                <w:lang w:val="zh-CN"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continue"/>
            <w:tcBorders>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eastAsia="宋体" w:cs="Times New Roman"/>
                <w:color w:val="auto"/>
                <w:highlight w:val="none"/>
                <w:lang w:val="en-US" w:eastAsia="zh-CN"/>
              </w:rPr>
              <w:t>10</w:t>
            </w:r>
          </w:p>
        </w:tc>
        <w:tc>
          <w:tcPr>
            <w:tcW w:w="4736" w:type="dxa"/>
            <w:tcBorders>
              <w:top w:val="single" w:color="auto" w:sz="4" w:space="0"/>
              <w:left w:val="single" w:color="auto" w:sz="4" w:space="0"/>
              <w:bottom w:val="single" w:color="auto" w:sz="4" w:space="0"/>
              <w:right w:val="single" w:color="auto" w:sz="4" w:space="0"/>
            </w:tcBorders>
            <w:vAlign w:val="center"/>
          </w:tcPr>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质量管理体系认证证书；</w:t>
            </w:r>
          </w:p>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环境管理体系认证证书；</w:t>
            </w:r>
          </w:p>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职业健康安全管理体系认证证书；</w:t>
            </w:r>
          </w:p>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诚信管理体系认证证书；</w:t>
            </w:r>
          </w:p>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社会责任管理体系认证证书</w:t>
            </w:r>
          </w:p>
          <w:p>
            <w:pPr>
              <w:spacing w:line="440" w:lineRule="exact"/>
              <w:rPr>
                <w:rFonts w:ascii="宋体" w:hAnsi="宋体"/>
                <w:color w:val="auto"/>
                <w:szCs w:val="21"/>
                <w:highlight w:val="none"/>
              </w:rPr>
            </w:pPr>
            <w:r>
              <w:rPr>
                <w:rFonts w:hint="eastAsia" w:ascii="宋体" w:hAnsi="宋体"/>
                <w:color w:val="auto"/>
                <w:szCs w:val="21"/>
                <w:highlight w:val="none"/>
              </w:rPr>
              <w:t>提供证书原件扫描件，一项证书得2分。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eastAsia="宋体" w:cs="Times New Roman"/>
                <w:color w:val="auto"/>
                <w:highlight w:val="none"/>
                <w:lang w:val="zh-CN"/>
              </w:rPr>
              <w:t>管理制度</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top"/>
          </w:tcPr>
          <w:p>
            <w:pPr>
              <w:spacing w:line="440" w:lineRule="exact"/>
              <w:ind w:firstLine="420" w:firstLineChars="200"/>
              <w:jc w:val="left"/>
              <w:rPr>
                <w:rFonts w:hint="eastAsia" w:ascii="宋体" w:hAnsi="宋体"/>
                <w:color w:val="auto"/>
                <w:szCs w:val="21"/>
                <w:highlight w:val="none"/>
                <w:lang w:val="zh-CN"/>
              </w:rPr>
            </w:pPr>
            <w:r>
              <w:rPr>
                <w:rFonts w:hint="eastAsia" w:ascii="宋体" w:hAnsi="宋体"/>
                <w:color w:val="auto"/>
                <w:szCs w:val="21"/>
                <w:highlight w:val="none"/>
                <w:lang w:val="zh-CN"/>
              </w:rPr>
              <w:t>安全制度、消防制度、财务制度、考勤制度、监督制度、岗位职责、工作纪律等。</w:t>
            </w:r>
          </w:p>
          <w:p>
            <w:pPr>
              <w:spacing w:line="440" w:lineRule="exact"/>
              <w:ind w:firstLine="420" w:firstLineChars="200"/>
              <w:jc w:val="left"/>
              <w:rPr>
                <w:rFonts w:ascii="宋体" w:hAnsi="宋体"/>
                <w:color w:val="auto"/>
                <w:szCs w:val="21"/>
                <w:highlight w:val="none"/>
                <w:lang w:val="zh-CN"/>
              </w:rPr>
            </w:pPr>
            <w:r>
              <w:rPr>
                <w:rFonts w:hint="eastAsia" w:ascii="宋体" w:hAnsi="宋体"/>
                <w:color w:val="auto"/>
                <w:szCs w:val="21"/>
                <w:highlight w:val="none"/>
                <w:lang w:val="zh-CN"/>
              </w:rPr>
              <w:t>评审标准：</w:t>
            </w:r>
          </w:p>
          <w:p>
            <w:pPr>
              <w:spacing w:line="440" w:lineRule="exact"/>
              <w:jc w:val="left"/>
              <w:rPr>
                <w:rFonts w:ascii="宋体" w:hAnsi="宋体"/>
                <w:color w:val="auto"/>
                <w:szCs w:val="21"/>
                <w:highlight w:val="none"/>
                <w:lang w:val="zh-CN"/>
              </w:rPr>
            </w:pPr>
            <w:r>
              <w:rPr>
                <w:rFonts w:hint="eastAsia" w:ascii="宋体" w:hAnsi="宋体"/>
                <w:color w:val="auto"/>
                <w:szCs w:val="21"/>
                <w:highlight w:val="none"/>
                <w:lang w:val="zh-CN"/>
              </w:rPr>
              <w:t xml:space="preserve">1、制度健全，内容全面、合理、可行性强，得 </w:t>
            </w:r>
            <w:r>
              <w:rPr>
                <w:rFonts w:hint="eastAsia" w:ascii="宋体" w:hAnsi="宋体"/>
                <w:color w:val="auto"/>
                <w:szCs w:val="21"/>
                <w:highlight w:val="none"/>
                <w:lang w:val="en-US" w:eastAsia="zh-CN"/>
              </w:rPr>
              <w:t>6</w:t>
            </w:r>
            <w:r>
              <w:rPr>
                <w:rFonts w:hint="eastAsia" w:ascii="宋体" w:hAnsi="宋体"/>
                <w:color w:val="auto"/>
                <w:szCs w:val="21"/>
                <w:highlight w:val="none"/>
                <w:lang w:val="zh-CN"/>
              </w:rPr>
              <w:t>分；</w:t>
            </w:r>
          </w:p>
          <w:p>
            <w:pPr>
              <w:spacing w:line="440" w:lineRule="exact"/>
              <w:jc w:val="left"/>
              <w:rPr>
                <w:rFonts w:ascii="宋体" w:hAnsi="宋体"/>
                <w:color w:val="auto"/>
                <w:szCs w:val="21"/>
                <w:highlight w:val="none"/>
                <w:lang w:val="zh-CN"/>
              </w:rPr>
            </w:pPr>
            <w:r>
              <w:rPr>
                <w:rFonts w:hint="eastAsia" w:ascii="宋体" w:hAnsi="宋体"/>
                <w:color w:val="auto"/>
                <w:szCs w:val="21"/>
                <w:highlight w:val="none"/>
                <w:lang w:val="zh-CN"/>
              </w:rPr>
              <w:t>2、制度健全，内容较为全面，有一定的可行性，得</w:t>
            </w:r>
            <w:r>
              <w:rPr>
                <w:rFonts w:hint="eastAsia" w:ascii="宋体" w:hAnsi="宋体"/>
                <w:color w:val="auto"/>
                <w:szCs w:val="21"/>
                <w:highlight w:val="none"/>
                <w:lang w:val="en-US" w:eastAsia="zh-CN"/>
              </w:rPr>
              <w:t>4</w:t>
            </w:r>
            <w:r>
              <w:rPr>
                <w:rFonts w:hint="eastAsia" w:ascii="宋体" w:hAnsi="宋体"/>
                <w:color w:val="auto"/>
                <w:szCs w:val="21"/>
                <w:highlight w:val="none"/>
                <w:lang w:val="zh-CN"/>
              </w:rPr>
              <w:t>分；</w:t>
            </w:r>
          </w:p>
          <w:p>
            <w:pPr>
              <w:spacing w:line="440" w:lineRule="exact"/>
              <w:jc w:val="left"/>
              <w:rPr>
                <w:rFonts w:ascii="宋体" w:hAnsi="宋体"/>
                <w:color w:val="auto"/>
                <w:szCs w:val="21"/>
                <w:highlight w:val="none"/>
                <w:u w:val="single"/>
              </w:rPr>
            </w:pPr>
            <w:r>
              <w:rPr>
                <w:rFonts w:hint="eastAsia" w:ascii="宋体" w:hAnsi="宋体"/>
                <w:color w:val="auto"/>
                <w:szCs w:val="21"/>
                <w:highlight w:val="none"/>
                <w:lang w:val="zh-CN"/>
              </w:rPr>
              <w:t xml:space="preserve">3、制度不全，内容简单，可行性不强，得 </w:t>
            </w:r>
            <w:r>
              <w:rPr>
                <w:rFonts w:hint="eastAsia" w:ascii="宋体" w:hAnsi="宋体"/>
                <w:color w:val="auto"/>
                <w:szCs w:val="21"/>
                <w:highlight w:val="none"/>
                <w:lang w:val="en-US" w:eastAsia="zh-CN"/>
              </w:rPr>
              <w:t>2</w:t>
            </w:r>
            <w:r>
              <w:rPr>
                <w:rFonts w:hint="eastAsia" w:ascii="宋体" w:hAnsi="宋体"/>
                <w:color w:val="auto"/>
                <w:szCs w:val="21"/>
                <w:highlight w:val="none"/>
                <w:lang w:val="zh-CN"/>
              </w:rPr>
              <w:t xml:space="preserve">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szCs w:val="21"/>
                <w:highlight w:val="none"/>
                <w:lang w:val="en-US" w:eastAsia="zh-CN"/>
              </w:rPr>
              <w:t>服务实施方案</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30</w:t>
            </w:r>
          </w:p>
        </w:tc>
        <w:tc>
          <w:tcPr>
            <w:tcW w:w="4736" w:type="dxa"/>
            <w:tcBorders>
              <w:top w:val="single" w:color="auto" w:sz="4" w:space="0"/>
              <w:left w:val="single" w:color="auto" w:sz="4" w:space="0"/>
              <w:right w:val="single" w:color="auto" w:sz="4" w:space="0"/>
            </w:tcBorders>
            <w:vAlign w:val="center"/>
          </w:tcPr>
          <w:p>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根据</w:t>
            </w:r>
            <w:r>
              <w:rPr>
                <w:rFonts w:hint="eastAsia" w:ascii="宋体" w:hAnsi="宋体"/>
                <w:color w:val="auto"/>
                <w:szCs w:val="21"/>
                <w:highlight w:val="none"/>
                <w:lang w:val="en-US" w:eastAsia="zh-CN"/>
              </w:rPr>
              <w:t>招标文件“第五章 三、招标内容及技术要求”内容各条明细要求，</w:t>
            </w:r>
            <w:r>
              <w:rPr>
                <w:rFonts w:hint="eastAsia" w:ascii="宋体" w:hAnsi="宋体" w:cs="Times New Roman"/>
                <w:color w:val="auto"/>
                <w:szCs w:val="21"/>
                <w:highlight w:val="none"/>
                <w:lang w:val="en-US" w:eastAsia="zh-CN"/>
              </w:rPr>
              <w:t>结合项目整体要求</w:t>
            </w:r>
            <w:r>
              <w:rPr>
                <w:rFonts w:hint="eastAsia" w:ascii="宋体" w:hAnsi="宋体" w:eastAsia="宋体" w:cs="Times New Roman"/>
                <w:color w:val="auto"/>
                <w:szCs w:val="21"/>
                <w:highlight w:val="none"/>
                <w:lang w:val="en-US" w:eastAsia="zh-CN"/>
              </w:rPr>
              <w:t>逐项制订详细可行的项目实施方案，并在响应项目要求的基础上补充更有利于提高项目质量的内容。</w:t>
            </w:r>
          </w:p>
          <w:p>
            <w:pPr>
              <w:spacing w:line="440" w:lineRule="exact"/>
              <w:ind w:firstLine="420" w:firstLineChars="200"/>
              <w:rPr>
                <w:rFonts w:ascii="宋体" w:hAnsi="宋体"/>
                <w:color w:val="auto"/>
                <w:szCs w:val="21"/>
                <w:highlight w:val="none"/>
              </w:rPr>
            </w:pPr>
            <w:r>
              <w:rPr>
                <w:rFonts w:hint="eastAsia" w:ascii="Times New Roman" w:hAnsi="Times New Roman" w:eastAsia="宋体" w:cs="Times New Roman"/>
                <w:color w:val="auto"/>
                <w:highlight w:val="none"/>
                <w:lang w:val="en-US" w:eastAsia="zh-CN"/>
              </w:rPr>
              <w:t>评审依据：</w:t>
            </w:r>
          </w:p>
          <w:p>
            <w:pPr>
              <w:spacing w:line="440" w:lineRule="exact"/>
              <w:ind w:firstLine="420" w:firstLineChars="200"/>
              <w:rPr>
                <w:rFonts w:ascii="宋体" w:hAnsi="宋体"/>
                <w:color w:val="auto"/>
                <w:szCs w:val="21"/>
                <w:highlight w:val="none"/>
              </w:rPr>
            </w:pPr>
            <w:r>
              <w:rPr>
                <w:rFonts w:hint="eastAsia" w:ascii="Calibri" w:hAnsi="Calibri" w:cs="Calibri"/>
                <w:color w:val="auto"/>
                <w:szCs w:val="21"/>
                <w:highlight w:val="none"/>
              </w:rPr>
              <w:t>1、</w:t>
            </w:r>
            <w:r>
              <w:rPr>
                <w:rFonts w:hint="eastAsia" w:ascii="宋体" w:hAnsi="宋体"/>
                <w:color w:val="auto"/>
                <w:szCs w:val="21"/>
                <w:highlight w:val="none"/>
              </w:rPr>
              <w:t>服务指标均满足项目要求，得满分。</w:t>
            </w:r>
          </w:p>
          <w:p>
            <w:pPr>
              <w:tabs>
                <w:tab w:val="left" w:pos="417"/>
              </w:tabs>
              <w:spacing w:line="440" w:lineRule="exact"/>
              <w:ind w:firstLine="420" w:firstLineChars="200"/>
              <w:rPr>
                <w:rFonts w:hint="eastAsia" w:ascii="宋体" w:hAnsi="宋体"/>
                <w:color w:val="auto"/>
                <w:szCs w:val="21"/>
                <w:highlight w:val="none"/>
              </w:rPr>
            </w:pPr>
            <w:r>
              <w:rPr>
                <w:rFonts w:hint="eastAsia" w:ascii="Calibri" w:hAnsi="Calibri" w:cs="Calibri"/>
                <w:color w:val="auto"/>
                <w:szCs w:val="21"/>
                <w:highlight w:val="none"/>
              </w:rPr>
              <w:t>2、</w:t>
            </w:r>
            <w:r>
              <w:rPr>
                <w:rFonts w:hint="eastAsia" w:ascii="宋体" w:hAnsi="宋体"/>
                <w:color w:val="auto"/>
                <w:szCs w:val="21"/>
                <w:highlight w:val="none"/>
              </w:rPr>
              <w:t>服务指标有一项不满足要求，每出现一项扣</w:t>
            </w:r>
            <w:r>
              <w:rPr>
                <w:rFonts w:hint="eastAsia" w:ascii="宋体" w:hAnsi="宋体"/>
                <w:color w:val="auto"/>
                <w:szCs w:val="21"/>
                <w:highlight w:val="none"/>
                <w:u w:val="single"/>
                <w:lang w:val="en-US" w:eastAsia="zh-CN"/>
              </w:rPr>
              <w:t>1.5</w:t>
            </w:r>
            <w:r>
              <w:rPr>
                <w:rFonts w:hint="eastAsia" w:ascii="宋体" w:hAnsi="宋体"/>
                <w:color w:val="auto"/>
                <w:szCs w:val="21"/>
                <w:highlight w:val="none"/>
              </w:rPr>
              <w:t>分，扣完为止。</w:t>
            </w:r>
          </w:p>
          <w:p>
            <w:pPr>
              <w:tabs>
                <w:tab w:val="left" w:pos="417"/>
              </w:tabs>
              <w:spacing w:line="440" w:lineRule="exact"/>
              <w:ind w:firstLine="420" w:firstLineChars="200"/>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3、服务总人数不</w:t>
            </w:r>
            <w:r>
              <w:rPr>
                <w:rFonts w:hint="eastAsia" w:ascii="宋体" w:hAnsi="宋体" w:eastAsia="宋体"/>
                <w:color w:val="auto"/>
                <w:szCs w:val="21"/>
                <w:highlight w:val="none"/>
                <w:lang w:val="en-US" w:eastAsia="zh-CN"/>
              </w:rPr>
              <w:t>足</w:t>
            </w:r>
            <w:r>
              <w:rPr>
                <w:rFonts w:hint="eastAsia" w:ascii="宋体" w:hAnsi="宋体" w:eastAsia="宋体"/>
                <w:color w:val="auto"/>
                <w:szCs w:val="21"/>
                <w:highlight w:val="none"/>
                <w:lang w:val="zh-CN" w:eastAsia="zh-CN"/>
              </w:rPr>
              <w:t>24</w:t>
            </w:r>
            <w:r>
              <w:rPr>
                <w:rFonts w:hint="eastAsia" w:ascii="宋体" w:hAnsi="宋体" w:eastAsia="宋体"/>
                <w:color w:val="auto"/>
                <w:szCs w:val="21"/>
                <w:highlight w:val="none"/>
                <w:lang w:val="en-US" w:eastAsia="zh-CN"/>
              </w:rPr>
              <w:t>人，该项的0</w:t>
            </w:r>
            <w:r>
              <w:rPr>
                <w:rFonts w:hint="eastAsia" w:ascii="宋体" w:hAnsi="宋体"/>
                <w:color w:val="auto"/>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618" w:type="dxa"/>
            <w:vMerge w:val="continue"/>
            <w:tcBorders>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restart"/>
            <w:tcBorders>
              <w:top w:val="single" w:color="auto" w:sz="4" w:space="0"/>
              <w:left w:val="single" w:color="auto" w:sz="4" w:space="0"/>
              <w:right w:val="single" w:color="auto" w:sz="4" w:space="0"/>
            </w:tcBorders>
            <w:vAlign w:val="center"/>
          </w:tcPr>
          <w:p>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技术力量</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highlight w:val="none"/>
              </w:rPr>
              <w:t>5</w:t>
            </w:r>
          </w:p>
        </w:tc>
        <w:tc>
          <w:tcPr>
            <w:tcW w:w="4736" w:type="dxa"/>
            <w:tcBorders>
              <w:top w:val="single" w:color="auto" w:sz="4" w:space="0"/>
              <w:left w:val="single" w:color="auto" w:sz="4" w:space="0"/>
              <w:bottom w:val="single" w:color="auto" w:sz="4" w:space="0"/>
              <w:right w:val="single" w:color="auto" w:sz="4" w:space="0"/>
            </w:tcBorders>
            <w:vAlign w:val="top"/>
          </w:tcPr>
          <w:p>
            <w:pPr>
              <w:spacing w:line="440" w:lineRule="exact"/>
              <w:ind w:firstLine="420" w:firstLineChars="200"/>
              <w:jc w:val="left"/>
              <w:rPr>
                <w:rFonts w:ascii="宋体" w:hAnsi="宋体"/>
                <w:color w:val="auto"/>
                <w:szCs w:val="21"/>
                <w:highlight w:val="none"/>
                <w:lang w:val="zh-CN"/>
              </w:rPr>
            </w:pPr>
            <w:r>
              <w:rPr>
                <w:rFonts w:hint="eastAsia" w:ascii="宋体" w:hAnsi="宋体"/>
                <w:color w:val="auto"/>
                <w:szCs w:val="21"/>
                <w:highlight w:val="none"/>
                <w:lang w:val="zh-CN"/>
              </w:rPr>
              <w:t>人员配置方案：对本项目制定的人员配置方案及安排情况的合理性、适用性、针对性进行评价。</w:t>
            </w:r>
          </w:p>
          <w:p>
            <w:pPr>
              <w:spacing w:line="440" w:lineRule="exact"/>
              <w:ind w:firstLine="420" w:firstLineChars="200"/>
              <w:jc w:val="left"/>
              <w:rPr>
                <w:rFonts w:ascii="宋体" w:hAnsi="宋体"/>
                <w:color w:val="auto"/>
                <w:szCs w:val="21"/>
                <w:highlight w:val="none"/>
                <w:lang w:val="zh-CN"/>
              </w:rPr>
            </w:pPr>
            <w:r>
              <w:rPr>
                <w:rFonts w:hint="eastAsia" w:ascii="宋体" w:hAnsi="宋体"/>
                <w:color w:val="auto"/>
                <w:szCs w:val="21"/>
                <w:highlight w:val="none"/>
                <w:lang w:val="zh-CN"/>
              </w:rPr>
              <w:t>评审标准：</w:t>
            </w:r>
          </w:p>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1.内容完善、合理、充实，可行性强的得5分；</w:t>
            </w:r>
          </w:p>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2.内容基本完善、合理，有一定可行性的得3分；</w:t>
            </w:r>
          </w:p>
          <w:p>
            <w:pPr>
              <w:spacing w:line="440" w:lineRule="exac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Cs w:val="21"/>
                <w:highlight w:val="none"/>
              </w:rPr>
              <w:t>3.内容过于简单，缺乏合理性、可行性，得1分。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5" w:hRule="atLeast"/>
        </w:trPr>
        <w:tc>
          <w:tcPr>
            <w:tcW w:w="618" w:type="dxa"/>
            <w:vMerge w:val="continue"/>
            <w:tcBorders>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continue"/>
            <w:tcBorders>
              <w:left w:val="single" w:color="auto" w:sz="4" w:space="0"/>
              <w:right w:val="single" w:color="auto" w:sz="4" w:space="0"/>
            </w:tcBorders>
            <w:vAlign w:val="center"/>
          </w:tcPr>
          <w:p>
            <w:pPr>
              <w:spacing w:line="440" w:lineRule="exact"/>
              <w:jc w:val="center"/>
              <w:rPr>
                <w:rFonts w:hint="eastAsia" w:ascii="宋体" w:hAnsi="宋体"/>
                <w:color w:val="auto"/>
                <w:szCs w:val="21"/>
                <w:highlight w:val="none"/>
              </w:rPr>
            </w:pP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highlight w:val="none"/>
              </w:rPr>
              <w:t>5</w:t>
            </w:r>
          </w:p>
        </w:tc>
        <w:tc>
          <w:tcPr>
            <w:tcW w:w="4736" w:type="dxa"/>
            <w:tcBorders>
              <w:top w:val="single" w:color="auto" w:sz="4" w:space="0"/>
              <w:left w:val="single" w:color="auto" w:sz="4" w:space="0"/>
              <w:right w:val="single" w:color="auto" w:sz="4" w:space="0"/>
            </w:tcBorders>
            <w:vAlign w:val="top"/>
          </w:tcPr>
          <w:p>
            <w:pPr>
              <w:spacing w:line="440" w:lineRule="exact"/>
              <w:ind w:firstLine="420" w:firstLineChars="200"/>
              <w:jc w:val="left"/>
              <w:rPr>
                <w:rFonts w:hint="eastAsia" w:ascii="宋体" w:hAnsi="宋体" w:cs="宋体"/>
                <w:color w:val="auto"/>
                <w:spacing w:val="-7"/>
                <w:szCs w:val="22"/>
                <w:highlight w:val="none"/>
                <w:lang w:val="zh-CN" w:bidi="zh-CN"/>
              </w:rPr>
            </w:pPr>
            <w:r>
              <w:rPr>
                <w:rFonts w:ascii="宋体" w:hAnsi="宋体" w:cs="宋体"/>
                <w:color w:val="auto"/>
                <w:szCs w:val="22"/>
                <w:highlight w:val="none"/>
                <w:lang w:val="zh-CN" w:bidi="zh-CN"/>
              </w:rPr>
              <w:t>拟派保安员全部具备保安</w:t>
            </w:r>
            <w:r>
              <w:rPr>
                <w:rFonts w:hint="eastAsia" w:ascii="宋体" w:hAnsi="宋体" w:cs="宋体"/>
                <w:color w:val="auto"/>
                <w:szCs w:val="22"/>
                <w:highlight w:val="none"/>
                <w:lang w:val="en-US" w:bidi="zh-CN"/>
              </w:rPr>
              <w:t>员</w:t>
            </w:r>
            <w:r>
              <w:rPr>
                <w:rFonts w:ascii="宋体" w:hAnsi="宋体" w:cs="宋体"/>
                <w:color w:val="auto"/>
                <w:szCs w:val="22"/>
                <w:highlight w:val="none"/>
                <w:lang w:val="zh-CN" w:bidi="zh-CN"/>
              </w:rPr>
              <w:t xml:space="preserve">资格证书，其中 </w:t>
            </w:r>
            <w:r>
              <w:rPr>
                <w:rFonts w:hint="eastAsia" w:ascii="宋体" w:hAnsi="宋体" w:cs="宋体"/>
                <w:color w:val="auto"/>
                <w:szCs w:val="22"/>
                <w:highlight w:val="none"/>
                <w:lang w:bidi="zh-CN"/>
              </w:rPr>
              <w:t>3</w:t>
            </w:r>
            <w:r>
              <w:rPr>
                <w:rFonts w:ascii="宋体" w:hAnsi="宋体" w:cs="宋体"/>
                <w:color w:val="auto"/>
                <w:spacing w:val="-7"/>
                <w:szCs w:val="22"/>
                <w:highlight w:val="none"/>
                <w:lang w:val="zh-CN" w:bidi="zh-CN"/>
              </w:rPr>
              <w:t xml:space="preserve"> 人具有</w:t>
            </w:r>
            <w:r>
              <w:rPr>
                <w:rFonts w:hint="eastAsia" w:ascii="宋体" w:hAnsi="宋体" w:cs="宋体"/>
                <w:color w:val="auto"/>
                <w:spacing w:val="-7"/>
                <w:szCs w:val="22"/>
                <w:highlight w:val="none"/>
                <w:lang w:val="zh-CN" w:bidi="zh-CN"/>
              </w:rPr>
              <w:t>国家颁布的</w:t>
            </w:r>
            <w:r>
              <w:rPr>
                <w:rFonts w:ascii="宋体" w:hAnsi="宋体" w:cs="宋体"/>
                <w:color w:val="auto"/>
                <w:spacing w:val="-7"/>
                <w:szCs w:val="22"/>
                <w:highlight w:val="none"/>
                <w:lang w:val="zh-CN" w:bidi="zh-CN"/>
              </w:rPr>
              <w:t>消防员证书，且上述人员全部提供近三个月</w:t>
            </w:r>
            <w:r>
              <w:rPr>
                <w:color w:val="auto"/>
                <w:highlight w:val="none"/>
                <w:u w:val="none"/>
              </w:rPr>
              <w:t>（截至</w:t>
            </w:r>
            <w:r>
              <w:rPr>
                <w:rFonts w:hint="eastAsia"/>
                <w:color w:val="auto"/>
                <w:highlight w:val="none"/>
                <w:u w:val="none"/>
              </w:rPr>
              <w:t>投标</w:t>
            </w:r>
            <w:r>
              <w:rPr>
                <w:color w:val="auto"/>
                <w:highlight w:val="none"/>
                <w:u w:val="none"/>
              </w:rPr>
              <w:t>之日）</w:t>
            </w:r>
            <w:r>
              <w:rPr>
                <w:rFonts w:hint="eastAsia"/>
                <w:color w:val="auto"/>
                <w:highlight w:val="none"/>
                <w:u w:val="none"/>
              </w:rPr>
              <w:t>连续</w:t>
            </w:r>
            <w:r>
              <w:rPr>
                <w:rFonts w:ascii="宋体" w:hAnsi="宋体" w:cs="宋体"/>
                <w:color w:val="auto"/>
                <w:spacing w:val="-7"/>
                <w:szCs w:val="22"/>
                <w:highlight w:val="none"/>
                <w:lang w:val="zh-CN" w:bidi="zh-CN"/>
              </w:rPr>
              <w:t>社保缴纳证明</w:t>
            </w:r>
            <w:r>
              <w:rPr>
                <w:rFonts w:hint="eastAsia" w:ascii="宋体" w:hAnsi="宋体" w:cs="宋体"/>
                <w:color w:val="auto"/>
                <w:spacing w:val="-7"/>
                <w:szCs w:val="22"/>
                <w:highlight w:val="none"/>
                <w:lang w:val="zh-CN" w:bidi="zh-CN"/>
              </w:rPr>
              <w:t>。</w:t>
            </w:r>
          </w:p>
          <w:p>
            <w:pPr>
              <w:spacing w:line="440" w:lineRule="exact"/>
              <w:ind w:firstLine="392" w:firstLineChars="200"/>
              <w:jc w:val="left"/>
              <w:rPr>
                <w:rFonts w:ascii="宋体" w:hAnsi="宋体" w:eastAsia="宋体" w:cs="Times New Roman"/>
                <w:color w:val="auto"/>
                <w:kern w:val="2"/>
                <w:sz w:val="21"/>
                <w:szCs w:val="21"/>
                <w:highlight w:val="none"/>
                <w:lang w:val="zh-CN" w:eastAsia="zh-CN" w:bidi="ar-SA"/>
              </w:rPr>
            </w:pPr>
            <w:r>
              <w:rPr>
                <w:rFonts w:ascii="宋体" w:hAnsi="宋体" w:cs="宋体"/>
                <w:color w:val="auto"/>
                <w:spacing w:val="-7"/>
                <w:szCs w:val="22"/>
                <w:highlight w:val="none"/>
                <w:lang w:val="zh-CN" w:bidi="zh-CN"/>
              </w:rPr>
              <w:t>上述条</w:t>
            </w:r>
            <w:r>
              <w:rPr>
                <w:rFonts w:ascii="宋体" w:hAnsi="宋体" w:cs="宋体"/>
                <w:color w:val="auto"/>
                <w:szCs w:val="22"/>
                <w:highlight w:val="none"/>
                <w:lang w:val="zh-CN" w:bidi="zh-CN"/>
              </w:rPr>
              <w:t>件全部具备的得</w:t>
            </w:r>
            <w:r>
              <w:rPr>
                <w:rFonts w:hint="eastAsia" w:ascii="宋体" w:hAnsi="宋体" w:cs="宋体"/>
                <w:color w:val="auto"/>
                <w:szCs w:val="22"/>
                <w:highlight w:val="none"/>
                <w:lang w:bidi="zh-CN"/>
              </w:rPr>
              <w:t>5</w:t>
            </w:r>
            <w:r>
              <w:rPr>
                <w:rFonts w:ascii="宋体" w:hAnsi="宋体" w:cs="宋体"/>
                <w:color w:val="auto"/>
                <w:szCs w:val="22"/>
                <w:highlight w:val="none"/>
                <w:lang w:val="zh-CN" w:bidi="zh-CN"/>
              </w:rPr>
              <w:t>分，未完全具备不得分。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color w:val="auto"/>
                <w:szCs w:val="21"/>
                <w:highlight w:val="none"/>
              </w:rPr>
            </w:pPr>
            <w:r>
              <w:rPr>
                <w:rFonts w:hint="eastAsia"/>
                <w:color w:val="auto"/>
                <w:highlight w:val="none"/>
              </w:rPr>
              <w:t>管理措施</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4736" w:type="dxa"/>
            <w:tcBorders>
              <w:top w:val="single" w:color="auto" w:sz="4" w:space="0"/>
              <w:left w:val="single" w:color="auto" w:sz="4" w:space="0"/>
              <w:right w:val="single" w:color="auto" w:sz="4" w:space="0"/>
            </w:tcBorders>
            <w:vAlign w:val="top"/>
          </w:tcPr>
          <w:p>
            <w:pPr>
              <w:spacing w:line="440" w:lineRule="exact"/>
              <w:ind w:firstLine="420" w:firstLineChars="200"/>
              <w:jc w:val="left"/>
              <w:rPr>
                <w:color w:val="auto"/>
                <w:highlight w:val="none"/>
                <w:lang w:val="zh-CN"/>
              </w:rPr>
            </w:pPr>
            <w:r>
              <w:rPr>
                <w:rFonts w:hint="eastAsia"/>
                <w:color w:val="auto"/>
                <w:highlight w:val="none"/>
              </w:rPr>
              <w:t>管理措施：</w:t>
            </w:r>
            <w:r>
              <w:rPr>
                <w:rFonts w:hint="eastAsia"/>
                <w:color w:val="auto"/>
                <w:highlight w:val="none"/>
                <w:lang w:val="zh-CN"/>
              </w:rPr>
              <w:t>文明服务、安全巡逻、监控设备使用管理、防火防盗安全管理、车辆管理、人员管理、考核奖惩等管理措施。</w:t>
            </w:r>
          </w:p>
          <w:p>
            <w:pPr>
              <w:spacing w:line="440" w:lineRule="exact"/>
              <w:ind w:firstLine="420" w:firstLineChars="200"/>
              <w:jc w:val="left"/>
              <w:rPr>
                <w:color w:val="auto"/>
                <w:highlight w:val="none"/>
                <w:lang w:val="zh-CN"/>
              </w:rPr>
            </w:pPr>
            <w:r>
              <w:rPr>
                <w:rFonts w:hint="eastAsia"/>
                <w:color w:val="auto"/>
                <w:highlight w:val="none"/>
                <w:lang w:val="zh-CN"/>
              </w:rPr>
              <w:t>评审标准：</w:t>
            </w:r>
          </w:p>
          <w:p>
            <w:pPr>
              <w:spacing w:line="440" w:lineRule="exact"/>
              <w:jc w:val="left"/>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1、措施完善，内容全面,得</w:t>
            </w: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zh-CN"/>
              </w:rPr>
              <w:t>分；</w:t>
            </w:r>
          </w:p>
          <w:p>
            <w:pPr>
              <w:spacing w:line="440" w:lineRule="exact"/>
              <w:jc w:val="left"/>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2、措施完善，有一定的可行性，得</w:t>
            </w: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zh-CN"/>
              </w:rPr>
              <w:t>分；</w:t>
            </w:r>
          </w:p>
          <w:p>
            <w:pPr>
              <w:spacing w:line="440" w:lineRule="exact"/>
              <w:jc w:val="left"/>
              <w:rPr>
                <w:rFonts w:ascii="宋体" w:hAnsi="宋体" w:cs="宋体"/>
                <w:color w:val="auto"/>
                <w:spacing w:val="-7"/>
                <w:szCs w:val="22"/>
                <w:highlight w:val="none"/>
                <w:lang w:val="zh-CN" w:bidi="zh-CN"/>
              </w:rPr>
            </w:pPr>
            <w:r>
              <w:rPr>
                <w:rFonts w:hint="eastAsia" w:ascii="Times New Roman" w:hAnsi="Times New Roman" w:eastAsia="宋体" w:cs="Times New Roman"/>
                <w:color w:val="auto"/>
                <w:highlight w:val="none"/>
                <w:lang w:val="zh-CN"/>
              </w:rPr>
              <w:t xml:space="preserve">3、缺少相应措施，内容简单，可行性不强，得 </w:t>
            </w:r>
            <w:r>
              <w:rPr>
                <w:rFonts w:hint="eastAsia" w:cs="Times New Roman"/>
                <w:color w:val="auto"/>
                <w:highlight w:val="none"/>
                <w:lang w:val="en-US" w:eastAsia="zh-CN"/>
              </w:rPr>
              <w:t>1</w:t>
            </w:r>
            <w:r>
              <w:rPr>
                <w:rFonts w:hint="eastAsia" w:ascii="Times New Roman" w:hAnsi="Times New Roman" w:eastAsia="宋体" w:cs="Times New Roman"/>
                <w:color w:val="auto"/>
                <w:highlight w:val="none"/>
                <w:lang w:val="zh-CN"/>
              </w:rPr>
              <w:t xml:space="preserve">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应急预案</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4736" w:type="dxa"/>
            <w:tcBorders>
              <w:top w:val="single" w:color="auto" w:sz="4" w:space="0"/>
              <w:left w:val="single" w:color="auto" w:sz="4" w:space="0"/>
              <w:right w:val="single" w:color="auto" w:sz="4" w:space="0"/>
            </w:tcBorders>
            <w:vAlign w:val="top"/>
          </w:tcPr>
          <w:p>
            <w:pPr>
              <w:spacing w:line="440" w:lineRule="exact"/>
              <w:ind w:firstLine="420" w:firstLineChars="200"/>
              <w:jc w:val="left"/>
              <w:rPr>
                <w:rFonts w:ascii="宋体" w:hAnsi="宋体"/>
                <w:color w:val="auto"/>
                <w:szCs w:val="21"/>
                <w:highlight w:val="none"/>
                <w:lang w:val="zh-CN"/>
              </w:rPr>
            </w:pPr>
            <w:r>
              <w:rPr>
                <w:rFonts w:hint="eastAsia" w:ascii="宋体" w:hAnsi="宋体"/>
                <w:color w:val="auto"/>
                <w:szCs w:val="21"/>
                <w:highlight w:val="none"/>
              </w:rPr>
              <w:t>应急预案：</w:t>
            </w:r>
            <w:r>
              <w:rPr>
                <w:rFonts w:hint="eastAsia" w:ascii="宋体" w:hAnsi="宋体"/>
                <w:color w:val="auto"/>
                <w:szCs w:val="21"/>
                <w:highlight w:val="none"/>
                <w:lang w:val="zh-CN"/>
              </w:rPr>
              <w:t>如发生火灾、安全事故、溺水、突发疫情等事件时的处置方案。</w:t>
            </w:r>
          </w:p>
          <w:p>
            <w:pPr>
              <w:spacing w:line="440" w:lineRule="exact"/>
              <w:ind w:firstLine="420" w:firstLineChars="200"/>
              <w:jc w:val="left"/>
              <w:rPr>
                <w:rFonts w:ascii="宋体" w:hAnsi="宋体"/>
                <w:color w:val="auto"/>
                <w:szCs w:val="21"/>
                <w:highlight w:val="none"/>
                <w:lang w:val="zh-CN"/>
              </w:rPr>
            </w:pPr>
            <w:r>
              <w:rPr>
                <w:rFonts w:hint="eastAsia" w:ascii="宋体" w:hAnsi="宋体"/>
                <w:color w:val="auto"/>
                <w:szCs w:val="21"/>
                <w:highlight w:val="none"/>
                <w:lang w:val="zh-CN"/>
              </w:rPr>
              <w:t>评审标准：</w:t>
            </w:r>
          </w:p>
          <w:p>
            <w:pPr>
              <w:numPr>
                <w:ilvl w:val="0"/>
                <w:numId w:val="7"/>
              </w:numPr>
              <w:spacing w:line="440" w:lineRule="exact"/>
              <w:ind w:left="-5" w:leftChars="0" w:hanging="5" w:firstLineChars="0"/>
              <w:jc w:val="left"/>
              <w:rPr>
                <w:rFonts w:ascii="宋体" w:hAnsi="宋体"/>
                <w:color w:val="auto"/>
                <w:szCs w:val="21"/>
                <w:highlight w:val="none"/>
                <w:lang w:val="zh-CN"/>
              </w:rPr>
            </w:pPr>
            <w:r>
              <w:rPr>
                <w:rFonts w:hint="eastAsia" w:ascii="宋体" w:hAnsi="宋体"/>
                <w:color w:val="auto"/>
                <w:szCs w:val="21"/>
                <w:highlight w:val="none"/>
                <w:lang w:val="zh-CN"/>
              </w:rPr>
              <w:t>内容全面、科学、合理、可行性强，得</w:t>
            </w:r>
            <w:r>
              <w:rPr>
                <w:rFonts w:hint="eastAsia" w:ascii="宋体" w:hAnsi="宋体"/>
                <w:color w:val="auto"/>
                <w:szCs w:val="21"/>
                <w:highlight w:val="none"/>
                <w:lang w:val="en-US" w:eastAsia="zh-CN"/>
              </w:rPr>
              <w:t>5</w:t>
            </w:r>
            <w:r>
              <w:rPr>
                <w:rFonts w:hint="eastAsia" w:ascii="宋体" w:hAnsi="宋体"/>
                <w:color w:val="auto"/>
                <w:szCs w:val="21"/>
                <w:highlight w:val="none"/>
                <w:lang w:val="zh-CN"/>
              </w:rPr>
              <w:t>分；</w:t>
            </w:r>
          </w:p>
          <w:p>
            <w:pPr>
              <w:numPr>
                <w:ilvl w:val="0"/>
                <w:numId w:val="7"/>
              </w:numPr>
              <w:spacing w:line="440" w:lineRule="exact"/>
              <w:ind w:left="-5" w:leftChars="0" w:hanging="5" w:firstLineChars="0"/>
              <w:jc w:val="left"/>
              <w:rPr>
                <w:rFonts w:ascii="宋体" w:hAnsi="宋体"/>
                <w:color w:val="auto"/>
                <w:szCs w:val="21"/>
                <w:highlight w:val="none"/>
                <w:lang w:val="zh-CN"/>
              </w:rPr>
            </w:pPr>
            <w:r>
              <w:rPr>
                <w:rFonts w:hint="eastAsia" w:ascii="宋体" w:hAnsi="宋体"/>
                <w:color w:val="auto"/>
                <w:szCs w:val="21"/>
                <w:highlight w:val="none"/>
                <w:lang w:val="zh-CN"/>
              </w:rPr>
              <w:t>内容合理、可行，得</w:t>
            </w:r>
            <w:r>
              <w:rPr>
                <w:rFonts w:hint="eastAsia" w:ascii="宋体" w:hAnsi="宋体"/>
                <w:color w:val="auto"/>
                <w:szCs w:val="21"/>
                <w:highlight w:val="none"/>
                <w:lang w:val="en-US" w:eastAsia="zh-CN"/>
              </w:rPr>
              <w:t>3</w:t>
            </w:r>
            <w:r>
              <w:rPr>
                <w:rFonts w:hint="eastAsia" w:ascii="宋体" w:hAnsi="宋体"/>
                <w:color w:val="auto"/>
                <w:szCs w:val="21"/>
                <w:highlight w:val="none"/>
                <w:lang w:val="zh-CN"/>
              </w:rPr>
              <w:t xml:space="preserve"> 分；</w:t>
            </w:r>
          </w:p>
          <w:p>
            <w:pPr>
              <w:numPr>
                <w:ilvl w:val="0"/>
                <w:numId w:val="7"/>
              </w:numPr>
              <w:spacing w:line="440" w:lineRule="exact"/>
              <w:ind w:left="-5" w:leftChars="0" w:hanging="5" w:firstLineChars="0"/>
              <w:jc w:val="left"/>
              <w:rPr>
                <w:rFonts w:ascii="宋体" w:hAnsi="宋体"/>
                <w:color w:val="auto"/>
                <w:szCs w:val="21"/>
                <w:highlight w:val="none"/>
                <w:lang w:val="zh-CN"/>
              </w:rPr>
            </w:pPr>
            <w:r>
              <w:rPr>
                <w:rFonts w:hint="eastAsia" w:ascii="宋体" w:hAnsi="宋体"/>
                <w:color w:val="auto"/>
                <w:szCs w:val="21"/>
                <w:highlight w:val="none"/>
                <w:lang w:val="zh-CN"/>
              </w:rPr>
              <w:t xml:space="preserve">内容简单，可行性不强，得 </w:t>
            </w:r>
            <w:r>
              <w:rPr>
                <w:rFonts w:hint="eastAsia" w:ascii="宋体" w:hAnsi="宋体"/>
                <w:color w:val="auto"/>
                <w:szCs w:val="21"/>
                <w:highlight w:val="none"/>
                <w:lang w:val="en-US" w:eastAsia="zh-CN"/>
              </w:rPr>
              <w:t>1</w:t>
            </w:r>
            <w:r>
              <w:rPr>
                <w:rFonts w:hint="eastAsia" w:ascii="宋体" w:hAnsi="宋体"/>
                <w:color w:val="auto"/>
                <w:szCs w:val="21"/>
                <w:highlight w:val="none"/>
                <w:lang w:val="zh-CN"/>
              </w:rPr>
              <w:t xml:space="preserve"> 分；</w:t>
            </w:r>
          </w:p>
          <w:p>
            <w:pPr>
              <w:spacing w:line="440" w:lineRule="exact"/>
              <w:ind w:left="-5" w:leftChars="0" w:hanging="5" w:firstLineChars="0"/>
              <w:jc w:val="left"/>
              <w:rPr>
                <w:rFonts w:ascii="Calibri" w:hAnsi="Calibri" w:cs="Calibri"/>
                <w:color w:val="auto"/>
                <w:szCs w:val="21"/>
                <w:highlight w:val="none"/>
              </w:rPr>
            </w:pPr>
            <w:r>
              <w:rPr>
                <w:rFonts w:hint="eastAsia" w:ascii="宋体" w:hAnsi="宋体"/>
                <w:color w:val="auto"/>
                <w:szCs w:val="21"/>
                <w:highlight w:val="none"/>
              </w:rPr>
              <w:t>未提供不得分。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pPr>
        <w:spacing w:line="400" w:lineRule="exact"/>
        <w:rPr>
          <w:rFonts w:ascii="宋体" w:hAnsi="宋体"/>
          <w:color w:val="auto"/>
          <w:highlight w:val="none"/>
        </w:rPr>
      </w:pPr>
    </w:p>
    <w:p>
      <w:pPr>
        <w:spacing w:line="400" w:lineRule="exact"/>
        <w:rPr>
          <w:rFonts w:ascii="宋体" w:hAnsi="宋体"/>
          <w:color w:val="auto"/>
          <w:highlight w:val="none"/>
        </w:rPr>
      </w:pPr>
    </w:p>
    <w:p>
      <w:pPr>
        <w:pStyle w:val="7"/>
        <w:rPr>
          <w:rFonts w:ascii="宋体" w:hAnsi="宋体" w:eastAsia="宋体"/>
          <w:color w:val="auto"/>
          <w:highlight w:val="none"/>
        </w:rPr>
      </w:pPr>
      <w:bookmarkStart w:id="536" w:name="_Toc494093440"/>
      <w:bookmarkStart w:id="537" w:name="_Toc494526412"/>
      <w:bookmarkStart w:id="538" w:name="_Toc338840493"/>
      <w:bookmarkStart w:id="539" w:name="_Toc346523477"/>
      <w:bookmarkStart w:id="540" w:name="_Toc144974567"/>
      <w:bookmarkStart w:id="541" w:name="_Toc338840454"/>
      <w:bookmarkStart w:id="542" w:name="_Toc152045600"/>
      <w:bookmarkStart w:id="543" w:name="_Toc152042377"/>
      <w:bookmarkStart w:id="544" w:name="_Toc246996243"/>
      <w:bookmarkStart w:id="545" w:name="_Toc247085758"/>
      <w:bookmarkStart w:id="546" w:name="_Toc246996986"/>
      <w:bookmarkStart w:id="547" w:name="_Toc346523414"/>
      <w:bookmarkStart w:id="548" w:name="_Toc338840239"/>
      <w:bookmarkStart w:id="549" w:name="_Toc179632618"/>
      <w:r>
        <w:rPr>
          <w:rFonts w:hint="eastAsia" w:ascii="宋体" w:hAnsi="宋体" w:eastAsia="宋体"/>
          <w:color w:val="auto"/>
          <w:highlight w:val="none"/>
        </w:rPr>
        <w:br w:type="page"/>
      </w:r>
      <w:bookmarkStart w:id="550" w:name="_Toc9899"/>
      <w:bookmarkStart w:id="551" w:name="_Toc30330"/>
      <w:bookmarkStart w:id="552" w:name="_Toc25996"/>
      <w:bookmarkStart w:id="553" w:name="_Toc5999"/>
      <w:r>
        <w:rPr>
          <w:rFonts w:hint="eastAsia" w:ascii="宋体" w:hAnsi="宋体" w:eastAsia="宋体"/>
          <w:color w:val="auto"/>
          <w:highlight w:val="none"/>
        </w:rPr>
        <w:t>1. 评标方法</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pPr>
        <w:pStyle w:val="7"/>
        <w:rPr>
          <w:rFonts w:ascii="宋体" w:hAnsi="宋体" w:eastAsia="宋体"/>
          <w:color w:val="auto"/>
          <w:highlight w:val="none"/>
        </w:rPr>
      </w:pPr>
      <w:bookmarkStart w:id="554" w:name="_Toc26043"/>
      <w:bookmarkStart w:id="555" w:name="_Toc346523415"/>
      <w:bookmarkStart w:id="556" w:name="_Toc246996987"/>
      <w:bookmarkStart w:id="557" w:name="_Toc5539"/>
      <w:bookmarkStart w:id="558" w:name="_Toc494526413"/>
      <w:bookmarkStart w:id="559" w:name="_Toc144974568"/>
      <w:bookmarkStart w:id="560" w:name="_Toc247085759"/>
      <w:bookmarkStart w:id="561" w:name="_Toc338840494"/>
      <w:bookmarkStart w:id="562" w:name="_Toc338840240"/>
      <w:bookmarkStart w:id="563" w:name="_Toc152045601"/>
      <w:bookmarkStart w:id="564" w:name="_Toc179632619"/>
      <w:bookmarkStart w:id="565" w:name="_Toc246996244"/>
      <w:bookmarkStart w:id="566" w:name="_Toc25915"/>
      <w:bookmarkStart w:id="567" w:name="_Toc494093441"/>
      <w:bookmarkStart w:id="568" w:name="_Toc10387"/>
      <w:bookmarkStart w:id="569" w:name="_Toc152042378"/>
      <w:bookmarkStart w:id="570" w:name="_Toc346523478"/>
      <w:bookmarkStart w:id="571" w:name="_Toc338840455"/>
      <w:r>
        <w:rPr>
          <w:rFonts w:hint="eastAsia" w:ascii="宋体" w:hAnsi="宋体" w:eastAsia="宋体"/>
          <w:color w:val="auto"/>
          <w:highlight w:val="none"/>
        </w:rPr>
        <w:t>2. 评审标准</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pStyle w:val="8"/>
        <w:rPr>
          <w:rFonts w:ascii="宋体" w:hAnsi="宋体"/>
          <w:color w:val="auto"/>
          <w:highlight w:val="none"/>
        </w:rPr>
      </w:pPr>
      <w:bookmarkStart w:id="572" w:name="_Toc246996245"/>
      <w:bookmarkStart w:id="573" w:name="_Toc179632620"/>
      <w:bookmarkStart w:id="574" w:name="_Toc152045602"/>
      <w:bookmarkStart w:id="575" w:name="_Toc144974569"/>
      <w:bookmarkStart w:id="576" w:name="_Toc246996988"/>
      <w:bookmarkStart w:id="577" w:name="_Toc152042379"/>
      <w:bookmarkStart w:id="578" w:name="_Toc338840241"/>
      <w:bookmarkStart w:id="579" w:name="_Toc247085760"/>
      <w:r>
        <w:rPr>
          <w:rFonts w:hint="eastAsia" w:ascii="宋体" w:hAnsi="宋体"/>
          <w:color w:val="auto"/>
          <w:highlight w:val="none"/>
        </w:rPr>
        <w:t>2.1 初步评审标准</w:t>
      </w:r>
      <w:bookmarkEnd w:id="572"/>
      <w:bookmarkEnd w:id="573"/>
      <w:bookmarkEnd w:id="574"/>
      <w:bookmarkEnd w:id="575"/>
      <w:bookmarkEnd w:id="576"/>
      <w:bookmarkEnd w:id="577"/>
      <w:bookmarkEnd w:id="578"/>
      <w:bookmarkEnd w:id="579"/>
    </w:p>
    <w:p>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pPr>
        <w:pStyle w:val="8"/>
        <w:rPr>
          <w:rFonts w:ascii="宋体" w:hAnsi="宋体"/>
          <w:color w:val="auto"/>
          <w:highlight w:val="none"/>
        </w:rPr>
      </w:pPr>
      <w:r>
        <w:rPr>
          <w:rFonts w:hint="eastAsia" w:ascii="宋体" w:hAnsi="宋体"/>
          <w:color w:val="auto"/>
          <w:highlight w:val="none"/>
        </w:rPr>
        <w:t>2.2 详细评审标准（分值构成和评分标准）</w:t>
      </w:r>
    </w:p>
    <w:p>
      <w:pPr>
        <w:spacing w:line="400" w:lineRule="exact"/>
        <w:ind w:firstLine="420" w:firstLineChars="200"/>
        <w:rPr>
          <w:rFonts w:ascii="宋体" w:hAnsi="宋体"/>
          <w:color w:val="auto"/>
          <w:highlight w:val="none"/>
        </w:rPr>
      </w:pPr>
      <w:r>
        <w:rPr>
          <w:rFonts w:hint="eastAsia" w:ascii="宋体" w:hAnsi="宋体"/>
          <w:color w:val="auto"/>
          <w:highlight w:val="none"/>
        </w:rPr>
        <w:t>2.2.1分值构成：见评标办法前附表。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pPr>
        <w:pStyle w:val="7"/>
        <w:rPr>
          <w:rFonts w:ascii="宋体" w:hAnsi="宋体" w:eastAsia="宋体"/>
          <w:color w:val="auto"/>
          <w:highlight w:val="none"/>
        </w:rPr>
      </w:pPr>
      <w:bookmarkStart w:id="580" w:name="_Toc22953"/>
      <w:bookmarkStart w:id="581" w:name="_Toc144974571"/>
      <w:bookmarkStart w:id="582" w:name="_Toc30064"/>
      <w:bookmarkStart w:id="583" w:name="_Toc338840495"/>
      <w:bookmarkStart w:id="584" w:name="_Toc346523416"/>
      <w:bookmarkStart w:id="585" w:name="_Toc494526414"/>
      <w:bookmarkStart w:id="586" w:name="_Toc494093442"/>
      <w:bookmarkStart w:id="587" w:name="_Toc338840456"/>
      <w:bookmarkStart w:id="588" w:name="_Toc246996990"/>
      <w:bookmarkStart w:id="589" w:name="_Toc179632622"/>
      <w:bookmarkStart w:id="590" w:name="_Toc4794"/>
      <w:bookmarkStart w:id="591" w:name="_Toc346523479"/>
      <w:bookmarkStart w:id="592" w:name="_Toc152045604"/>
      <w:bookmarkStart w:id="593" w:name="_Toc246996247"/>
      <w:bookmarkStart w:id="594" w:name="_Toc152042381"/>
      <w:bookmarkStart w:id="595" w:name="_Toc338840243"/>
      <w:bookmarkStart w:id="596" w:name="_Toc247085762"/>
      <w:bookmarkStart w:id="597" w:name="_Toc2541"/>
      <w:r>
        <w:rPr>
          <w:rFonts w:hint="eastAsia" w:ascii="宋体" w:hAnsi="宋体" w:eastAsia="宋体"/>
          <w:color w:val="auto"/>
          <w:highlight w:val="none"/>
        </w:rPr>
        <w:t>3. 评标程序</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pPr>
        <w:pStyle w:val="8"/>
        <w:rPr>
          <w:rFonts w:ascii="宋体" w:hAnsi="宋体"/>
          <w:color w:val="auto"/>
          <w:highlight w:val="none"/>
        </w:rPr>
      </w:pPr>
      <w:bookmarkStart w:id="598" w:name="_Toc246996991"/>
      <w:bookmarkStart w:id="599" w:name="_Toc338840244"/>
      <w:bookmarkStart w:id="600" w:name="_Toc246996248"/>
      <w:bookmarkStart w:id="601" w:name="_Toc152045605"/>
      <w:bookmarkStart w:id="602" w:name="_Toc144974572"/>
      <w:bookmarkStart w:id="603" w:name="_Toc152042382"/>
      <w:bookmarkStart w:id="604" w:name="_Toc179632623"/>
      <w:bookmarkStart w:id="605" w:name="_Toc247085763"/>
      <w:r>
        <w:rPr>
          <w:rFonts w:hint="eastAsia" w:ascii="宋体" w:hAnsi="宋体"/>
          <w:color w:val="auto"/>
          <w:highlight w:val="none"/>
        </w:rPr>
        <w:t>3.1 初步评审</w:t>
      </w:r>
      <w:bookmarkEnd w:id="598"/>
      <w:bookmarkEnd w:id="599"/>
      <w:bookmarkEnd w:id="600"/>
      <w:bookmarkEnd w:id="601"/>
      <w:bookmarkEnd w:id="602"/>
      <w:bookmarkEnd w:id="603"/>
      <w:bookmarkEnd w:id="604"/>
      <w:bookmarkEnd w:id="605"/>
    </w:p>
    <w:p>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pPr>
        <w:spacing w:line="400" w:lineRule="exact"/>
        <w:ind w:firstLine="420" w:firstLineChars="200"/>
        <w:rPr>
          <w:rFonts w:ascii="宋体" w:hAnsi="宋体"/>
          <w:color w:val="auto"/>
          <w:highlight w:val="none"/>
        </w:rPr>
      </w:pPr>
      <w:r>
        <w:rPr>
          <w:rFonts w:hint="eastAsia" w:ascii="宋体" w:hAnsi="宋体"/>
          <w:color w:val="auto"/>
          <w:highlight w:val="none"/>
        </w:rPr>
        <w:t>3.1.3投标文件报价出现前后不一致的，按照下列规定修正：</w:t>
      </w:r>
    </w:p>
    <w:p>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pPr>
        <w:spacing w:line="400" w:lineRule="exact"/>
        <w:ind w:firstLine="420" w:firstLineChars="200"/>
        <w:rPr>
          <w:rFonts w:ascii="宋体" w:hAnsi="宋体"/>
          <w:color w:val="auto"/>
          <w:highlight w:val="none"/>
        </w:rPr>
      </w:pPr>
      <w:r>
        <w:rPr>
          <w:rFonts w:hint="eastAsia" w:ascii="宋体" w:hAnsi="宋体"/>
          <w:color w:val="auto"/>
          <w:highlight w:val="none"/>
        </w:rPr>
        <w:t>　　（2）大写金额和小写金额不一致的，以大写金额为准；</w:t>
      </w:r>
    </w:p>
    <w:p>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pPr>
        <w:pStyle w:val="8"/>
        <w:rPr>
          <w:rFonts w:ascii="宋体" w:hAnsi="宋体"/>
          <w:color w:val="auto"/>
          <w:highlight w:val="none"/>
        </w:rPr>
      </w:pPr>
      <w:bookmarkStart w:id="606" w:name="_Toc246996992"/>
      <w:bookmarkStart w:id="607" w:name="_Toc152045606"/>
      <w:bookmarkStart w:id="608" w:name="_Toc144974573"/>
      <w:bookmarkStart w:id="609" w:name="_Toc338840245"/>
      <w:bookmarkStart w:id="610" w:name="_Toc179632624"/>
      <w:bookmarkStart w:id="611" w:name="_Toc152042384"/>
      <w:bookmarkStart w:id="612" w:name="_Toc246996249"/>
      <w:bookmarkStart w:id="613" w:name="_Toc247085764"/>
      <w:r>
        <w:rPr>
          <w:rFonts w:hint="eastAsia" w:ascii="宋体" w:hAnsi="宋体"/>
          <w:color w:val="auto"/>
          <w:highlight w:val="none"/>
        </w:rPr>
        <w:t>3.2 详细评审</w:t>
      </w:r>
      <w:bookmarkEnd w:id="606"/>
      <w:bookmarkEnd w:id="607"/>
      <w:bookmarkEnd w:id="608"/>
      <w:bookmarkEnd w:id="609"/>
      <w:bookmarkEnd w:id="610"/>
      <w:bookmarkEnd w:id="611"/>
      <w:bookmarkEnd w:id="612"/>
      <w:bookmarkEnd w:id="613"/>
    </w:p>
    <w:p>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pPr>
        <w:pStyle w:val="8"/>
        <w:rPr>
          <w:rFonts w:ascii="宋体" w:hAnsi="宋体"/>
          <w:color w:val="auto"/>
          <w:highlight w:val="none"/>
        </w:rPr>
      </w:pPr>
      <w:bookmarkStart w:id="614" w:name="_Toc144974575"/>
      <w:bookmarkStart w:id="615" w:name="_Toc338840246"/>
      <w:bookmarkStart w:id="616" w:name="_Toc179632625"/>
      <w:bookmarkStart w:id="617" w:name="_Toc152042385"/>
      <w:bookmarkStart w:id="618" w:name="_Toc152045607"/>
      <w:bookmarkStart w:id="619" w:name="_Toc246996993"/>
      <w:bookmarkStart w:id="620" w:name="_Toc247085765"/>
      <w:bookmarkStart w:id="621" w:name="_Toc246996250"/>
      <w:r>
        <w:rPr>
          <w:rFonts w:hint="eastAsia" w:ascii="宋体" w:hAnsi="宋体"/>
          <w:color w:val="auto"/>
          <w:highlight w:val="none"/>
        </w:rPr>
        <w:t>3.3 投标文件的澄清</w:t>
      </w:r>
      <w:bookmarkEnd w:id="614"/>
      <w:r>
        <w:rPr>
          <w:rFonts w:hint="eastAsia" w:ascii="宋体" w:hAnsi="宋体"/>
          <w:color w:val="auto"/>
          <w:highlight w:val="none"/>
        </w:rPr>
        <w:t>和补正</w:t>
      </w:r>
      <w:bookmarkEnd w:id="615"/>
      <w:bookmarkEnd w:id="616"/>
      <w:bookmarkEnd w:id="617"/>
      <w:bookmarkEnd w:id="618"/>
      <w:bookmarkEnd w:id="619"/>
      <w:bookmarkEnd w:id="620"/>
      <w:bookmarkEnd w:id="621"/>
    </w:p>
    <w:p>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pPr>
        <w:pStyle w:val="8"/>
        <w:rPr>
          <w:rFonts w:ascii="宋体" w:hAnsi="宋体"/>
          <w:color w:val="auto"/>
          <w:highlight w:val="none"/>
        </w:rPr>
      </w:pPr>
      <w:bookmarkStart w:id="622" w:name="_Toc144974576"/>
      <w:bookmarkStart w:id="623" w:name="_Toc338840247"/>
      <w:bookmarkStart w:id="624" w:name="_Toc179632626"/>
      <w:bookmarkStart w:id="625" w:name="_Toc152042386"/>
      <w:bookmarkStart w:id="626" w:name="_Toc246996994"/>
      <w:bookmarkStart w:id="627" w:name="_Toc247085766"/>
      <w:bookmarkStart w:id="628" w:name="_Toc246996251"/>
      <w:bookmarkStart w:id="629" w:name="_Toc152045608"/>
      <w:r>
        <w:rPr>
          <w:rFonts w:hint="eastAsia" w:ascii="宋体" w:hAnsi="宋体"/>
          <w:color w:val="auto"/>
          <w:highlight w:val="none"/>
        </w:rPr>
        <w:t>3.4 评标结果</w:t>
      </w:r>
      <w:bookmarkEnd w:id="622"/>
      <w:bookmarkEnd w:id="623"/>
      <w:bookmarkEnd w:id="624"/>
      <w:bookmarkEnd w:id="625"/>
      <w:bookmarkEnd w:id="626"/>
      <w:bookmarkEnd w:id="627"/>
      <w:bookmarkEnd w:id="628"/>
      <w:bookmarkEnd w:id="629"/>
    </w:p>
    <w:p>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pPr>
        <w:spacing w:line="400" w:lineRule="exact"/>
        <w:rPr>
          <w:rFonts w:ascii="宋体" w:hAnsi="宋体"/>
          <w:color w:val="auto"/>
          <w:highlight w:val="none"/>
        </w:rPr>
      </w:pPr>
    </w:p>
    <w:p>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30" w:name="_Toc19465"/>
      <w:bookmarkStart w:id="631" w:name="_Toc494093443"/>
      <w:bookmarkStart w:id="632" w:name="_Toc338840497"/>
      <w:bookmarkStart w:id="633" w:name="_Toc338840249"/>
      <w:bookmarkStart w:id="634" w:name="_Toc338840458"/>
      <w:bookmarkStart w:id="635" w:name="_Toc27082"/>
      <w:bookmarkStart w:id="636" w:name="_Toc346523418"/>
      <w:bookmarkStart w:id="637" w:name="_Toc494526415"/>
      <w:bookmarkStart w:id="638" w:name="_Toc21307"/>
      <w:bookmarkStart w:id="639" w:name="_Toc346523481"/>
      <w:bookmarkStart w:id="640" w:name="_Toc19784"/>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30"/>
      <w:bookmarkEnd w:id="631"/>
      <w:bookmarkEnd w:id="632"/>
      <w:bookmarkEnd w:id="633"/>
      <w:bookmarkEnd w:id="634"/>
      <w:bookmarkEnd w:id="635"/>
      <w:bookmarkEnd w:id="636"/>
      <w:bookmarkEnd w:id="637"/>
      <w:bookmarkEnd w:id="638"/>
      <w:bookmarkEnd w:id="639"/>
      <w:bookmarkEnd w:id="640"/>
      <w:r>
        <w:rPr>
          <w:rFonts w:hint="eastAsia" w:ascii="宋体" w:hAnsi="宋体"/>
          <w:color w:val="auto"/>
          <w:sz w:val="24"/>
          <w:highlight w:val="none"/>
        </w:rPr>
        <w:t xml:space="preserve"> </w:t>
      </w:r>
    </w:p>
    <w:p>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2 、有下列情形之一，视为供应商串通投标，其投标无效：</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（五）不同供应商的投标文件相互混装；</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pPr>
        <w:adjustRightInd w:val="0"/>
        <w:snapToGrid w:val="0"/>
        <w:spacing w:line="440" w:lineRule="exact"/>
        <w:ind w:left="420" w:leftChars="200"/>
        <w:rPr>
          <w:rFonts w:ascii="宋体" w:hAnsi="宋体"/>
          <w:color w:val="auto"/>
          <w:szCs w:val="21"/>
          <w:highlight w:val="none"/>
        </w:rPr>
      </w:pPr>
      <w:r>
        <w:rPr>
          <w:rFonts w:hint="eastAsia" w:ascii="宋体" w:hAnsi="宋体"/>
          <w:color w:val="auto"/>
          <w:szCs w:val="21"/>
          <w:highlight w:val="none"/>
        </w:rPr>
        <w:t>4、投标内容不符合采购标的种类和数量要求的。</w:t>
      </w:r>
    </w:p>
    <w:p>
      <w:pPr>
        <w:adjustRightInd w:val="0"/>
        <w:snapToGrid w:val="0"/>
        <w:spacing w:line="440" w:lineRule="exact"/>
        <w:ind w:left="420" w:leftChars="200"/>
        <w:rPr>
          <w:rFonts w:ascii="宋体" w:hAnsi="宋体"/>
          <w:color w:val="auto"/>
          <w:szCs w:val="21"/>
          <w:highlight w:val="none"/>
        </w:rPr>
      </w:pPr>
      <w:r>
        <w:rPr>
          <w:rFonts w:hint="eastAsia" w:ascii="宋体" w:hAnsi="宋体"/>
          <w:color w:val="auto"/>
          <w:szCs w:val="21"/>
          <w:highlight w:val="none"/>
        </w:rPr>
        <w:t>5、投标报价超过招标文件中规定的最高限价的。</w:t>
      </w:r>
    </w:p>
    <w:p>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rPr>
        <w:t>6、提供虚假材料或伪造材料的。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7、联合体投标者没有提交共同投标协议的。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8、采购人提供证据证明供应商在以往履行与采购人及其所属单位的采购合同时，发生过重大实质性违约且未及时采取合理补救措施的。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9、其他不符合法律、法规规定的。</w:t>
      </w:r>
    </w:p>
    <w:p>
      <w:pPr>
        <w:adjustRightInd w:val="0"/>
        <w:snapToGrid w:val="0"/>
        <w:spacing w:line="440" w:lineRule="exact"/>
        <w:rPr>
          <w:rFonts w:ascii="宋体" w:hAnsi="宋体"/>
          <w:color w:val="auto"/>
          <w:szCs w:val="21"/>
          <w:highlight w:val="none"/>
        </w:rPr>
      </w:pPr>
    </w:p>
    <w:p>
      <w:pPr>
        <w:adjustRightInd w:val="0"/>
        <w:snapToGrid w:val="0"/>
        <w:spacing w:line="440" w:lineRule="exact"/>
        <w:ind w:firstLine="420" w:firstLineChars="200"/>
        <w:rPr>
          <w:rFonts w:ascii="宋体" w:hAnsi="宋体"/>
          <w:b/>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b/>
          <w:color w:val="auto"/>
          <w:sz w:val="24"/>
          <w:highlight w:val="none"/>
        </w:rPr>
        <w:t>附件B：</w:t>
      </w:r>
    </w:p>
    <w:p>
      <w:pPr>
        <w:spacing w:line="520" w:lineRule="exact"/>
        <w:jc w:val="center"/>
        <w:rPr>
          <w:b/>
          <w:color w:val="auto"/>
          <w:sz w:val="36"/>
          <w:szCs w:val="36"/>
          <w:highlight w:val="none"/>
        </w:rPr>
      </w:pPr>
      <w:r>
        <w:rPr>
          <w:rFonts w:hint="eastAsia"/>
          <w:b/>
          <w:color w:val="auto"/>
          <w:sz w:val="36"/>
          <w:szCs w:val="36"/>
          <w:highlight w:val="none"/>
        </w:rPr>
        <w:t>评标报告（样本）</w:t>
      </w:r>
    </w:p>
    <w:p>
      <w:pPr>
        <w:spacing w:line="560" w:lineRule="exact"/>
        <w:jc w:val="center"/>
        <w:rPr>
          <w:rFonts w:ascii="仿宋_GB2312" w:eastAsia="仿宋_GB2312"/>
          <w:color w:val="auto"/>
          <w:sz w:val="24"/>
          <w:highlight w:val="none"/>
        </w:rPr>
      </w:pPr>
    </w:p>
    <w:p>
      <w:pPr>
        <w:pStyle w:val="4"/>
        <w:spacing w:line="560" w:lineRule="exact"/>
        <w:ind w:firstLine="470" w:firstLineChars="196"/>
        <w:rPr>
          <w:rFonts w:ascii="仿宋_GB2312" w:eastAsia="仿宋_GB2312"/>
          <w:color w:val="auto"/>
          <w:sz w:val="24"/>
          <w:highlight w:val="none"/>
        </w:rPr>
      </w:pPr>
      <w:r>
        <w:rPr>
          <w:rFonts w:hint="eastAsia" w:ascii="仿宋_GB2312" w:eastAsia="仿宋_GB2312"/>
          <w:color w:val="auto"/>
          <w:sz w:val="24"/>
          <w:highlight w:val="none"/>
        </w:rPr>
        <w:t>一、基本情况。</w:t>
      </w:r>
    </w:p>
    <w:p>
      <w:pPr>
        <w:pStyle w:val="4"/>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pPr>
        <w:pStyle w:val="4"/>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评标价格</w:t>
            </w:r>
            <w:r>
              <w:rPr>
                <w:rFonts w:hint="eastAsia" w:ascii="仿宋_GB2312" w:eastAsia="仿宋_GB2312"/>
                <w:color w:val="auto"/>
                <w:sz w:val="22"/>
                <w:szCs w:val="22"/>
                <w:highlight w:val="none"/>
              </w:rPr>
              <w:t>（价格扣除后的价格）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pPr>
              <w:spacing w:line="560" w:lineRule="exact"/>
              <w:rPr>
                <w:rFonts w:ascii="仿宋_GB2312" w:eastAsia="仿宋_GB2312"/>
                <w:color w:val="auto"/>
                <w:sz w:val="24"/>
                <w:highlight w:val="none"/>
              </w:rPr>
            </w:pPr>
          </w:p>
        </w:tc>
        <w:tc>
          <w:tcPr>
            <w:tcW w:w="1503" w:type="dxa"/>
          </w:tcPr>
          <w:p>
            <w:pPr>
              <w:spacing w:line="560" w:lineRule="exact"/>
              <w:rPr>
                <w:rFonts w:ascii="仿宋_GB2312" w:eastAsia="仿宋_GB2312"/>
                <w:color w:val="auto"/>
                <w:sz w:val="24"/>
                <w:highlight w:val="none"/>
              </w:rPr>
            </w:pPr>
          </w:p>
        </w:tc>
        <w:tc>
          <w:tcPr>
            <w:tcW w:w="2520"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pPr>
              <w:spacing w:line="560" w:lineRule="exact"/>
              <w:rPr>
                <w:rFonts w:ascii="仿宋_GB2312" w:eastAsia="仿宋_GB2312"/>
                <w:color w:val="auto"/>
                <w:sz w:val="24"/>
                <w:highlight w:val="none"/>
              </w:rPr>
            </w:pPr>
          </w:p>
        </w:tc>
        <w:tc>
          <w:tcPr>
            <w:tcW w:w="1503" w:type="dxa"/>
          </w:tcPr>
          <w:p>
            <w:pPr>
              <w:spacing w:line="560" w:lineRule="exact"/>
              <w:rPr>
                <w:rFonts w:ascii="仿宋_GB2312" w:eastAsia="仿宋_GB2312"/>
                <w:color w:val="auto"/>
                <w:sz w:val="24"/>
                <w:highlight w:val="none"/>
              </w:rPr>
            </w:pPr>
          </w:p>
        </w:tc>
        <w:tc>
          <w:tcPr>
            <w:tcW w:w="2520" w:type="dxa"/>
          </w:tcPr>
          <w:p>
            <w:pPr>
              <w:spacing w:line="560" w:lineRule="exact"/>
              <w:rPr>
                <w:rFonts w:ascii="仿宋_GB2312" w:eastAsia="仿宋_GB2312"/>
                <w:color w:val="auto"/>
                <w:sz w:val="24"/>
                <w:highlight w:val="none"/>
              </w:rPr>
            </w:pPr>
          </w:p>
        </w:tc>
      </w:tr>
    </w:tbl>
    <w:p>
      <w:pPr>
        <w:spacing w:line="560" w:lineRule="exact"/>
        <w:ind w:firstLine="482" w:firstLineChars="200"/>
        <w:rPr>
          <w:rFonts w:ascii="仿宋_GB2312" w:eastAsia="仿宋_GB2312"/>
          <w:b/>
          <w:color w:val="auto"/>
          <w:sz w:val="24"/>
          <w:highlight w:val="none"/>
        </w:rPr>
      </w:pP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bl>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pPr>
        <w:spacing w:line="560" w:lineRule="exact"/>
        <w:ind w:firstLine="600"/>
        <w:rPr>
          <w:rFonts w:ascii="仿宋_GB2312" w:eastAsia="仿宋_GB2312"/>
          <w:b/>
          <w:color w:val="auto"/>
          <w:sz w:val="24"/>
          <w:highlight w:val="none"/>
        </w:rPr>
      </w:pP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pPr>
        <w:pStyle w:val="4"/>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pPr>
        <w:pStyle w:val="6"/>
        <w:jc w:val="center"/>
        <w:rPr>
          <w:rFonts w:ascii="宋体" w:hAnsi="宋体"/>
          <w:color w:val="auto"/>
          <w:highlight w:val="none"/>
        </w:rPr>
      </w:pPr>
      <w:bookmarkStart w:id="641" w:name="_Toc346523419"/>
      <w:bookmarkStart w:id="642" w:name="_Toc338840498"/>
      <w:bookmarkStart w:id="643" w:name="_Toc179632627"/>
      <w:bookmarkStart w:id="644" w:name="_Toc246996995"/>
      <w:bookmarkStart w:id="645" w:name="_Toc247085767"/>
      <w:bookmarkStart w:id="646" w:name="_Toc338840459"/>
      <w:bookmarkStart w:id="647" w:name="_Toc246996252"/>
      <w:bookmarkStart w:id="648" w:name="_Toc152042387"/>
      <w:bookmarkStart w:id="649" w:name="_Toc9654"/>
      <w:bookmarkStart w:id="650" w:name="_Toc22308"/>
      <w:bookmarkStart w:id="651" w:name="_Toc14959"/>
      <w:bookmarkStart w:id="652" w:name="_Toc494093444"/>
      <w:bookmarkStart w:id="653" w:name="_Toc144974577"/>
      <w:bookmarkStart w:id="654" w:name="_Toc346523482"/>
      <w:bookmarkStart w:id="655" w:name="_Toc494526416"/>
      <w:bookmarkStart w:id="656" w:name="_Toc338840250"/>
      <w:bookmarkStart w:id="657" w:name="_Toc152045609"/>
      <w:bookmarkStart w:id="658" w:name="_Toc17369"/>
      <w:r>
        <w:rPr>
          <w:rFonts w:hint="eastAsia" w:ascii="宋体" w:hAnsi="宋体"/>
          <w:color w:val="auto"/>
          <w:highlight w:val="none"/>
        </w:rPr>
        <w:t>第四章 合同条款及格式</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Start w:id="659" w:name="_Toc152042551"/>
      <w:bookmarkStart w:id="660" w:name="_Toc246997081"/>
      <w:bookmarkStart w:id="661" w:name="_Toc152045769"/>
      <w:bookmarkStart w:id="662" w:name="_Toc144974831"/>
      <w:bookmarkStart w:id="663" w:name="_Toc246996338"/>
      <w:bookmarkStart w:id="664" w:name="_Toc179632787"/>
      <w:bookmarkStart w:id="665" w:name="_Toc247085853"/>
    </w:p>
    <w:p>
      <w:pPr>
        <w:widowControl/>
        <w:ind w:firstLine="3058" w:firstLineChars="695"/>
        <w:rPr>
          <w:rFonts w:ascii="宋体" w:hAnsi="宋体"/>
          <w:bCs/>
          <w:color w:val="auto"/>
          <w:kern w:val="0"/>
          <w:sz w:val="44"/>
          <w:szCs w:val="44"/>
          <w:highlight w:val="none"/>
        </w:rPr>
      </w:pPr>
      <w:r>
        <w:rPr>
          <w:rFonts w:hint="eastAsia" w:ascii="宋体" w:hAnsi="宋体"/>
          <w:bCs/>
          <w:color w:val="auto"/>
          <w:kern w:val="0"/>
          <w:sz w:val="44"/>
          <w:szCs w:val="44"/>
          <w:highlight w:val="none"/>
        </w:rPr>
        <w:t>合同协议书</w:t>
      </w:r>
    </w:p>
    <w:tbl>
      <w:tblPr>
        <w:tblStyle w:val="34"/>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w:t>
            </w:r>
            <w:r>
              <w:rPr>
                <w:rFonts w:ascii="宋体" w:hAnsi="宋体"/>
                <w:color w:val="auto"/>
                <w:kern w:val="0"/>
                <w:sz w:val="24"/>
                <w:highlight w:val="none"/>
              </w:rPr>
              <w:t> </w:t>
            </w:r>
            <w:r>
              <w:rPr>
                <w:rFonts w:hint="eastAsia" w:ascii="宋体" w:hAnsi="宋体"/>
                <w:color w:val="auto"/>
                <w:kern w:val="0"/>
                <w:sz w:val="24"/>
                <w:highlight w:val="none"/>
              </w:rPr>
              <w:t>本合同协议书格式条款作为双方签订合同的参考。双方为阐明各方的权利和义务，经协商可增加或减少条款。 但不得与招标文件、投标文件的实质性内容相背离。</w:t>
            </w:r>
          </w:p>
        </w:tc>
      </w:tr>
    </w:tbl>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pPr>
        <w:widowControl/>
        <w:spacing w:line="440" w:lineRule="exact"/>
        <w:ind w:firstLine="422" w:firstLineChars="200"/>
        <w:jc w:val="left"/>
        <w:rPr>
          <w:rFonts w:ascii="宋体" w:hAnsi="宋体"/>
          <w:b/>
          <w:bCs/>
          <w:color w:val="auto"/>
          <w:kern w:val="0"/>
          <w:szCs w:val="21"/>
          <w:highlight w:val="none"/>
        </w:rPr>
      </w:pPr>
    </w:p>
    <w:p>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第三条：合同文件的组成　　</w:t>
      </w:r>
    </w:p>
    <w:p>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pPr>
        <w:widowControl/>
        <w:numPr>
          <w:ilvl w:val="0"/>
          <w:numId w:val="8"/>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pPr>
        <w:widowControl/>
        <w:numPr>
          <w:ilvl w:val="0"/>
          <w:numId w:val="8"/>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第五条  质量保证</w:t>
      </w:r>
    </w:p>
    <w:p>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第六条  包装要求</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第七条  交付和验收</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pPr>
        <w:widowControl/>
        <w:spacing w:line="440" w:lineRule="exact"/>
        <w:ind w:firstLine="420" w:firstLineChars="200"/>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第八条  伴随服务及售后服务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第九条   履约保证金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第十条   货款支付</w:t>
      </w:r>
    </w:p>
    <w:p>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第十一条 违约责任</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第十三条 　不可抗力　　</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第十四条  争议的解决</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第十五条   合同生效及其他</w:t>
      </w:r>
    </w:p>
    <w:p>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pPr>
        <w:widowControl/>
        <w:spacing w:line="440" w:lineRule="exact"/>
        <w:rPr>
          <w:rFonts w:ascii="宋体" w:hAnsi="宋体"/>
          <w:b/>
          <w:bCs/>
          <w:color w:val="auto"/>
          <w:kern w:val="0"/>
          <w:szCs w:val="21"/>
          <w:highlight w:val="none"/>
        </w:rPr>
      </w:pP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59"/>
      <w:bookmarkEnd w:id="660"/>
      <w:bookmarkEnd w:id="661"/>
      <w:bookmarkEnd w:id="662"/>
      <w:bookmarkEnd w:id="663"/>
      <w:bookmarkEnd w:id="664"/>
      <w:bookmarkEnd w:id="665"/>
    </w:p>
    <w:p>
      <w:pPr>
        <w:widowControl/>
        <w:spacing w:line="360" w:lineRule="auto"/>
        <w:rPr>
          <w:rFonts w:ascii="宋体" w:hAnsi="宋体" w:cs="宋体"/>
          <w:color w:val="auto"/>
          <w:sz w:val="28"/>
          <w:szCs w:val="28"/>
          <w:highlight w:val="none"/>
        </w:rPr>
      </w:pPr>
      <w:r>
        <w:rPr>
          <w:color w:val="auto"/>
          <w:highlight w:val="none"/>
        </w:rPr>
        <w:br w:type="page"/>
      </w:r>
    </w:p>
    <w:p>
      <w:pPr>
        <w:pStyle w:val="7"/>
        <w:jc w:val="center"/>
        <w:rPr>
          <w:rFonts w:ascii="宋体" w:hAnsi="宋体" w:eastAsia="宋体" w:cs="宋体"/>
          <w:color w:val="auto"/>
          <w:highlight w:val="none"/>
        </w:rPr>
      </w:pPr>
      <w:bookmarkStart w:id="666" w:name="_Toc30854"/>
      <w:r>
        <w:rPr>
          <w:rFonts w:hint="eastAsia" w:ascii="宋体" w:hAnsi="宋体" w:eastAsia="宋体" w:cs="宋体"/>
          <w:color w:val="auto"/>
          <w:highlight w:val="none"/>
        </w:rPr>
        <w:t>开封政府采购合同融资政策告知函</w:t>
      </w:r>
      <w:bookmarkEnd w:id="666"/>
    </w:p>
    <w:p>
      <w:pPr>
        <w:widowControl/>
        <w:spacing w:line="360" w:lineRule="auto"/>
        <w:rPr>
          <w:rFonts w:ascii="宋体" w:hAnsi="宋体" w:cs="宋体"/>
          <w:color w:val="auto"/>
          <w:sz w:val="28"/>
          <w:szCs w:val="28"/>
          <w:highlight w:val="none"/>
        </w:rPr>
      </w:pPr>
    </w:p>
    <w:p>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pPr>
        <w:pStyle w:val="33"/>
        <w:rPr>
          <w:color w:val="auto"/>
          <w:highlight w:val="none"/>
        </w:rPr>
      </w:pPr>
    </w:p>
    <w:p>
      <w:pPr>
        <w:widowControl/>
        <w:spacing w:line="440" w:lineRule="exact"/>
        <w:rPr>
          <w:rFonts w:ascii="宋体" w:hAnsi="宋体"/>
          <w:color w:val="auto"/>
          <w:kern w:val="0"/>
          <w:szCs w:val="21"/>
          <w:highlight w:val="none"/>
        </w:rPr>
      </w:pPr>
    </w:p>
    <w:p>
      <w:pPr>
        <w:jc w:val="center"/>
        <w:rPr>
          <w:rFonts w:ascii="宋体" w:hAnsi="宋体"/>
          <w:color w:val="auto"/>
          <w:highlight w:val="none"/>
        </w:rPr>
      </w:pPr>
      <w:bookmarkStart w:id="667" w:name="_Toc246996340"/>
      <w:bookmarkStart w:id="668" w:name="_Toc144974834"/>
      <w:bookmarkStart w:id="669" w:name="_Toc179632789"/>
      <w:bookmarkStart w:id="670" w:name="_Toc152045772"/>
      <w:bookmarkStart w:id="671" w:name="_Toc152042554"/>
      <w:bookmarkStart w:id="672" w:name="_Toc246997083"/>
      <w:bookmarkStart w:id="673" w:name="_Toc247085855"/>
      <w:bookmarkStart w:id="674" w:name="_Toc338840499"/>
      <w:bookmarkStart w:id="675" w:name="_Toc338840460"/>
      <w:bookmarkStart w:id="676" w:name="_Toc346523420"/>
      <w:bookmarkStart w:id="677" w:name="_Toc338840251"/>
      <w:bookmarkStart w:id="678" w:name="_Toc494526417"/>
      <w:bookmarkStart w:id="679" w:name="_Toc494093445"/>
      <w:bookmarkStart w:id="680" w:name="_Toc346523483"/>
      <w:r>
        <w:rPr>
          <w:rFonts w:hint="eastAsia" w:ascii="宋体" w:hAnsi="宋体"/>
          <w:color w:val="auto"/>
          <w:highlight w:val="none"/>
        </w:rPr>
        <w:br w:type="page"/>
      </w:r>
    </w:p>
    <w:p>
      <w:pPr>
        <w:pStyle w:val="7"/>
        <w:jc w:val="center"/>
        <w:rPr>
          <w:rFonts w:ascii="宋体" w:hAnsi="宋体" w:eastAsia="宋体" w:cs="宋体"/>
          <w:color w:val="auto"/>
          <w:highlight w:val="none"/>
        </w:rPr>
      </w:pPr>
      <w:bookmarkStart w:id="681" w:name="_Toc6494"/>
      <w:r>
        <w:rPr>
          <w:rFonts w:hint="eastAsia" w:ascii="宋体" w:hAnsi="宋体" w:eastAsia="宋体" w:cs="宋体"/>
          <w:color w:val="auto"/>
          <w:highlight w:val="none"/>
        </w:rPr>
        <w:t>开封政府采购合同履约保函政策告知函</w:t>
      </w:r>
      <w:bookmarkEnd w:id="681"/>
    </w:p>
    <w:p>
      <w:pPr>
        <w:pStyle w:val="33"/>
        <w:rPr>
          <w:color w:val="auto"/>
          <w:highlight w:val="none"/>
        </w:rPr>
      </w:pPr>
    </w:p>
    <w:p>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pPr>
        <w:pStyle w:val="6"/>
        <w:jc w:val="center"/>
        <w:rPr>
          <w:rFonts w:ascii="宋体" w:hAnsi="宋体"/>
          <w:color w:val="auto"/>
          <w:highlight w:val="none"/>
        </w:rPr>
      </w:pPr>
      <w:r>
        <w:rPr>
          <w:rFonts w:hint="eastAsia" w:ascii="宋体" w:hAnsi="宋体"/>
          <w:color w:val="auto"/>
          <w:highlight w:val="none"/>
        </w:rPr>
        <w:br w:type="page"/>
      </w:r>
      <w:bookmarkStart w:id="682" w:name="_Toc9194"/>
      <w:bookmarkStart w:id="683" w:name="_Toc14386"/>
      <w:bookmarkStart w:id="684" w:name="_Toc479"/>
      <w:bookmarkStart w:id="685" w:name="_Toc23041"/>
      <w:r>
        <w:rPr>
          <w:rFonts w:hint="eastAsia" w:ascii="宋体" w:hAnsi="宋体"/>
          <w:color w:val="auto"/>
          <w:highlight w:val="none"/>
        </w:rPr>
        <w:t xml:space="preserve">第五章  </w:t>
      </w:r>
      <w:bookmarkEnd w:id="667"/>
      <w:bookmarkEnd w:id="668"/>
      <w:bookmarkEnd w:id="669"/>
      <w:bookmarkEnd w:id="670"/>
      <w:bookmarkEnd w:id="671"/>
      <w:bookmarkEnd w:id="672"/>
      <w:bookmarkEnd w:id="673"/>
      <w:r>
        <w:rPr>
          <w:rFonts w:hint="eastAsia" w:ascii="宋体" w:hAnsi="宋体"/>
          <w:color w:val="auto"/>
          <w:highlight w:val="none"/>
        </w:rPr>
        <w:t>招标内容及商务技术要求</w:t>
      </w:r>
      <w:bookmarkEnd w:id="674"/>
      <w:bookmarkEnd w:id="675"/>
      <w:bookmarkEnd w:id="676"/>
      <w:bookmarkEnd w:id="677"/>
      <w:bookmarkEnd w:id="678"/>
      <w:bookmarkEnd w:id="679"/>
      <w:bookmarkEnd w:id="680"/>
      <w:bookmarkEnd w:id="682"/>
      <w:bookmarkEnd w:id="683"/>
      <w:bookmarkEnd w:id="684"/>
      <w:bookmarkEnd w:id="685"/>
    </w:p>
    <w:p>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应当获得相关认证（网络关键设备和网络安全专用产品可以是认证或检测），并在投标文件中提供有效认证证书或证明材料。签订合同应包含上述涉及的相关内容，采购人按照国家有关规定进行落实和验收。　</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4.采购需求中如有计算机办公设备，必须预装正版操作系统软件。</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pPr>
        <w:spacing w:line="48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开封市机关事务中心八大街办公区保安、保洁、消防及监控维保</w:t>
      </w:r>
    </w:p>
    <w:p>
      <w:pPr>
        <w:spacing w:line="360" w:lineRule="auto"/>
        <w:rPr>
          <w:rFonts w:ascii="宋体" w:hAnsi="宋体"/>
          <w:b/>
          <w:color w:val="auto"/>
          <w:sz w:val="32"/>
          <w:szCs w:val="32"/>
          <w:highlight w:val="none"/>
        </w:rPr>
      </w:pP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t>二、商务要求</w:t>
      </w:r>
    </w:p>
    <w:p>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pPr>
        <w:spacing w:line="440" w:lineRule="exact"/>
        <w:ind w:firstLine="420" w:firstLineChars="200"/>
        <w:rPr>
          <w:rFonts w:ascii="宋体" w:hAnsi="宋体"/>
          <w:color w:val="auto"/>
          <w:szCs w:val="21"/>
          <w:highlight w:val="none"/>
        </w:rPr>
      </w:pPr>
    </w:p>
    <w:p>
      <w:pPr>
        <w:spacing w:line="440" w:lineRule="exact"/>
        <w:rPr>
          <w:rFonts w:ascii="宋体" w:hAnsi="宋体"/>
          <w:b/>
          <w:color w:val="auto"/>
          <w:szCs w:val="21"/>
          <w:highlight w:val="none"/>
        </w:rPr>
      </w:pPr>
    </w:p>
    <w:p>
      <w:pPr>
        <w:numPr>
          <w:ilvl w:val="0"/>
          <w:numId w:val="9"/>
        </w:numPr>
        <w:rPr>
          <w:rFonts w:hint="eastAsia" w:ascii="宋体" w:hAnsi="宋体"/>
          <w:b/>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招标内容及技术要求</w:t>
      </w:r>
      <w:bookmarkStart w:id="686" w:name="_Toc247096438"/>
      <w:bookmarkStart w:id="687" w:name="_Toc246997093"/>
      <w:bookmarkStart w:id="688" w:name="_Toc247085866"/>
      <w:bookmarkStart w:id="689" w:name="_Toc152042571"/>
      <w:bookmarkStart w:id="690" w:name="_Toc152045782"/>
      <w:bookmarkStart w:id="691" w:name="_Toc144974851"/>
      <w:bookmarkStart w:id="692" w:name="_Toc246996350"/>
      <w:bookmarkStart w:id="693" w:name="_Toc179632800"/>
    </w:p>
    <w:p>
      <w:pPr>
        <w:pStyle w:val="2"/>
        <w:numPr>
          <w:ilvl w:val="0"/>
          <w:numId w:val="0"/>
        </w:numPr>
        <w:ind w:leftChars="400"/>
        <w:rPr>
          <w:color w:val="auto"/>
          <w:highlight w:val="none"/>
        </w:rPr>
      </w:pPr>
    </w:p>
    <w:p>
      <w:pPr>
        <w:numPr>
          <w:ilvl w:val="0"/>
          <w:numId w:val="10"/>
        </w:numPr>
        <w:autoSpaceDE w:val="0"/>
        <w:autoSpaceDN w:val="0"/>
        <w:spacing w:line="360" w:lineRule="auto"/>
        <w:ind w:left="640" w:leftChars="0" w:firstLine="0" w:firstLineChars="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保安岗位、人数（共计：24）</w:t>
      </w:r>
    </w:p>
    <w:p>
      <w:pPr>
        <w:numPr>
          <w:ilvl w:val="0"/>
          <w:numId w:val="0"/>
        </w:numPr>
        <w:autoSpaceDE w:val="0"/>
        <w:autoSpaceDN w:val="0"/>
        <w:spacing w:line="360" w:lineRule="auto"/>
        <w:ind w:firstLine="840" w:firstLineChars="400"/>
        <w:jc w:val="left"/>
        <w:rPr>
          <w:rFonts w:hint="eastAsia" w:ascii="宋体" w:hAnsi="宋体" w:cs="宋体"/>
          <w:color w:val="auto"/>
          <w:kern w:val="0"/>
          <w:szCs w:val="21"/>
          <w:highlight w:val="none"/>
          <w:lang w:val="zh-CN" w:bidi="zh-CN"/>
        </w:rPr>
      </w:pPr>
      <w:r>
        <w:rPr>
          <w:rFonts w:hint="eastAsia" w:ascii="宋体" w:hAnsi="宋体" w:cs="宋体"/>
          <w:color w:val="auto"/>
          <w:kern w:val="0"/>
          <w:szCs w:val="21"/>
          <w:highlight w:val="none"/>
          <w:lang w:val="zh-CN" w:bidi="zh-CN"/>
        </w:rPr>
        <w:t xml:space="preserve"> 1、保安班长 1 人；</w:t>
      </w:r>
    </w:p>
    <w:p>
      <w:pPr>
        <w:autoSpaceDE w:val="0"/>
        <w:autoSpaceDN w:val="0"/>
        <w:spacing w:line="360" w:lineRule="auto"/>
        <w:ind w:left="958"/>
        <w:jc w:val="left"/>
        <w:rPr>
          <w:rFonts w:hint="eastAsia" w:ascii="宋体" w:hAnsi="宋体" w:cs="宋体"/>
          <w:color w:val="auto"/>
          <w:kern w:val="0"/>
          <w:szCs w:val="21"/>
          <w:highlight w:val="none"/>
          <w:lang w:val="zh-CN" w:bidi="zh-CN"/>
        </w:rPr>
      </w:pPr>
      <w:r>
        <w:rPr>
          <w:rFonts w:hint="eastAsia" w:ascii="宋体" w:hAnsi="宋体" w:cs="宋体"/>
          <w:color w:val="auto"/>
          <w:kern w:val="0"/>
          <w:szCs w:val="21"/>
          <w:highlight w:val="none"/>
          <w:lang w:val="zh-CN" w:bidi="zh-CN"/>
        </w:rPr>
        <w:t>2、保安队员 20 人；</w:t>
      </w:r>
    </w:p>
    <w:p>
      <w:pPr>
        <w:autoSpaceDE w:val="0"/>
        <w:autoSpaceDN w:val="0"/>
        <w:spacing w:line="360" w:lineRule="auto"/>
        <w:ind w:left="958"/>
        <w:jc w:val="left"/>
        <w:rPr>
          <w:rFonts w:hint="eastAsia" w:ascii="宋体" w:hAnsi="宋体" w:cs="宋体"/>
          <w:color w:val="auto"/>
          <w:kern w:val="0"/>
          <w:szCs w:val="21"/>
          <w:highlight w:val="none"/>
          <w:lang w:val="zh-CN" w:bidi="zh-CN"/>
        </w:rPr>
      </w:pPr>
      <w:r>
        <w:rPr>
          <w:rFonts w:hint="eastAsia" w:ascii="宋体" w:hAnsi="宋体" w:cs="宋体"/>
          <w:color w:val="auto"/>
          <w:kern w:val="0"/>
          <w:szCs w:val="21"/>
          <w:highlight w:val="none"/>
          <w:lang w:val="zh-CN" w:bidi="zh-CN"/>
        </w:rPr>
        <w:t xml:space="preserve">3、监控消防保安 3 人； </w:t>
      </w:r>
    </w:p>
    <w:p>
      <w:pPr>
        <w:pStyle w:val="4"/>
        <w:rPr>
          <w:rFonts w:hint="eastAsia"/>
          <w:color w:val="auto"/>
          <w:highlight w:val="none"/>
          <w:lang w:val="zh-CN"/>
        </w:rPr>
      </w:pPr>
    </w:p>
    <w:p>
      <w:pPr>
        <w:numPr>
          <w:ilvl w:val="0"/>
          <w:numId w:val="10"/>
        </w:numPr>
        <w:autoSpaceDE w:val="0"/>
        <w:autoSpaceDN w:val="0"/>
        <w:spacing w:line="360" w:lineRule="auto"/>
        <w:ind w:left="640" w:leftChars="0" w:firstLine="0" w:firstLineChars="0"/>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人员要求：</w:t>
      </w:r>
    </w:p>
    <w:p>
      <w:pPr>
        <w:autoSpaceDE w:val="0"/>
        <w:autoSpaceDN w:val="0"/>
        <w:spacing w:line="391" w:lineRule="auto"/>
        <w:ind w:left="240" w:right="400" w:firstLine="523"/>
        <w:jc w:val="left"/>
        <w:rPr>
          <w:rFonts w:hint="eastAsia" w:ascii="宋体" w:hAnsi="宋体" w:eastAsia="宋体" w:cs="宋体"/>
          <w:color w:val="auto"/>
          <w:spacing w:val="-4"/>
          <w:kern w:val="0"/>
          <w:szCs w:val="21"/>
          <w:highlight w:val="none"/>
          <w:lang w:val="zh-CN" w:bidi="zh-CN"/>
        </w:rPr>
      </w:pPr>
      <w:r>
        <w:rPr>
          <w:rFonts w:hint="eastAsia" w:ascii="宋体" w:hAnsi="宋体" w:eastAsia="宋体" w:cs="宋体"/>
          <w:color w:val="auto"/>
          <w:spacing w:val="-4"/>
          <w:kern w:val="0"/>
          <w:szCs w:val="21"/>
          <w:highlight w:val="none"/>
          <w:lang w:val="zh-CN" w:bidi="zh-CN"/>
        </w:rPr>
        <w:t>（一）拟上岗人员需经甲方认可（消防室人员需持有国家消防专业资格证）。</w:t>
      </w:r>
    </w:p>
    <w:p>
      <w:pPr>
        <w:autoSpaceDE w:val="0"/>
        <w:autoSpaceDN w:val="0"/>
        <w:spacing w:line="391" w:lineRule="auto"/>
        <w:ind w:left="240" w:right="400" w:firstLine="523"/>
        <w:jc w:val="left"/>
        <w:rPr>
          <w:rFonts w:hint="eastAsia" w:ascii="宋体" w:hAnsi="宋体" w:eastAsia="宋体" w:cs="宋体"/>
          <w:color w:val="auto"/>
          <w:spacing w:val="-4"/>
          <w:kern w:val="0"/>
          <w:szCs w:val="21"/>
          <w:highlight w:val="none"/>
          <w:lang w:val="zh-CN" w:bidi="zh-CN"/>
        </w:rPr>
      </w:pPr>
      <w:r>
        <w:rPr>
          <w:rFonts w:hint="eastAsia" w:ascii="宋体" w:hAnsi="宋体" w:eastAsia="宋体" w:cs="宋体"/>
          <w:color w:val="auto"/>
          <w:spacing w:val="-4"/>
          <w:kern w:val="0"/>
          <w:szCs w:val="21"/>
          <w:highlight w:val="none"/>
          <w:lang w:val="zh-CN" w:bidi="zh-CN"/>
        </w:rPr>
        <w:t>（二）拟派保安人员年龄要求在 18—45 周岁。</w:t>
      </w:r>
    </w:p>
    <w:p>
      <w:pPr>
        <w:autoSpaceDE w:val="0"/>
        <w:autoSpaceDN w:val="0"/>
        <w:spacing w:line="391" w:lineRule="auto"/>
        <w:ind w:left="240" w:right="400" w:firstLine="523"/>
        <w:jc w:val="left"/>
        <w:rPr>
          <w:rFonts w:hint="eastAsia" w:ascii="宋体" w:hAnsi="宋体" w:eastAsia="宋体" w:cs="宋体"/>
          <w:color w:val="auto"/>
          <w:spacing w:val="-4"/>
          <w:kern w:val="0"/>
          <w:szCs w:val="21"/>
          <w:highlight w:val="none"/>
          <w:lang w:val="zh-CN" w:bidi="zh-CN"/>
        </w:rPr>
      </w:pPr>
      <w:r>
        <w:rPr>
          <w:rFonts w:hint="eastAsia" w:ascii="宋体" w:hAnsi="宋体" w:eastAsia="宋体" w:cs="宋体"/>
          <w:color w:val="auto"/>
          <w:spacing w:val="-4"/>
          <w:kern w:val="0"/>
          <w:szCs w:val="21"/>
          <w:highlight w:val="none"/>
          <w:lang w:val="zh-CN" w:bidi="zh-CN"/>
        </w:rPr>
        <w:t>（三）保安公司应对每个值班岗点、监控机房、物业管理办公室等处配备对讲机等常规性安保用具。</w:t>
      </w:r>
    </w:p>
    <w:p>
      <w:pPr>
        <w:autoSpaceDE w:val="0"/>
        <w:autoSpaceDN w:val="0"/>
        <w:spacing w:line="391" w:lineRule="auto"/>
        <w:ind w:left="240" w:right="400" w:firstLine="523"/>
        <w:jc w:val="left"/>
        <w:rPr>
          <w:rFonts w:hint="eastAsia" w:ascii="宋体" w:hAnsi="宋体" w:eastAsia="宋体" w:cs="宋体"/>
          <w:color w:val="auto"/>
          <w:spacing w:val="-4"/>
          <w:kern w:val="0"/>
          <w:szCs w:val="21"/>
          <w:highlight w:val="none"/>
          <w:lang w:val="zh-CN" w:bidi="zh-CN"/>
        </w:rPr>
      </w:pPr>
      <w:r>
        <w:rPr>
          <w:rFonts w:hint="eastAsia" w:ascii="宋体" w:hAnsi="宋体" w:eastAsia="宋体" w:cs="宋体"/>
          <w:color w:val="auto"/>
          <w:spacing w:val="-4"/>
          <w:kern w:val="0"/>
          <w:szCs w:val="21"/>
          <w:highlight w:val="none"/>
          <w:lang w:val="zh-CN" w:bidi="zh-CN"/>
        </w:rPr>
        <w:t xml:space="preserve">（四）要求各岗位人员每天不得空岗、缺岗。 </w:t>
      </w:r>
    </w:p>
    <w:p>
      <w:pPr>
        <w:pStyle w:val="4"/>
        <w:rPr>
          <w:color w:val="auto"/>
          <w:highlight w:val="none"/>
          <w:lang w:val="zh-CN"/>
        </w:rPr>
      </w:pPr>
    </w:p>
    <w:p>
      <w:pPr>
        <w:numPr>
          <w:ilvl w:val="0"/>
          <w:numId w:val="10"/>
        </w:numPr>
        <w:autoSpaceDE w:val="0"/>
        <w:autoSpaceDN w:val="0"/>
        <w:spacing w:line="360" w:lineRule="auto"/>
        <w:ind w:left="640" w:leftChars="0" w:firstLine="0" w:firstLineChars="0"/>
        <w:jc w:val="left"/>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服务内容及要求</w:t>
      </w:r>
    </w:p>
    <w:p>
      <w:pPr>
        <w:autoSpaceDE w:val="0"/>
        <w:autoSpaceDN w:val="0"/>
        <w:spacing w:line="391" w:lineRule="auto"/>
        <w:ind w:left="240" w:right="400" w:firstLine="523"/>
        <w:jc w:val="left"/>
        <w:rPr>
          <w:rFonts w:ascii="宋体" w:hAnsi="宋体" w:cs="宋体"/>
          <w:color w:val="auto"/>
          <w:spacing w:val="-4"/>
          <w:kern w:val="0"/>
          <w:szCs w:val="21"/>
          <w:highlight w:val="none"/>
          <w:lang w:val="zh-CN" w:bidi="zh-CN"/>
        </w:rPr>
      </w:pPr>
      <w:r>
        <w:rPr>
          <w:rFonts w:hint="eastAsia" w:ascii="宋体" w:hAnsi="宋体" w:cs="宋体"/>
          <w:color w:val="auto"/>
          <w:spacing w:val="-4"/>
          <w:kern w:val="0"/>
          <w:szCs w:val="21"/>
          <w:highlight w:val="none"/>
          <w:lang w:val="zh-CN" w:bidi="zh-CN"/>
        </w:rPr>
        <w:t>（一）服务范围：服务区域内实行 24 小时巡更执勤，工作时间段内做好场馆、办公区域的秩序维护、安全防范，预防火灾、刑事事故、安全隐患的发生。做好紧急突发事件的应急处理工作，如有事故发生，做到能够及时报警、保护现场，防止事态进一步恶化，事件处理及时率 100%。负责消防控制室及其他设施（灭火器、消火栓等）的值班、检查及记录工作，确保处于完好状态。按照相关部门要求，   定期做好突发事件演练以及消防演习等工作，甲方安排的相关安保工作。</w:t>
      </w:r>
    </w:p>
    <w:p>
      <w:pPr>
        <w:autoSpaceDE w:val="0"/>
        <w:autoSpaceDN w:val="0"/>
        <w:spacing w:line="391" w:lineRule="auto"/>
        <w:ind w:left="240" w:right="400" w:firstLine="523"/>
        <w:jc w:val="left"/>
        <w:rPr>
          <w:rFonts w:ascii="宋体" w:hAnsi="宋体" w:cs="宋体"/>
          <w:color w:val="auto"/>
          <w:spacing w:val="-4"/>
          <w:kern w:val="0"/>
          <w:szCs w:val="21"/>
          <w:highlight w:val="none"/>
          <w:lang w:val="zh-CN" w:bidi="zh-CN"/>
        </w:rPr>
      </w:pPr>
      <w:r>
        <w:rPr>
          <w:rFonts w:hint="eastAsia" w:ascii="宋体" w:hAnsi="宋体" w:cs="宋体"/>
          <w:color w:val="auto"/>
          <w:spacing w:val="-4"/>
          <w:kern w:val="0"/>
          <w:szCs w:val="21"/>
          <w:highlight w:val="none"/>
          <w:lang w:val="zh-CN" w:bidi="zh-CN"/>
        </w:rPr>
        <w:t>（二）具体要求：</w:t>
      </w:r>
    </w:p>
    <w:p>
      <w:pPr>
        <w:autoSpaceDE w:val="0"/>
        <w:autoSpaceDN w:val="0"/>
        <w:spacing w:line="391" w:lineRule="auto"/>
        <w:ind w:left="240" w:right="400" w:firstLine="523"/>
        <w:jc w:val="left"/>
        <w:rPr>
          <w:rFonts w:ascii="宋体" w:hAnsi="宋体" w:cs="宋体"/>
          <w:color w:val="auto"/>
          <w:spacing w:val="-4"/>
          <w:kern w:val="0"/>
          <w:szCs w:val="21"/>
          <w:highlight w:val="none"/>
          <w:lang w:val="zh-CN" w:bidi="zh-CN"/>
        </w:rPr>
      </w:pPr>
      <w:r>
        <w:rPr>
          <w:rFonts w:hint="eastAsia" w:ascii="宋体" w:hAnsi="宋体" w:cs="宋体"/>
          <w:color w:val="auto"/>
          <w:spacing w:val="-4"/>
          <w:kern w:val="0"/>
          <w:szCs w:val="21"/>
          <w:highlight w:val="none"/>
          <w:lang w:val="zh-CN" w:bidi="zh-CN"/>
        </w:rPr>
        <w:t>1、本项目财政核定费用已包含人员工资、管理费、税金、社会保险、加班费等各项福利、人员工装、物品损耗、项目所需配套设备（包括但不限于对讲机、执法记录仪、防暴钢叉、头盔、防刺服等各类安检、安保器材）。</w:t>
      </w:r>
    </w:p>
    <w:p>
      <w:pPr>
        <w:autoSpaceDE w:val="0"/>
        <w:autoSpaceDN w:val="0"/>
        <w:spacing w:line="391" w:lineRule="auto"/>
        <w:ind w:left="240" w:right="400" w:firstLine="523"/>
        <w:jc w:val="left"/>
        <w:rPr>
          <w:rFonts w:ascii="宋体" w:hAnsi="宋体" w:cs="宋体"/>
          <w:color w:val="auto"/>
          <w:spacing w:val="-4"/>
          <w:kern w:val="0"/>
          <w:szCs w:val="21"/>
          <w:highlight w:val="none"/>
          <w:lang w:val="zh-CN" w:bidi="zh-CN"/>
        </w:rPr>
      </w:pPr>
      <w:r>
        <w:rPr>
          <w:rFonts w:hint="eastAsia" w:ascii="宋体" w:hAnsi="宋体" w:cs="宋体"/>
          <w:color w:val="auto"/>
          <w:spacing w:val="-4"/>
          <w:kern w:val="0"/>
          <w:szCs w:val="21"/>
          <w:highlight w:val="none"/>
          <w:lang w:val="zh-CN" w:bidi="zh-CN"/>
        </w:rPr>
        <w:t>2、投标单位需在投标文件中，需提供应对各类突发事件处置应急预案，并将应急预案写清楚。</w:t>
      </w:r>
    </w:p>
    <w:p>
      <w:pPr>
        <w:spacing w:line="265" w:lineRule="exact"/>
        <w:jc w:val="left"/>
        <w:rPr>
          <w:color w:val="auto"/>
          <w:highlight w:val="none"/>
        </w:rPr>
      </w:pPr>
    </w:p>
    <w:p>
      <w:pPr>
        <w:pStyle w:val="33"/>
        <w:rPr>
          <w:color w:val="auto"/>
          <w:sz w:val="21"/>
          <w:highlight w:val="none"/>
        </w:rPr>
      </w:pPr>
    </w:p>
    <w:p>
      <w:pPr>
        <w:spacing w:line="360" w:lineRule="auto"/>
        <w:rPr>
          <w:color w:val="auto"/>
          <w:highlight w:val="none"/>
        </w:rPr>
      </w:pPr>
      <w:r>
        <w:rPr>
          <w:color w:val="auto"/>
          <w:highlight w:val="none"/>
        </w:rPr>
        <w:br w:type="page"/>
      </w:r>
    </w:p>
    <w:p>
      <w:pPr>
        <w:spacing w:line="360" w:lineRule="auto"/>
        <w:jc w:val="center"/>
        <w:rPr>
          <w:b/>
          <w:bCs/>
          <w:color w:val="auto"/>
          <w:szCs w:val="21"/>
          <w:highlight w:val="none"/>
        </w:rPr>
      </w:pPr>
      <w:r>
        <w:rPr>
          <w:rFonts w:hint="eastAsia"/>
          <w:b/>
          <w:bCs/>
          <w:color w:val="auto"/>
          <w:szCs w:val="21"/>
          <w:highlight w:val="none"/>
        </w:rPr>
        <w:t>豫财行【2015】214号文件 秩序维护与安全管理服务（保安）有关内容</w:t>
      </w:r>
    </w:p>
    <w:p>
      <w:pPr>
        <w:spacing w:line="360" w:lineRule="auto"/>
        <w:ind w:firstLine="420"/>
        <w:jc w:val="left"/>
        <w:rPr>
          <w:rFonts w:hint="eastAsia" w:ascii="Times New Roman" w:hAnsi="Times New Roman" w:eastAsia="宋体" w:cs="Times New Roman"/>
          <w:color w:val="auto"/>
          <w:szCs w:val="21"/>
          <w:highlight w:val="none"/>
        </w:rPr>
      </w:pPr>
      <w:r>
        <w:rPr>
          <w:rFonts w:hint="eastAsia"/>
          <w:color w:val="auto"/>
          <w:szCs w:val="21"/>
          <w:highlight w:val="none"/>
        </w:rPr>
        <w:t>实行24小时安全管理，人防、机防相结合，监控、巡视、值班相结合，确保无漏岗、脱岗、睡岗等失职现象。上岗期间着装整齐，保持通讯设备畅通；明确巡视工作职责，规范巡视工作流程，制定相对固定的巡视路线。根据办公楼的情况设置行车指示标志，规定车辆</w:t>
      </w:r>
      <w:r>
        <w:rPr>
          <w:rFonts w:hint="eastAsia" w:ascii="Times New Roman" w:hAnsi="Times New Roman" w:eastAsia="宋体" w:cs="Times New Roman"/>
          <w:color w:val="auto"/>
          <w:szCs w:val="21"/>
          <w:highlight w:val="none"/>
        </w:rPr>
        <w:t>行驶路线，指定车辆停放区域。保安人员应对进出办公楼的各类车辆进行管理，维护交通秩序，保证车辆便于通行、易于停放；停车场应24小时有专人管理；对外来人员实行出入登记管理；制定物业突发公共事件的应急预案。</w:t>
      </w:r>
    </w:p>
    <w:p>
      <w:pPr>
        <w:spacing w:line="360" w:lineRule="auto"/>
        <w:ind w:firstLine="42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一级</w:t>
      </w:r>
    </w:p>
    <w:p>
      <w:pPr>
        <w:spacing w:line="360" w:lineRule="auto"/>
        <w:ind w:firstLine="42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rPr>
        <w:t>公共秩序维护人员人均管理建筑面积在2500（含）平方米以下；</w:t>
      </w:r>
    </w:p>
    <w:p>
      <w:pPr>
        <w:spacing w:line="360" w:lineRule="auto"/>
        <w:ind w:firstLine="42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rPr>
        <w:t>实行封闭式管理的，物业管理区域的主出入口安排24小时双岗值班；对外来人员实行进出管理；对来访客人用语规范，必要时引导至电梯厅或指定区域；非办公时间进入办公楼的人员应实施详细登记；</w:t>
      </w:r>
    </w:p>
    <w:p>
      <w:pPr>
        <w:spacing w:line="360" w:lineRule="auto"/>
        <w:ind w:firstLine="42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3、</w:t>
      </w:r>
      <w:r>
        <w:rPr>
          <w:rFonts w:hint="eastAsia" w:ascii="Times New Roman" w:hAnsi="Times New Roman" w:eastAsia="宋体" w:cs="Times New Roman"/>
          <w:color w:val="auto"/>
          <w:szCs w:val="21"/>
          <w:highlight w:val="none"/>
        </w:rPr>
        <w:t>明确巡查工作职责，规范巡查工作流程，对重点区域、重点部位、重点设备机房至少每2小时巡查一次并记录；</w:t>
      </w:r>
    </w:p>
    <w:p>
      <w:pPr>
        <w:spacing w:line="360" w:lineRule="auto"/>
        <w:ind w:firstLine="42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4、</w:t>
      </w:r>
      <w:r>
        <w:rPr>
          <w:rFonts w:hint="eastAsia" w:ascii="Times New Roman" w:hAnsi="Times New Roman" w:eastAsia="宋体" w:cs="Times New Roman"/>
          <w:color w:val="auto"/>
          <w:szCs w:val="21"/>
          <w:highlight w:val="none"/>
        </w:rPr>
        <w:t>每年组织应急预案演习不少于二次；</w:t>
      </w:r>
    </w:p>
    <w:p>
      <w:pPr>
        <w:spacing w:line="360" w:lineRule="auto"/>
        <w:ind w:firstLine="42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5、物业区域地面、墙面按车辆道路行驶要求设立指示牌和地标，车辆行驶有规定路线，车辆停放有序；有专职人员巡视和协助停车事宜；</w:t>
      </w:r>
    </w:p>
    <w:p>
      <w:pPr>
        <w:spacing w:line="360" w:lineRule="auto"/>
        <w:ind w:firstLine="42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6、在本物业项目的安保人员全年人员交换率不超过15%。</w:t>
      </w:r>
    </w:p>
    <w:p>
      <w:pPr>
        <w:pStyle w:val="2"/>
        <w:rPr>
          <w:rFonts w:hint="eastAsia" w:ascii="Times New Roman" w:hAnsi="Times New Roman" w:eastAsia="宋体" w:cs="Times New Roman"/>
          <w:color w:val="auto"/>
          <w:szCs w:val="21"/>
          <w:highlight w:val="none"/>
        </w:rPr>
      </w:pPr>
    </w:p>
    <w:p>
      <w:pPr>
        <w:pStyle w:val="5"/>
        <w:rPr>
          <w:rFonts w:hint="eastAsia" w:ascii="Times New Roman" w:hAnsi="Times New Roman" w:eastAsia="宋体" w:cs="Times New Roman"/>
          <w:color w:val="auto"/>
          <w:szCs w:val="21"/>
          <w:highlight w:val="none"/>
        </w:rPr>
      </w:pPr>
    </w:p>
    <w:p>
      <w:pPr>
        <w:rPr>
          <w:rFonts w:hint="eastAsia" w:ascii="Times New Roman" w:hAnsi="Times New Roman" w:eastAsia="宋体" w:cs="Times New Roman"/>
          <w:color w:val="auto"/>
          <w:szCs w:val="21"/>
          <w:highlight w:val="none"/>
        </w:rPr>
      </w:pPr>
    </w:p>
    <w:p>
      <w:pPr>
        <w:rPr>
          <w:rFonts w:hint="eastAsia"/>
          <w:color w:val="auto"/>
          <w:highlight w:val="none"/>
        </w:rPr>
      </w:pPr>
      <w:r>
        <w:rPr>
          <w:rFonts w:hint="eastAsia"/>
          <w:color w:val="auto"/>
          <w:highlight w:val="none"/>
        </w:rPr>
        <w:br w:type="page"/>
      </w:r>
    </w:p>
    <w:p>
      <w:pPr>
        <w:spacing w:line="360" w:lineRule="auto"/>
        <w:ind w:firstLine="420"/>
        <w:jc w:val="left"/>
        <w:rPr>
          <w:rFonts w:hint="eastAsia" w:ascii="Times New Roman" w:hAnsi="Times New Roman" w:eastAsia="宋体" w:cs="Times New Roman"/>
          <w:color w:val="auto"/>
          <w:szCs w:val="21"/>
          <w:highlight w:val="none"/>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823"/>
        <w:gridCol w:w="823"/>
        <w:gridCol w:w="4733"/>
        <w:gridCol w:w="703"/>
        <w:gridCol w:w="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522" w:type="dxa"/>
            <w:gridSpan w:val="6"/>
            <w:noWrap/>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bCs w:val="0"/>
                <w:color w:val="auto"/>
                <w:sz w:val="21"/>
                <w:szCs w:val="21"/>
                <w:highlight w:val="none"/>
              </w:rPr>
              <w:t>保洁月度考核表 （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822" w:type="dxa"/>
            <w:vMerge w:val="restart"/>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工</w:t>
            </w:r>
          </w:p>
          <w:p>
            <w:pPr>
              <w:spacing w:line="240" w:lineRule="auto"/>
              <w:jc w:val="center"/>
              <w:rPr>
                <w:rFonts w:hint="eastAsia" w:ascii="宋体" w:hAnsi="宋体" w:eastAsia="宋体" w:cs="宋体"/>
                <w:b/>
                <w:bCs w:val="0"/>
                <w:color w:val="auto"/>
                <w:sz w:val="21"/>
                <w:szCs w:val="21"/>
                <w:highlight w:val="none"/>
              </w:rPr>
            </w:pPr>
          </w:p>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作</w:t>
            </w:r>
          </w:p>
          <w:p>
            <w:pPr>
              <w:spacing w:line="240" w:lineRule="auto"/>
              <w:jc w:val="center"/>
              <w:rPr>
                <w:rFonts w:hint="eastAsia" w:ascii="宋体" w:hAnsi="宋体" w:eastAsia="宋体" w:cs="宋体"/>
                <w:b/>
                <w:bCs w:val="0"/>
                <w:color w:val="auto"/>
                <w:sz w:val="21"/>
                <w:szCs w:val="21"/>
                <w:highlight w:val="none"/>
              </w:rPr>
            </w:pPr>
          </w:p>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情</w:t>
            </w:r>
          </w:p>
          <w:p>
            <w:pPr>
              <w:spacing w:line="240" w:lineRule="auto"/>
              <w:jc w:val="center"/>
              <w:rPr>
                <w:rFonts w:hint="eastAsia" w:ascii="宋体" w:hAnsi="宋体" w:eastAsia="宋体" w:cs="宋体"/>
                <w:b/>
                <w:bCs w:val="0"/>
                <w:color w:val="auto"/>
                <w:sz w:val="21"/>
                <w:szCs w:val="21"/>
                <w:highlight w:val="none"/>
              </w:rPr>
            </w:pPr>
          </w:p>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况</w:t>
            </w: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考核项目</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标准分值</w:t>
            </w:r>
          </w:p>
        </w:tc>
        <w:tc>
          <w:tcPr>
            <w:tcW w:w="473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考 核 内 容</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考核</w:t>
            </w:r>
          </w:p>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结果</w:t>
            </w: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人员配置</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工作人员人数是否按照合同规定安排到岗</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仪容仪表</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按规定统一穿着制服、佩戴工作证及其他必要装备；微笑服务，动作姿势较准确；举止文明大方；动作手势规范、准确、有力。</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职业道德</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保洁人员热爱本职工作、敬业精神、认真履行职责、出色完成安全保洁任务；文明执勤、礼貌待人、注重形象；工作积极主动、坚持原则、大胆管理。</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保洁工作</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20分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准确完成日常各项办公区内的清洁保障工作；保洁工具及工具柜干净、整洁，做到工具及时归位；有序做好日常保洁、周计划、月计划相关工作内容；及时更换温馨提示、垃圾标识、岗位区域明示；四害消杀工作是否有序推进。</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日常巡查</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20分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及时发现、制止、处理各种保洁问题，责任范围内无死角清洁;定期检查保洁工具及工具柜等设施设备,确保完好,发现责任区域内保洁和维修问题及时上报;及时制止工作区域内违规施工或未按规定要求处置生活垃圾和建筑垃圾情况。</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卫生状况</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10分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办公区域内卫生保持情况，器材器具是否整齐、干净、无尘；个人物品是否整齐摆放；杂物是否及时清理。</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日常管理</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15分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保洁与会务人员相互配合情况；保洁执行工作纪律情况；会务期间会议室内打扫及物品摆放情况；工作期间对讲机是否存在离线情况；办公区域内保洁工具及技术设施设备随意停放；办公区域、公共区域、外环境区域等作业问题相互调配情况；日常考核情况及时统一，做好问题汇总及整改到位。</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协调能力</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是否与其他社会化公司存在业务或工作上相互推诿扯皮现象，能否准确无误与其他部门联合工作。</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合同执行</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是否严格按照合同各项规定执行、有无违约情况出现。</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822" w:type="dxa"/>
            <w:vMerge w:val="continue"/>
            <w:vAlign w:val="center"/>
          </w:tcPr>
          <w:p>
            <w:pPr>
              <w:spacing w:line="240" w:lineRule="auto"/>
              <w:jc w:val="center"/>
              <w:rPr>
                <w:rFonts w:hint="eastAsia" w:ascii="宋体" w:hAnsi="宋体" w:eastAsia="宋体" w:cs="宋体"/>
                <w:b/>
                <w:bCs w:val="0"/>
                <w:color w:val="auto"/>
                <w:sz w:val="21"/>
                <w:szCs w:val="21"/>
                <w:highlight w:val="none"/>
              </w:rPr>
            </w:pPr>
          </w:p>
        </w:tc>
        <w:tc>
          <w:tcPr>
            <w:tcW w:w="823" w:type="dxa"/>
            <w:vAlign w:val="center"/>
          </w:tcPr>
          <w:p>
            <w:pPr>
              <w:spacing w:line="24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服务满意度</w:t>
            </w:r>
          </w:p>
        </w:tc>
        <w:tc>
          <w:tcPr>
            <w:tcW w:w="823" w:type="dxa"/>
            <w:vAlign w:val="center"/>
          </w:tcPr>
          <w:p>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10分</w:t>
            </w:r>
          </w:p>
        </w:tc>
        <w:tc>
          <w:tcPr>
            <w:tcW w:w="4733" w:type="dxa"/>
            <w:vAlign w:val="center"/>
          </w:tcPr>
          <w:p>
            <w:pPr>
              <w:spacing w:line="240" w:lineRule="auto"/>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是否有投诉情况。</w:t>
            </w:r>
          </w:p>
        </w:tc>
        <w:tc>
          <w:tcPr>
            <w:tcW w:w="703" w:type="dxa"/>
            <w:vAlign w:val="center"/>
          </w:tcPr>
          <w:p>
            <w:pPr>
              <w:spacing w:line="240" w:lineRule="auto"/>
              <w:jc w:val="center"/>
              <w:rPr>
                <w:rFonts w:hint="eastAsia" w:ascii="宋体" w:hAnsi="宋体" w:eastAsia="宋体" w:cs="宋体"/>
                <w:b w:val="0"/>
                <w:bCs/>
                <w:color w:val="auto"/>
                <w:sz w:val="21"/>
                <w:szCs w:val="21"/>
                <w:highlight w:val="none"/>
              </w:rPr>
            </w:pPr>
          </w:p>
        </w:tc>
        <w:tc>
          <w:tcPr>
            <w:tcW w:w="618" w:type="dxa"/>
            <w:vAlign w:val="center"/>
          </w:tcPr>
          <w:p>
            <w:pPr>
              <w:spacing w:line="240" w:lineRule="auto"/>
              <w:jc w:val="center"/>
              <w:rPr>
                <w:rFonts w:hint="eastAsia" w:ascii="宋体" w:hAnsi="宋体" w:eastAsia="宋体" w:cs="宋体"/>
                <w:b w:val="0"/>
                <w:bCs/>
                <w:color w:val="auto"/>
                <w:sz w:val="21"/>
                <w:szCs w:val="21"/>
                <w:highlight w:val="none"/>
              </w:rPr>
            </w:pPr>
          </w:p>
        </w:tc>
      </w:tr>
    </w:tbl>
    <w:p>
      <w:pPr>
        <w:jc w:val="left"/>
        <w:rPr>
          <w:rFonts w:hint="eastAsia"/>
          <w:color w:val="auto"/>
          <w:highlight w:val="none"/>
        </w:rPr>
      </w:pPr>
      <w:r>
        <w:rPr>
          <w:rFonts w:hint="eastAsia"/>
          <w:color w:val="auto"/>
          <w:highlight w:val="none"/>
        </w:rPr>
        <w:br w:type="page"/>
      </w:r>
    </w:p>
    <w:p>
      <w:pPr>
        <w:spacing w:line="440" w:lineRule="exact"/>
        <w:jc w:val="center"/>
        <w:outlineLvl w:val="0"/>
        <w:rPr>
          <w:rFonts w:hint="eastAsia" w:ascii="宋体" w:hAnsi="宋体"/>
          <w:b/>
          <w:color w:val="auto"/>
          <w:sz w:val="44"/>
          <w:szCs w:val="44"/>
          <w:highlight w:val="none"/>
        </w:rPr>
      </w:pPr>
      <w:bookmarkStart w:id="694" w:name="_Toc346523421"/>
      <w:bookmarkStart w:id="695" w:name="_Toc32761"/>
      <w:bookmarkStart w:id="696" w:name="_Toc346523484"/>
      <w:bookmarkStart w:id="697" w:name="_Toc23606"/>
      <w:bookmarkStart w:id="698" w:name="_Toc494526418"/>
      <w:bookmarkStart w:id="699" w:name="_Toc494093446"/>
      <w:bookmarkStart w:id="700" w:name="_Toc5704"/>
      <w:bookmarkStart w:id="701" w:name="_Toc338840500"/>
      <w:bookmarkStart w:id="702" w:name="_Toc338840461"/>
      <w:bookmarkStart w:id="703" w:name="_Toc338840252"/>
      <w:bookmarkStart w:id="704" w:name="_Toc17490"/>
    </w:p>
    <w:p>
      <w:pPr>
        <w:pStyle w:val="2"/>
        <w:rPr>
          <w:rFonts w:hint="eastAsia"/>
          <w:color w:val="auto"/>
          <w:highlight w:val="none"/>
        </w:rPr>
      </w:pPr>
    </w:p>
    <w:p>
      <w:pPr>
        <w:spacing w:line="440" w:lineRule="exact"/>
        <w:jc w:val="center"/>
        <w:outlineLvl w:val="0"/>
        <w:rPr>
          <w:rFonts w:ascii="宋体" w:hAnsi="宋体"/>
          <w:b/>
          <w:color w:val="auto"/>
          <w:sz w:val="44"/>
          <w:szCs w:val="44"/>
          <w:highlight w:val="none"/>
        </w:rPr>
      </w:pPr>
      <w:r>
        <w:rPr>
          <w:rFonts w:hint="eastAsia" w:ascii="宋体" w:hAnsi="宋体"/>
          <w:b/>
          <w:color w:val="auto"/>
          <w:sz w:val="44"/>
          <w:szCs w:val="44"/>
          <w:highlight w:val="none"/>
        </w:rPr>
        <w:t xml:space="preserve">第六章  </w:t>
      </w:r>
      <w:bookmarkEnd w:id="686"/>
      <w:bookmarkEnd w:id="687"/>
      <w:bookmarkEnd w:id="688"/>
      <w:bookmarkEnd w:id="689"/>
      <w:bookmarkEnd w:id="690"/>
      <w:bookmarkEnd w:id="691"/>
      <w:bookmarkEnd w:id="692"/>
      <w:bookmarkEnd w:id="693"/>
      <w:r>
        <w:rPr>
          <w:rFonts w:hint="eastAsia" w:ascii="宋体" w:hAnsi="宋体"/>
          <w:b/>
          <w:color w:val="auto"/>
          <w:sz w:val="44"/>
          <w:szCs w:val="44"/>
          <w:highlight w:val="none"/>
        </w:rPr>
        <w:t>投标文件格式</w:t>
      </w:r>
      <w:bookmarkEnd w:id="694"/>
      <w:bookmarkEnd w:id="695"/>
      <w:bookmarkEnd w:id="696"/>
      <w:bookmarkEnd w:id="697"/>
      <w:bookmarkEnd w:id="698"/>
      <w:bookmarkEnd w:id="699"/>
      <w:bookmarkEnd w:id="700"/>
      <w:bookmarkEnd w:id="701"/>
      <w:bookmarkEnd w:id="702"/>
      <w:bookmarkEnd w:id="703"/>
      <w:bookmarkEnd w:id="704"/>
    </w:p>
    <w:p>
      <w:pPr>
        <w:spacing w:line="600" w:lineRule="exact"/>
        <w:rPr>
          <w:rFonts w:ascii="宋体" w:hAnsi="宋体"/>
          <w:b/>
          <w:bCs/>
          <w:color w:val="auto"/>
          <w:sz w:val="32"/>
          <w:szCs w:val="32"/>
          <w:highlight w:val="none"/>
        </w:rPr>
      </w:pPr>
      <w:r>
        <w:rPr>
          <w:rFonts w:hint="eastAsia" w:ascii="宋体" w:hAnsi="宋体"/>
          <w:color w:val="auto"/>
          <w:highlight w:val="none"/>
        </w:rPr>
        <w:br w:type="page"/>
      </w:r>
    </w:p>
    <w:p>
      <w:pPr>
        <w:spacing w:line="600" w:lineRule="exact"/>
        <w:ind w:firstLine="1430" w:firstLineChars="445"/>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r>
        <w:rPr>
          <w:rFonts w:hint="eastAsia" w:ascii="宋体" w:hAnsi="宋体"/>
          <w:b/>
          <w:bCs/>
          <w:color w:val="auto"/>
          <w:sz w:val="32"/>
          <w:szCs w:val="32"/>
          <w:highlight w:val="none"/>
          <w:u w:val="single"/>
        </w:rPr>
        <w:t>　　</w:t>
      </w:r>
      <w:r>
        <w:rPr>
          <w:rFonts w:hint="eastAsia" w:ascii="宋体" w:hAnsi="宋体"/>
          <w:b/>
          <w:bCs/>
          <w:color w:val="auto"/>
          <w:sz w:val="32"/>
          <w:szCs w:val="32"/>
          <w:highlight w:val="none"/>
        </w:rPr>
        <w:t>标段</w:t>
      </w:r>
    </w:p>
    <w:p>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pPr>
        <w:spacing w:line="800" w:lineRule="exact"/>
        <w:ind w:firstLine="2249" w:firstLineChars="700"/>
        <w:rPr>
          <w:rFonts w:ascii="宋体" w:hAnsi="宋体"/>
          <w:b/>
          <w:bCs/>
          <w:color w:val="auto"/>
          <w:sz w:val="32"/>
          <w:szCs w:val="32"/>
          <w:highlight w:val="none"/>
          <w:u w:val="single"/>
        </w:rPr>
      </w:pPr>
    </w:p>
    <w:p>
      <w:pPr>
        <w:spacing w:line="800" w:lineRule="exac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pPr>
        <w:rPr>
          <w:rFonts w:ascii="宋体" w:hAnsi="宋体"/>
          <w:color w:val="auto"/>
          <w:highlight w:val="none"/>
        </w:rPr>
      </w:pPr>
    </w:p>
    <w:p>
      <w:pPr>
        <w:jc w:val="center"/>
        <w:rPr>
          <w:rFonts w:ascii="宋体" w:hAnsi="宋体"/>
          <w:color w:val="auto"/>
          <w:sz w:val="44"/>
          <w:szCs w:val="44"/>
          <w:highlight w:val="none"/>
        </w:rPr>
      </w:pPr>
      <w:bookmarkStart w:id="705" w:name="_Toc338840253"/>
      <w:bookmarkStart w:id="706" w:name="_Toc346523422"/>
      <w:bookmarkStart w:id="707" w:name="_Toc338840462"/>
      <w:bookmarkStart w:id="708" w:name="_Toc338840501"/>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05"/>
      <w:bookmarkEnd w:id="706"/>
      <w:bookmarkEnd w:id="707"/>
      <w:bookmarkEnd w:id="708"/>
    </w:p>
    <w:p>
      <w:pPr>
        <w:rPr>
          <w:rFonts w:ascii="宋体" w:hAnsi="宋体"/>
          <w:color w:val="auto"/>
          <w:highlight w:val="none"/>
        </w:rPr>
      </w:pP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技术及商务偏差表</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业绩合同</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企业实力</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管理制度</w:t>
      </w:r>
    </w:p>
    <w:p>
      <w:pPr>
        <w:numPr>
          <w:ilvl w:val="0"/>
          <w:numId w:val="11"/>
        </w:numPr>
        <w:rPr>
          <w:rFonts w:hint="eastAsia" w:ascii="宋体" w:hAnsi="宋体" w:cs="宋体"/>
          <w:color w:val="auto"/>
          <w:sz w:val="32"/>
          <w:szCs w:val="32"/>
          <w:highlight w:val="none"/>
        </w:rPr>
      </w:pPr>
      <w:r>
        <w:rPr>
          <w:rFonts w:hint="eastAsia" w:ascii="宋体" w:hAnsi="宋体" w:cs="宋体"/>
          <w:color w:val="auto"/>
          <w:sz w:val="32"/>
          <w:szCs w:val="32"/>
          <w:highlight w:val="none"/>
        </w:rPr>
        <w:t>服务实施方案</w:t>
      </w:r>
    </w:p>
    <w:p>
      <w:pPr>
        <w:numPr>
          <w:ilvl w:val="0"/>
          <w:numId w:val="11"/>
        </w:numPr>
        <w:rPr>
          <w:rFonts w:hint="eastAsia" w:ascii="宋体" w:hAnsi="宋体" w:cs="宋体"/>
          <w:color w:val="auto"/>
          <w:sz w:val="32"/>
          <w:szCs w:val="32"/>
          <w:highlight w:val="none"/>
        </w:rPr>
      </w:pPr>
      <w:r>
        <w:rPr>
          <w:rFonts w:hint="eastAsia" w:ascii="宋体" w:hAnsi="宋体" w:cs="宋体"/>
          <w:color w:val="auto"/>
          <w:sz w:val="32"/>
          <w:szCs w:val="32"/>
          <w:highlight w:val="none"/>
        </w:rPr>
        <w:t>技术力量</w:t>
      </w:r>
    </w:p>
    <w:p>
      <w:pPr>
        <w:numPr>
          <w:ilvl w:val="0"/>
          <w:numId w:val="11"/>
        </w:numPr>
        <w:rPr>
          <w:rFonts w:hint="eastAsia" w:ascii="宋体" w:hAnsi="宋体" w:cs="宋体"/>
          <w:color w:val="auto"/>
          <w:sz w:val="32"/>
          <w:szCs w:val="32"/>
          <w:highlight w:val="none"/>
        </w:rPr>
      </w:pPr>
      <w:r>
        <w:rPr>
          <w:rFonts w:hint="eastAsia" w:ascii="宋体" w:hAnsi="宋体" w:cs="宋体"/>
          <w:color w:val="auto"/>
          <w:sz w:val="32"/>
          <w:szCs w:val="32"/>
          <w:highlight w:val="none"/>
        </w:rPr>
        <w:t>管理措施</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应急预案</w:t>
      </w:r>
    </w:p>
    <w:p>
      <w:pPr>
        <w:numPr>
          <w:ilvl w:val="0"/>
          <w:numId w:val="11"/>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pPr>
        <w:rPr>
          <w:rFonts w:ascii="宋体" w:hAnsi="宋体"/>
          <w:color w:val="auto"/>
          <w:sz w:val="32"/>
          <w:szCs w:val="32"/>
          <w:highlight w:val="none"/>
        </w:rPr>
      </w:pPr>
    </w:p>
    <w:p>
      <w:pPr>
        <w:topLinePunct/>
        <w:spacing w:line="440" w:lineRule="exact"/>
        <w:jc w:val="center"/>
        <w:rPr>
          <w:rFonts w:ascii="宋体" w:hAnsi="宋体" w:cs="仿宋_GB2312"/>
          <w:b/>
          <w:bCs/>
          <w:color w:val="auto"/>
          <w:sz w:val="44"/>
          <w:szCs w:val="44"/>
          <w:highlight w:val="none"/>
        </w:rPr>
      </w:pPr>
      <w:r>
        <w:rPr>
          <w:rFonts w:ascii="宋体" w:hAnsi="宋体"/>
          <w:color w:val="auto"/>
          <w:kern w:val="44"/>
          <w:sz w:val="44"/>
          <w:szCs w:val="44"/>
          <w:highlight w:val="none"/>
        </w:rPr>
        <w:br w:type="page"/>
      </w:r>
      <w:bookmarkStart w:id="709" w:name="_Toc338840254"/>
      <w:bookmarkStart w:id="710" w:name="_Toc338840502"/>
      <w:bookmarkStart w:id="711" w:name="_Toc338840463"/>
      <w:r>
        <w:rPr>
          <w:rFonts w:hint="eastAsia" w:ascii="宋体" w:hAnsi="宋体" w:cs="仿宋_GB2312"/>
          <w:b/>
          <w:bCs/>
          <w:color w:val="auto"/>
          <w:sz w:val="44"/>
          <w:szCs w:val="44"/>
          <w:highlight w:val="none"/>
        </w:rPr>
        <w:t>一　　投 标 函</w:t>
      </w:r>
      <w:bookmarkEnd w:id="709"/>
      <w:bookmarkEnd w:id="710"/>
      <w:bookmarkEnd w:id="711"/>
    </w:p>
    <w:p>
      <w:pPr>
        <w:topLinePunct/>
        <w:spacing w:line="440" w:lineRule="exact"/>
        <w:rPr>
          <w:rFonts w:ascii="宋体" w:hAnsi="宋体" w:cs="仿宋_GB2312"/>
          <w:color w:val="auto"/>
          <w:sz w:val="32"/>
          <w:szCs w:val="32"/>
          <w:highlight w:val="none"/>
        </w:rPr>
      </w:pPr>
    </w:p>
    <w:p>
      <w:pPr>
        <w:topLinePunct/>
        <w:rPr>
          <w:rFonts w:ascii="宋体" w:hAnsi="宋体" w:cs="宋体"/>
          <w:color w:val="auto"/>
          <w:sz w:val="32"/>
          <w:szCs w:val="32"/>
          <w:highlight w:val="none"/>
        </w:rPr>
      </w:pPr>
      <w:bookmarkStart w:id="712" w:name="_Toc288115062"/>
      <w:bookmarkStart w:id="713" w:name="_Toc288115087"/>
      <w:r>
        <w:rPr>
          <w:rFonts w:hint="eastAsia" w:ascii="宋体" w:hAnsi="宋体" w:cs="宋体"/>
          <w:color w:val="auto"/>
          <w:sz w:val="32"/>
          <w:szCs w:val="32"/>
          <w:highlight w:val="none"/>
        </w:rPr>
        <w:t>致：开封市政府采购中心</w:t>
      </w:r>
    </w:p>
    <w:p>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我方已仔细研究了</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）第</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标段招标文件的全部内容，愿按照招标文件中的条款和要求提供招标产品和服务，并承诺以下内容：</w:t>
      </w:r>
    </w:p>
    <w:p>
      <w:pPr>
        <w:numPr>
          <w:ilvl w:val="0"/>
          <w:numId w:val="12"/>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pPr>
        <w:numPr>
          <w:ilvl w:val="0"/>
          <w:numId w:val="12"/>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合同履行期限：</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pPr>
        <w:numPr>
          <w:ilvl w:val="0"/>
          <w:numId w:val="12"/>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pPr>
        <w:numPr>
          <w:ilvl w:val="0"/>
          <w:numId w:val="12"/>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pPr>
        <w:numPr>
          <w:ilvl w:val="0"/>
          <w:numId w:val="12"/>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pPr>
        <w:numPr>
          <w:ilvl w:val="0"/>
          <w:numId w:val="12"/>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我方的澄清、说明、补充或</w:t>
      </w:r>
      <w:r>
        <w:rPr>
          <w:rFonts w:hint="eastAsia" w:ascii="宋体" w:hAnsi="宋体" w:cs="仿宋_GB2312"/>
          <w:color w:val="auto"/>
          <w:sz w:val="32"/>
          <w:szCs w:val="32"/>
          <w:highlight w:val="none"/>
        </w:rPr>
        <w:t>变更内容为投标文件有效组成部分。投标文件正文内容与本函不一致的，以本函为准。</w:t>
      </w:r>
    </w:p>
    <w:p>
      <w:pPr>
        <w:numPr>
          <w:ilvl w:val="0"/>
          <w:numId w:val="12"/>
        </w:numPr>
        <w:topLinePunct/>
        <w:ind w:firstLine="419" w:firstLineChars="131"/>
        <w:rPr>
          <w:rFonts w:ascii="宋体" w:hAnsi="宋体" w:cs="仿宋_GB2312"/>
          <w:color w:val="auto"/>
          <w:sz w:val="32"/>
          <w:szCs w:val="32"/>
          <w:highlight w:val="none"/>
        </w:rPr>
      </w:pPr>
      <w:r>
        <w:rPr>
          <w:rFonts w:hint="eastAsia" w:ascii="宋体" w:hAnsi="宋体" w:cs="仿宋_GB2312"/>
          <w:color w:val="auto"/>
          <w:sz w:val="32"/>
          <w:szCs w:val="32"/>
          <w:highlight w:val="none"/>
        </w:rPr>
        <w:t>如对招标文件有不明确及误解，且没有在规定时间前按要求向贵方提出，在开标时间以后我方不再有对招标文件提出质疑的权利，并自行承担由此造成的全部责任及后果。</w:t>
      </w:r>
    </w:p>
    <w:p>
      <w:pPr>
        <w:numPr>
          <w:ilvl w:val="0"/>
          <w:numId w:val="12"/>
        </w:numPr>
        <w:topLinePunct/>
        <w:ind w:firstLine="419" w:firstLineChars="131"/>
        <w:rPr>
          <w:rFonts w:ascii="宋体" w:hAnsi="宋体" w:cs="仿宋_GB2312"/>
          <w:color w:val="auto"/>
          <w:sz w:val="32"/>
          <w:szCs w:val="32"/>
          <w:highlight w:val="none"/>
        </w:rPr>
      </w:pPr>
      <w:r>
        <w:rPr>
          <w:rFonts w:hint="eastAsia" w:ascii="宋体" w:hAnsi="宋体" w:cs="仿宋_GB2312"/>
          <w:color w:val="auto"/>
          <w:sz w:val="32"/>
          <w:szCs w:val="32"/>
          <w:highlight w:val="none"/>
        </w:rPr>
        <w:t>我方在此声明，所递交的投标文件及有关资料真实准确，如发现提供虚假材料、串通投标、恶意质疑投诉和其他违法违规行为，在一年内不得在开封公共资源交易平台参加投标，若为中标人时中标无效，并承担相关责任和损失。</w:t>
      </w:r>
    </w:p>
    <w:p>
      <w:pPr>
        <w:numPr>
          <w:ilvl w:val="0"/>
          <w:numId w:val="12"/>
        </w:numPr>
        <w:topLinePunct/>
        <w:ind w:firstLine="419" w:firstLineChars="131"/>
        <w:rPr>
          <w:rFonts w:ascii="宋体" w:hAnsi="宋体" w:cs="宋体"/>
          <w:color w:val="auto"/>
          <w:sz w:val="32"/>
          <w:szCs w:val="32"/>
          <w:highlight w:val="none"/>
        </w:rPr>
      </w:pPr>
      <w:r>
        <w:rPr>
          <w:rFonts w:ascii="宋体" w:hAnsi="宋体" w:cs="宋体"/>
          <w:color w:val="auto"/>
          <w:sz w:val="32"/>
          <w:szCs w:val="32"/>
          <w:highlight w:val="none"/>
        </w:rPr>
        <w:t>……</w:t>
      </w:r>
    </w:p>
    <w:p>
      <w:pPr>
        <w:topLinePunct/>
        <w:ind w:firstLine="640" w:firstLineChars="200"/>
        <w:rPr>
          <w:rFonts w:ascii="宋体" w:hAnsi="宋体" w:cs="宋体"/>
          <w:color w:val="auto"/>
          <w:sz w:val="32"/>
          <w:szCs w:val="32"/>
          <w:highlight w:val="none"/>
        </w:rPr>
      </w:pPr>
    </w:p>
    <w:p>
      <w:pPr>
        <w:topLinePunct/>
        <w:rPr>
          <w:rFonts w:ascii="宋体" w:hAnsi="宋体" w:cs="宋体"/>
          <w:color w:val="auto"/>
          <w:sz w:val="32"/>
          <w:szCs w:val="32"/>
          <w:highlight w:val="none"/>
        </w:rPr>
      </w:pPr>
    </w:p>
    <w:p>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pPr>
        <w:rPr>
          <w:rFonts w:ascii="宋体" w:hAnsi="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bookmarkStart w:id="714" w:name="_Toc338840504"/>
      <w:bookmarkStart w:id="715" w:name="_Toc338840465"/>
      <w:bookmarkStart w:id="716" w:name="_Toc338840256"/>
      <w:r>
        <w:rPr>
          <w:rFonts w:hint="eastAsia" w:ascii="宋体" w:hAnsi="宋体"/>
          <w:color w:val="auto"/>
          <w:sz w:val="44"/>
          <w:szCs w:val="44"/>
          <w:highlight w:val="none"/>
        </w:rPr>
        <w:t xml:space="preserve">  </w:t>
      </w:r>
      <w:r>
        <w:rPr>
          <w:rFonts w:hint="eastAsia" w:ascii="宋体" w:hAnsi="宋体"/>
          <w:b/>
          <w:color w:val="auto"/>
          <w:kern w:val="44"/>
          <w:sz w:val="44"/>
          <w:szCs w:val="44"/>
          <w:highlight w:val="none"/>
        </w:rPr>
        <w:t>二　法定代表人（负责人）资格证明</w:t>
      </w:r>
      <w:bookmarkEnd w:id="714"/>
      <w:bookmarkEnd w:id="715"/>
      <w:bookmarkEnd w:id="716"/>
    </w:p>
    <w:p>
      <w:pPr>
        <w:jc w:val="center"/>
        <w:rPr>
          <w:rFonts w:ascii="宋体" w:hAns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法定代表人投标时提供</w:t>
      </w:r>
      <w:r>
        <w:rPr>
          <w:rFonts w:ascii="宋体" w:hAnsi="宋体"/>
          <w:color w:val="auto"/>
          <w:kern w:val="0"/>
          <w:szCs w:val="21"/>
          <w:highlight w:val="none"/>
        </w:rPr>
        <w:t>）</w:t>
      </w:r>
    </w:p>
    <w:p>
      <w:pPr>
        <w:jc w:val="center"/>
        <w:rPr>
          <w:rFonts w:ascii="宋体" w:hAnsi="宋体"/>
          <w:bCs/>
          <w:color w:val="auto"/>
          <w:sz w:val="32"/>
          <w:szCs w:val="32"/>
          <w:highlight w:val="none"/>
        </w:rPr>
      </w:pPr>
    </w:p>
    <w:p>
      <w:pPr>
        <w:ind w:firstLine="640" w:firstLineChars="200"/>
        <w:rPr>
          <w:rFonts w:ascii="宋体" w:hAnsi="宋体"/>
          <w:color w:val="auto"/>
          <w:sz w:val="32"/>
          <w:szCs w:val="32"/>
          <w:highlight w:val="none"/>
          <w:u w:val="single"/>
        </w:rPr>
      </w:pPr>
      <w:bookmarkStart w:id="717" w:name="_Toc288114460"/>
      <w:r>
        <w:rPr>
          <w:rFonts w:hint="eastAsia" w:ascii="宋体" w:hAnsi="宋体"/>
          <w:color w:val="auto"/>
          <w:sz w:val="32"/>
          <w:szCs w:val="32"/>
          <w:highlight w:val="none"/>
        </w:rPr>
        <w:t>供应商名称：</w:t>
      </w:r>
      <w:bookmarkEnd w:id="717"/>
      <w:r>
        <w:rPr>
          <w:rFonts w:hint="eastAsia"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单位性质：</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地址：</w:t>
      </w:r>
      <w:r>
        <w:rPr>
          <w:rFonts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成立时间：</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年</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月</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日</w:t>
      </w:r>
    </w:p>
    <w:p>
      <w:pPr>
        <w:ind w:firstLine="640" w:firstLineChars="200"/>
        <w:rPr>
          <w:rFonts w:ascii="宋体" w:hAnsi="宋体"/>
          <w:color w:val="auto"/>
          <w:sz w:val="32"/>
          <w:szCs w:val="32"/>
          <w:highlight w:val="none"/>
        </w:rPr>
      </w:pPr>
      <w:r>
        <w:rPr>
          <w:rFonts w:ascii="宋体" w:hAnsi="宋体"/>
          <w:color w:val="auto"/>
          <w:sz w:val="32"/>
          <w:szCs w:val="32"/>
          <w:highlight w:val="none"/>
        </w:rPr>
        <w:t>经营期限：</w:t>
      </w:r>
      <w:r>
        <w:rPr>
          <w:rFonts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bookmarkStart w:id="718" w:name="_Toc288114465"/>
      <w:r>
        <w:rPr>
          <w:rFonts w:hint="eastAsia" w:ascii="宋体" w:hAnsi="宋体"/>
          <w:color w:val="auto"/>
          <w:sz w:val="32"/>
          <w:szCs w:val="32"/>
          <w:highlight w:val="none"/>
        </w:rPr>
        <w:t>姓名：</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性别：</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年龄：</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职务：</w:t>
      </w:r>
      <w:bookmarkEnd w:id="718"/>
      <w:r>
        <w:rPr>
          <w:rFonts w:hint="eastAsia" w:ascii="宋体" w:hAnsi="宋体"/>
          <w:color w:val="auto"/>
          <w:sz w:val="32"/>
          <w:szCs w:val="32"/>
          <w:highlight w:val="none"/>
          <w:u w:val="single"/>
        </w:rPr>
        <w:t xml:space="preserve">      </w:t>
      </w:r>
      <w:bookmarkStart w:id="719" w:name="_Toc288114466"/>
      <w:r>
        <w:rPr>
          <w:rFonts w:hint="eastAsia" w:ascii="宋体" w:hAnsi="宋体"/>
          <w:color w:val="auto"/>
          <w:sz w:val="32"/>
          <w:szCs w:val="32"/>
          <w:highlight w:val="none"/>
        </w:rPr>
        <w:t>（身份证号：</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（投标单位名称）的法定代表人（单位负责人）。</w:t>
      </w:r>
      <w:bookmarkEnd w:id="719"/>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 xml:space="preserve">    </w:t>
      </w:r>
      <w:bookmarkStart w:id="720" w:name="_Toc288114467"/>
      <w:r>
        <w:rPr>
          <w:rFonts w:hint="eastAsia" w:ascii="宋体" w:hAnsi="宋体"/>
          <w:color w:val="auto"/>
          <w:sz w:val="32"/>
          <w:szCs w:val="32"/>
          <w:highlight w:val="none"/>
        </w:rPr>
        <w:t>特此证明。</w:t>
      </w:r>
      <w:bookmarkEnd w:id="720"/>
    </w:p>
    <w:p>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pPr>
        <w:rPr>
          <w:rFonts w:ascii="宋体" w:hAnsi="宋体"/>
          <w:color w:val="auto"/>
          <w:sz w:val="32"/>
          <w:szCs w:val="32"/>
          <w:highlight w:val="none"/>
        </w:rPr>
      </w:pPr>
    </w:p>
    <w:p>
      <w:pPr>
        <w:rPr>
          <w:rFonts w:ascii="宋体" w:hAnsi="宋体"/>
          <w:color w:val="auto"/>
          <w:sz w:val="32"/>
          <w:szCs w:val="32"/>
          <w:highlight w:val="none"/>
        </w:rPr>
      </w:pPr>
    </w:p>
    <w:p>
      <w:pPr>
        <w:rPr>
          <w:rFonts w:ascii="宋体" w:hAnsi="宋体"/>
          <w:color w:val="auto"/>
          <w:sz w:val="32"/>
          <w:szCs w:val="32"/>
          <w:highlight w:val="none"/>
        </w:rPr>
      </w:pPr>
    </w:p>
    <w:p>
      <w:pPr>
        <w:rPr>
          <w:rFonts w:ascii="宋体" w:hAnsi="宋体"/>
          <w:color w:val="auto"/>
          <w:sz w:val="32"/>
          <w:szCs w:val="32"/>
          <w:highlight w:val="none"/>
        </w:rPr>
      </w:pPr>
    </w:p>
    <w:p>
      <w:pPr>
        <w:autoSpaceDE w:val="0"/>
        <w:autoSpaceDN w:val="0"/>
        <w:adjustRightInd w:val="0"/>
        <w:jc w:val="left"/>
        <w:rPr>
          <w:rFonts w:ascii="宋体" w:hAnsi="宋体" w:cs="宋体"/>
          <w:color w:val="auto"/>
          <w:kern w:val="0"/>
          <w:sz w:val="24"/>
          <w:highlight w:val="none"/>
        </w:rPr>
      </w:pPr>
    </w:p>
    <w:p>
      <w:pPr>
        <w:rPr>
          <w:rFonts w:ascii="宋体" w:hAnsi="宋体"/>
          <w:color w:val="auto"/>
          <w:sz w:val="32"/>
          <w:szCs w:val="32"/>
          <w:highlight w:val="none"/>
        </w:rPr>
      </w:pPr>
      <w:r>
        <w:rPr>
          <w:rFonts w:hint="eastAsia" w:ascii="宋体" w:hAnsi="宋体"/>
          <w:color w:val="auto"/>
          <w:sz w:val="32"/>
          <w:szCs w:val="32"/>
          <w:highlight w:val="none"/>
        </w:rPr>
        <w:t xml:space="preserve">    </w:t>
      </w:r>
      <w:bookmarkStart w:id="721" w:name="_Toc288114468"/>
      <w:r>
        <w:rPr>
          <w:rFonts w:hint="eastAsia" w:ascii="宋体" w:hAnsi="宋体"/>
          <w:color w:val="auto"/>
          <w:sz w:val="32"/>
          <w:szCs w:val="32"/>
          <w:highlight w:val="none"/>
        </w:rPr>
        <w:t xml:space="preserve">          投标单位（盖单位章）：</w:t>
      </w:r>
      <w:r>
        <w:rPr>
          <w:rFonts w:hint="eastAsia" w:ascii="宋体" w:hAnsi="宋体"/>
          <w:color w:val="auto"/>
          <w:sz w:val="32"/>
          <w:szCs w:val="32"/>
          <w:highlight w:val="none"/>
          <w:u w:val="single"/>
        </w:rPr>
        <w:t xml:space="preserve">           </w:t>
      </w:r>
      <w:bookmarkEnd w:id="721"/>
      <w:r>
        <w:rPr>
          <w:rFonts w:hint="eastAsia" w:ascii="宋体" w:hAnsi="宋体"/>
          <w:color w:val="auto"/>
          <w:sz w:val="32"/>
          <w:szCs w:val="32"/>
          <w:highlight w:val="none"/>
        </w:rPr>
        <w:t xml:space="preserve">    </w:t>
      </w:r>
    </w:p>
    <w:p>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22"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22"/>
      <w:bookmarkStart w:id="723" w:name="_Toc289241541"/>
      <w:bookmarkStart w:id="724" w:name="_Toc289182822"/>
      <w:bookmarkStart w:id="725" w:name="_Toc289238793"/>
      <w:bookmarkStart w:id="726" w:name="_Toc289241364"/>
      <w:bookmarkStart w:id="727" w:name="_Toc288748133"/>
      <w:bookmarkStart w:id="728" w:name="_Toc338840505"/>
      <w:bookmarkStart w:id="729" w:name="_Toc338840466"/>
      <w:bookmarkStart w:id="730" w:name="_Toc289096748"/>
      <w:bookmarkStart w:id="731" w:name="_Toc338840257"/>
      <w:bookmarkStart w:id="732" w:name="_Toc289182444"/>
    </w:p>
    <w:p>
      <w:pPr>
        <w:jc w:val="center"/>
        <w:rPr>
          <w:rFonts w:ascii="宋体" w:hAnsi="宋体"/>
          <w:color w:val="auto"/>
          <w:sz w:val="32"/>
          <w:szCs w:val="32"/>
          <w:highlight w:val="none"/>
        </w:rPr>
      </w:pPr>
      <w:r>
        <w:rPr>
          <w:rFonts w:ascii="宋体" w:hAnsi="宋体"/>
          <w:color w:val="auto"/>
          <w:sz w:val="32"/>
          <w:szCs w:val="32"/>
          <w:highlight w:val="none"/>
        </w:rPr>
        <w:br w:type="page"/>
      </w:r>
      <w:r>
        <w:rPr>
          <w:rFonts w:hint="eastAsia" w:ascii="宋体" w:hAnsi="宋体"/>
          <w:b/>
          <w:bCs/>
          <w:color w:val="auto"/>
          <w:kern w:val="44"/>
          <w:sz w:val="44"/>
          <w:szCs w:val="44"/>
          <w:highlight w:val="none"/>
        </w:rPr>
        <w:t>二　授权委托书</w:t>
      </w:r>
      <w:bookmarkEnd w:id="723"/>
      <w:bookmarkEnd w:id="724"/>
      <w:bookmarkEnd w:id="725"/>
      <w:bookmarkEnd w:id="726"/>
      <w:bookmarkEnd w:id="727"/>
      <w:bookmarkEnd w:id="728"/>
      <w:bookmarkEnd w:id="729"/>
      <w:bookmarkEnd w:id="730"/>
      <w:bookmarkEnd w:id="731"/>
      <w:bookmarkEnd w:id="732"/>
    </w:p>
    <w:p>
      <w:pPr>
        <w:topLinePunct/>
        <w:spacing w:line="440" w:lineRule="exact"/>
        <w:jc w:val="center"/>
        <w:rPr>
          <w:rFonts w:ascii="宋体" w:hAnsi="宋体"/>
          <w:color w:val="auto"/>
          <w:sz w:val="32"/>
          <w:szCs w:val="32"/>
          <w:highlight w:val="none"/>
        </w:rPr>
      </w:pPr>
      <w:r>
        <w:rPr>
          <w:rFonts w:ascii="宋体" w:hAnsi="宋体"/>
          <w:color w:val="auto"/>
          <w:kern w:val="0"/>
          <w:szCs w:val="21"/>
          <w:highlight w:val="none"/>
        </w:rPr>
        <w:t>（</w:t>
      </w:r>
      <w:r>
        <w:rPr>
          <w:rFonts w:hint="eastAsia" w:ascii="宋体" w:hAnsi="宋体"/>
          <w:color w:val="auto"/>
          <w:kern w:val="0"/>
          <w:szCs w:val="21"/>
          <w:highlight w:val="none"/>
        </w:rPr>
        <w:t>法定代表人委托其他人员投标时提供</w:t>
      </w:r>
      <w:r>
        <w:rPr>
          <w:rFonts w:ascii="宋体" w:hAnsi="宋体"/>
          <w:color w:val="auto"/>
          <w:kern w:val="0"/>
          <w:szCs w:val="21"/>
          <w:highlight w:val="none"/>
        </w:rPr>
        <w:t>）</w:t>
      </w:r>
    </w:p>
    <w:p>
      <w:pPr>
        <w:topLinePunct/>
        <w:spacing w:line="440" w:lineRule="exact"/>
        <w:rPr>
          <w:rFonts w:ascii="宋体" w:hAnsi="宋体"/>
          <w:color w:val="auto"/>
          <w:sz w:val="32"/>
          <w:szCs w:val="32"/>
          <w:highlight w:val="none"/>
        </w:rPr>
      </w:pPr>
    </w:p>
    <w:p>
      <w:pPr>
        <w:spacing w:line="600" w:lineRule="exact"/>
        <w:ind w:firstLine="525"/>
        <w:jc w:val="left"/>
        <w:rPr>
          <w:rFonts w:ascii="宋体" w:hAnsi="宋体"/>
          <w:color w:val="auto"/>
          <w:sz w:val="32"/>
          <w:szCs w:val="32"/>
          <w:highlight w:val="none"/>
        </w:rPr>
      </w:pPr>
      <w:bookmarkStart w:id="733" w:name="_Toc338840506"/>
      <w:bookmarkStart w:id="734" w:name="_Toc338840467"/>
      <w:bookmarkStart w:id="735" w:name="_Toc338840258"/>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（投标单位名称）的法定代表人（负责人）。现委托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（姓名）作为我方代理人。代理人根据授权，以我方名义签署、澄清、说明、补正、递交、撤回、修改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标段投标文件、签订合同和处理有关事宜，其法律后果由我方承担。</w:t>
      </w:r>
    </w:p>
    <w:p>
      <w:pPr>
        <w:spacing w:line="600" w:lineRule="exact"/>
        <w:ind w:firstLine="525"/>
        <w:jc w:val="left"/>
        <w:rPr>
          <w:rFonts w:ascii="宋体" w:hAnsi="宋体"/>
          <w:color w:val="auto"/>
          <w:sz w:val="32"/>
          <w:szCs w:val="32"/>
          <w:highlight w:val="none"/>
        </w:rPr>
      </w:pPr>
      <w:r>
        <w:rPr>
          <w:rFonts w:hint="eastAsia" w:ascii="宋体" w:hAnsi="宋体"/>
          <w:color w:val="auto"/>
          <w:sz w:val="32"/>
          <w:szCs w:val="32"/>
          <w:highlight w:val="none"/>
        </w:rPr>
        <w:t>委托期限：</w:t>
      </w:r>
      <w:r>
        <w:rPr>
          <w:rFonts w:hint="eastAsia" w:ascii="宋体" w:hAnsi="宋体"/>
          <w:color w:val="auto"/>
          <w:sz w:val="32"/>
          <w:szCs w:val="32"/>
          <w:highlight w:val="none"/>
          <w:u w:val="single"/>
        </w:rPr>
        <w:t>　　　　　　　</w:t>
      </w:r>
      <w:r>
        <w:rPr>
          <w:rFonts w:hint="eastAsia" w:ascii="宋体" w:hAnsi="宋体"/>
          <w:color w:val="auto"/>
          <w:sz w:val="32"/>
          <w:szCs w:val="32"/>
          <w:highlight w:val="none"/>
        </w:rPr>
        <w:t>。</w:t>
      </w:r>
    </w:p>
    <w:p>
      <w:pPr>
        <w:spacing w:line="600" w:lineRule="exact"/>
        <w:ind w:firstLine="525"/>
        <w:jc w:val="left"/>
        <w:rPr>
          <w:rFonts w:ascii="宋体" w:hAnsi="宋体"/>
          <w:color w:val="auto"/>
          <w:sz w:val="32"/>
          <w:szCs w:val="32"/>
          <w:highlight w:val="none"/>
        </w:rPr>
      </w:pPr>
      <w:r>
        <w:rPr>
          <w:rFonts w:hint="eastAsia" w:ascii="宋体" w:hAnsi="宋体"/>
          <w:color w:val="auto"/>
          <w:sz w:val="32"/>
          <w:szCs w:val="32"/>
          <w:highlight w:val="none"/>
        </w:rPr>
        <w:t>代理人无转委托权。</w:t>
      </w:r>
    </w:p>
    <w:p>
      <w:pPr>
        <w:spacing w:line="600" w:lineRule="exact"/>
        <w:ind w:firstLine="525"/>
        <w:jc w:val="left"/>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pPr>
        <w:spacing w:line="600" w:lineRule="exact"/>
        <w:ind w:firstLine="525"/>
        <w:jc w:val="left"/>
        <w:rPr>
          <w:rFonts w:ascii="宋体" w:hAnsi="宋体"/>
          <w:color w:val="auto"/>
          <w:sz w:val="32"/>
          <w:szCs w:val="32"/>
          <w:highlight w:val="none"/>
        </w:rPr>
      </w:pPr>
    </w:p>
    <w:p>
      <w:pPr>
        <w:spacing w:line="600" w:lineRule="exact"/>
        <w:jc w:val="left"/>
        <w:rPr>
          <w:rFonts w:ascii="宋体" w:hAnsi="宋体"/>
          <w:color w:val="auto"/>
          <w:sz w:val="32"/>
          <w:szCs w:val="32"/>
          <w:highlight w:val="none"/>
        </w:rPr>
      </w:pPr>
    </w:p>
    <w:p>
      <w:pPr>
        <w:spacing w:line="600" w:lineRule="exact"/>
        <w:ind w:firstLine="525"/>
        <w:jc w:val="left"/>
        <w:rPr>
          <w:rFonts w:ascii="宋体" w:hAnsi="宋体"/>
          <w:color w:val="auto"/>
          <w:sz w:val="32"/>
          <w:szCs w:val="32"/>
          <w:highlight w:val="none"/>
        </w:rPr>
      </w:pPr>
    </w:p>
    <w:p>
      <w:pPr>
        <w:spacing w:line="600" w:lineRule="exact"/>
        <w:ind w:firstLine="1324" w:firstLineChars="414"/>
        <w:jc w:val="left"/>
        <w:rPr>
          <w:rFonts w:ascii="宋体" w:hAnsi="宋体"/>
          <w:color w:val="auto"/>
          <w:sz w:val="32"/>
          <w:szCs w:val="32"/>
          <w:highlight w:val="none"/>
          <w:u w:val="single"/>
        </w:rPr>
      </w:pPr>
      <w:r>
        <w:rPr>
          <w:rFonts w:hint="eastAsia" w:ascii="宋体" w:hAnsi="宋体"/>
          <w:color w:val="auto"/>
          <w:sz w:val="32"/>
          <w:szCs w:val="32"/>
          <w:highlight w:val="none"/>
        </w:rPr>
        <w:t>供应商（盖单位章）：</w:t>
      </w:r>
      <w:r>
        <w:rPr>
          <w:rFonts w:hint="eastAsia" w:ascii="宋体" w:hAnsi="宋体"/>
          <w:color w:val="auto"/>
          <w:sz w:val="32"/>
          <w:szCs w:val="32"/>
          <w:highlight w:val="none"/>
          <w:u w:val="single"/>
        </w:rPr>
        <w:t>　　    　　　   　　　</w:t>
      </w:r>
    </w:p>
    <w:p>
      <w:pPr>
        <w:spacing w:line="600" w:lineRule="exact"/>
        <w:ind w:firstLine="1324" w:firstLineChars="414"/>
        <w:jc w:val="left"/>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pPr>
        <w:spacing w:line="600" w:lineRule="exact"/>
        <w:ind w:firstLine="525"/>
        <w:jc w:val="left"/>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pPr>
        <w:spacing w:line="600" w:lineRule="exact"/>
        <w:ind w:firstLine="5324" w:firstLineChars="1664"/>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12"/>
      <w:bookmarkEnd w:id="713"/>
      <w:bookmarkEnd w:id="733"/>
      <w:bookmarkEnd w:id="734"/>
      <w:bookmarkEnd w:id="735"/>
      <w:bookmarkStart w:id="736" w:name="_Toc338840509"/>
      <w:bookmarkStart w:id="737" w:name="_Toc338840261"/>
      <w:bookmarkStart w:id="738" w:name="_Toc289096742"/>
      <w:bookmarkStart w:id="739" w:name="_Toc289182438"/>
      <w:bookmarkStart w:id="740" w:name="_Toc289241358"/>
      <w:bookmarkStart w:id="741" w:name="_Toc338840470"/>
      <w:bookmarkStart w:id="742" w:name="_Toc289182816"/>
      <w:bookmarkStart w:id="743" w:name="_Toc289241535"/>
      <w:bookmarkStart w:id="744" w:name="_Toc288748127"/>
      <w:bookmarkStart w:id="745" w:name="_Toc289238787"/>
      <w:r>
        <w:rPr>
          <w:rFonts w:hint="eastAsia" w:ascii="宋体" w:hAnsi="宋体" w:cs="宋体"/>
          <w:b/>
          <w:color w:val="auto"/>
          <w:kern w:val="44"/>
          <w:sz w:val="44"/>
          <w:szCs w:val="44"/>
          <w:highlight w:val="none"/>
        </w:rPr>
        <w:t>供应商基本情况和资格证明材料</w:t>
      </w:r>
    </w:p>
    <w:p>
      <w:pPr>
        <w:widowControl/>
        <w:spacing w:line="480" w:lineRule="atLeast"/>
        <w:jc w:val="left"/>
        <w:rPr>
          <w:rFonts w:ascii="宋体" w:hAnsi="宋体" w:cs="宋体"/>
          <w:color w:val="auto"/>
          <w:kern w:val="0"/>
          <w:sz w:val="32"/>
          <w:szCs w:val="32"/>
          <w:highlight w:val="none"/>
        </w:rPr>
      </w:pPr>
    </w:p>
    <w:p>
      <w:pPr>
        <w:topLinePunct/>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（一）、供应商基本情况表</w:t>
      </w:r>
    </w:p>
    <w:tbl>
      <w:tblPr>
        <w:tblStyle w:val="3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bl>
    <w:p>
      <w:pPr>
        <w:tabs>
          <w:tab w:val="left" w:pos="8280"/>
        </w:tabs>
        <w:spacing w:line="480" w:lineRule="exact"/>
        <w:ind w:right="6"/>
        <w:rPr>
          <w:rFonts w:ascii="宋体" w:hAnsi="宋体" w:cs="宋体"/>
          <w:b/>
          <w:color w:val="auto"/>
          <w:sz w:val="32"/>
          <w:szCs w:val="32"/>
          <w:highlight w:val="none"/>
        </w:rPr>
      </w:pPr>
    </w:p>
    <w:p>
      <w:pPr>
        <w:numPr>
          <w:ilvl w:val="0"/>
          <w:numId w:val="13"/>
        </w:numPr>
        <w:jc w:val="center"/>
        <w:rPr>
          <w:rFonts w:ascii="宋体" w:hAnsi="宋体" w:cs="宋体"/>
          <w:b/>
          <w:color w:val="auto"/>
          <w:sz w:val="32"/>
          <w:szCs w:val="32"/>
          <w:highlight w:val="none"/>
        </w:rPr>
      </w:pPr>
      <w:r>
        <w:rPr>
          <w:rFonts w:hint="eastAsia" w:ascii="宋体" w:hAnsi="宋体" w:cs="宋体"/>
          <w:b/>
          <w:color w:val="auto"/>
          <w:sz w:val="32"/>
          <w:szCs w:val="32"/>
          <w:highlight w:val="none"/>
        </w:rPr>
        <w:br w:type="page"/>
      </w:r>
      <w:r>
        <w:rPr>
          <w:rFonts w:hint="eastAsia" w:ascii="宋体" w:hAnsi="宋体" w:cs="宋体"/>
          <w:b/>
          <w:color w:val="auto"/>
          <w:sz w:val="32"/>
          <w:szCs w:val="32"/>
          <w:highlight w:val="none"/>
        </w:rPr>
        <w:t>资格证明材料</w:t>
      </w:r>
    </w:p>
    <w:p>
      <w:pPr>
        <w:ind w:left="479" w:leftChars="228" w:firstLine="160" w:firstLineChars="50"/>
        <w:rPr>
          <w:rFonts w:ascii="宋体" w:hAnsi="宋体"/>
          <w:color w:val="auto"/>
          <w:sz w:val="32"/>
          <w:szCs w:val="32"/>
          <w:highlight w:val="none"/>
        </w:rPr>
      </w:pPr>
    </w:p>
    <w:p>
      <w:pPr>
        <w:pStyle w:val="33"/>
        <w:ind w:left="0" w:leftChars="0" w:firstLine="640" w:firstLineChars="200"/>
        <w:rPr>
          <w:color w:val="auto"/>
          <w:highlight w:val="none"/>
        </w:rPr>
      </w:pPr>
      <w:r>
        <w:rPr>
          <w:rFonts w:hint="eastAsia" w:ascii="宋体" w:hAnsi="宋体"/>
          <w:color w:val="auto"/>
          <w:sz w:val="32"/>
          <w:szCs w:val="32"/>
          <w:highlight w:val="none"/>
        </w:rPr>
        <w:t>说明：</w:t>
      </w:r>
    </w:p>
    <w:p>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pPr>
        <w:pStyle w:val="31"/>
        <w:spacing w:line="300" w:lineRule="atLeast"/>
        <w:jc w:val="center"/>
        <w:rPr>
          <w:color w:val="auto"/>
          <w:sz w:val="32"/>
          <w:szCs w:val="32"/>
          <w:highlight w:val="none"/>
        </w:rPr>
      </w:pPr>
      <w:r>
        <w:rPr>
          <w:rFonts w:hint="eastAsia"/>
          <w:color w:val="auto"/>
          <w:sz w:val="32"/>
          <w:szCs w:val="32"/>
          <w:highlight w:val="none"/>
        </w:rPr>
        <w:br w:type="page"/>
      </w:r>
    </w:p>
    <w:p>
      <w:pPr>
        <w:pStyle w:val="31"/>
        <w:spacing w:line="300" w:lineRule="atLeast"/>
        <w:jc w:val="center"/>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pPr>
        <w:pStyle w:val="31"/>
        <w:spacing w:line="300" w:lineRule="atLeast"/>
        <w:ind w:firstLine="642"/>
        <w:rPr>
          <w:rFonts w:cs="Times New Roman"/>
          <w:color w:val="auto"/>
          <w:kern w:val="44"/>
          <w:sz w:val="32"/>
          <w:szCs w:val="32"/>
          <w:highlight w:val="none"/>
        </w:rPr>
      </w:pPr>
    </w:p>
    <w:p>
      <w:pPr>
        <w:pStyle w:val="31"/>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pPr>
        <w:pStyle w:val="31"/>
        <w:spacing w:line="300" w:lineRule="atLeast"/>
        <w:ind w:right="1365" w:rightChars="650" w:firstLine="642"/>
        <w:jc w:val="right"/>
        <w:rPr>
          <w:color w:val="auto"/>
          <w:sz w:val="32"/>
          <w:szCs w:val="32"/>
          <w:highlight w:val="none"/>
        </w:rPr>
        <w:sectPr>
          <w:headerReference r:id="rId7" w:type="first"/>
          <w:footerReference r:id="rId9" w:type="first"/>
          <w:footerReference r:id="rId8" w:type="default"/>
          <w:pgSz w:w="11906" w:h="16838"/>
          <w:pgMar w:top="1440" w:right="1800" w:bottom="1440" w:left="1800" w:header="851" w:footer="992" w:gutter="0"/>
          <w:pgNumType w:fmt="decimal"/>
          <w:cols w:space="720" w:num="1"/>
          <w:titlePg/>
          <w:docGrid w:type="lines" w:linePitch="312" w:charSpace="0"/>
        </w:sectPr>
      </w:pPr>
      <w:r>
        <w:rPr>
          <w:rFonts w:hint="eastAsia" w:cs="Times New Roman"/>
          <w:color w:val="auto"/>
          <w:kern w:val="44"/>
          <w:sz w:val="32"/>
          <w:szCs w:val="32"/>
          <w:highlight w:val="none"/>
        </w:rPr>
        <w:t>年  月  日</w:t>
      </w:r>
    </w:p>
    <w:bookmarkEnd w:id="736"/>
    <w:bookmarkEnd w:id="737"/>
    <w:bookmarkEnd w:id="738"/>
    <w:bookmarkEnd w:id="739"/>
    <w:bookmarkEnd w:id="740"/>
    <w:bookmarkEnd w:id="741"/>
    <w:bookmarkEnd w:id="742"/>
    <w:bookmarkEnd w:id="743"/>
    <w:bookmarkEnd w:id="744"/>
    <w:bookmarkEnd w:id="745"/>
    <w:p>
      <w:pPr>
        <w:jc w:val="center"/>
        <w:rPr>
          <w:rFonts w:ascii="宋体" w:hAnsi="宋体"/>
          <w:b/>
          <w:bCs/>
          <w:color w:val="auto"/>
          <w:kern w:val="44"/>
          <w:sz w:val="44"/>
          <w:szCs w:val="44"/>
          <w:highlight w:val="none"/>
        </w:rPr>
      </w:pPr>
      <w:bookmarkStart w:id="746" w:name="_Toc289182817"/>
      <w:bookmarkStart w:id="747" w:name="_Toc289241359"/>
      <w:bookmarkStart w:id="748" w:name="_Toc338840262"/>
      <w:bookmarkStart w:id="749" w:name="_Toc338840510"/>
      <w:bookmarkStart w:id="750" w:name="_Toc289241536"/>
      <w:bookmarkStart w:id="751" w:name="_Toc289182439"/>
      <w:bookmarkStart w:id="752" w:name="_Toc289096743"/>
      <w:bookmarkStart w:id="753" w:name="_Toc338840471"/>
      <w:bookmarkStart w:id="754" w:name="_Toc288748128"/>
      <w:bookmarkStart w:id="755" w:name="_Toc289238788"/>
      <w:r>
        <w:rPr>
          <w:rFonts w:hint="eastAsia" w:ascii="宋体" w:hAnsi="宋体"/>
          <w:b/>
          <w:bCs/>
          <w:color w:val="auto"/>
          <w:kern w:val="44"/>
          <w:sz w:val="44"/>
          <w:szCs w:val="44"/>
          <w:highlight w:val="none"/>
        </w:rPr>
        <w:t>四　投标内容及报价明细表</w:t>
      </w:r>
    </w:p>
    <w:p>
      <w:pPr>
        <w:rPr>
          <w:rFonts w:ascii="宋体" w:hAnsi="宋体"/>
          <w:b/>
          <w:bCs/>
          <w:color w:val="auto"/>
          <w:kern w:val="44"/>
          <w:sz w:val="44"/>
          <w:szCs w:val="44"/>
          <w:highlight w:val="none"/>
        </w:rPr>
      </w:pPr>
    </w:p>
    <w:tbl>
      <w:tblPr>
        <w:tblStyle w:val="34"/>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4290"/>
        <w:gridCol w:w="755"/>
        <w:gridCol w:w="126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6" w:type="dxa"/>
            <w:vAlign w:val="center"/>
          </w:tcPr>
          <w:p>
            <w:pPr>
              <w:spacing w:line="400" w:lineRule="exact"/>
              <w:jc w:val="center"/>
              <w:rPr>
                <w:rFonts w:ascii="宋体" w:hAnsi="宋体"/>
                <w:color w:val="auto"/>
                <w:highlight w:val="none"/>
              </w:rPr>
            </w:pPr>
            <w:r>
              <w:rPr>
                <w:rFonts w:hint="eastAsia" w:ascii="宋体" w:hAnsi="宋体"/>
                <w:color w:val="auto"/>
                <w:highlight w:val="none"/>
              </w:rPr>
              <w:t>序号</w:t>
            </w:r>
          </w:p>
        </w:tc>
        <w:tc>
          <w:tcPr>
            <w:tcW w:w="4290" w:type="dxa"/>
            <w:vAlign w:val="center"/>
          </w:tcPr>
          <w:p>
            <w:pPr>
              <w:spacing w:line="400" w:lineRule="exact"/>
              <w:ind w:left="223" w:hanging="223"/>
              <w:jc w:val="center"/>
              <w:rPr>
                <w:rFonts w:ascii="宋体" w:hAnsi="宋体"/>
                <w:color w:val="auto"/>
                <w:highlight w:val="none"/>
              </w:rPr>
            </w:pPr>
            <w:r>
              <w:rPr>
                <w:rFonts w:hint="eastAsia" w:ascii="宋体" w:hAnsi="宋体" w:cs="chs_boot"/>
                <w:color w:val="auto"/>
                <w:highlight w:val="none"/>
              </w:rPr>
              <w:t>报价内容明细</w:t>
            </w:r>
          </w:p>
        </w:tc>
        <w:tc>
          <w:tcPr>
            <w:tcW w:w="755" w:type="dxa"/>
            <w:vAlign w:val="center"/>
          </w:tcPr>
          <w:p>
            <w:pPr>
              <w:spacing w:line="400" w:lineRule="exact"/>
              <w:ind w:left="223" w:hanging="223"/>
              <w:jc w:val="center"/>
              <w:rPr>
                <w:rFonts w:ascii="宋体" w:hAnsi="宋体" w:cs="chs_boot"/>
                <w:color w:val="auto"/>
                <w:highlight w:val="none"/>
              </w:rPr>
            </w:pPr>
            <w:r>
              <w:rPr>
                <w:rFonts w:hint="eastAsia" w:ascii="宋体" w:hAnsi="宋体" w:cs="chs_boot"/>
                <w:color w:val="auto"/>
                <w:highlight w:val="none"/>
              </w:rPr>
              <w:t>单价</w:t>
            </w:r>
          </w:p>
        </w:tc>
        <w:tc>
          <w:tcPr>
            <w:tcW w:w="1260" w:type="dxa"/>
            <w:vAlign w:val="center"/>
          </w:tcPr>
          <w:p>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1800" w:type="dxa"/>
            <w:vAlign w:val="center"/>
          </w:tcPr>
          <w:p>
            <w:pPr>
              <w:spacing w:line="400" w:lineRule="exact"/>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pPr>
              <w:spacing w:line="400" w:lineRule="exact"/>
              <w:jc w:val="center"/>
              <w:rPr>
                <w:rFonts w:ascii="宋体" w:hAnsi="宋体"/>
                <w:color w:val="auto"/>
                <w:sz w:val="28"/>
                <w:highlight w:val="none"/>
              </w:rPr>
            </w:pPr>
            <w:r>
              <w:rPr>
                <w:rFonts w:ascii="宋体" w:hAnsi="宋体"/>
                <w:color w:val="auto"/>
                <w:sz w:val="28"/>
                <w:highlight w:val="none"/>
              </w:rPr>
              <w:t>…</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871" w:type="dxa"/>
            <w:gridSpan w:val="3"/>
          </w:tcPr>
          <w:p>
            <w:pPr>
              <w:spacing w:line="400" w:lineRule="exact"/>
              <w:jc w:val="center"/>
              <w:rPr>
                <w:rFonts w:ascii="宋体" w:hAnsi="宋体"/>
                <w:color w:val="auto"/>
                <w:sz w:val="28"/>
                <w:highlight w:val="none"/>
              </w:rPr>
            </w:pPr>
            <w:r>
              <w:rPr>
                <w:rFonts w:hint="eastAsia" w:ascii="宋体" w:hAnsi="宋体"/>
                <w:b/>
                <w:bCs/>
                <w:color w:val="auto"/>
                <w:sz w:val="24"/>
                <w:szCs w:val="22"/>
                <w:highlight w:val="none"/>
              </w:rPr>
              <w:t>价格总合计</w:t>
            </w:r>
            <w:r>
              <w:rPr>
                <w:rFonts w:hint="eastAsia" w:ascii="宋体" w:hAnsi="宋体"/>
                <w:color w:val="auto"/>
                <w:sz w:val="24"/>
                <w:szCs w:val="22"/>
                <w:highlight w:val="none"/>
              </w:rPr>
              <w:t>（应与投标函中的“投标报价”相同）</w:t>
            </w:r>
          </w:p>
        </w:tc>
        <w:tc>
          <w:tcPr>
            <w:tcW w:w="3060" w:type="dxa"/>
            <w:gridSpan w:val="2"/>
          </w:tcPr>
          <w:p>
            <w:pPr>
              <w:spacing w:line="400" w:lineRule="exact"/>
              <w:jc w:val="center"/>
              <w:rPr>
                <w:rFonts w:ascii="宋体" w:hAnsi="宋体"/>
                <w:b/>
                <w:bCs/>
                <w:color w:val="auto"/>
                <w:sz w:val="24"/>
                <w:szCs w:val="22"/>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pPr>
        <w:spacing w:line="340" w:lineRule="exact"/>
        <w:ind w:left="-315" w:leftChars="-150" w:right="-525" w:rightChars="-250"/>
        <w:rPr>
          <w:rFonts w:ascii="宋体" w:hAnsi="宋体"/>
          <w:b/>
          <w:color w:val="auto"/>
          <w:szCs w:val="21"/>
          <w:highlight w:val="none"/>
        </w:rPr>
      </w:pPr>
    </w:p>
    <w:p>
      <w:pPr>
        <w:spacing w:line="340" w:lineRule="exact"/>
        <w:ind w:left="-315" w:leftChars="-150" w:right="-525" w:rightChars="-250"/>
        <w:rPr>
          <w:rFonts w:ascii="宋体" w:hAnsi="宋体"/>
          <w:b/>
          <w:color w:val="auto"/>
          <w:szCs w:val="21"/>
          <w:highlight w:val="none"/>
        </w:rPr>
      </w:pPr>
    </w:p>
    <w:p>
      <w:pPr>
        <w:spacing w:line="340" w:lineRule="exact"/>
        <w:ind w:left="-315" w:leftChars="-150" w:right="-525" w:rightChars="-250"/>
        <w:rPr>
          <w:rFonts w:ascii="宋体" w:hAnsi="宋体"/>
          <w:b/>
          <w:color w:val="auto"/>
          <w:szCs w:val="21"/>
          <w:highlight w:val="none"/>
        </w:rPr>
      </w:pPr>
      <w:r>
        <w:rPr>
          <w:rFonts w:hint="eastAsia" w:ascii="宋体" w:hAnsi="宋体"/>
          <w:b/>
          <w:color w:val="auto"/>
          <w:szCs w:val="21"/>
          <w:highlight w:val="none"/>
        </w:rPr>
        <w:t>注：“报价内容明细”由供应商根据项目情况自行填写，如：人员工资、设备费用、材料、利润、税金</w:t>
      </w:r>
      <w:r>
        <w:rPr>
          <w:rFonts w:ascii="宋体" w:hAnsi="宋体"/>
          <w:b/>
          <w:color w:val="auto"/>
          <w:szCs w:val="21"/>
          <w:highlight w:val="none"/>
        </w:rPr>
        <w:t>……</w:t>
      </w:r>
      <w:r>
        <w:rPr>
          <w:rFonts w:hint="eastAsia" w:ascii="宋体" w:hAnsi="宋体"/>
          <w:b/>
          <w:color w:val="auto"/>
          <w:szCs w:val="21"/>
          <w:highlight w:val="none"/>
        </w:rPr>
        <w:t>。</w:t>
      </w:r>
    </w:p>
    <w:p>
      <w:pPr>
        <w:jc w:val="center"/>
        <w:rPr>
          <w:rFonts w:ascii="宋体" w:hAnsi="宋体"/>
          <w:bCs/>
          <w:color w:val="auto"/>
          <w:kern w:val="44"/>
          <w:sz w:val="44"/>
          <w:szCs w:val="44"/>
          <w:highlight w:val="none"/>
        </w:rPr>
      </w:pPr>
      <w:r>
        <w:rPr>
          <w:rFonts w:hint="eastAsia" w:ascii="宋体" w:hAnsi="宋体"/>
          <w:b/>
          <w:bCs/>
          <w:color w:val="auto"/>
          <w:kern w:val="44"/>
          <w:sz w:val="32"/>
          <w:szCs w:val="32"/>
          <w:highlight w:val="none"/>
        </w:rPr>
        <w:br w:type="page"/>
      </w:r>
      <w:r>
        <w:rPr>
          <w:rFonts w:hint="eastAsia" w:ascii="宋体" w:hAnsi="宋体"/>
          <w:b/>
          <w:bCs/>
          <w:color w:val="auto"/>
          <w:kern w:val="44"/>
          <w:sz w:val="44"/>
          <w:szCs w:val="44"/>
          <w:highlight w:val="none"/>
        </w:rPr>
        <w:t>五　技术及商务偏差表</w:t>
      </w:r>
      <w:bookmarkEnd w:id="746"/>
      <w:bookmarkEnd w:id="747"/>
      <w:bookmarkEnd w:id="748"/>
      <w:bookmarkEnd w:id="749"/>
      <w:bookmarkEnd w:id="750"/>
      <w:bookmarkEnd w:id="751"/>
      <w:bookmarkEnd w:id="752"/>
      <w:bookmarkEnd w:id="753"/>
      <w:bookmarkEnd w:id="754"/>
      <w:bookmarkEnd w:id="755"/>
    </w:p>
    <w:p>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089"/>
        <w:gridCol w:w="2700"/>
        <w:gridCol w:w="252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pPr>
              <w:spacing w:line="440" w:lineRule="exact"/>
              <w:jc w:val="center"/>
              <w:rPr>
                <w:rFonts w:ascii="宋体" w:hAnsi="宋体"/>
                <w:color w:val="auto"/>
                <w:sz w:val="24"/>
                <w:highlight w:val="none"/>
              </w:rPr>
            </w:pPr>
            <w:r>
              <w:rPr>
                <w:rFonts w:hint="eastAsia" w:ascii="宋体" w:hAnsi="宋体"/>
                <w:color w:val="auto"/>
                <w:sz w:val="24"/>
                <w:highlight w:val="none"/>
              </w:rPr>
              <w:t>序号</w:t>
            </w:r>
          </w:p>
        </w:tc>
        <w:tc>
          <w:tcPr>
            <w:tcW w:w="1089" w:type="dxa"/>
            <w:vAlign w:val="center"/>
          </w:tcPr>
          <w:p>
            <w:pPr>
              <w:jc w:val="center"/>
              <w:rPr>
                <w:rFonts w:ascii="宋体" w:hAnsi="宋体"/>
                <w:color w:val="auto"/>
                <w:sz w:val="24"/>
                <w:highlight w:val="none"/>
              </w:rPr>
            </w:pPr>
            <w:r>
              <w:rPr>
                <w:rFonts w:hint="eastAsia" w:ascii="宋体" w:hAnsi="宋体"/>
                <w:color w:val="auto"/>
                <w:sz w:val="24"/>
                <w:highlight w:val="none"/>
              </w:rPr>
              <w:t>名称</w:t>
            </w:r>
          </w:p>
        </w:tc>
        <w:tc>
          <w:tcPr>
            <w:tcW w:w="2700" w:type="dxa"/>
            <w:vAlign w:val="center"/>
          </w:tcPr>
          <w:p>
            <w:pPr>
              <w:jc w:val="center"/>
              <w:rPr>
                <w:rFonts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pPr>
              <w:jc w:val="center"/>
              <w:rPr>
                <w:rFonts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pPr>
              <w:jc w:val="center"/>
              <w:rPr>
                <w:rFonts w:ascii="宋体" w:hAnsi="宋体"/>
                <w:color w:val="auto"/>
                <w:sz w:val="24"/>
                <w:highlight w:val="none"/>
              </w:rPr>
            </w:pPr>
            <w:r>
              <w:rPr>
                <w:rFonts w:hint="eastAsia" w:ascii="宋体" w:hAnsi="宋体"/>
                <w:color w:val="auto"/>
                <w:sz w:val="24"/>
                <w:highlight w:val="none"/>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bl>
    <w:p>
      <w:pPr>
        <w:rPr>
          <w:rFonts w:ascii="宋体" w:hAnsi="宋体"/>
          <w:color w:val="auto"/>
          <w:sz w:val="28"/>
          <w:highlight w:val="none"/>
        </w:rPr>
      </w:pPr>
    </w:p>
    <w:p>
      <w:pPr>
        <w:pStyle w:val="53"/>
        <w:rPr>
          <w:rFonts w:ascii="宋体" w:hAnsi="宋体"/>
          <w:color w:val="auto"/>
          <w:sz w:val="32"/>
          <w:szCs w:val="32"/>
          <w:highlight w:val="none"/>
        </w:rPr>
      </w:pPr>
      <w:bookmarkStart w:id="756" w:name="_Toc289182819"/>
      <w:bookmarkStart w:id="757" w:name="_Toc288748130"/>
      <w:bookmarkStart w:id="758" w:name="_Toc289182441"/>
      <w:bookmarkStart w:id="759" w:name="_Toc289241361"/>
      <w:bookmarkStart w:id="760" w:name="_Toc338840512"/>
      <w:bookmarkStart w:id="761" w:name="_Toc289096745"/>
      <w:bookmarkStart w:id="762" w:name="_Toc338840264"/>
      <w:bookmarkStart w:id="763" w:name="_Toc289241538"/>
      <w:bookmarkStart w:id="764" w:name="_Toc338840473"/>
      <w:bookmarkStart w:id="765" w:name="_Toc289238790"/>
      <w:r>
        <w:rPr>
          <w:rFonts w:hint="eastAsia" w:ascii="宋体" w:hAnsi="宋体" w:cs="宋体"/>
          <w:color w:val="auto"/>
          <w:sz w:val="32"/>
          <w:szCs w:val="32"/>
          <w:highlight w:val="none"/>
        </w:rPr>
        <w:t>注：1、投标文件内容与招标文件技术、商务要求有偏差时，</w:t>
      </w:r>
      <w:r>
        <w:rPr>
          <w:rFonts w:hint="eastAsia" w:ascii="宋体" w:hAnsi="宋体"/>
          <w:color w:val="auto"/>
          <w:sz w:val="32"/>
          <w:szCs w:val="32"/>
          <w:highlight w:val="none"/>
        </w:rPr>
        <w:t>应在上表中分别列明，填写偏差说明（注明正偏差或负偏差情况），</w:t>
      </w:r>
      <w:r>
        <w:rPr>
          <w:rFonts w:ascii="宋体" w:hAnsi="宋体"/>
          <w:color w:val="auto"/>
          <w:sz w:val="32"/>
          <w:szCs w:val="32"/>
          <w:highlight w:val="none"/>
        </w:rPr>
        <w:t>保证除列出的偏差外</w:t>
      </w:r>
      <w:r>
        <w:rPr>
          <w:rFonts w:hint="eastAsia" w:ascii="宋体" w:hAnsi="宋体"/>
          <w:color w:val="auto"/>
          <w:sz w:val="32"/>
          <w:szCs w:val="32"/>
          <w:highlight w:val="none"/>
        </w:rPr>
        <w:t>无其他偏差</w:t>
      </w:r>
      <w:r>
        <w:rPr>
          <w:rFonts w:ascii="宋体" w:hAnsi="宋体"/>
          <w:color w:val="auto"/>
          <w:sz w:val="32"/>
          <w:szCs w:val="32"/>
          <w:highlight w:val="none"/>
        </w:rPr>
        <w:t>。</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2、无偏差时可不填列具体内容，只在“偏差说明”栏内注明“无偏差”。</w:t>
      </w:r>
    </w:p>
    <w:p>
      <w:pPr>
        <w:jc w:val="center"/>
        <w:rPr>
          <w:rFonts w:ascii="宋体" w:hAnsi="宋体"/>
          <w:b/>
          <w:color w:val="auto"/>
          <w:sz w:val="32"/>
          <w:szCs w:val="32"/>
          <w:highlight w:val="none"/>
        </w:rPr>
      </w:pPr>
      <w:r>
        <w:rPr>
          <w:rFonts w:ascii="宋体" w:hAnsi="宋体"/>
          <w:color w:val="auto"/>
          <w:sz w:val="32"/>
          <w:szCs w:val="32"/>
          <w:highlight w:val="none"/>
        </w:rPr>
        <w:br w:type="page"/>
      </w:r>
      <w:r>
        <w:rPr>
          <w:rFonts w:hint="eastAsia" w:ascii="宋体" w:hAnsi="宋体" w:cs="宋体"/>
          <w:b/>
          <w:color w:val="auto"/>
          <w:kern w:val="44"/>
          <w:sz w:val="44"/>
          <w:szCs w:val="44"/>
          <w:highlight w:val="none"/>
        </w:rPr>
        <w:t>六　备品备件及附送工具清单</w:t>
      </w:r>
      <w:bookmarkEnd w:id="756"/>
      <w:bookmarkEnd w:id="757"/>
      <w:bookmarkEnd w:id="758"/>
      <w:bookmarkEnd w:id="759"/>
      <w:bookmarkEnd w:id="760"/>
      <w:bookmarkEnd w:id="761"/>
      <w:bookmarkEnd w:id="762"/>
      <w:bookmarkEnd w:id="763"/>
      <w:bookmarkEnd w:id="764"/>
      <w:bookmarkEnd w:id="765"/>
    </w:p>
    <w:p>
      <w:pPr>
        <w:rPr>
          <w:rFonts w:ascii="宋体" w:hAnsi="宋体"/>
          <w:color w:val="auto"/>
          <w:highlight w:val="none"/>
        </w:rPr>
      </w:pPr>
      <w:r>
        <w:rPr>
          <w:rFonts w:hint="eastAsia" w:ascii="宋体" w:hAnsi="宋体"/>
          <w:color w:val="auto"/>
          <w:highlight w:val="none"/>
        </w:rPr>
        <w:t>　　　　　　　　　　　　　</w:t>
      </w:r>
    </w:p>
    <w:p>
      <w:pPr>
        <w:widowControl/>
        <w:spacing w:line="240" w:lineRule="atLeast"/>
        <w:jc w:val="left"/>
        <w:rPr>
          <w:rFonts w:ascii="宋体" w:hAnsi="宋体" w:cs="宋体"/>
          <w:color w:val="auto"/>
          <w:kern w:val="0"/>
          <w:sz w:val="32"/>
          <w:szCs w:val="32"/>
          <w:highlight w:val="none"/>
        </w:rPr>
      </w:pPr>
    </w:p>
    <w:p>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pPr>
        <w:widowControl/>
        <w:ind w:firstLine="640" w:firstLineChars="200"/>
        <w:rPr>
          <w:rFonts w:ascii="宋体" w:hAnsi="宋体"/>
          <w:color w:val="auto"/>
          <w:kern w:val="0"/>
          <w:sz w:val="32"/>
          <w:szCs w:val="32"/>
          <w:highlight w:val="none"/>
        </w:rPr>
      </w:pPr>
    </w:p>
    <w:p>
      <w:pPr>
        <w:ind w:firstLine="640" w:firstLineChars="200"/>
        <w:rPr>
          <w:rFonts w:ascii="宋体" w:hAnsi="宋体"/>
          <w:color w:val="auto"/>
          <w:sz w:val="32"/>
          <w:szCs w:val="32"/>
          <w:highlight w:val="none"/>
        </w:rPr>
      </w:pPr>
    </w:p>
    <w:p>
      <w:pPr>
        <w:ind w:firstLine="640" w:firstLineChars="200"/>
        <w:rPr>
          <w:rFonts w:ascii="宋体" w:hAnsi="宋体"/>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bookmarkStart w:id="766" w:name="_Toc288115095"/>
      <w:bookmarkStart w:id="767" w:name="_Toc288115070"/>
    </w:p>
    <w:bookmarkEnd w:id="766"/>
    <w:bookmarkEnd w:id="767"/>
    <w:p>
      <w:pPr>
        <w:jc w:val="center"/>
        <w:rPr>
          <w:rFonts w:ascii="宋体" w:hAnsi="宋体"/>
          <w:b/>
          <w:color w:val="auto"/>
          <w:kern w:val="44"/>
          <w:sz w:val="44"/>
          <w:szCs w:val="44"/>
          <w:highlight w:val="none"/>
        </w:rPr>
      </w:pPr>
      <w:bookmarkStart w:id="768" w:name="_Toc338840265"/>
      <w:bookmarkStart w:id="769" w:name="_Toc289241365"/>
      <w:bookmarkStart w:id="770" w:name="_Toc289241542"/>
      <w:bookmarkStart w:id="771" w:name="_Toc338840474"/>
      <w:bookmarkStart w:id="772" w:name="_Toc289096749"/>
      <w:bookmarkStart w:id="773" w:name="_Toc289238794"/>
      <w:bookmarkStart w:id="774" w:name="_Toc338840513"/>
      <w:bookmarkStart w:id="775" w:name="_Toc288748134"/>
      <w:bookmarkStart w:id="776" w:name="_Toc289182445"/>
      <w:bookmarkStart w:id="777" w:name="_Toc289182823"/>
      <w:r>
        <w:rPr>
          <w:rFonts w:hint="eastAsia" w:ascii="宋体" w:hAnsi="宋体"/>
          <w:b/>
          <w:color w:val="auto"/>
          <w:kern w:val="44"/>
          <w:sz w:val="44"/>
          <w:szCs w:val="44"/>
          <w:highlight w:val="none"/>
        </w:rPr>
        <w:br w:type="page"/>
      </w:r>
      <w:r>
        <w:rPr>
          <w:rFonts w:hint="eastAsia" w:ascii="宋体" w:hAnsi="宋体"/>
          <w:b/>
          <w:color w:val="auto"/>
          <w:kern w:val="44"/>
          <w:sz w:val="44"/>
          <w:szCs w:val="44"/>
          <w:highlight w:val="none"/>
        </w:rPr>
        <w:t xml:space="preserve">七  </w:t>
      </w:r>
      <w:bookmarkEnd w:id="768"/>
      <w:bookmarkEnd w:id="769"/>
      <w:bookmarkEnd w:id="770"/>
      <w:bookmarkEnd w:id="771"/>
      <w:bookmarkEnd w:id="772"/>
      <w:bookmarkEnd w:id="773"/>
      <w:bookmarkEnd w:id="774"/>
      <w:bookmarkEnd w:id="775"/>
      <w:bookmarkEnd w:id="776"/>
      <w:bookmarkEnd w:id="777"/>
      <w:r>
        <w:rPr>
          <w:rFonts w:hint="eastAsia" w:ascii="宋体" w:hAnsi="宋体"/>
          <w:b/>
          <w:color w:val="auto"/>
          <w:kern w:val="44"/>
          <w:sz w:val="44"/>
          <w:szCs w:val="44"/>
          <w:highlight w:val="none"/>
        </w:rPr>
        <w:t>业绩合同</w:t>
      </w:r>
    </w:p>
    <w:p>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pPr>
        <w:jc w:val="center"/>
        <w:rPr>
          <w:rFonts w:ascii="宋体" w:hAnsi="宋体"/>
          <w:b/>
          <w:color w:val="auto"/>
          <w:kern w:val="44"/>
          <w:sz w:val="44"/>
          <w:szCs w:val="44"/>
          <w:highlight w:val="none"/>
        </w:rPr>
      </w:pPr>
    </w:p>
    <w:p>
      <w:pPr>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八</w:t>
      </w:r>
      <w:r>
        <w:rPr>
          <w:rFonts w:hint="eastAsia" w:ascii="宋体" w:hAnsi="宋体"/>
          <w:b/>
          <w:color w:val="auto"/>
          <w:kern w:val="44"/>
          <w:sz w:val="44"/>
          <w:szCs w:val="44"/>
          <w:highlight w:val="none"/>
          <w:lang w:val="en-US" w:eastAsia="zh-CN"/>
        </w:rPr>
        <w:t xml:space="preserve">  </w:t>
      </w:r>
      <w:r>
        <w:rPr>
          <w:rFonts w:hint="eastAsia" w:ascii="宋体" w:hAnsi="宋体"/>
          <w:b/>
          <w:color w:val="auto"/>
          <w:kern w:val="44"/>
          <w:sz w:val="44"/>
          <w:szCs w:val="44"/>
          <w:highlight w:val="none"/>
        </w:rPr>
        <w:t>企业实力</w:t>
      </w:r>
    </w:p>
    <w:p>
      <w:pPr>
        <w:pStyle w:val="2"/>
        <w:rPr>
          <w:rFonts w:hint="eastAsia" w:ascii="宋体" w:hAnsi="宋体"/>
          <w:b/>
          <w:color w:val="auto"/>
          <w:kern w:val="44"/>
          <w:sz w:val="44"/>
          <w:szCs w:val="44"/>
          <w:highlight w:val="none"/>
        </w:rPr>
      </w:pPr>
    </w:p>
    <w:p>
      <w:pPr>
        <w:rPr>
          <w:rFonts w:hint="eastAsia"/>
          <w:color w:val="auto"/>
          <w:highlight w:val="none"/>
        </w:rPr>
      </w:pPr>
      <w:r>
        <w:rPr>
          <w:rFonts w:hint="eastAsia"/>
          <w:color w:val="auto"/>
          <w:highlight w:val="none"/>
        </w:rPr>
        <w:br w:type="page"/>
      </w:r>
    </w:p>
    <w:p>
      <w:pPr>
        <w:rPr>
          <w:rFonts w:hint="eastAsia"/>
          <w:color w:val="auto"/>
          <w:highlight w:val="none"/>
        </w:rPr>
      </w:pPr>
    </w:p>
    <w:p>
      <w:pPr>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九</w:t>
      </w:r>
      <w:r>
        <w:rPr>
          <w:rFonts w:hint="eastAsia" w:ascii="宋体" w:hAnsi="宋体"/>
          <w:b/>
          <w:color w:val="auto"/>
          <w:kern w:val="44"/>
          <w:sz w:val="44"/>
          <w:szCs w:val="44"/>
          <w:highlight w:val="none"/>
          <w:lang w:val="en-US" w:eastAsia="zh-CN"/>
        </w:rPr>
        <w:t xml:space="preserve">  </w:t>
      </w:r>
      <w:r>
        <w:rPr>
          <w:rFonts w:hint="eastAsia" w:ascii="宋体" w:hAnsi="宋体"/>
          <w:b/>
          <w:color w:val="auto"/>
          <w:kern w:val="44"/>
          <w:sz w:val="44"/>
          <w:szCs w:val="44"/>
          <w:highlight w:val="none"/>
        </w:rPr>
        <w:t>管理制度</w:t>
      </w:r>
    </w:p>
    <w:p>
      <w:pPr>
        <w:pStyle w:val="2"/>
        <w:rPr>
          <w:rFonts w:hint="eastAsia" w:ascii="宋体" w:hAnsi="宋体"/>
          <w:b/>
          <w:color w:val="auto"/>
          <w:kern w:val="44"/>
          <w:sz w:val="44"/>
          <w:szCs w:val="44"/>
          <w:highlight w:val="none"/>
        </w:rPr>
      </w:pPr>
    </w:p>
    <w:p>
      <w:pPr>
        <w:rPr>
          <w:rFonts w:hint="eastAsia"/>
          <w:color w:val="auto"/>
          <w:highlight w:val="none"/>
        </w:rPr>
      </w:pPr>
      <w:r>
        <w:rPr>
          <w:rFonts w:hint="eastAsia"/>
          <w:color w:val="auto"/>
          <w:highlight w:val="none"/>
        </w:rPr>
        <w:br w:type="page"/>
      </w:r>
    </w:p>
    <w:p>
      <w:pPr>
        <w:rPr>
          <w:rFonts w:hint="eastAsia"/>
          <w:color w:val="auto"/>
          <w:highlight w:val="none"/>
        </w:rPr>
      </w:pPr>
    </w:p>
    <w:p>
      <w:pPr>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十</w:t>
      </w:r>
      <w:r>
        <w:rPr>
          <w:rFonts w:hint="eastAsia" w:ascii="宋体" w:hAnsi="宋体"/>
          <w:b/>
          <w:color w:val="auto"/>
          <w:kern w:val="44"/>
          <w:sz w:val="44"/>
          <w:szCs w:val="44"/>
          <w:highlight w:val="none"/>
          <w:lang w:val="en-US" w:eastAsia="zh-CN"/>
        </w:rPr>
        <w:t xml:space="preserve">  </w:t>
      </w:r>
      <w:r>
        <w:rPr>
          <w:rFonts w:hint="eastAsia" w:ascii="宋体" w:hAnsi="宋体"/>
          <w:b/>
          <w:color w:val="auto"/>
          <w:kern w:val="44"/>
          <w:sz w:val="44"/>
          <w:szCs w:val="44"/>
          <w:highlight w:val="none"/>
        </w:rPr>
        <w:t>服务实施方案</w:t>
      </w:r>
    </w:p>
    <w:p>
      <w:pPr>
        <w:pStyle w:val="2"/>
        <w:rPr>
          <w:rFonts w:hint="eastAsia" w:ascii="宋体" w:hAnsi="宋体"/>
          <w:b/>
          <w:color w:val="auto"/>
          <w:kern w:val="44"/>
          <w:sz w:val="44"/>
          <w:szCs w:val="44"/>
          <w:highlight w:val="none"/>
        </w:rPr>
      </w:pPr>
    </w:p>
    <w:p>
      <w:pPr>
        <w:rPr>
          <w:rFonts w:hint="eastAsia"/>
          <w:color w:val="auto"/>
          <w:highlight w:val="none"/>
        </w:rPr>
      </w:pPr>
      <w:r>
        <w:rPr>
          <w:rFonts w:hint="eastAsia"/>
          <w:color w:val="auto"/>
          <w:highlight w:val="none"/>
        </w:rPr>
        <w:br w:type="page"/>
      </w:r>
    </w:p>
    <w:p>
      <w:pPr>
        <w:rPr>
          <w:rFonts w:hint="eastAsia"/>
          <w:color w:val="auto"/>
          <w:highlight w:val="none"/>
        </w:rPr>
      </w:pPr>
    </w:p>
    <w:p>
      <w:pPr>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十一</w:t>
      </w:r>
      <w:r>
        <w:rPr>
          <w:rFonts w:hint="eastAsia" w:ascii="宋体" w:hAnsi="宋体"/>
          <w:b/>
          <w:color w:val="auto"/>
          <w:kern w:val="44"/>
          <w:sz w:val="44"/>
          <w:szCs w:val="44"/>
          <w:highlight w:val="none"/>
          <w:lang w:val="en-US" w:eastAsia="zh-CN"/>
        </w:rPr>
        <w:t xml:space="preserve">  </w:t>
      </w:r>
      <w:r>
        <w:rPr>
          <w:rFonts w:hint="eastAsia" w:ascii="宋体" w:hAnsi="宋体"/>
          <w:b/>
          <w:color w:val="auto"/>
          <w:kern w:val="44"/>
          <w:sz w:val="44"/>
          <w:szCs w:val="44"/>
          <w:highlight w:val="none"/>
        </w:rPr>
        <w:t>技术力量</w:t>
      </w:r>
    </w:p>
    <w:p>
      <w:pPr>
        <w:pStyle w:val="2"/>
        <w:rPr>
          <w:rFonts w:hint="eastAsia" w:ascii="宋体" w:hAnsi="宋体"/>
          <w:b/>
          <w:color w:val="auto"/>
          <w:kern w:val="44"/>
          <w:sz w:val="44"/>
          <w:szCs w:val="44"/>
          <w:highlight w:val="none"/>
        </w:rPr>
      </w:pPr>
    </w:p>
    <w:p>
      <w:pPr>
        <w:rPr>
          <w:rFonts w:hint="eastAsia"/>
          <w:color w:val="auto"/>
          <w:highlight w:val="none"/>
        </w:rPr>
      </w:pPr>
      <w:r>
        <w:rPr>
          <w:rFonts w:hint="eastAsia"/>
          <w:color w:val="auto"/>
          <w:highlight w:val="none"/>
        </w:rPr>
        <w:br w:type="page"/>
      </w:r>
    </w:p>
    <w:p>
      <w:pPr>
        <w:rPr>
          <w:rFonts w:hint="eastAsia"/>
          <w:color w:val="auto"/>
          <w:highlight w:val="none"/>
        </w:rPr>
      </w:pPr>
    </w:p>
    <w:p>
      <w:pPr>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十二</w:t>
      </w:r>
      <w:r>
        <w:rPr>
          <w:rFonts w:hint="eastAsia" w:ascii="宋体" w:hAnsi="宋体"/>
          <w:b/>
          <w:color w:val="auto"/>
          <w:kern w:val="44"/>
          <w:sz w:val="44"/>
          <w:szCs w:val="44"/>
          <w:highlight w:val="none"/>
          <w:lang w:val="en-US" w:eastAsia="zh-CN"/>
        </w:rPr>
        <w:t xml:space="preserve">  </w:t>
      </w:r>
      <w:r>
        <w:rPr>
          <w:rFonts w:hint="eastAsia" w:ascii="宋体" w:hAnsi="宋体"/>
          <w:b/>
          <w:color w:val="auto"/>
          <w:kern w:val="44"/>
          <w:sz w:val="44"/>
          <w:szCs w:val="44"/>
          <w:highlight w:val="none"/>
        </w:rPr>
        <w:t>管理措施</w:t>
      </w:r>
    </w:p>
    <w:p>
      <w:pPr>
        <w:pStyle w:val="2"/>
        <w:rPr>
          <w:rFonts w:hint="eastAsia" w:ascii="宋体" w:hAnsi="宋体"/>
          <w:b/>
          <w:color w:val="auto"/>
          <w:kern w:val="44"/>
          <w:sz w:val="44"/>
          <w:szCs w:val="44"/>
          <w:highlight w:val="none"/>
        </w:rPr>
      </w:pPr>
    </w:p>
    <w:p>
      <w:pPr>
        <w:rPr>
          <w:rFonts w:hint="eastAsia"/>
          <w:color w:val="auto"/>
          <w:highlight w:val="none"/>
        </w:rPr>
      </w:pPr>
      <w:r>
        <w:rPr>
          <w:rFonts w:hint="eastAsia"/>
          <w:color w:val="auto"/>
          <w:highlight w:val="none"/>
        </w:rPr>
        <w:br w:type="page"/>
      </w:r>
    </w:p>
    <w:p>
      <w:pPr>
        <w:rPr>
          <w:rFonts w:hint="eastAsia"/>
          <w:color w:val="auto"/>
          <w:highlight w:val="none"/>
        </w:rPr>
      </w:pPr>
    </w:p>
    <w:p>
      <w:pPr>
        <w:jc w:val="center"/>
        <w:rPr>
          <w:rFonts w:ascii="宋体" w:hAnsi="宋体"/>
          <w:b/>
          <w:color w:val="auto"/>
          <w:kern w:val="44"/>
          <w:sz w:val="44"/>
          <w:szCs w:val="44"/>
          <w:highlight w:val="none"/>
        </w:rPr>
      </w:pPr>
      <w:r>
        <w:rPr>
          <w:rFonts w:hint="eastAsia" w:ascii="宋体" w:hAnsi="宋体"/>
          <w:b/>
          <w:color w:val="auto"/>
          <w:kern w:val="44"/>
          <w:sz w:val="44"/>
          <w:szCs w:val="44"/>
          <w:highlight w:val="none"/>
        </w:rPr>
        <w:t>十三</w:t>
      </w:r>
      <w:r>
        <w:rPr>
          <w:rFonts w:hint="eastAsia" w:ascii="宋体" w:hAnsi="宋体"/>
          <w:b/>
          <w:color w:val="auto"/>
          <w:kern w:val="44"/>
          <w:sz w:val="44"/>
          <w:szCs w:val="44"/>
          <w:highlight w:val="none"/>
          <w:lang w:val="en-US" w:eastAsia="zh-CN"/>
        </w:rPr>
        <w:t xml:space="preserve">  </w:t>
      </w:r>
      <w:r>
        <w:rPr>
          <w:rFonts w:hint="eastAsia" w:ascii="宋体" w:hAnsi="宋体"/>
          <w:b/>
          <w:color w:val="auto"/>
          <w:kern w:val="44"/>
          <w:sz w:val="44"/>
          <w:szCs w:val="44"/>
          <w:highlight w:val="none"/>
        </w:rPr>
        <w:t>应急预案</w:t>
      </w:r>
    </w:p>
    <w:p>
      <w:pPr>
        <w:jc w:val="center"/>
        <w:rPr>
          <w:rFonts w:ascii="宋体" w:hAnsi="宋体"/>
          <w:b/>
          <w:color w:val="auto"/>
          <w:kern w:val="44"/>
          <w:sz w:val="44"/>
          <w:szCs w:val="44"/>
          <w:highlight w:val="none"/>
        </w:rPr>
      </w:pPr>
    </w:p>
    <w:p>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pPr>
        <w:jc w:val="center"/>
        <w:rPr>
          <w:rFonts w:ascii="宋体" w:hAnsi="宋体" w:cs="宋体"/>
          <w:b/>
          <w:color w:val="auto"/>
          <w:kern w:val="44"/>
          <w:sz w:val="32"/>
          <w:szCs w:val="32"/>
          <w:highlight w:val="none"/>
        </w:rPr>
      </w:pPr>
      <w:r>
        <w:rPr>
          <w:rFonts w:hint="eastAsia" w:ascii="宋体" w:hAnsi="宋体" w:cs="宋体"/>
          <w:b/>
          <w:color w:val="auto"/>
          <w:kern w:val="44"/>
          <w:sz w:val="44"/>
          <w:szCs w:val="44"/>
          <w:highlight w:val="none"/>
        </w:rPr>
        <w:t>十</w:t>
      </w:r>
      <w:r>
        <w:rPr>
          <w:rFonts w:hint="eastAsia" w:ascii="宋体" w:hAnsi="宋体" w:cs="宋体"/>
          <w:b/>
          <w:color w:val="auto"/>
          <w:kern w:val="44"/>
          <w:sz w:val="44"/>
          <w:szCs w:val="44"/>
          <w:highlight w:val="none"/>
          <w:lang w:val="en-US" w:eastAsia="zh-CN"/>
        </w:rPr>
        <w:t>四</w:t>
      </w:r>
      <w:r>
        <w:rPr>
          <w:rFonts w:hint="eastAsia" w:ascii="宋体" w:hAnsi="宋体" w:cs="宋体"/>
          <w:b/>
          <w:color w:val="auto"/>
          <w:kern w:val="44"/>
          <w:sz w:val="44"/>
          <w:szCs w:val="44"/>
          <w:highlight w:val="none"/>
        </w:rPr>
        <w:t xml:space="preserve">  </w:t>
      </w:r>
      <w:r>
        <w:rPr>
          <w:rFonts w:hint="eastAsia" w:ascii="宋体" w:hAnsi="宋体"/>
          <w:b/>
          <w:color w:val="auto"/>
          <w:kern w:val="44"/>
          <w:sz w:val="44"/>
          <w:szCs w:val="44"/>
          <w:highlight w:val="none"/>
        </w:rPr>
        <w:t>相关证明材料</w:t>
      </w:r>
    </w:p>
    <w:p>
      <w:pPr>
        <w:widowControl/>
        <w:snapToGrid w:val="0"/>
        <w:spacing w:line="480" w:lineRule="exact"/>
        <w:ind w:left="420" w:leftChars="200" w:firstLine="160" w:firstLineChars="50"/>
        <w:jc w:val="left"/>
        <w:rPr>
          <w:rFonts w:ascii="宋体" w:hAnsi="宋体"/>
          <w:color w:val="auto"/>
          <w:sz w:val="32"/>
          <w:szCs w:val="32"/>
          <w:highlight w:val="none"/>
        </w:rPr>
      </w:pPr>
    </w:p>
    <w:p>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pPr>
        <w:spacing w:line="480" w:lineRule="exact"/>
        <w:ind w:firstLine="640" w:firstLineChars="200"/>
        <w:rPr>
          <w:rFonts w:ascii="宋体" w:hAnsi="宋体"/>
          <w:color w:val="auto"/>
          <w:sz w:val="32"/>
          <w:szCs w:val="32"/>
          <w:highlight w:val="none"/>
        </w:rPr>
      </w:pP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若为货物类采购项目，其全部标的（产品）应均为中型、小型、微型企业生产，并在声明函中分别列明与“投标内容及报价明细表”中对应的每一标的（产品）及其生产制造商情况]，作为资格审查内容。</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若为货物类采购项目，其全部标的（产品）应均为小型、微型企业生产，并在声明函中分别列明与“投标内容及报价明细表”中对应的每一标的（产品）及其生产制造商情况]，符合要求者在评标时给予价格扣除。</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pPr>
        <w:spacing w:before="120" w:beforeLines="50" w:after="120" w:afterLines="50"/>
        <w:ind w:firstLine="630" w:firstLineChars="196"/>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pPr>
        <w:pStyle w:val="6"/>
        <w:spacing w:after="340" w:line="360" w:lineRule="auto"/>
        <w:jc w:val="center"/>
        <w:rPr>
          <w:rFonts w:ascii="宋体" w:hAnsi="宋体"/>
          <w:bCs w:val="0"/>
          <w:color w:val="auto"/>
          <w:kern w:val="2"/>
          <w:sz w:val="36"/>
          <w:szCs w:val="36"/>
          <w:highlight w:val="none"/>
        </w:rPr>
      </w:pPr>
      <w:bookmarkStart w:id="778" w:name="_Toc28255"/>
      <w:bookmarkStart w:id="779" w:name="_Toc16214"/>
      <w:r>
        <w:rPr>
          <w:rFonts w:hint="eastAsia" w:ascii="宋体" w:hAnsi="宋体"/>
          <w:bCs w:val="0"/>
          <w:color w:val="auto"/>
          <w:kern w:val="2"/>
          <w:sz w:val="36"/>
          <w:szCs w:val="36"/>
          <w:highlight w:val="none"/>
        </w:rPr>
        <w:t>中小企业声明函（工程、服务）</w:t>
      </w:r>
      <w:bookmarkEnd w:id="778"/>
      <w:bookmarkEnd w:id="779"/>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color w:val="auto"/>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spacing w:before="120" w:beforeLines="50" w:after="120" w:afterLines="50" w:line="440" w:lineRule="exact"/>
        <w:ind w:firstLine="900" w:firstLineChars="300"/>
        <w:jc w:val="left"/>
        <w:rPr>
          <w:rFonts w:ascii="宋体" w:hAnsi="宋体"/>
          <w:color w:val="auto"/>
          <w:sz w:val="30"/>
          <w:szCs w:val="30"/>
          <w:highlight w:val="none"/>
        </w:rPr>
      </w:pPr>
      <w:r>
        <w:rPr>
          <w:rFonts w:hint="eastAsia" w:ascii="宋体" w:hAnsi="宋体"/>
          <w:i/>
          <w:iCs/>
          <w:color w:val="auto"/>
          <w:sz w:val="30"/>
          <w:szCs w:val="30"/>
          <w:highlight w:val="none"/>
          <w:u w:val="single"/>
        </w:rPr>
        <w:t xml:space="preserve">    （标的名称）</w:t>
      </w:r>
      <w:r>
        <w:rPr>
          <w:rFonts w:hint="eastAsia" w:ascii="宋体" w:hAnsi="宋体"/>
          <w:color w:val="auto"/>
          <w:sz w:val="30"/>
          <w:szCs w:val="30"/>
          <w:highlight w:val="none"/>
        </w:rPr>
        <w:t>，</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w:t>
      </w:r>
      <w:r>
        <w:rPr>
          <w:rFonts w:hint="eastAsia" w:ascii="宋体" w:hAnsi="宋体"/>
          <w:color w:val="auto"/>
          <w:sz w:val="30"/>
          <w:szCs w:val="30"/>
          <w:highlight w:val="none"/>
        </w:rPr>
        <w:t>；承建（承接）企业为</w:t>
      </w:r>
      <w:r>
        <w:rPr>
          <w:rFonts w:hint="eastAsia" w:ascii="宋体" w:hAnsi="宋体"/>
          <w:i/>
          <w:iCs/>
          <w:color w:val="auto"/>
          <w:sz w:val="30"/>
          <w:szCs w:val="30"/>
          <w:highlight w:val="none"/>
          <w:u w:val="single"/>
        </w:rPr>
        <w:t>（企业名称）</w:t>
      </w:r>
      <w:r>
        <w:rPr>
          <w:rFonts w:hint="eastAsia" w:ascii="宋体" w:hAnsi="宋体"/>
          <w:color w:val="auto"/>
          <w:sz w:val="30"/>
          <w:szCs w:val="30"/>
          <w:highlight w:val="none"/>
        </w:rPr>
        <w:t>，从业人员</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人，营业收入为</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万元，资产总额为</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color w:val="auto"/>
          <w:sz w:val="30"/>
          <w:szCs w:val="30"/>
          <w:highlight w:val="none"/>
        </w:rPr>
        <w:t>；</w:t>
      </w:r>
    </w:p>
    <w:p>
      <w:pPr>
        <w:spacing w:before="120" w:beforeLines="50" w:after="120" w:afterLines="50" w:line="440" w:lineRule="exact"/>
        <w:ind w:firstLine="600" w:firstLineChars="200"/>
        <w:jc w:val="left"/>
        <w:rPr>
          <w:rFonts w:ascii="宋体" w:hAnsi="宋体"/>
          <w:color w:val="auto"/>
          <w:sz w:val="30"/>
          <w:szCs w:val="30"/>
          <w:highlight w:val="none"/>
        </w:rPr>
      </w:pPr>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以上企业，不属于大企业的分支机构，不存在控股股东为大企业的情形，也不存在与大企业的负责人为同一人的情形。</w:t>
      </w:r>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本企业对上述声明内容的真实性负责。如有虚假，将依法承担相应责任。</w:t>
      </w:r>
    </w:p>
    <w:p>
      <w:pPr>
        <w:spacing w:before="120" w:beforeLines="50" w:after="120" w:afterLines="50" w:line="440" w:lineRule="exact"/>
        <w:ind w:right="968" w:rightChars="461" w:firstLine="600" w:firstLineChars="200"/>
        <w:jc w:val="right"/>
        <w:rPr>
          <w:rFonts w:ascii="宋体" w:hAnsi="宋体"/>
          <w:color w:val="auto"/>
          <w:sz w:val="30"/>
          <w:szCs w:val="30"/>
          <w:highlight w:val="none"/>
        </w:rPr>
      </w:pPr>
      <w:r>
        <w:rPr>
          <w:rFonts w:hint="eastAsia" w:ascii="宋体" w:hAnsi="宋体"/>
          <w:color w:val="auto"/>
          <w:sz w:val="30"/>
          <w:szCs w:val="30"/>
          <w:highlight w:val="none"/>
        </w:rPr>
        <w:t>企业名称（盖章）：</w:t>
      </w:r>
    </w:p>
    <w:p>
      <w:pPr>
        <w:spacing w:before="120" w:beforeLines="50" w:after="120" w:afterLines="50" w:line="440" w:lineRule="exact"/>
        <w:ind w:right="968" w:rightChars="461" w:firstLine="600" w:firstLineChars="200"/>
        <w:jc w:val="center"/>
        <w:rPr>
          <w:rFonts w:ascii="宋体" w:hAnsi="宋体"/>
          <w:color w:val="auto"/>
          <w:sz w:val="30"/>
          <w:szCs w:val="30"/>
          <w:highlight w:val="none"/>
        </w:rPr>
      </w:pPr>
      <w:r>
        <w:rPr>
          <w:rFonts w:hint="eastAsia" w:ascii="宋体" w:hAnsi="宋体"/>
          <w:color w:val="auto"/>
          <w:sz w:val="30"/>
          <w:szCs w:val="30"/>
          <w:highlight w:val="none"/>
        </w:rPr>
        <w:t xml:space="preserve">                   日期：</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注：1、本采购标的对应的中小企业划分标准所属行业为</w:t>
      </w:r>
      <w:r>
        <w:rPr>
          <w:rFonts w:hint="eastAsia" w:ascii="宋体" w:hAnsi="宋体"/>
          <w:b/>
          <w:color w:val="auto"/>
          <w:sz w:val="24"/>
          <w:highlight w:val="none"/>
          <w:u w:val="single"/>
        </w:rPr>
        <w:t>：租赁和商务服务业</w:t>
      </w:r>
      <w:r>
        <w:rPr>
          <w:rFonts w:hint="eastAsia" w:ascii="宋体" w:hAnsi="宋体"/>
          <w:b/>
          <w:color w:val="auto"/>
          <w:sz w:val="24"/>
          <w:highlight w:val="none"/>
        </w:rPr>
        <w:t>行业。供应商应按该行业，对照《中小企业划型标准规定》判定标的承接企业是否属于中小微企业。在本声明函中写明标的及承接企业情况。</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3、中标人的本声明函随中标结果同时公布，接受其他供应商和社会监督。</w:t>
      </w:r>
    </w:p>
    <w:p>
      <w:pPr>
        <w:spacing w:before="120" w:beforeLines="50" w:after="120" w:afterLines="50" w:line="400" w:lineRule="exact"/>
        <w:ind w:right="-92" w:rightChars="-44"/>
        <w:rPr>
          <w:rFonts w:ascii="宋体" w:hAnsi="宋体"/>
          <w:b/>
          <w:color w:val="auto"/>
          <w:sz w:val="24"/>
          <w:highlight w:val="none"/>
        </w:rPr>
        <w:sectPr>
          <w:footerReference r:id="rId10" w:type="default"/>
          <w:pgSz w:w="11910" w:h="16840"/>
          <w:pgMar w:top="1500" w:right="1380" w:bottom="1780" w:left="1580" w:header="0" w:footer="1595" w:gutter="0"/>
          <w:pgNumType w:fmt="decimal"/>
          <w:cols w:space="720" w:num="1"/>
        </w:sectPr>
      </w:pPr>
    </w:p>
    <w:p>
      <w:pPr>
        <w:rPr>
          <w:rFonts w:ascii="宋体" w:hAnsi="宋体"/>
          <w:b/>
          <w:color w:val="auto"/>
          <w:kern w:val="44"/>
          <w:sz w:val="32"/>
          <w:szCs w:val="32"/>
          <w:highlight w:val="none"/>
        </w:rPr>
      </w:pPr>
      <w:r>
        <w:rPr>
          <w:rFonts w:hint="eastAsia" w:ascii="宋体" w:hAnsi="宋体"/>
          <w:b/>
          <w:color w:val="auto"/>
          <w:kern w:val="44"/>
          <w:sz w:val="32"/>
          <w:szCs w:val="32"/>
          <w:highlight w:val="none"/>
        </w:rPr>
        <w:t>附件2</w:t>
      </w:r>
      <w:r>
        <w:rPr>
          <w:rFonts w:hint="eastAsia" w:ascii="宋体" w:hAnsi="宋体"/>
          <w:b/>
          <w:color w:val="auto"/>
          <w:sz w:val="28"/>
          <w:szCs w:val="28"/>
          <w:highlight w:val="none"/>
        </w:rPr>
        <w:t>（符合政策要求，并申请按残疾人福利性单位投标者提供）</w:t>
      </w:r>
      <w:r>
        <w:rPr>
          <w:rFonts w:hint="eastAsia" w:ascii="宋体" w:hAnsi="宋体"/>
          <w:b/>
          <w:color w:val="auto"/>
          <w:kern w:val="44"/>
          <w:sz w:val="28"/>
          <w:szCs w:val="28"/>
          <w:highlight w:val="none"/>
        </w:rPr>
        <w:t>：</w:t>
      </w:r>
    </w:p>
    <w:p>
      <w:pPr>
        <w:spacing w:line="588" w:lineRule="exact"/>
        <w:rPr>
          <w:rFonts w:ascii="宋体" w:hAnsi="宋体"/>
          <w:color w:val="auto"/>
          <w:spacing w:val="6"/>
          <w:sz w:val="30"/>
          <w:szCs w:val="30"/>
          <w:highlight w:val="none"/>
        </w:rPr>
      </w:pPr>
    </w:p>
    <w:p>
      <w:pPr>
        <w:spacing w:line="588" w:lineRule="exact"/>
        <w:jc w:val="center"/>
        <w:rPr>
          <w:rFonts w:ascii="宋体" w:hAnsi="宋体"/>
          <w:b/>
          <w:color w:val="auto"/>
          <w:spacing w:val="6"/>
          <w:sz w:val="32"/>
          <w:szCs w:val="32"/>
          <w:highlight w:val="none"/>
        </w:rPr>
      </w:pPr>
      <w:bookmarkStart w:id="780" w:name="OLE_LINK13"/>
      <w:bookmarkStart w:id="781" w:name="OLE_LINK14"/>
      <w:r>
        <w:rPr>
          <w:rFonts w:hint="eastAsia" w:ascii="宋体" w:hAnsi="宋体"/>
          <w:b/>
          <w:color w:val="auto"/>
          <w:spacing w:val="6"/>
          <w:sz w:val="32"/>
          <w:szCs w:val="32"/>
          <w:highlight w:val="none"/>
        </w:rPr>
        <w:t>残疾人福利性单位声明函</w:t>
      </w:r>
      <w:bookmarkEnd w:id="780"/>
      <w:bookmarkEnd w:id="781"/>
    </w:p>
    <w:p>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pPr>
        <w:tabs>
          <w:tab w:val="left" w:pos="4860"/>
        </w:tabs>
        <w:spacing w:line="588" w:lineRule="exact"/>
        <w:ind w:right="1560" w:firstLine="3432" w:firstLineChars="1100"/>
        <w:rPr>
          <w:rFonts w:ascii="宋体" w:hAnsi="宋体"/>
          <w:color w:val="auto"/>
          <w:spacing w:val="6"/>
          <w:sz w:val="30"/>
          <w:szCs w:val="30"/>
          <w:highlight w:val="none"/>
        </w:rPr>
      </w:pPr>
    </w:p>
    <w:p>
      <w:pPr>
        <w:tabs>
          <w:tab w:val="left" w:pos="4860"/>
        </w:tabs>
        <w:spacing w:line="588" w:lineRule="exact"/>
        <w:ind w:right="1560" w:firstLine="3432" w:firstLineChars="1100"/>
        <w:rPr>
          <w:rFonts w:ascii="宋体" w:hAnsi="宋体"/>
          <w:color w:val="auto"/>
          <w:spacing w:val="6"/>
          <w:sz w:val="30"/>
          <w:szCs w:val="30"/>
          <w:highlight w:val="none"/>
        </w:rPr>
      </w:pPr>
    </w:p>
    <w:p>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pPr>
        <w:spacing w:line="440" w:lineRule="exact"/>
        <w:ind w:firstLine="506" w:firstLineChars="200"/>
        <w:rPr>
          <w:rFonts w:ascii="宋体" w:hAnsi="宋体"/>
          <w:b/>
          <w:bCs/>
          <w:color w:val="auto"/>
          <w:spacing w:val="6"/>
          <w:sz w:val="24"/>
          <w:highlight w:val="none"/>
        </w:rPr>
      </w:pPr>
    </w:p>
    <w:p>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pPr>
        <w:spacing w:line="588" w:lineRule="exact"/>
        <w:rPr>
          <w:rFonts w:ascii="宋体" w:hAnsi="宋体"/>
          <w:color w:val="auto"/>
          <w:spacing w:val="6"/>
          <w:sz w:val="30"/>
          <w:szCs w:val="30"/>
          <w:highlight w:val="none"/>
        </w:rPr>
      </w:pPr>
    </w:p>
    <w:p>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pPr>
        <w:widowControl/>
        <w:spacing w:line="400" w:lineRule="exact"/>
        <w:jc w:val="left"/>
        <w:rPr>
          <w:rFonts w:ascii="宋体" w:hAnsi="宋体" w:cs="宋体"/>
          <w:bCs/>
          <w:color w:val="auto"/>
          <w:kern w:val="0"/>
          <w:sz w:val="32"/>
          <w:szCs w:val="32"/>
          <w:highlight w:val="none"/>
        </w:rPr>
      </w:pPr>
    </w:p>
    <w:p>
      <w:pPr>
        <w:widowControl/>
        <w:jc w:val="left"/>
        <w:rPr>
          <w:rFonts w:ascii="仿宋_GB2312" w:eastAsia="仿宋_GB2312"/>
          <w:color w:val="auto"/>
          <w:sz w:val="32"/>
          <w:szCs w:val="32"/>
          <w:highlight w:val="none"/>
        </w:rPr>
      </w:pPr>
    </w:p>
    <w:sectPr>
      <w:footerReference r:id="rId11"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hs_boot">
    <w:altName w:val="宋体"/>
    <w:panose1 w:val="00000000000000000000"/>
    <w:charset w:val="00"/>
    <w:family w:val="swiss"/>
    <w:pitch w:val="default"/>
    <w:sig w:usb0="00000000" w:usb1="00000000" w:usb2="00000016" w:usb3="00000000" w:csb0="001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50</w:t>
                    </w:r>
                    <w:r>
                      <w:fldChar w:fldCharType="end"/>
                    </w:r>
                  </w:p>
                </w:txbxContent>
              </v:textbox>
            </v:shape>
          </w:pict>
        </mc:Fallback>
      </mc:AlternateContent>
    </w:r>
  </w:p>
  <w:p>
    <w:pPr>
      <w:pStyle w:val="2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49</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58802951"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21"/>
                          </w:pP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4vdRNAAAAACAQAADwAAAAAAAAABACAAAAAi&#10;AAAAZHJzL2Rvd25yZXYueG1sUEsBAhQAFAAAAAgAh07iQJE1aD4SAgAACgQAAA4AAAAAAAAAAQAg&#10;AAAAHwEAAGRycy9lMm9Eb2MueG1sUEsFBgAAAAAGAAYAWQEAAKMFAAAAAA==&#10;">
              <v:fill on="f" focussize="0,0"/>
              <v:stroke on="f"/>
              <v:imagedata o:title=""/>
              <o:lock v:ext="edit" aspectratio="f"/>
              <v:textbox inset="0mm,0mm,0mm,0mm" style="mso-fit-shape-to-text:t;">
                <w:txbxContent>
                  <w:p>
                    <w:pPr>
                      <w:pStyle w:val="2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仿宋_GB2312" w:eastAsia="仿宋_GB2312"/>
      </w:rPr>
    </w:pPr>
    <w:r>
      <w:rPr>
        <w:rFonts w:hint="eastAsia" w:ascii="仿宋_GB2312" w:eastAsia="仿宋_GB2312"/>
      </w:rPr>
      <w:t>开封市政府采购中心政府采购招标文件</w:t>
    </w:r>
  </w:p>
  <w:p>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993D3DE8"/>
    <w:multiLevelType w:val="singleLevel"/>
    <w:tmpl w:val="993D3DE8"/>
    <w:lvl w:ilvl="0" w:tentative="0">
      <w:start w:val="1"/>
      <w:numFmt w:val="decimal"/>
      <w:suff w:val="nothing"/>
      <w:lvlText w:val="%1、"/>
      <w:lvlJc w:val="left"/>
    </w:lvl>
  </w:abstractNum>
  <w:abstractNum w:abstractNumId="3">
    <w:nsid w:val="ADC82848"/>
    <w:multiLevelType w:val="singleLevel"/>
    <w:tmpl w:val="ADC82848"/>
    <w:lvl w:ilvl="0" w:tentative="0">
      <w:start w:val="5"/>
      <w:numFmt w:val="decimal"/>
      <w:suff w:val="nothing"/>
      <w:lvlText w:val="%1、"/>
      <w:lvlJc w:val="left"/>
    </w:lvl>
  </w:abstractNum>
  <w:abstractNum w:abstractNumId="4">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5">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6">
    <w:nsid w:val="17971DFB"/>
    <w:multiLevelType w:val="singleLevel"/>
    <w:tmpl w:val="17971DFB"/>
    <w:lvl w:ilvl="0" w:tentative="0">
      <w:start w:val="1"/>
      <w:numFmt w:val="chineseCounting"/>
      <w:suff w:val="nothing"/>
      <w:lvlText w:val="%1、"/>
      <w:lvlJc w:val="left"/>
      <w:rPr>
        <w:rFonts w:hint="eastAsia"/>
      </w:rPr>
    </w:lvl>
  </w:abstractNum>
  <w:abstractNum w:abstractNumId="7">
    <w:nsid w:val="29C65DBA"/>
    <w:multiLevelType w:val="multilevel"/>
    <w:tmpl w:val="29C65DBA"/>
    <w:lvl w:ilvl="0" w:tentative="0">
      <w:start w:val="2"/>
      <w:numFmt w:val="japaneseCounting"/>
      <w:lvlText w:val="（%1）"/>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9">
    <w:nsid w:val="326FAE77"/>
    <w:multiLevelType w:val="singleLevel"/>
    <w:tmpl w:val="326FAE77"/>
    <w:lvl w:ilvl="0" w:tentative="0">
      <w:start w:val="1"/>
      <w:numFmt w:val="decimal"/>
      <w:suff w:val="space"/>
      <w:lvlText w:val="%1."/>
      <w:lvlJc w:val="left"/>
    </w:lvl>
  </w:abstractNum>
  <w:abstractNum w:abstractNumId="10">
    <w:nsid w:val="4FD6D262"/>
    <w:multiLevelType w:val="singleLevel"/>
    <w:tmpl w:val="4FD6D262"/>
    <w:lvl w:ilvl="0" w:tentative="0">
      <w:start w:val="1"/>
      <w:numFmt w:val="decimal"/>
      <w:lvlText w:val="%1."/>
      <w:lvlJc w:val="left"/>
      <w:pPr>
        <w:ind w:left="425" w:hanging="425"/>
      </w:pPr>
      <w:rPr>
        <w:rFonts w:hint="default"/>
      </w:rPr>
    </w:lvl>
  </w:abstractNum>
  <w:abstractNum w:abstractNumId="11">
    <w:nsid w:val="64CF817D"/>
    <w:multiLevelType w:val="singleLevel"/>
    <w:tmpl w:val="64CF817D"/>
    <w:lvl w:ilvl="0" w:tentative="0">
      <w:start w:val="1"/>
      <w:numFmt w:val="chineseCounting"/>
      <w:suff w:val="nothing"/>
      <w:lvlText w:val="%1、"/>
      <w:lvlJc w:val="left"/>
      <w:pPr>
        <w:ind w:left="0" w:firstLine="420"/>
      </w:pPr>
      <w:rPr>
        <w:rFonts w:hint="eastAsia"/>
      </w:rPr>
    </w:lvl>
  </w:abstractNum>
  <w:abstractNum w:abstractNumId="12">
    <w:nsid w:val="790079DA"/>
    <w:multiLevelType w:val="singleLevel"/>
    <w:tmpl w:val="790079DA"/>
    <w:lvl w:ilvl="0" w:tentative="0">
      <w:start w:val="3"/>
      <w:numFmt w:val="chineseCounting"/>
      <w:suff w:val="nothing"/>
      <w:lvlText w:val="%1、"/>
      <w:lvlJc w:val="left"/>
      <w:rPr>
        <w:rFonts w:hint="eastAsia"/>
      </w:rPr>
    </w:lvl>
  </w:abstractNum>
  <w:num w:numId="1">
    <w:abstractNumId w:val="1"/>
  </w:num>
  <w:num w:numId="2">
    <w:abstractNumId w:val="3"/>
  </w:num>
  <w:num w:numId="3">
    <w:abstractNumId w:val="4"/>
  </w:num>
  <w:num w:numId="4">
    <w:abstractNumId w:val="5"/>
  </w:num>
  <w:num w:numId="5">
    <w:abstractNumId w:val="2"/>
  </w:num>
  <w:num w:numId="6">
    <w:abstractNumId w:val="9"/>
  </w:num>
  <w:num w:numId="7">
    <w:abstractNumId w:val="10"/>
  </w:num>
  <w:num w:numId="8">
    <w:abstractNumId w:val="8"/>
  </w:num>
  <w:num w:numId="9">
    <w:abstractNumId w:val="12"/>
  </w:num>
  <w:num w:numId="10">
    <w:abstractNumId w:val="6"/>
  </w:num>
  <w:num w:numId="11">
    <w:abstractNumId w:val="11"/>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67A76"/>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3771DC"/>
    <w:rsid w:val="03393105"/>
    <w:rsid w:val="033F77AA"/>
    <w:rsid w:val="033F7AFD"/>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C6184"/>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A0E2E"/>
    <w:rsid w:val="0A5E2522"/>
    <w:rsid w:val="0A6F05CA"/>
    <w:rsid w:val="0A876394"/>
    <w:rsid w:val="0A8A698E"/>
    <w:rsid w:val="0A8B7390"/>
    <w:rsid w:val="0A933566"/>
    <w:rsid w:val="0AA24248"/>
    <w:rsid w:val="0AA7498D"/>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B44B0"/>
    <w:rsid w:val="0BD51A4F"/>
    <w:rsid w:val="0BE054A7"/>
    <w:rsid w:val="0BF04736"/>
    <w:rsid w:val="0BF16E09"/>
    <w:rsid w:val="0BF91214"/>
    <w:rsid w:val="0BFB0479"/>
    <w:rsid w:val="0C02432C"/>
    <w:rsid w:val="0C117EF3"/>
    <w:rsid w:val="0C1465FD"/>
    <w:rsid w:val="0C180307"/>
    <w:rsid w:val="0C1F4542"/>
    <w:rsid w:val="0C220839"/>
    <w:rsid w:val="0C2564DE"/>
    <w:rsid w:val="0C2D4BF7"/>
    <w:rsid w:val="0C2D7F94"/>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C139E"/>
    <w:rsid w:val="0FD31486"/>
    <w:rsid w:val="0FE61E3D"/>
    <w:rsid w:val="0FEF6A66"/>
    <w:rsid w:val="0FFC1742"/>
    <w:rsid w:val="0FFE2130"/>
    <w:rsid w:val="10174031"/>
    <w:rsid w:val="102A39F0"/>
    <w:rsid w:val="103449ED"/>
    <w:rsid w:val="10367DFD"/>
    <w:rsid w:val="103C2486"/>
    <w:rsid w:val="104C7B89"/>
    <w:rsid w:val="106D155F"/>
    <w:rsid w:val="106F4149"/>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F35801"/>
    <w:rsid w:val="11F97327"/>
    <w:rsid w:val="11FC5678"/>
    <w:rsid w:val="121508E7"/>
    <w:rsid w:val="12396910"/>
    <w:rsid w:val="12396A15"/>
    <w:rsid w:val="12422B59"/>
    <w:rsid w:val="12473638"/>
    <w:rsid w:val="124F770E"/>
    <w:rsid w:val="125455B6"/>
    <w:rsid w:val="12652E2F"/>
    <w:rsid w:val="12774495"/>
    <w:rsid w:val="12B72298"/>
    <w:rsid w:val="12B92B80"/>
    <w:rsid w:val="12C434C0"/>
    <w:rsid w:val="12DA262E"/>
    <w:rsid w:val="12E4182F"/>
    <w:rsid w:val="12EA49F9"/>
    <w:rsid w:val="12F808F3"/>
    <w:rsid w:val="12FE5880"/>
    <w:rsid w:val="133236CD"/>
    <w:rsid w:val="133B6A25"/>
    <w:rsid w:val="1342014B"/>
    <w:rsid w:val="134A0A16"/>
    <w:rsid w:val="135A7AEB"/>
    <w:rsid w:val="135E0C2E"/>
    <w:rsid w:val="135F3508"/>
    <w:rsid w:val="136070E5"/>
    <w:rsid w:val="138133C6"/>
    <w:rsid w:val="138C13B1"/>
    <w:rsid w:val="13994D5D"/>
    <w:rsid w:val="13B34C36"/>
    <w:rsid w:val="13CA7CC7"/>
    <w:rsid w:val="13CF0B97"/>
    <w:rsid w:val="13F60B9E"/>
    <w:rsid w:val="13F839D7"/>
    <w:rsid w:val="13FA1A5D"/>
    <w:rsid w:val="13FC512B"/>
    <w:rsid w:val="14003282"/>
    <w:rsid w:val="140943F6"/>
    <w:rsid w:val="1429755F"/>
    <w:rsid w:val="14435F96"/>
    <w:rsid w:val="14501FA4"/>
    <w:rsid w:val="14513B72"/>
    <w:rsid w:val="14575098"/>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672B7C"/>
    <w:rsid w:val="18707E15"/>
    <w:rsid w:val="188643B8"/>
    <w:rsid w:val="188B2D6D"/>
    <w:rsid w:val="188F3C2E"/>
    <w:rsid w:val="18914013"/>
    <w:rsid w:val="18A33803"/>
    <w:rsid w:val="18AA1733"/>
    <w:rsid w:val="18C94A94"/>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7F5CCE"/>
    <w:rsid w:val="1AA05880"/>
    <w:rsid w:val="1AFC1190"/>
    <w:rsid w:val="1B0510F1"/>
    <w:rsid w:val="1B0644E6"/>
    <w:rsid w:val="1B2D1349"/>
    <w:rsid w:val="1B2F1017"/>
    <w:rsid w:val="1B5E59A7"/>
    <w:rsid w:val="1B652F97"/>
    <w:rsid w:val="1B72386C"/>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E2199"/>
    <w:rsid w:val="20D01EB7"/>
    <w:rsid w:val="20D22ECB"/>
    <w:rsid w:val="20F22122"/>
    <w:rsid w:val="20F557A1"/>
    <w:rsid w:val="20FE424D"/>
    <w:rsid w:val="210303E4"/>
    <w:rsid w:val="21240098"/>
    <w:rsid w:val="21244F9D"/>
    <w:rsid w:val="213749DC"/>
    <w:rsid w:val="21416D41"/>
    <w:rsid w:val="2142426F"/>
    <w:rsid w:val="21431371"/>
    <w:rsid w:val="214A2426"/>
    <w:rsid w:val="214C33EF"/>
    <w:rsid w:val="215525E8"/>
    <w:rsid w:val="2156204B"/>
    <w:rsid w:val="215C4E9A"/>
    <w:rsid w:val="216457A9"/>
    <w:rsid w:val="217C1192"/>
    <w:rsid w:val="219537A4"/>
    <w:rsid w:val="21962AAA"/>
    <w:rsid w:val="219A6D4B"/>
    <w:rsid w:val="21AB495F"/>
    <w:rsid w:val="21C43C75"/>
    <w:rsid w:val="21C97EEF"/>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1385C"/>
    <w:rsid w:val="231565F6"/>
    <w:rsid w:val="23407CCF"/>
    <w:rsid w:val="2341368A"/>
    <w:rsid w:val="23443B5F"/>
    <w:rsid w:val="234E7A9A"/>
    <w:rsid w:val="236773C3"/>
    <w:rsid w:val="236E0751"/>
    <w:rsid w:val="2375458A"/>
    <w:rsid w:val="2378337E"/>
    <w:rsid w:val="239D405B"/>
    <w:rsid w:val="239D5ED0"/>
    <w:rsid w:val="23B3034A"/>
    <w:rsid w:val="23B32618"/>
    <w:rsid w:val="23B64E06"/>
    <w:rsid w:val="23D40C4E"/>
    <w:rsid w:val="23F25E4D"/>
    <w:rsid w:val="240011DA"/>
    <w:rsid w:val="24004AB2"/>
    <w:rsid w:val="240626FC"/>
    <w:rsid w:val="24085CFA"/>
    <w:rsid w:val="240943E8"/>
    <w:rsid w:val="240E302D"/>
    <w:rsid w:val="242A1D2C"/>
    <w:rsid w:val="245C2990"/>
    <w:rsid w:val="24625EFC"/>
    <w:rsid w:val="246A53BC"/>
    <w:rsid w:val="246F1D58"/>
    <w:rsid w:val="247A18C3"/>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D1437"/>
    <w:rsid w:val="28795561"/>
    <w:rsid w:val="288167BA"/>
    <w:rsid w:val="288818EE"/>
    <w:rsid w:val="288D39AB"/>
    <w:rsid w:val="2899A4CA"/>
    <w:rsid w:val="289A5396"/>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62605"/>
    <w:rsid w:val="2C1B755F"/>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F73D3E"/>
    <w:rsid w:val="2D052228"/>
    <w:rsid w:val="2D26387C"/>
    <w:rsid w:val="2D2638BF"/>
    <w:rsid w:val="2D264FE2"/>
    <w:rsid w:val="2D266A1B"/>
    <w:rsid w:val="2D2C63EA"/>
    <w:rsid w:val="2D2E53F9"/>
    <w:rsid w:val="2D580189"/>
    <w:rsid w:val="2D660E42"/>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F66EF4"/>
    <w:rsid w:val="2DFA2E0B"/>
    <w:rsid w:val="2DFC41AD"/>
    <w:rsid w:val="2E180085"/>
    <w:rsid w:val="2E25717B"/>
    <w:rsid w:val="2E3713DB"/>
    <w:rsid w:val="2E4171C4"/>
    <w:rsid w:val="2E4511F3"/>
    <w:rsid w:val="2E525C15"/>
    <w:rsid w:val="2E5E54B9"/>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390163"/>
    <w:rsid w:val="313930CC"/>
    <w:rsid w:val="313A4199"/>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1A587C"/>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B4322"/>
    <w:rsid w:val="32CC0B3A"/>
    <w:rsid w:val="32E9446A"/>
    <w:rsid w:val="32ED6D0D"/>
    <w:rsid w:val="32EE21EF"/>
    <w:rsid w:val="32FB6F3A"/>
    <w:rsid w:val="32FE403C"/>
    <w:rsid w:val="3301516C"/>
    <w:rsid w:val="330847A6"/>
    <w:rsid w:val="330E3473"/>
    <w:rsid w:val="331D6515"/>
    <w:rsid w:val="332445D4"/>
    <w:rsid w:val="33374A05"/>
    <w:rsid w:val="333F7A14"/>
    <w:rsid w:val="33420DD0"/>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E1B9C"/>
    <w:rsid w:val="354268E3"/>
    <w:rsid w:val="354C1621"/>
    <w:rsid w:val="354D3607"/>
    <w:rsid w:val="35513745"/>
    <w:rsid w:val="35521CDA"/>
    <w:rsid w:val="35797275"/>
    <w:rsid w:val="35900175"/>
    <w:rsid w:val="359C56FD"/>
    <w:rsid w:val="35AD5FDE"/>
    <w:rsid w:val="35AF3C99"/>
    <w:rsid w:val="35B244CD"/>
    <w:rsid w:val="35BD4675"/>
    <w:rsid w:val="35BF0570"/>
    <w:rsid w:val="35D24B6F"/>
    <w:rsid w:val="35D31D82"/>
    <w:rsid w:val="35F3196D"/>
    <w:rsid w:val="35F66D7E"/>
    <w:rsid w:val="36010FB1"/>
    <w:rsid w:val="36071834"/>
    <w:rsid w:val="3615268B"/>
    <w:rsid w:val="362C71B5"/>
    <w:rsid w:val="363E5073"/>
    <w:rsid w:val="366531FD"/>
    <w:rsid w:val="366559E4"/>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B02C8E"/>
    <w:rsid w:val="37BD5263"/>
    <w:rsid w:val="37BDBCE1"/>
    <w:rsid w:val="37BE5BCC"/>
    <w:rsid w:val="37BF2ED1"/>
    <w:rsid w:val="37DC25AF"/>
    <w:rsid w:val="37DD2E3D"/>
    <w:rsid w:val="37E42D93"/>
    <w:rsid w:val="37E82C91"/>
    <w:rsid w:val="37F92688"/>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C26CA9"/>
    <w:rsid w:val="39F134B3"/>
    <w:rsid w:val="3A041E9E"/>
    <w:rsid w:val="3A047516"/>
    <w:rsid w:val="3A051129"/>
    <w:rsid w:val="3A0B3F2D"/>
    <w:rsid w:val="3A1F6829"/>
    <w:rsid w:val="3A26548A"/>
    <w:rsid w:val="3A287497"/>
    <w:rsid w:val="3A296D28"/>
    <w:rsid w:val="3A384A7C"/>
    <w:rsid w:val="3A3A6426"/>
    <w:rsid w:val="3A402A4E"/>
    <w:rsid w:val="3A471399"/>
    <w:rsid w:val="3A485400"/>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8000C"/>
    <w:rsid w:val="3B2E4193"/>
    <w:rsid w:val="3B5249B8"/>
    <w:rsid w:val="3B5C71EE"/>
    <w:rsid w:val="3B64395D"/>
    <w:rsid w:val="3B6D2223"/>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CF9518E"/>
    <w:rsid w:val="3D0C6484"/>
    <w:rsid w:val="3D2008B6"/>
    <w:rsid w:val="3D2D072D"/>
    <w:rsid w:val="3D38472D"/>
    <w:rsid w:val="3D4445A5"/>
    <w:rsid w:val="3D463A9A"/>
    <w:rsid w:val="3D60664C"/>
    <w:rsid w:val="3DA407DA"/>
    <w:rsid w:val="3DCA0ECE"/>
    <w:rsid w:val="3DCC6120"/>
    <w:rsid w:val="3DD700F5"/>
    <w:rsid w:val="3DDA529F"/>
    <w:rsid w:val="3DDC7181"/>
    <w:rsid w:val="3DEE62BF"/>
    <w:rsid w:val="3DFB5797"/>
    <w:rsid w:val="3E123215"/>
    <w:rsid w:val="3E146DC6"/>
    <w:rsid w:val="3E2A0839"/>
    <w:rsid w:val="3E412892"/>
    <w:rsid w:val="3E432AAE"/>
    <w:rsid w:val="3E565B39"/>
    <w:rsid w:val="3E5B4912"/>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3201"/>
    <w:rsid w:val="40165819"/>
    <w:rsid w:val="40182F4B"/>
    <w:rsid w:val="40194644"/>
    <w:rsid w:val="402874E5"/>
    <w:rsid w:val="403368E6"/>
    <w:rsid w:val="40404565"/>
    <w:rsid w:val="40406474"/>
    <w:rsid w:val="40430B3B"/>
    <w:rsid w:val="404E1296"/>
    <w:rsid w:val="4056247D"/>
    <w:rsid w:val="4058616F"/>
    <w:rsid w:val="405A7C3B"/>
    <w:rsid w:val="406C13E9"/>
    <w:rsid w:val="40773485"/>
    <w:rsid w:val="407F608A"/>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B13CAF"/>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386DC7"/>
    <w:rsid w:val="444B0AB7"/>
    <w:rsid w:val="44546674"/>
    <w:rsid w:val="446A779D"/>
    <w:rsid w:val="446B06FF"/>
    <w:rsid w:val="44843DC2"/>
    <w:rsid w:val="448D5A66"/>
    <w:rsid w:val="44A410C8"/>
    <w:rsid w:val="44A616A1"/>
    <w:rsid w:val="44AA25B1"/>
    <w:rsid w:val="44B35568"/>
    <w:rsid w:val="44CA5540"/>
    <w:rsid w:val="44E26451"/>
    <w:rsid w:val="44E61C88"/>
    <w:rsid w:val="44F81AEE"/>
    <w:rsid w:val="44FA76E5"/>
    <w:rsid w:val="450A088A"/>
    <w:rsid w:val="451323E3"/>
    <w:rsid w:val="45356B84"/>
    <w:rsid w:val="454B5917"/>
    <w:rsid w:val="454D7D6F"/>
    <w:rsid w:val="455603DA"/>
    <w:rsid w:val="4562080B"/>
    <w:rsid w:val="457A48DC"/>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3A1088"/>
    <w:rsid w:val="463F4E04"/>
    <w:rsid w:val="46443B98"/>
    <w:rsid w:val="4653372D"/>
    <w:rsid w:val="465E0296"/>
    <w:rsid w:val="4660794F"/>
    <w:rsid w:val="466F6906"/>
    <w:rsid w:val="46757F48"/>
    <w:rsid w:val="467F21AA"/>
    <w:rsid w:val="46832EC4"/>
    <w:rsid w:val="46874AF7"/>
    <w:rsid w:val="469D7C7D"/>
    <w:rsid w:val="46A2546A"/>
    <w:rsid w:val="46A626BE"/>
    <w:rsid w:val="46C358F2"/>
    <w:rsid w:val="46E84189"/>
    <w:rsid w:val="46FB1A26"/>
    <w:rsid w:val="46FB4F0D"/>
    <w:rsid w:val="47013FF5"/>
    <w:rsid w:val="470352B6"/>
    <w:rsid w:val="47174AD8"/>
    <w:rsid w:val="473F5D2E"/>
    <w:rsid w:val="47437DF0"/>
    <w:rsid w:val="474B1D32"/>
    <w:rsid w:val="475C24EB"/>
    <w:rsid w:val="47623D37"/>
    <w:rsid w:val="476A4880"/>
    <w:rsid w:val="476D355D"/>
    <w:rsid w:val="477B5067"/>
    <w:rsid w:val="477F1359"/>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13619"/>
    <w:rsid w:val="4A4200BE"/>
    <w:rsid w:val="4A595408"/>
    <w:rsid w:val="4A5D78CD"/>
    <w:rsid w:val="4A6B71F5"/>
    <w:rsid w:val="4A6D53AC"/>
    <w:rsid w:val="4A7B678A"/>
    <w:rsid w:val="4A953BED"/>
    <w:rsid w:val="4AC4127E"/>
    <w:rsid w:val="4AC665FA"/>
    <w:rsid w:val="4AD109E2"/>
    <w:rsid w:val="4AD52A4C"/>
    <w:rsid w:val="4AD85F80"/>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17531"/>
    <w:rsid w:val="4DFE254E"/>
    <w:rsid w:val="4E0263E8"/>
    <w:rsid w:val="4E03137F"/>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347CC"/>
    <w:rsid w:val="50E579F5"/>
    <w:rsid w:val="50EF2A50"/>
    <w:rsid w:val="510F05CE"/>
    <w:rsid w:val="511E12FF"/>
    <w:rsid w:val="5157604D"/>
    <w:rsid w:val="515A3289"/>
    <w:rsid w:val="515D758B"/>
    <w:rsid w:val="51676DFF"/>
    <w:rsid w:val="51682F45"/>
    <w:rsid w:val="5178039D"/>
    <w:rsid w:val="51870AAC"/>
    <w:rsid w:val="51915487"/>
    <w:rsid w:val="51932FAD"/>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49231F"/>
    <w:rsid w:val="555F0079"/>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33F8D"/>
    <w:rsid w:val="5785381A"/>
    <w:rsid w:val="57B40731"/>
    <w:rsid w:val="57BD0238"/>
    <w:rsid w:val="57CA583D"/>
    <w:rsid w:val="57F553A3"/>
    <w:rsid w:val="58005114"/>
    <w:rsid w:val="58076E2A"/>
    <w:rsid w:val="580A7FCA"/>
    <w:rsid w:val="580E4305"/>
    <w:rsid w:val="582744CB"/>
    <w:rsid w:val="583472EB"/>
    <w:rsid w:val="58457081"/>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111763"/>
    <w:rsid w:val="5A141C15"/>
    <w:rsid w:val="5A386AC4"/>
    <w:rsid w:val="5A3B1633"/>
    <w:rsid w:val="5A614EC3"/>
    <w:rsid w:val="5A6A4473"/>
    <w:rsid w:val="5A822CB6"/>
    <w:rsid w:val="5A883ACC"/>
    <w:rsid w:val="5A89170D"/>
    <w:rsid w:val="5A951B44"/>
    <w:rsid w:val="5A9E4652"/>
    <w:rsid w:val="5AA34820"/>
    <w:rsid w:val="5ABA5DFE"/>
    <w:rsid w:val="5AC46702"/>
    <w:rsid w:val="5ACA752C"/>
    <w:rsid w:val="5ADB4989"/>
    <w:rsid w:val="5ADD12F1"/>
    <w:rsid w:val="5ADD678A"/>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C9758F"/>
    <w:rsid w:val="5BD364CA"/>
    <w:rsid w:val="5BD62312"/>
    <w:rsid w:val="5BEA4A79"/>
    <w:rsid w:val="5BEA61EE"/>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375DE"/>
    <w:rsid w:val="5F4A65CE"/>
    <w:rsid w:val="5F5475FA"/>
    <w:rsid w:val="5F567D9F"/>
    <w:rsid w:val="5F650A27"/>
    <w:rsid w:val="5F785718"/>
    <w:rsid w:val="5F794626"/>
    <w:rsid w:val="5F840C68"/>
    <w:rsid w:val="5F8779E8"/>
    <w:rsid w:val="5F8C3EEF"/>
    <w:rsid w:val="5FC32D89"/>
    <w:rsid w:val="5FC50612"/>
    <w:rsid w:val="5FC722E8"/>
    <w:rsid w:val="5FEA370B"/>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210E1"/>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C5629"/>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B37CD"/>
    <w:rsid w:val="648226C8"/>
    <w:rsid w:val="64963088"/>
    <w:rsid w:val="649C6ACA"/>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FF0C5F"/>
    <w:rsid w:val="67FF8B64"/>
    <w:rsid w:val="680D7763"/>
    <w:rsid w:val="682162F1"/>
    <w:rsid w:val="682E6D63"/>
    <w:rsid w:val="684C2BD7"/>
    <w:rsid w:val="68533339"/>
    <w:rsid w:val="68680898"/>
    <w:rsid w:val="68685893"/>
    <w:rsid w:val="686F00CC"/>
    <w:rsid w:val="68762BDA"/>
    <w:rsid w:val="68770F26"/>
    <w:rsid w:val="688E486E"/>
    <w:rsid w:val="68953657"/>
    <w:rsid w:val="68A94636"/>
    <w:rsid w:val="68C47A98"/>
    <w:rsid w:val="68C64D5F"/>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305BA"/>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B92B8F"/>
    <w:rsid w:val="6BBEAF0D"/>
    <w:rsid w:val="6BC4419C"/>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CD611B"/>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B0514"/>
    <w:rsid w:val="6F1D7A2C"/>
    <w:rsid w:val="6F2F0361"/>
    <w:rsid w:val="6F4B556B"/>
    <w:rsid w:val="6F521DA8"/>
    <w:rsid w:val="6F56268D"/>
    <w:rsid w:val="6F5738DB"/>
    <w:rsid w:val="6F7524D3"/>
    <w:rsid w:val="6F7A3AB1"/>
    <w:rsid w:val="6F7E0E20"/>
    <w:rsid w:val="6F8B5EDC"/>
    <w:rsid w:val="6F933826"/>
    <w:rsid w:val="6FA44B57"/>
    <w:rsid w:val="6FAD7B35"/>
    <w:rsid w:val="6FB2669E"/>
    <w:rsid w:val="6FBD68AC"/>
    <w:rsid w:val="6FC05C17"/>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3B0EDB"/>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6770F1"/>
    <w:rsid w:val="72745768"/>
    <w:rsid w:val="727A5D97"/>
    <w:rsid w:val="729130E1"/>
    <w:rsid w:val="72927344"/>
    <w:rsid w:val="7295156C"/>
    <w:rsid w:val="729D2580"/>
    <w:rsid w:val="72A67B87"/>
    <w:rsid w:val="72B4208D"/>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314888"/>
    <w:rsid w:val="7458018C"/>
    <w:rsid w:val="745B1793"/>
    <w:rsid w:val="7461241C"/>
    <w:rsid w:val="746820E1"/>
    <w:rsid w:val="747431F1"/>
    <w:rsid w:val="7475083E"/>
    <w:rsid w:val="74794E04"/>
    <w:rsid w:val="7497700C"/>
    <w:rsid w:val="749E606B"/>
    <w:rsid w:val="74A108C3"/>
    <w:rsid w:val="74A51618"/>
    <w:rsid w:val="74A761E5"/>
    <w:rsid w:val="74B84955"/>
    <w:rsid w:val="74D82307"/>
    <w:rsid w:val="74DD2099"/>
    <w:rsid w:val="74EB19F9"/>
    <w:rsid w:val="74FA3218"/>
    <w:rsid w:val="75014144"/>
    <w:rsid w:val="750712FE"/>
    <w:rsid w:val="75086702"/>
    <w:rsid w:val="75137C89"/>
    <w:rsid w:val="753078C7"/>
    <w:rsid w:val="753164B5"/>
    <w:rsid w:val="7537210A"/>
    <w:rsid w:val="753D0242"/>
    <w:rsid w:val="75405EF4"/>
    <w:rsid w:val="75591E6C"/>
    <w:rsid w:val="755F74C6"/>
    <w:rsid w:val="75653843"/>
    <w:rsid w:val="75666F53"/>
    <w:rsid w:val="756A393F"/>
    <w:rsid w:val="756D6C3E"/>
    <w:rsid w:val="757836DE"/>
    <w:rsid w:val="758E6C35"/>
    <w:rsid w:val="759A2644"/>
    <w:rsid w:val="75A53176"/>
    <w:rsid w:val="75B3143C"/>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94F71"/>
    <w:rsid w:val="76EA5F76"/>
    <w:rsid w:val="76F118C6"/>
    <w:rsid w:val="77040325"/>
    <w:rsid w:val="77040389"/>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A47F4"/>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1209C3"/>
    <w:rsid w:val="7A385FB5"/>
    <w:rsid w:val="7A634B02"/>
    <w:rsid w:val="7A8A7BB0"/>
    <w:rsid w:val="7A8EDC86"/>
    <w:rsid w:val="7A9279C8"/>
    <w:rsid w:val="7A934189"/>
    <w:rsid w:val="7A980376"/>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74F02E"/>
    <w:rsid w:val="7B8210B6"/>
    <w:rsid w:val="7B840910"/>
    <w:rsid w:val="7B913AEA"/>
    <w:rsid w:val="7B95779E"/>
    <w:rsid w:val="7BB22371"/>
    <w:rsid w:val="7BBF481B"/>
    <w:rsid w:val="7BC77A59"/>
    <w:rsid w:val="7BE05AFD"/>
    <w:rsid w:val="7BE74879"/>
    <w:rsid w:val="7BF30969"/>
    <w:rsid w:val="7BF658F4"/>
    <w:rsid w:val="7C121D64"/>
    <w:rsid w:val="7C1558B6"/>
    <w:rsid w:val="7C294018"/>
    <w:rsid w:val="7C2D37DB"/>
    <w:rsid w:val="7C3920FC"/>
    <w:rsid w:val="7C400DC2"/>
    <w:rsid w:val="7C4B7CC8"/>
    <w:rsid w:val="7C65738C"/>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9A3681"/>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43"/>
    <w:autoRedefine/>
    <w:qFormat/>
    <w:uiPriority w:val="0"/>
    <w:pPr>
      <w:keepNext/>
      <w:keepLines/>
      <w:spacing w:before="340" w:after="330" w:line="576" w:lineRule="auto"/>
      <w:outlineLvl w:val="0"/>
    </w:pPr>
    <w:rPr>
      <w:b/>
      <w:bCs/>
      <w:kern w:val="44"/>
      <w:sz w:val="44"/>
      <w:szCs w:val="44"/>
    </w:rPr>
  </w:style>
  <w:style w:type="paragraph" w:styleId="7">
    <w:name w:val="heading 2"/>
    <w:basedOn w:val="1"/>
    <w:next w:val="1"/>
    <w:link w:val="44"/>
    <w:autoRedefine/>
    <w:qFormat/>
    <w:uiPriority w:val="0"/>
    <w:pPr>
      <w:keepNext/>
      <w:keepLines/>
      <w:spacing w:before="260" w:after="260" w:line="415" w:lineRule="auto"/>
      <w:outlineLvl w:val="1"/>
    </w:pPr>
    <w:rPr>
      <w:rFonts w:ascii="Arial" w:hAnsi="Arial" w:eastAsia="黑体"/>
      <w:b/>
      <w:bCs/>
      <w:sz w:val="32"/>
      <w:szCs w:val="32"/>
    </w:rPr>
  </w:style>
  <w:style w:type="paragraph" w:styleId="8">
    <w:name w:val="heading 3"/>
    <w:basedOn w:val="1"/>
    <w:next w:val="1"/>
    <w:autoRedefine/>
    <w:qFormat/>
    <w:uiPriority w:val="0"/>
    <w:pPr>
      <w:keepNext/>
      <w:keepLines/>
      <w:spacing w:before="260" w:after="260" w:line="415" w:lineRule="auto"/>
      <w:outlineLvl w:val="2"/>
    </w:pPr>
    <w:rPr>
      <w:b/>
      <w:bCs/>
      <w:sz w:val="32"/>
      <w:szCs w:val="32"/>
    </w:rPr>
  </w:style>
  <w:style w:type="paragraph" w:styleId="9">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6">
    <w:name w:val="Default Paragraph Font"/>
    <w:autoRedefine/>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next w:val="5"/>
    <w:autoRedefine/>
    <w:qFormat/>
    <w:uiPriority w:val="0"/>
    <w:pPr>
      <w:ind w:firstLine="420" w:firstLineChars="200"/>
    </w:pPr>
  </w:style>
  <w:style w:type="paragraph" w:customStyle="1" w:styleId="3">
    <w:name w:val="Body Text Indent1"/>
    <w:basedOn w:val="1"/>
    <w:next w:val="4"/>
    <w:autoRedefine/>
    <w:qFormat/>
    <w:uiPriority w:val="0"/>
    <w:pPr>
      <w:spacing w:after="120"/>
      <w:ind w:left="420" w:leftChars="200"/>
    </w:pPr>
  </w:style>
  <w:style w:type="paragraph" w:styleId="4">
    <w:name w:val="Body Text"/>
    <w:basedOn w:val="1"/>
    <w:next w:val="1"/>
    <w:link w:val="46"/>
    <w:autoRedefine/>
    <w:qFormat/>
    <w:uiPriority w:val="0"/>
    <w:pPr>
      <w:spacing w:after="120"/>
    </w:pPr>
  </w:style>
  <w:style w:type="paragraph" w:customStyle="1" w:styleId="5">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styleId="10">
    <w:name w:val="toc 7"/>
    <w:basedOn w:val="1"/>
    <w:next w:val="1"/>
    <w:autoRedefine/>
    <w:semiHidden/>
    <w:qFormat/>
    <w:uiPriority w:val="0"/>
    <w:pPr>
      <w:ind w:left="1260"/>
      <w:jc w:val="left"/>
    </w:pPr>
    <w:rPr>
      <w:sz w:val="18"/>
      <w:szCs w:val="18"/>
    </w:rPr>
  </w:style>
  <w:style w:type="paragraph" w:styleId="11">
    <w:name w:val="Normal Indent"/>
    <w:basedOn w:val="1"/>
    <w:autoRedefine/>
    <w:qFormat/>
    <w:uiPriority w:val="0"/>
    <w:pPr>
      <w:ind w:firstLine="420"/>
    </w:pPr>
    <w:rPr>
      <w:szCs w:val="20"/>
    </w:rPr>
  </w:style>
  <w:style w:type="paragraph" w:styleId="12">
    <w:name w:val="annotation text"/>
    <w:basedOn w:val="1"/>
    <w:link w:val="45"/>
    <w:autoRedefine/>
    <w:semiHidden/>
    <w:qFormat/>
    <w:uiPriority w:val="0"/>
    <w:pPr>
      <w:jc w:val="left"/>
    </w:pPr>
  </w:style>
  <w:style w:type="paragraph" w:styleId="13">
    <w:name w:val="Body Text 3"/>
    <w:basedOn w:val="1"/>
    <w:autoRedefine/>
    <w:qFormat/>
    <w:uiPriority w:val="0"/>
    <w:rPr>
      <w:rFonts w:ascii="宋体"/>
      <w:sz w:val="24"/>
      <w:szCs w:val="20"/>
    </w:rPr>
  </w:style>
  <w:style w:type="paragraph" w:styleId="14">
    <w:name w:val="Body Text Indent"/>
    <w:basedOn w:val="1"/>
    <w:next w:val="4"/>
    <w:autoRedefine/>
    <w:unhideWhenUsed/>
    <w:qFormat/>
    <w:uiPriority w:val="99"/>
    <w:pPr>
      <w:spacing w:after="120"/>
      <w:ind w:left="420" w:leftChars="200"/>
    </w:pPr>
    <w:rPr>
      <w:kern w:val="0"/>
      <w:sz w:val="20"/>
    </w:rPr>
  </w:style>
  <w:style w:type="paragraph" w:styleId="15">
    <w:name w:val="toc 5"/>
    <w:basedOn w:val="1"/>
    <w:next w:val="1"/>
    <w:autoRedefine/>
    <w:semiHidden/>
    <w:qFormat/>
    <w:uiPriority w:val="0"/>
    <w:pPr>
      <w:ind w:left="840"/>
      <w:jc w:val="left"/>
    </w:pPr>
    <w:rPr>
      <w:sz w:val="18"/>
      <w:szCs w:val="18"/>
    </w:rPr>
  </w:style>
  <w:style w:type="paragraph" w:styleId="16">
    <w:name w:val="toc 3"/>
    <w:basedOn w:val="1"/>
    <w:next w:val="1"/>
    <w:autoRedefine/>
    <w:qFormat/>
    <w:uiPriority w:val="0"/>
    <w:pPr>
      <w:ind w:left="420"/>
      <w:jc w:val="left"/>
    </w:pPr>
    <w:rPr>
      <w:i/>
      <w:iCs/>
      <w:sz w:val="20"/>
      <w:szCs w:val="20"/>
    </w:rPr>
  </w:style>
  <w:style w:type="paragraph" w:styleId="17">
    <w:name w:val="Plain Text"/>
    <w:basedOn w:val="1"/>
    <w:autoRedefine/>
    <w:qFormat/>
    <w:uiPriority w:val="0"/>
    <w:rPr>
      <w:rFonts w:ascii="Courier New" w:hAnsi="Courier New"/>
      <w:szCs w:val="20"/>
    </w:rPr>
  </w:style>
  <w:style w:type="paragraph" w:styleId="18">
    <w:name w:val="toc 8"/>
    <w:basedOn w:val="1"/>
    <w:next w:val="1"/>
    <w:autoRedefine/>
    <w:semiHidden/>
    <w:qFormat/>
    <w:uiPriority w:val="0"/>
    <w:pPr>
      <w:ind w:left="1470"/>
      <w:jc w:val="left"/>
    </w:pPr>
    <w:rPr>
      <w:sz w:val="18"/>
      <w:szCs w:val="18"/>
    </w:rPr>
  </w:style>
  <w:style w:type="paragraph" w:styleId="19">
    <w:name w:val="Date"/>
    <w:basedOn w:val="1"/>
    <w:next w:val="1"/>
    <w:autoRedefine/>
    <w:qFormat/>
    <w:uiPriority w:val="0"/>
    <w:pPr>
      <w:ind w:left="100" w:leftChars="2500"/>
    </w:pPr>
  </w:style>
  <w:style w:type="paragraph" w:styleId="20">
    <w:name w:val="Balloon Text"/>
    <w:basedOn w:val="1"/>
    <w:autoRedefine/>
    <w:semiHidden/>
    <w:qFormat/>
    <w:uiPriority w:val="0"/>
    <w:rPr>
      <w:sz w:val="18"/>
      <w:szCs w:val="18"/>
    </w:rPr>
  </w:style>
  <w:style w:type="paragraph" w:styleId="21">
    <w:name w:val="footer"/>
    <w:basedOn w:val="1"/>
    <w:link w:val="55"/>
    <w:autoRedefine/>
    <w:qFormat/>
    <w:uiPriority w:val="99"/>
    <w:pPr>
      <w:tabs>
        <w:tab w:val="center" w:pos="4153"/>
        <w:tab w:val="right" w:pos="8306"/>
      </w:tabs>
      <w:snapToGrid w:val="0"/>
      <w:jc w:val="left"/>
    </w:pPr>
    <w:rPr>
      <w:sz w:val="18"/>
      <w:szCs w:val="18"/>
    </w:rPr>
  </w:style>
  <w:style w:type="paragraph" w:styleId="22">
    <w:name w:val="envelope return"/>
    <w:basedOn w:val="1"/>
    <w:autoRedefine/>
    <w:qFormat/>
    <w:uiPriority w:val="0"/>
    <w:pPr>
      <w:snapToGrid w:val="0"/>
    </w:pPr>
    <w:rPr>
      <w:rFonts w:ascii="Arial" w:hAnsi="Arial"/>
    </w:rPr>
  </w:style>
  <w:style w:type="paragraph" w:styleId="2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0"/>
    <w:pPr>
      <w:spacing w:before="120" w:after="120"/>
      <w:jc w:val="left"/>
    </w:pPr>
    <w:rPr>
      <w:b/>
      <w:bCs/>
      <w:caps/>
      <w:sz w:val="20"/>
      <w:szCs w:val="20"/>
    </w:rPr>
  </w:style>
  <w:style w:type="paragraph" w:styleId="25">
    <w:name w:val="toc 4"/>
    <w:basedOn w:val="1"/>
    <w:next w:val="1"/>
    <w:autoRedefine/>
    <w:semiHidden/>
    <w:qFormat/>
    <w:uiPriority w:val="0"/>
    <w:pPr>
      <w:ind w:left="630"/>
      <w:jc w:val="left"/>
    </w:pPr>
    <w:rPr>
      <w:sz w:val="18"/>
      <w:szCs w:val="18"/>
    </w:rPr>
  </w:style>
  <w:style w:type="paragraph" w:styleId="26">
    <w:name w:val="toc 6"/>
    <w:basedOn w:val="1"/>
    <w:next w:val="1"/>
    <w:autoRedefine/>
    <w:semiHidden/>
    <w:qFormat/>
    <w:uiPriority w:val="0"/>
    <w:pPr>
      <w:ind w:left="1050"/>
      <w:jc w:val="left"/>
    </w:pPr>
    <w:rPr>
      <w:sz w:val="18"/>
      <w:szCs w:val="18"/>
    </w:rPr>
  </w:style>
  <w:style w:type="paragraph" w:styleId="27">
    <w:name w:val="toc 2"/>
    <w:basedOn w:val="1"/>
    <w:next w:val="1"/>
    <w:autoRedefine/>
    <w:qFormat/>
    <w:uiPriority w:val="0"/>
    <w:pPr>
      <w:ind w:left="210"/>
      <w:jc w:val="left"/>
    </w:pPr>
    <w:rPr>
      <w:smallCaps/>
      <w:sz w:val="20"/>
      <w:szCs w:val="20"/>
    </w:rPr>
  </w:style>
  <w:style w:type="paragraph" w:styleId="28">
    <w:name w:val="toc 9"/>
    <w:basedOn w:val="1"/>
    <w:next w:val="1"/>
    <w:autoRedefine/>
    <w:semiHidden/>
    <w:qFormat/>
    <w:uiPriority w:val="0"/>
    <w:pPr>
      <w:ind w:left="1680"/>
      <w:jc w:val="left"/>
    </w:pPr>
    <w:rPr>
      <w:sz w:val="18"/>
      <w:szCs w:val="18"/>
    </w:rPr>
  </w:style>
  <w:style w:type="paragraph" w:styleId="29">
    <w:name w:val="Body Text 2"/>
    <w:basedOn w:val="1"/>
    <w:autoRedefine/>
    <w:qFormat/>
    <w:uiPriority w:val="0"/>
    <w:pPr>
      <w:spacing w:line="240" w:lineRule="exact"/>
    </w:pPr>
    <w:rPr>
      <w:rFonts w:eastAsia="仿宋_GB2312"/>
    </w:rPr>
  </w:style>
  <w:style w:type="paragraph" w:styleId="30">
    <w:name w:val="HTML Preformatted"/>
    <w:basedOn w:val="1"/>
    <w:link w:val="47"/>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2">
    <w:name w:val="annotation subject"/>
    <w:basedOn w:val="12"/>
    <w:next w:val="12"/>
    <w:autoRedefine/>
    <w:semiHidden/>
    <w:qFormat/>
    <w:uiPriority w:val="0"/>
    <w:rPr>
      <w:b/>
      <w:bCs/>
    </w:rPr>
  </w:style>
  <w:style w:type="paragraph" w:styleId="33">
    <w:name w:val="Body Text First Indent 2"/>
    <w:basedOn w:val="14"/>
    <w:next w:val="5"/>
    <w:autoRedefine/>
    <w:qFormat/>
    <w:uiPriority w:val="99"/>
    <w:pPr>
      <w:ind w:firstLine="420"/>
    </w:pPr>
    <w:rPr>
      <w:sz w:val="24"/>
    </w:rPr>
  </w:style>
  <w:style w:type="table" w:styleId="35">
    <w:name w:val="Table Grid"/>
    <w:basedOn w:val="3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page number"/>
    <w:autoRedefine/>
    <w:qFormat/>
    <w:uiPriority w:val="0"/>
  </w:style>
  <w:style w:type="character" w:styleId="38">
    <w:name w:val="FollowedHyperlink"/>
    <w:autoRedefine/>
    <w:qFormat/>
    <w:uiPriority w:val="0"/>
    <w:rPr>
      <w:color w:val="000000"/>
      <w:u w:val="none"/>
    </w:rPr>
  </w:style>
  <w:style w:type="character" w:styleId="39">
    <w:name w:val="line number"/>
    <w:autoRedefine/>
    <w:qFormat/>
    <w:uiPriority w:val="0"/>
  </w:style>
  <w:style w:type="character" w:styleId="40">
    <w:name w:val="Hyperlink"/>
    <w:autoRedefine/>
    <w:qFormat/>
    <w:uiPriority w:val="0"/>
    <w:rPr>
      <w:color w:val="000000"/>
      <w:u w:val="none"/>
    </w:rPr>
  </w:style>
  <w:style w:type="character" w:styleId="41">
    <w:name w:val="annotation reference"/>
    <w:autoRedefine/>
    <w:semiHidden/>
    <w:qFormat/>
    <w:uiPriority w:val="0"/>
    <w:rPr>
      <w:sz w:val="21"/>
      <w:szCs w:val="21"/>
    </w:rPr>
  </w:style>
  <w:style w:type="paragraph" w:styleId="42">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3">
    <w:name w:val="标题 1 字符"/>
    <w:link w:val="6"/>
    <w:autoRedefine/>
    <w:qFormat/>
    <w:uiPriority w:val="0"/>
    <w:rPr>
      <w:rFonts w:eastAsia="宋体"/>
      <w:b/>
      <w:bCs/>
      <w:kern w:val="44"/>
      <w:sz w:val="44"/>
      <w:szCs w:val="44"/>
      <w:lang w:val="en-US" w:eastAsia="zh-CN" w:bidi="ar-SA"/>
    </w:rPr>
  </w:style>
  <w:style w:type="character" w:customStyle="1" w:styleId="44">
    <w:name w:val="标题 2 字符"/>
    <w:link w:val="7"/>
    <w:autoRedefine/>
    <w:qFormat/>
    <w:uiPriority w:val="0"/>
    <w:rPr>
      <w:rFonts w:ascii="Arial" w:hAnsi="Arial" w:eastAsia="黑体"/>
      <w:b/>
      <w:bCs/>
      <w:kern w:val="2"/>
      <w:sz w:val="32"/>
      <w:szCs w:val="32"/>
      <w:lang w:val="en-US" w:eastAsia="zh-CN" w:bidi="ar-SA"/>
    </w:rPr>
  </w:style>
  <w:style w:type="character" w:customStyle="1" w:styleId="45">
    <w:name w:val="批注文字 字符"/>
    <w:link w:val="12"/>
    <w:autoRedefine/>
    <w:qFormat/>
    <w:uiPriority w:val="0"/>
    <w:rPr>
      <w:rFonts w:eastAsia="宋体"/>
      <w:kern w:val="2"/>
      <w:sz w:val="21"/>
      <w:szCs w:val="24"/>
      <w:lang w:val="en-US" w:eastAsia="zh-CN" w:bidi="ar-SA"/>
    </w:rPr>
  </w:style>
  <w:style w:type="character" w:customStyle="1" w:styleId="46">
    <w:name w:val="正文文本 字符"/>
    <w:link w:val="4"/>
    <w:autoRedefine/>
    <w:qFormat/>
    <w:uiPriority w:val="0"/>
    <w:rPr>
      <w:kern w:val="2"/>
      <w:sz w:val="21"/>
      <w:szCs w:val="24"/>
    </w:rPr>
  </w:style>
  <w:style w:type="character" w:customStyle="1" w:styleId="47">
    <w:name w:val="HTML 预设格式 字符"/>
    <w:link w:val="30"/>
    <w:autoRedefine/>
    <w:qFormat/>
    <w:uiPriority w:val="99"/>
    <w:rPr>
      <w:rFonts w:ascii="宋体" w:hAnsi="宋体" w:cs="宋体"/>
      <w:sz w:val="24"/>
      <w:szCs w:val="24"/>
    </w:rPr>
  </w:style>
  <w:style w:type="character" w:customStyle="1" w:styleId="48">
    <w:name w:val="Char Char Char"/>
    <w:autoRedefine/>
    <w:qFormat/>
    <w:locked/>
    <w:uiPriority w:val="0"/>
    <w:rPr>
      <w:rFonts w:eastAsia="宋体"/>
      <w:b/>
      <w:bCs/>
      <w:kern w:val="44"/>
      <w:sz w:val="44"/>
      <w:szCs w:val="44"/>
      <w:lang w:val="en-US" w:eastAsia="zh-CN" w:bidi="ar-SA"/>
    </w:rPr>
  </w:style>
  <w:style w:type="character" w:customStyle="1" w:styleId="49">
    <w:name w:val="hover16"/>
    <w:autoRedefine/>
    <w:qFormat/>
    <w:uiPriority w:val="0"/>
  </w:style>
  <w:style w:type="character" w:customStyle="1" w:styleId="50">
    <w:name w:val="明显强调1"/>
    <w:autoRedefine/>
    <w:qFormat/>
    <w:uiPriority w:val="0"/>
    <w:rPr>
      <w:rFonts w:eastAsia="仿宋_GB2312"/>
      <w:bCs/>
      <w:iCs/>
      <w:color w:val="auto"/>
      <w:sz w:val="32"/>
    </w:rPr>
  </w:style>
  <w:style w:type="paragraph" w:customStyle="1" w:styleId="51">
    <w:name w:val="cjk"/>
    <w:basedOn w:val="1"/>
    <w:autoRedefine/>
    <w:qFormat/>
    <w:uiPriority w:val="0"/>
    <w:pPr>
      <w:widowControl/>
      <w:spacing w:line="480" w:lineRule="auto"/>
      <w:jc w:val="left"/>
    </w:pPr>
    <w:rPr>
      <w:rFonts w:ascii="宋体" w:hAnsi="宋体" w:cs="宋体"/>
      <w:kern w:val="0"/>
      <w:sz w:val="24"/>
    </w:rPr>
  </w:style>
  <w:style w:type="paragraph" w:customStyle="1" w:styleId="52">
    <w:name w:val="样式 标题 2 + Times New Roman 四号 非加粗 段前: 5 磅 段后: 0 磅 行距: 固定值 20..."/>
    <w:basedOn w:val="7"/>
    <w:autoRedefine/>
    <w:qFormat/>
    <w:uiPriority w:val="0"/>
    <w:pPr>
      <w:spacing w:before="100" w:after="0" w:line="400" w:lineRule="exact"/>
    </w:pPr>
    <w:rPr>
      <w:rFonts w:ascii="Times New Roman" w:hAnsi="Times New Roman" w:cs="宋体"/>
      <w:b w:val="0"/>
      <w:bCs w:val="0"/>
      <w:sz w:val="28"/>
      <w:szCs w:val="20"/>
    </w:rPr>
  </w:style>
  <w:style w:type="paragraph" w:customStyle="1" w:styleId="5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4">
    <w:name w:val="大标题"/>
    <w:basedOn w:val="1"/>
    <w:next w:val="33"/>
    <w:autoRedefine/>
    <w:qFormat/>
    <w:uiPriority w:val="0"/>
    <w:pPr>
      <w:jc w:val="center"/>
    </w:pPr>
    <w:rPr>
      <w:rFonts w:ascii="Arial" w:hAnsi="Arial"/>
      <w:b/>
    </w:rPr>
  </w:style>
  <w:style w:type="character" w:customStyle="1" w:styleId="55">
    <w:name w:val="页脚 字符"/>
    <w:basedOn w:val="36"/>
    <w:link w:val="21"/>
    <w:autoRedefine/>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75</Pages>
  <Words>5424</Words>
  <Characters>30921</Characters>
  <Lines>1</Lines>
  <Paragraphs>1</Paragraphs>
  <TotalTime>2</TotalTime>
  <ScaleCrop>false</ScaleCrop>
  <LinksUpToDate>false</LinksUpToDate>
  <CharactersWithSpaces>36273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lenovo</cp:lastModifiedBy>
  <cp:lastPrinted>2020-07-20T15:54:00Z</cp:lastPrinted>
  <dcterms:modified xsi:type="dcterms:W3CDTF">2025-03-05T08:46:08Z</dcterms:modified>
  <dc:title>目   录</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C3AFD935714D4B17AFCFBC4F3DD5996F_13</vt:lpwstr>
  </property>
</Properties>
</file>