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center"/>
        <w:rPr>
          <w:rFonts w:ascii="楷体_GB2312" w:eastAsia="楷体_GB2312"/>
          <w:b/>
          <w:color w:val="auto"/>
          <w:sz w:val="52"/>
          <w:szCs w:val="52"/>
          <w:highlight w:val="none"/>
        </w:rPr>
      </w:pPr>
      <w:bookmarkStart w:id="782" w:name="_GoBack"/>
      <w:bookmarkEnd w:id="782"/>
      <w:bookmarkStart w:id="0" w:name="_Toc296602400"/>
      <w:bookmarkStart w:id="1" w:name="_Toc247085669"/>
      <w:bookmarkStart w:id="2" w:name="_Toc246996898"/>
    </w:p>
    <w:p>
      <w:pPr>
        <w:spacing w:line="560" w:lineRule="exact"/>
        <w:jc w:val="center"/>
        <w:rPr>
          <w:rFonts w:hint="eastAsia"/>
          <w:color w:val="auto"/>
          <w:sz w:val="32"/>
          <w:szCs w:val="32"/>
          <w:highlight w:val="none"/>
        </w:rPr>
      </w:pPr>
      <w:r>
        <w:rPr>
          <w:rFonts w:hint="eastAsia"/>
          <w:color w:val="auto"/>
          <w:sz w:val="32"/>
          <w:szCs w:val="32"/>
          <w:highlight w:val="none"/>
        </w:rPr>
        <w:t>开封市机关事务中心八大街办公区保安、保洁、消防及</w:t>
      </w:r>
    </w:p>
    <w:p>
      <w:pPr>
        <w:spacing w:line="560" w:lineRule="exact"/>
        <w:jc w:val="center"/>
        <w:rPr>
          <w:rFonts w:hint="eastAsia"/>
          <w:color w:val="auto"/>
          <w:sz w:val="32"/>
          <w:szCs w:val="32"/>
          <w:highlight w:val="none"/>
        </w:rPr>
      </w:pPr>
      <w:r>
        <w:rPr>
          <w:rFonts w:hint="eastAsia"/>
          <w:color w:val="auto"/>
          <w:sz w:val="32"/>
          <w:szCs w:val="32"/>
          <w:highlight w:val="none"/>
        </w:rPr>
        <w:t>监控维保项目第</w:t>
      </w:r>
      <w:r>
        <w:rPr>
          <w:rFonts w:hint="eastAsia"/>
          <w:color w:val="auto"/>
          <w:sz w:val="32"/>
          <w:szCs w:val="32"/>
          <w:highlight w:val="none"/>
          <w:lang w:val="en-US" w:eastAsia="zh-CN"/>
        </w:rPr>
        <w:t>三</w:t>
      </w:r>
      <w:r>
        <w:rPr>
          <w:rFonts w:hint="eastAsia"/>
          <w:color w:val="auto"/>
          <w:sz w:val="32"/>
          <w:szCs w:val="32"/>
          <w:highlight w:val="none"/>
        </w:rPr>
        <w:t>标段</w:t>
      </w:r>
    </w:p>
    <w:p>
      <w:pPr>
        <w:spacing w:line="400" w:lineRule="exact"/>
        <w:jc w:val="center"/>
        <w:rPr>
          <w:color w:val="auto"/>
          <w:highlight w:val="none"/>
        </w:rPr>
      </w:pPr>
    </w:p>
    <w:p>
      <w:pPr>
        <w:spacing w:line="400" w:lineRule="exact"/>
        <w:jc w:val="center"/>
        <w:rPr>
          <w:color w:val="auto"/>
          <w:highlight w:val="none"/>
        </w:rPr>
      </w:pPr>
    </w:p>
    <w:p>
      <w:pPr>
        <w:spacing w:line="400" w:lineRule="exact"/>
        <w:jc w:val="center"/>
        <w:rPr>
          <w:color w:val="auto"/>
          <w:highlight w:val="none"/>
        </w:rPr>
      </w:pPr>
    </w:p>
    <w:p>
      <w:pPr>
        <w:spacing w:line="400" w:lineRule="exact"/>
        <w:jc w:val="center"/>
        <w:rPr>
          <w:color w:val="auto"/>
          <w:highlight w:val="none"/>
        </w:rPr>
      </w:pPr>
    </w:p>
    <w:p>
      <w:pPr>
        <w:spacing w:line="400" w:lineRule="exact"/>
        <w:jc w:val="center"/>
        <w:rPr>
          <w:color w:val="auto"/>
          <w:highlight w:val="none"/>
        </w:rPr>
      </w:pPr>
    </w:p>
    <w:p>
      <w:pPr>
        <w:spacing w:line="400" w:lineRule="exact"/>
        <w:jc w:val="center"/>
        <w:rPr>
          <w:color w:val="auto"/>
          <w:highlight w:val="none"/>
        </w:rPr>
      </w:pPr>
    </w:p>
    <w:p>
      <w:pPr>
        <w:jc w:val="center"/>
        <w:rPr>
          <w:color w:val="auto"/>
          <w:highlight w:val="none"/>
        </w:rPr>
      </w:pPr>
    </w:p>
    <w:p>
      <w:pPr>
        <w:jc w:val="center"/>
        <w:rPr>
          <w:color w:val="auto"/>
          <w:highlight w:val="none"/>
        </w:rPr>
      </w:pPr>
    </w:p>
    <w:p>
      <w:pPr>
        <w:jc w:val="center"/>
        <w:rPr>
          <w:color w:val="auto"/>
          <w:highlight w:val="none"/>
        </w:rPr>
      </w:pPr>
    </w:p>
    <w:p>
      <w:pPr>
        <w:jc w:val="center"/>
        <w:rPr>
          <w:color w:val="auto"/>
          <w:highlight w:val="none"/>
        </w:rPr>
      </w:pPr>
    </w:p>
    <w:p>
      <w:pPr>
        <w:jc w:val="center"/>
        <w:rPr>
          <w:color w:val="auto"/>
          <w:highlight w:val="none"/>
        </w:rPr>
      </w:pPr>
    </w:p>
    <w:p>
      <w:pPr>
        <w:jc w:val="center"/>
        <w:rPr>
          <w:color w:val="auto"/>
          <w:highlight w:val="none"/>
        </w:rPr>
      </w:pPr>
    </w:p>
    <w:p>
      <w:pPr>
        <w:jc w:val="center"/>
        <w:rPr>
          <w:rFonts w:ascii="楷体_GB2312" w:eastAsia="楷体_GB2312"/>
          <w:color w:val="auto"/>
          <w:sz w:val="96"/>
          <w:szCs w:val="96"/>
          <w:highlight w:val="none"/>
        </w:rPr>
      </w:pPr>
      <w:r>
        <w:rPr>
          <w:rFonts w:hint="eastAsia" w:ascii="楷体_GB2312" w:hAnsi="宋体" w:eastAsia="楷体_GB2312"/>
          <w:b/>
          <w:bCs/>
          <w:color w:val="auto"/>
          <w:sz w:val="120"/>
          <w:szCs w:val="120"/>
          <w:highlight w:val="none"/>
        </w:rPr>
        <w:t>招标文件</w:t>
      </w:r>
    </w:p>
    <w:p>
      <w:pPr>
        <w:jc w:val="center"/>
        <w:rPr>
          <w:rFonts w:hint="eastAsia" w:ascii="宋体" w:hAnsi="宋体" w:eastAsia="楷体_GB2312"/>
          <w:color w:val="auto"/>
          <w:sz w:val="48"/>
          <w:szCs w:val="48"/>
          <w:highlight w:val="none"/>
          <w:lang w:val="en-US" w:eastAsia="zh-CN"/>
        </w:rPr>
      </w:pPr>
      <w:r>
        <w:rPr>
          <w:rFonts w:hint="eastAsia" w:ascii="楷体_GB2312" w:hAnsi="宋体" w:eastAsia="楷体_GB2312"/>
          <w:b/>
          <w:color w:val="auto"/>
          <w:sz w:val="32"/>
          <w:szCs w:val="32"/>
          <w:highlight w:val="none"/>
        </w:rPr>
        <w:t>项目编号：汴财招标</w:t>
      </w:r>
      <w:r>
        <w:rPr>
          <w:rFonts w:hint="eastAsia" w:ascii="楷体_GB2312" w:hAnsi="宋体" w:eastAsia="楷体_GB2312" w:cs="宋体"/>
          <w:b/>
          <w:color w:val="auto"/>
          <w:sz w:val="32"/>
          <w:szCs w:val="32"/>
          <w:highlight w:val="none"/>
        </w:rPr>
        <w:t>采购-202</w:t>
      </w:r>
      <w:r>
        <w:rPr>
          <w:rFonts w:hint="eastAsia" w:ascii="楷体_GB2312" w:hAnsi="宋体" w:eastAsia="楷体_GB2312" w:cs="宋体"/>
          <w:b/>
          <w:color w:val="auto"/>
          <w:sz w:val="32"/>
          <w:szCs w:val="32"/>
          <w:highlight w:val="none"/>
          <w:lang w:val="en-US" w:eastAsia="zh-CN"/>
        </w:rPr>
        <w:t>5</w:t>
      </w:r>
      <w:r>
        <w:rPr>
          <w:rFonts w:hint="eastAsia" w:ascii="楷体_GB2312" w:hAnsi="宋体" w:eastAsia="楷体_GB2312" w:cs="宋体"/>
          <w:b/>
          <w:color w:val="auto"/>
          <w:sz w:val="32"/>
          <w:szCs w:val="32"/>
          <w:highlight w:val="none"/>
        </w:rPr>
        <w:t>-</w:t>
      </w:r>
      <w:r>
        <w:rPr>
          <w:rFonts w:hint="eastAsia" w:ascii="楷体_GB2312" w:hAnsi="宋体" w:eastAsia="楷体_GB2312" w:cs="宋体"/>
          <w:b/>
          <w:color w:val="auto"/>
          <w:sz w:val="32"/>
          <w:szCs w:val="32"/>
          <w:highlight w:val="none"/>
          <w:lang w:val="en-US" w:eastAsia="zh-CN"/>
        </w:rPr>
        <w:t>6</w:t>
      </w:r>
    </w:p>
    <w:p>
      <w:pPr>
        <w:jc w:val="center"/>
        <w:rPr>
          <w:rFonts w:ascii="楷体_GB2312" w:eastAsia="楷体_GB2312"/>
          <w:color w:val="auto"/>
          <w:sz w:val="32"/>
          <w:szCs w:val="32"/>
          <w:highlight w:val="none"/>
        </w:rPr>
      </w:pPr>
    </w:p>
    <w:p>
      <w:pPr>
        <w:spacing w:line="400" w:lineRule="exact"/>
        <w:jc w:val="center"/>
        <w:rPr>
          <w:color w:val="auto"/>
          <w:highlight w:val="none"/>
        </w:rPr>
      </w:pPr>
    </w:p>
    <w:p>
      <w:pPr>
        <w:spacing w:line="400" w:lineRule="exact"/>
        <w:jc w:val="center"/>
        <w:rPr>
          <w:color w:val="auto"/>
          <w:highlight w:val="none"/>
        </w:rPr>
      </w:pPr>
    </w:p>
    <w:p>
      <w:pPr>
        <w:spacing w:line="400" w:lineRule="exact"/>
        <w:jc w:val="center"/>
        <w:rPr>
          <w:color w:val="auto"/>
          <w:highlight w:val="none"/>
        </w:rPr>
      </w:pPr>
    </w:p>
    <w:p>
      <w:pPr>
        <w:spacing w:line="400" w:lineRule="exact"/>
        <w:jc w:val="center"/>
        <w:rPr>
          <w:color w:val="auto"/>
          <w:highlight w:val="none"/>
        </w:rPr>
      </w:pPr>
    </w:p>
    <w:p>
      <w:pPr>
        <w:spacing w:line="400" w:lineRule="exact"/>
        <w:jc w:val="center"/>
        <w:rPr>
          <w:color w:val="auto"/>
          <w:highlight w:val="none"/>
        </w:rPr>
      </w:pPr>
    </w:p>
    <w:p>
      <w:pPr>
        <w:spacing w:line="400" w:lineRule="exact"/>
        <w:jc w:val="center"/>
        <w:rPr>
          <w:color w:val="auto"/>
          <w:highlight w:val="none"/>
        </w:rPr>
      </w:pPr>
    </w:p>
    <w:p>
      <w:pPr>
        <w:spacing w:line="400" w:lineRule="exact"/>
        <w:jc w:val="center"/>
        <w:rPr>
          <w:color w:val="auto"/>
          <w:highlight w:val="none"/>
        </w:rPr>
      </w:pPr>
    </w:p>
    <w:p>
      <w:pPr>
        <w:spacing w:line="400" w:lineRule="exact"/>
        <w:jc w:val="center"/>
        <w:rPr>
          <w:color w:val="auto"/>
          <w:highlight w:val="none"/>
        </w:rPr>
      </w:pPr>
    </w:p>
    <w:p>
      <w:pPr>
        <w:spacing w:line="400" w:lineRule="exact"/>
        <w:jc w:val="center"/>
        <w:rPr>
          <w:color w:val="auto"/>
          <w:highlight w:val="none"/>
        </w:rPr>
      </w:pPr>
    </w:p>
    <w:p>
      <w:pPr>
        <w:spacing w:line="400" w:lineRule="exact"/>
        <w:jc w:val="center"/>
        <w:rPr>
          <w:color w:val="auto"/>
          <w:highlight w:val="none"/>
        </w:rPr>
      </w:pPr>
    </w:p>
    <w:p>
      <w:pPr>
        <w:spacing w:line="560" w:lineRule="exact"/>
        <w:jc w:val="center"/>
        <w:rPr>
          <w:rFonts w:ascii="楷体_GB2312" w:eastAsia="楷体_GB2312"/>
          <w:b/>
          <w:color w:val="auto"/>
          <w:spacing w:val="40"/>
          <w:sz w:val="36"/>
          <w:szCs w:val="36"/>
          <w:highlight w:val="none"/>
        </w:rPr>
      </w:pPr>
      <w:r>
        <w:rPr>
          <w:rFonts w:hint="eastAsia" w:ascii="楷体_GB2312" w:eastAsia="楷体_GB2312"/>
          <w:b/>
          <w:color w:val="auto"/>
          <w:spacing w:val="40"/>
          <w:sz w:val="36"/>
          <w:szCs w:val="36"/>
          <w:highlight w:val="none"/>
        </w:rPr>
        <w:t>开封市政府采购中心</w:t>
      </w:r>
    </w:p>
    <w:p>
      <w:pPr>
        <w:pStyle w:val="24"/>
        <w:tabs>
          <w:tab w:val="right" w:leader="dot" w:pos="8834"/>
        </w:tabs>
        <w:jc w:val="center"/>
        <w:rPr>
          <w:rFonts w:ascii="宋体" w:hAnsi="宋体"/>
          <w:color w:val="auto"/>
          <w:sz w:val="44"/>
          <w:szCs w:val="44"/>
          <w:highlight w:val="none"/>
        </w:rPr>
        <w:sectPr>
          <w:headerReference r:id="rId4" w:type="first"/>
          <w:headerReference r:id="rId3" w:type="default"/>
          <w:footerReference r:id="rId5" w:type="default"/>
          <w:pgSz w:w="11906" w:h="16838"/>
          <w:pgMar w:top="1417" w:right="1474" w:bottom="1417" w:left="1588" w:header="851" w:footer="992" w:gutter="0"/>
          <w:pgNumType w:start="1"/>
          <w:cols w:space="720" w:num="1"/>
          <w:titlePg/>
          <w:docGrid w:type="lines" w:linePitch="312" w:charSpace="0"/>
        </w:sectPr>
      </w:pPr>
    </w:p>
    <w:p>
      <w:pPr>
        <w:pStyle w:val="6"/>
        <w:tabs>
          <w:tab w:val="right" w:leader="dot" w:pos="8834"/>
        </w:tabs>
        <w:jc w:val="center"/>
        <w:rPr>
          <w:rFonts w:ascii="宋体" w:hAnsi="宋体"/>
          <w:b w:val="0"/>
          <w:bCs w:val="0"/>
          <w:iCs/>
          <w:caps/>
          <w:color w:val="auto"/>
          <w:highlight w:val="none"/>
        </w:rPr>
      </w:pPr>
      <w:bookmarkStart w:id="3" w:name="_Toc29393"/>
      <w:bookmarkStart w:id="4" w:name="_Toc29748"/>
      <w:r>
        <w:rPr>
          <w:rFonts w:hint="eastAsia" w:ascii="宋体" w:hAnsi="宋体"/>
          <w:color w:val="auto"/>
          <w:highlight w:val="none"/>
        </w:rPr>
        <w:t>目   录</w:t>
      </w:r>
      <w:bookmarkEnd w:id="0"/>
      <w:bookmarkEnd w:id="1"/>
      <w:bookmarkEnd w:id="2"/>
      <w:bookmarkEnd w:id="3"/>
      <w:bookmarkEnd w:id="4"/>
      <w:bookmarkStart w:id="5" w:name="_Toc289241344"/>
      <w:bookmarkStart w:id="6" w:name="_Toc289241521"/>
      <w:bookmarkStart w:id="7" w:name="_Toc338840184"/>
      <w:bookmarkStart w:id="8" w:name="_Toc338840439"/>
      <w:r>
        <w:rPr>
          <w:rFonts w:ascii="宋体" w:hAnsi="宋体"/>
          <w:color w:val="auto"/>
          <w:highlight w:val="none"/>
        </w:rPr>
        <w:fldChar w:fldCharType="begin"/>
      </w:r>
      <w:r>
        <w:rPr>
          <w:rFonts w:ascii="宋体" w:hAnsi="宋体"/>
          <w:color w:val="auto"/>
          <w:highlight w:val="none"/>
        </w:rPr>
        <w:instrText xml:space="preserve"> </w:instrText>
      </w:r>
      <w:r>
        <w:rPr>
          <w:rFonts w:hint="eastAsia" w:ascii="宋体" w:hAnsi="宋体"/>
          <w:color w:val="auto"/>
          <w:highlight w:val="none"/>
        </w:rPr>
        <w:instrText xml:space="preserve">TOC \o "1-2" \h \z \u</w:instrText>
      </w:r>
      <w:r>
        <w:rPr>
          <w:rFonts w:ascii="宋体" w:hAnsi="宋体"/>
          <w:color w:val="auto"/>
          <w:highlight w:val="none"/>
        </w:rPr>
        <w:instrText xml:space="preserve"> </w:instrText>
      </w:r>
      <w:r>
        <w:rPr>
          <w:rFonts w:ascii="宋体" w:hAnsi="宋体"/>
          <w:color w:val="auto"/>
          <w:highlight w:val="none"/>
        </w:rPr>
        <w:fldChar w:fldCharType="separate"/>
      </w:r>
    </w:p>
    <w:p>
      <w:pPr>
        <w:pStyle w:val="24"/>
        <w:tabs>
          <w:tab w:val="right" w:leader="dot" w:pos="8844"/>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"_Toc26571" </w:instrText>
      </w:r>
      <w:r>
        <w:rPr>
          <w:color w:val="auto"/>
          <w:highlight w:val="none"/>
        </w:rPr>
        <w:fldChar w:fldCharType="separate"/>
      </w:r>
      <w:r>
        <w:rPr>
          <w:rFonts w:hint="eastAsia" w:ascii="宋体" w:hAnsi="宋体" w:cs="宋体"/>
          <w:color w:val="auto"/>
          <w:sz w:val="28"/>
          <w:szCs w:val="28"/>
          <w:highlight w:val="none"/>
        </w:rPr>
        <w:t>第一章 招标公告</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_Toc26571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pPr>
        <w:pStyle w:val="24"/>
        <w:tabs>
          <w:tab w:val="right" w:leader="dot" w:pos="8844"/>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"_Toc13151" </w:instrText>
      </w:r>
      <w:r>
        <w:rPr>
          <w:color w:val="auto"/>
          <w:highlight w:val="none"/>
        </w:rPr>
        <w:fldChar w:fldCharType="separate"/>
      </w:r>
      <w:r>
        <w:rPr>
          <w:rFonts w:hint="eastAsia" w:ascii="宋体" w:hAnsi="宋体" w:cs="宋体"/>
          <w:color w:val="auto"/>
          <w:sz w:val="28"/>
          <w:szCs w:val="28"/>
          <w:highlight w:val="none"/>
        </w:rPr>
        <w:t>第二章 供应商须知</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_Toc13151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pPr>
        <w:pStyle w:val="27"/>
        <w:tabs>
          <w:tab w:val="right" w:leader="dot" w:pos="8844"/>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"_Toc18827" </w:instrText>
      </w:r>
      <w:r>
        <w:rPr>
          <w:color w:val="auto"/>
          <w:highlight w:val="none"/>
        </w:rPr>
        <w:fldChar w:fldCharType="separate"/>
      </w:r>
      <w:r>
        <w:rPr>
          <w:rFonts w:hint="eastAsia" w:ascii="宋体" w:hAnsi="宋体" w:cs="宋体"/>
          <w:color w:val="auto"/>
          <w:sz w:val="28"/>
          <w:szCs w:val="28"/>
          <w:highlight w:val="none"/>
        </w:rPr>
        <w:t>供应商须知前附表</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_Toc18827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pPr>
        <w:pStyle w:val="27"/>
        <w:tabs>
          <w:tab w:val="right" w:leader="dot" w:pos="8844"/>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"_Toc29445" </w:instrText>
      </w:r>
      <w:r>
        <w:rPr>
          <w:color w:val="auto"/>
          <w:highlight w:val="none"/>
        </w:rPr>
        <w:fldChar w:fldCharType="separate"/>
      </w:r>
      <w:r>
        <w:rPr>
          <w:rFonts w:hint="eastAsia" w:ascii="宋体" w:hAnsi="宋体" w:cs="宋体"/>
          <w:color w:val="auto"/>
          <w:sz w:val="28"/>
          <w:szCs w:val="28"/>
          <w:highlight w:val="none"/>
        </w:rPr>
        <w:t>1. 总则</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_Toc29445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11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pPr>
        <w:pStyle w:val="27"/>
        <w:tabs>
          <w:tab w:val="right" w:leader="dot" w:pos="8844"/>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"_Toc28300" </w:instrText>
      </w:r>
      <w:r>
        <w:rPr>
          <w:color w:val="auto"/>
          <w:highlight w:val="none"/>
        </w:rPr>
        <w:fldChar w:fldCharType="separate"/>
      </w:r>
      <w:r>
        <w:rPr>
          <w:rFonts w:hint="eastAsia" w:ascii="宋体" w:hAnsi="宋体" w:cs="宋体"/>
          <w:color w:val="auto"/>
          <w:sz w:val="28"/>
          <w:szCs w:val="28"/>
          <w:highlight w:val="none"/>
        </w:rPr>
        <w:t>2. 招标文件</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_Toc28300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13</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pPr>
        <w:pStyle w:val="27"/>
        <w:tabs>
          <w:tab w:val="right" w:leader="dot" w:pos="8844"/>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"_Toc8262" </w:instrText>
      </w:r>
      <w:r>
        <w:rPr>
          <w:color w:val="auto"/>
          <w:highlight w:val="none"/>
        </w:rPr>
        <w:fldChar w:fldCharType="separate"/>
      </w:r>
      <w:r>
        <w:rPr>
          <w:rFonts w:hint="eastAsia" w:ascii="宋体" w:hAnsi="宋体" w:cs="宋体"/>
          <w:color w:val="auto"/>
          <w:sz w:val="28"/>
          <w:szCs w:val="28"/>
          <w:highlight w:val="none"/>
        </w:rPr>
        <w:t>3. 投标文件</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_Toc8262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14</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pPr>
        <w:pStyle w:val="27"/>
        <w:tabs>
          <w:tab w:val="right" w:leader="dot" w:pos="8844"/>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"_Toc14743" </w:instrText>
      </w:r>
      <w:r>
        <w:rPr>
          <w:color w:val="auto"/>
          <w:highlight w:val="none"/>
        </w:rPr>
        <w:fldChar w:fldCharType="separate"/>
      </w:r>
      <w:r>
        <w:rPr>
          <w:rFonts w:hint="eastAsia" w:ascii="宋体" w:hAnsi="宋体" w:cs="宋体"/>
          <w:color w:val="auto"/>
          <w:sz w:val="28"/>
          <w:szCs w:val="28"/>
          <w:highlight w:val="none"/>
        </w:rPr>
        <w:t>4. 投标</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_Toc14743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15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pPr>
        <w:pStyle w:val="27"/>
        <w:tabs>
          <w:tab w:val="right" w:leader="dot" w:pos="8844"/>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"_Toc20438" </w:instrText>
      </w:r>
      <w:r>
        <w:rPr>
          <w:color w:val="auto"/>
          <w:highlight w:val="none"/>
        </w:rPr>
        <w:fldChar w:fldCharType="separate"/>
      </w:r>
      <w:r>
        <w:rPr>
          <w:rFonts w:hint="eastAsia" w:ascii="宋体" w:hAnsi="宋体" w:cs="宋体"/>
          <w:color w:val="auto"/>
          <w:sz w:val="28"/>
          <w:szCs w:val="28"/>
          <w:highlight w:val="none"/>
        </w:rPr>
        <w:t>5. 开标</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_Toc20438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16</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pPr>
        <w:pStyle w:val="27"/>
        <w:tabs>
          <w:tab w:val="right" w:leader="dot" w:pos="8844"/>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"_Toc23925" </w:instrText>
      </w:r>
      <w:r>
        <w:rPr>
          <w:color w:val="auto"/>
          <w:highlight w:val="none"/>
        </w:rPr>
        <w:fldChar w:fldCharType="separate"/>
      </w:r>
      <w:r>
        <w:rPr>
          <w:rFonts w:hint="eastAsia" w:ascii="宋体" w:hAnsi="宋体" w:cs="宋体"/>
          <w:color w:val="auto"/>
          <w:sz w:val="28"/>
          <w:szCs w:val="28"/>
          <w:highlight w:val="none"/>
        </w:rPr>
        <w:t>6. 评标</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_Toc23925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16</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pPr>
        <w:pStyle w:val="27"/>
        <w:tabs>
          <w:tab w:val="right" w:leader="dot" w:pos="8844"/>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"_Toc7858" </w:instrText>
      </w:r>
      <w:r>
        <w:rPr>
          <w:color w:val="auto"/>
          <w:highlight w:val="none"/>
        </w:rPr>
        <w:fldChar w:fldCharType="separate"/>
      </w:r>
      <w:r>
        <w:rPr>
          <w:rFonts w:hint="eastAsia" w:ascii="宋体" w:hAnsi="宋体" w:cs="宋体"/>
          <w:color w:val="auto"/>
          <w:sz w:val="28"/>
          <w:szCs w:val="28"/>
          <w:highlight w:val="none"/>
        </w:rPr>
        <w:t>7. 合同授予</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_Toc7858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17</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pPr>
        <w:pStyle w:val="27"/>
        <w:tabs>
          <w:tab w:val="right" w:leader="dot" w:pos="8844"/>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"_Toc19232" </w:instrText>
      </w:r>
      <w:r>
        <w:rPr>
          <w:color w:val="auto"/>
          <w:highlight w:val="none"/>
        </w:rPr>
        <w:fldChar w:fldCharType="separate"/>
      </w:r>
      <w:r>
        <w:rPr>
          <w:rFonts w:hint="eastAsia" w:ascii="宋体" w:hAnsi="宋体" w:cs="宋体"/>
          <w:color w:val="auto"/>
          <w:sz w:val="28"/>
          <w:szCs w:val="28"/>
          <w:highlight w:val="none"/>
        </w:rPr>
        <w:t>8. 纪律和监督</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_Toc19232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18</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pPr>
        <w:pStyle w:val="27"/>
        <w:tabs>
          <w:tab w:val="right" w:leader="dot" w:pos="8844"/>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"_Toc10773" </w:instrText>
      </w:r>
      <w:r>
        <w:rPr>
          <w:color w:val="auto"/>
          <w:highlight w:val="none"/>
        </w:rPr>
        <w:fldChar w:fldCharType="separate"/>
      </w:r>
      <w:r>
        <w:rPr>
          <w:rFonts w:hint="eastAsia" w:ascii="宋体" w:hAnsi="宋体" w:cs="宋体"/>
          <w:color w:val="auto"/>
          <w:sz w:val="28"/>
          <w:szCs w:val="28"/>
          <w:highlight w:val="none"/>
        </w:rPr>
        <w:t>9. 关于中小企业、监狱企业、残疾人福利性单位投标的说明</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_Toc10773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19</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pPr>
        <w:pStyle w:val="27"/>
        <w:tabs>
          <w:tab w:val="right" w:leader="dot" w:pos="8844"/>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"_Toc615" </w:instrText>
      </w:r>
      <w:r>
        <w:rPr>
          <w:color w:val="auto"/>
          <w:highlight w:val="none"/>
        </w:rPr>
        <w:fldChar w:fldCharType="separate"/>
      </w:r>
      <w:r>
        <w:rPr>
          <w:rFonts w:hint="eastAsia" w:ascii="宋体" w:hAnsi="宋体" w:cs="宋体"/>
          <w:color w:val="auto"/>
          <w:sz w:val="28"/>
          <w:szCs w:val="28"/>
          <w:highlight w:val="none"/>
        </w:rPr>
        <w:t>10. 需要补充的其他内容</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_Toc615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24</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pPr>
        <w:pStyle w:val="27"/>
        <w:tabs>
          <w:tab w:val="right" w:leader="dot" w:pos="8844"/>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"_Toc29712" </w:instrText>
      </w:r>
      <w:r>
        <w:rPr>
          <w:color w:val="auto"/>
          <w:highlight w:val="none"/>
        </w:rPr>
        <w:fldChar w:fldCharType="separate"/>
      </w:r>
      <w:r>
        <w:rPr>
          <w:rFonts w:hint="eastAsia" w:ascii="宋体" w:hAnsi="宋体" w:cs="宋体"/>
          <w:color w:val="auto"/>
          <w:sz w:val="28"/>
          <w:szCs w:val="28"/>
          <w:highlight w:val="none"/>
        </w:rPr>
        <w:t>11．电子招标投标</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_Toc29712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24</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pPr>
        <w:pStyle w:val="24"/>
        <w:tabs>
          <w:tab w:val="right" w:leader="dot" w:pos="8844"/>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"_Toc24747" </w:instrText>
      </w:r>
      <w:r>
        <w:rPr>
          <w:color w:val="auto"/>
          <w:highlight w:val="none"/>
        </w:rPr>
        <w:fldChar w:fldCharType="separate"/>
      </w:r>
      <w:r>
        <w:rPr>
          <w:rFonts w:hint="eastAsia" w:ascii="宋体" w:hAnsi="宋体" w:cs="宋体"/>
          <w:color w:val="auto"/>
          <w:sz w:val="28"/>
          <w:szCs w:val="28"/>
          <w:highlight w:val="none"/>
        </w:rPr>
        <w:t>第三章 评标办法</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_Toc24747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25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pPr>
        <w:pStyle w:val="27"/>
        <w:tabs>
          <w:tab w:val="right" w:leader="dot" w:pos="8844"/>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"_Toc452" </w:instrText>
      </w:r>
      <w:r>
        <w:rPr>
          <w:color w:val="auto"/>
          <w:highlight w:val="none"/>
        </w:rPr>
        <w:fldChar w:fldCharType="separate"/>
      </w:r>
      <w:r>
        <w:rPr>
          <w:rFonts w:hint="eastAsia" w:ascii="宋体" w:hAnsi="宋体" w:cs="宋体"/>
          <w:color w:val="auto"/>
          <w:sz w:val="28"/>
          <w:szCs w:val="28"/>
          <w:highlight w:val="none"/>
        </w:rPr>
        <w:t>评标办法前附表</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_Toc452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25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pPr>
        <w:pStyle w:val="27"/>
        <w:tabs>
          <w:tab w:val="right" w:leader="dot" w:pos="8844"/>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"_Toc9899" </w:instrText>
      </w:r>
      <w:r>
        <w:rPr>
          <w:color w:val="auto"/>
          <w:highlight w:val="none"/>
        </w:rPr>
        <w:fldChar w:fldCharType="separate"/>
      </w:r>
      <w:r>
        <w:rPr>
          <w:rFonts w:hint="eastAsia" w:ascii="宋体" w:hAnsi="宋体" w:cs="宋体"/>
          <w:color w:val="auto"/>
          <w:sz w:val="28"/>
          <w:szCs w:val="28"/>
          <w:highlight w:val="none"/>
        </w:rPr>
        <w:t>1. 评标方法</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_Toc9899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29</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pPr>
        <w:pStyle w:val="27"/>
        <w:tabs>
          <w:tab w:val="right" w:leader="dot" w:pos="8844"/>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"_Toc10387" </w:instrText>
      </w:r>
      <w:r>
        <w:rPr>
          <w:color w:val="auto"/>
          <w:highlight w:val="none"/>
        </w:rPr>
        <w:fldChar w:fldCharType="separate"/>
      </w:r>
      <w:r>
        <w:rPr>
          <w:rFonts w:hint="eastAsia" w:ascii="宋体" w:hAnsi="宋体" w:cs="宋体"/>
          <w:color w:val="auto"/>
          <w:sz w:val="28"/>
          <w:szCs w:val="28"/>
          <w:highlight w:val="none"/>
        </w:rPr>
        <w:t>2. 评审标准</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_Toc10387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29</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pPr>
        <w:pStyle w:val="27"/>
        <w:tabs>
          <w:tab w:val="right" w:leader="dot" w:pos="8844"/>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"_Toc30064" </w:instrText>
      </w:r>
      <w:r>
        <w:rPr>
          <w:color w:val="auto"/>
          <w:highlight w:val="none"/>
        </w:rPr>
        <w:fldChar w:fldCharType="separate"/>
      </w:r>
      <w:r>
        <w:rPr>
          <w:rFonts w:hint="eastAsia" w:ascii="宋体" w:hAnsi="宋体" w:cs="宋体"/>
          <w:color w:val="auto"/>
          <w:sz w:val="28"/>
          <w:szCs w:val="28"/>
          <w:highlight w:val="none"/>
        </w:rPr>
        <w:t>3. 评标程序</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_Toc30064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29</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pPr>
        <w:pStyle w:val="27"/>
        <w:tabs>
          <w:tab w:val="right" w:leader="dot" w:pos="8844"/>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"_Toc27082" </w:instrText>
      </w:r>
      <w:r>
        <w:rPr>
          <w:color w:val="auto"/>
          <w:highlight w:val="none"/>
        </w:rPr>
        <w:fldChar w:fldCharType="separate"/>
      </w:r>
      <w:r>
        <w:rPr>
          <w:rFonts w:hint="eastAsia" w:ascii="宋体" w:hAnsi="宋体" w:cs="宋体"/>
          <w:color w:val="auto"/>
          <w:sz w:val="28"/>
          <w:szCs w:val="28"/>
          <w:highlight w:val="none"/>
        </w:rPr>
        <w:t>附件Ａ：</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_Toc27082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31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pPr>
        <w:pStyle w:val="24"/>
        <w:tabs>
          <w:tab w:val="right" w:leader="dot" w:pos="8844"/>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"_Toc17369" </w:instrText>
      </w:r>
      <w:r>
        <w:rPr>
          <w:color w:val="auto"/>
          <w:highlight w:val="none"/>
        </w:rPr>
        <w:fldChar w:fldCharType="separate"/>
      </w:r>
      <w:r>
        <w:rPr>
          <w:rFonts w:hint="eastAsia" w:ascii="宋体" w:hAnsi="宋体" w:cs="宋体"/>
          <w:color w:val="auto"/>
          <w:sz w:val="28"/>
          <w:szCs w:val="28"/>
          <w:highlight w:val="none"/>
        </w:rPr>
        <w:t>第四章 合同条款及格式</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_Toc17369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35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pPr>
        <w:pStyle w:val="27"/>
        <w:tabs>
          <w:tab w:val="right" w:leader="dot" w:pos="8844"/>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"_Toc30854" </w:instrText>
      </w:r>
      <w:r>
        <w:rPr>
          <w:color w:val="auto"/>
          <w:highlight w:val="none"/>
        </w:rPr>
        <w:fldChar w:fldCharType="separate"/>
      </w:r>
      <w:r>
        <w:rPr>
          <w:rFonts w:hint="eastAsia" w:ascii="宋体" w:hAnsi="宋体" w:cs="宋体"/>
          <w:color w:val="auto"/>
          <w:sz w:val="28"/>
          <w:szCs w:val="28"/>
          <w:highlight w:val="none"/>
        </w:rPr>
        <w:t>开封政府采购合同融资政策告知函</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_Toc30854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40</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pPr>
        <w:pStyle w:val="27"/>
        <w:tabs>
          <w:tab w:val="right" w:leader="dot" w:pos="8844"/>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"_Toc6494" </w:instrText>
      </w:r>
      <w:r>
        <w:rPr>
          <w:color w:val="auto"/>
          <w:highlight w:val="none"/>
        </w:rPr>
        <w:fldChar w:fldCharType="separate"/>
      </w:r>
      <w:r>
        <w:rPr>
          <w:rFonts w:hint="eastAsia" w:ascii="宋体" w:hAnsi="宋体" w:cs="宋体"/>
          <w:bCs/>
          <w:color w:val="auto"/>
          <w:sz w:val="28"/>
          <w:szCs w:val="28"/>
          <w:highlight w:val="none"/>
        </w:rPr>
        <w:t>开封政府采购合同履约保函政策告知函</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_Toc6494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41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pPr>
        <w:pStyle w:val="24"/>
        <w:tabs>
          <w:tab w:val="right" w:leader="dot" w:pos="8844"/>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"_Toc9194" </w:instrText>
      </w:r>
      <w:r>
        <w:rPr>
          <w:color w:val="auto"/>
          <w:highlight w:val="none"/>
        </w:rPr>
        <w:fldChar w:fldCharType="separate"/>
      </w:r>
      <w:r>
        <w:rPr>
          <w:rFonts w:hint="eastAsia" w:ascii="宋体" w:hAnsi="宋体" w:cs="宋体"/>
          <w:color w:val="auto"/>
          <w:sz w:val="28"/>
          <w:szCs w:val="28"/>
          <w:highlight w:val="none"/>
        </w:rPr>
        <w:t>第五章  招标内容及商务技术要求</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_Toc9194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42</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pPr>
        <w:pStyle w:val="24"/>
        <w:tabs>
          <w:tab w:val="right" w:leader="dot" w:pos="8844"/>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"_Toc32761" </w:instrText>
      </w:r>
      <w:r>
        <w:rPr>
          <w:color w:val="auto"/>
          <w:highlight w:val="none"/>
        </w:rPr>
        <w:fldChar w:fldCharType="separate"/>
      </w:r>
      <w:r>
        <w:rPr>
          <w:rFonts w:hint="eastAsia" w:ascii="宋体" w:hAnsi="宋体" w:cs="宋体"/>
          <w:color w:val="auto"/>
          <w:sz w:val="28"/>
          <w:szCs w:val="28"/>
          <w:highlight w:val="none"/>
        </w:rPr>
        <w:t>第六章  投标文件格式</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_Toc32761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55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pPr>
        <w:pStyle w:val="24"/>
        <w:tabs>
          <w:tab w:val="right" w:leader="dot" w:pos="8834"/>
        </w:tabs>
        <w:jc w:val="center"/>
        <w:rPr>
          <w:rFonts w:ascii="宋体" w:hAnsi="宋体"/>
          <w:b w:val="0"/>
          <w:bCs w:val="0"/>
          <w:iCs/>
          <w:caps w:val="0"/>
          <w:color w:val="auto"/>
          <w:highlight w:val="none"/>
        </w:rPr>
        <w:sectPr>
          <w:footerReference r:id="rId6" w:type="default"/>
          <w:pgSz w:w="11906" w:h="16838"/>
          <w:pgMar w:top="1417" w:right="1474" w:bottom="1417" w:left="1588" w:header="851" w:footer="992" w:gutter="0"/>
          <w:pgNumType w:start="1"/>
          <w:cols w:space="720" w:num="1"/>
          <w:docGrid w:type="lines" w:linePitch="312" w:charSpace="0"/>
        </w:sectPr>
      </w:pPr>
      <w:r>
        <w:rPr>
          <w:rFonts w:ascii="宋体" w:hAnsi="宋体"/>
          <w:b w:val="0"/>
          <w:bCs w:val="0"/>
          <w:iCs/>
          <w:caps w:val="0"/>
          <w:color w:val="auto"/>
          <w:sz w:val="44"/>
          <w:szCs w:val="44"/>
          <w:highlight w:val="none"/>
        </w:rPr>
        <w:fldChar w:fldCharType="end"/>
      </w:r>
      <w:bookmarkStart w:id="9" w:name="_Toc494093426"/>
      <w:bookmarkStart w:id="10" w:name="_Toc494526398"/>
      <w:bookmarkStart w:id="11" w:name="_Toc338840478"/>
      <w:bookmarkStart w:id="12" w:name="_Toc346523399"/>
      <w:bookmarkStart w:id="13" w:name="_Toc494526397"/>
      <w:bookmarkStart w:id="14" w:name="_Toc1607"/>
      <w:bookmarkStart w:id="15" w:name="_Toc346523462"/>
    </w:p>
    <w:p>
      <w:pPr>
        <w:pStyle w:val="6"/>
        <w:numPr>
          <w:ilvl w:val="0"/>
          <w:numId w:val="1"/>
        </w:numPr>
        <w:jc w:val="center"/>
        <w:rPr>
          <w:rFonts w:ascii="宋体" w:hAnsi="宋体"/>
          <w:color w:val="auto"/>
          <w:highlight w:val="none"/>
        </w:rPr>
      </w:pPr>
      <w:bookmarkStart w:id="16" w:name="_Toc17934"/>
      <w:r>
        <w:rPr>
          <w:rFonts w:hint="eastAsia" w:ascii="宋体" w:hAnsi="宋体"/>
          <w:color w:val="auto"/>
          <w:highlight w:val="none"/>
        </w:rPr>
        <w:t xml:space="preserve"> </w:t>
      </w:r>
      <w:bookmarkEnd w:id="5"/>
      <w:bookmarkEnd w:id="6"/>
      <w:bookmarkStart w:id="17" w:name="_Toc26571"/>
      <w:bookmarkStart w:id="18" w:name="_Toc2387"/>
      <w:r>
        <w:rPr>
          <w:rFonts w:hint="eastAsia" w:ascii="宋体" w:hAnsi="宋体"/>
          <w:color w:val="auto"/>
          <w:highlight w:val="none"/>
        </w:rPr>
        <w:t>招标公告</w:t>
      </w:r>
      <w:bookmarkEnd w:id="7"/>
      <w:bookmarkEnd w:id="8"/>
      <w:bookmarkEnd w:id="9"/>
      <w:bookmarkEnd w:id="10"/>
      <w:bookmarkEnd w:id="11"/>
      <w:bookmarkEnd w:id="12"/>
      <w:bookmarkEnd w:id="13"/>
      <w:bookmarkEnd w:id="14"/>
      <w:bookmarkEnd w:id="15"/>
      <w:bookmarkEnd w:id="16"/>
      <w:bookmarkEnd w:id="17"/>
      <w:bookmarkEnd w:id="18"/>
    </w:p>
    <w:p>
      <w:pPr>
        <w:spacing w:line="560" w:lineRule="exact"/>
        <w:jc w:val="center"/>
        <w:rPr>
          <w:rFonts w:hint="eastAsia"/>
          <w:color w:val="auto"/>
          <w:sz w:val="32"/>
          <w:szCs w:val="32"/>
          <w:highlight w:val="none"/>
        </w:rPr>
      </w:pPr>
      <w:r>
        <w:rPr>
          <w:rFonts w:hint="eastAsia"/>
          <w:color w:val="auto"/>
          <w:sz w:val="32"/>
          <w:szCs w:val="32"/>
          <w:highlight w:val="none"/>
        </w:rPr>
        <w:t>开封市机关事务中心八大街办公区保安、保洁、消防及</w:t>
      </w:r>
    </w:p>
    <w:p>
      <w:pPr>
        <w:jc w:val="center"/>
        <w:rPr>
          <w:rFonts w:ascii="宋体" w:hAnsi="宋体" w:cs="宋体"/>
          <w:bCs/>
          <w:color w:val="auto"/>
          <w:kern w:val="0"/>
          <w:sz w:val="32"/>
          <w:szCs w:val="32"/>
          <w:highlight w:val="none"/>
        </w:rPr>
      </w:pPr>
      <w:r>
        <w:rPr>
          <w:rFonts w:hint="eastAsia"/>
          <w:color w:val="auto"/>
          <w:sz w:val="32"/>
          <w:szCs w:val="32"/>
          <w:highlight w:val="none"/>
        </w:rPr>
        <w:t>监控维保项目</w:t>
      </w:r>
      <w:r>
        <w:rPr>
          <w:rFonts w:hint="eastAsia" w:ascii="宋体" w:hAnsi="宋体" w:cs="宋体"/>
          <w:bCs/>
          <w:color w:val="auto"/>
          <w:spacing w:val="-10"/>
          <w:kern w:val="0"/>
          <w:sz w:val="32"/>
          <w:szCs w:val="32"/>
          <w:highlight w:val="none"/>
        </w:rPr>
        <w:t>公开招标</w:t>
      </w:r>
      <w:r>
        <w:rPr>
          <w:rFonts w:hint="eastAsia" w:ascii="宋体" w:hAnsi="宋体" w:cs="宋体"/>
          <w:bCs/>
          <w:color w:val="auto"/>
          <w:kern w:val="0"/>
          <w:sz w:val="32"/>
          <w:szCs w:val="32"/>
          <w:highlight w:val="none"/>
        </w:rPr>
        <w:t>公告</w:t>
      </w:r>
    </w:p>
    <w:p>
      <w:pPr>
        <w:jc w:val="center"/>
        <w:rPr>
          <w:rFonts w:ascii="宋体" w:hAnsi="宋体" w:cs="宋体"/>
          <w:bCs/>
          <w:color w:val="auto"/>
          <w:kern w:val="0"/>
          <w:sz w:val="32"/>
          <w:szCs w:val="32"/>
          <w:highlight w:val="none"/>
        </w:rPr>
      </w:pPr>
    </w:p>
    <w:p>
      <w:pPr>
        <w:widowControl/>
        <w:adjustRightInd w:val="0"/>
        <w:snapToGrid w:val="0"/>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一、项目基本情况 </w:t>
      </w:r>
    </w:p>
    <w:p>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1、项目编号：</w:t>
      </w:r>
      <w:r>
        <w:rPr>
          <w:rFonts w:hint="eastAsia" w:ascii="宋体" w:hAnsi="宋体"/>
          <w:color w:val="auto"/>
          <w:sz w:val="24"/>
          <w:highlight w:val="none"/>
        </w:rPr>
        <w:t>汴财招标</w:t>
      </w:r>
      <w:r>
        <w:rPr>
          <w:rFonts w:hint="eastAsia" w:ascii="宋体" w:hAnsi="宋体" w:cs="宋体"/>
          <w:color w:val="auto"/>
          <w:sz w:val="24"/>
          <w:highlight w:val="none"/>
        </w:rPr>
        <w:t>采购</w:t>
      </w:r>
      <w:r>
        <w:rPr>
          <w:rFonts w:hint="eastAsia" w:ascii="宋体" w:hAnsi="宋体" w:cs="宋体"/>
          <w:color w:val="auto"/>
          <w:sz w:val="24"/>
          <w:highlight w:val="none"/>
          <w:lang w:val="en-US" w:eastAsia="zh-CN"/>
        </w:rPr>
        <w:t>-2025-6</w:t>
      </w:r>
      <w:r>
        <w:rPr>
          <w:rFonts w:hint="eastAsia" w:ascii="宋体" w:hAnsi="宋体" w:cs="宋体"/>
          <w:color w:val="auto"/>
          <w:sz w:val="24"/>
          <w:highlight w:val="none"/>
        </w:rPr>
        <w:t xml:space="preserve"> </w:t>
      </w:r>
      <w:r>
        <w:rPr>
          <w:rFonts w:hint="eastAsia" w:ascii="宋体" w:hAnsi="宋体" w:cs="宋体"/>
          <w:color w:val="auto"/>
          <w:kern w:val="0"/>
          <w:sz w:val="24"/>
          <w:highlight w:val="none"/>
        </w:rPr>
        <w:t xml:space="preserve">  </w:t>
      </w:r>
    </w:p>
    <w:p>
      <w:pPr>
        <w:widowControl/>
        <w:adjustRightInd w:val="0"/>
        <w:snapToGrid w:val="0"/>
        <w:spacing w:line="360" w:lineRule="auto"/>
        <w:ind w:firstLine="420"/>
        <w:jc w:val="left"/>
        <w:rPr>
          <w:rFonts w:hint="eastAsia" w:ascii="宋体" w:hAnsi="宋体" w:cs="宋体"/>
          <w:color w:val="auto"/>
          <w:kern w:val="0"/>
          <w:sz w:val="24"/>
          <w:highlight w:val="none"/>
        </w:rPr>
      </w:pPr>
      <w:r>
        <w:rPr>
          <w:rFonts w:hint="eastAsia" w:ascii="宋体" w:hAnsi="宋体" w:cs="宋体"/>
          <w:color w:val="auto"/>
          <w:kern w:val="0"/>
          <w:sz w:val="24"/>
          <w:highlight w:val="none"/>
        </w:rPr>
        <w:t>2、项目名称：开封市机关事务中心八大街办公区保安、保洁、消防及</w:t>
      </w:r>
    </w:p>
    <w:p>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监控维保项目</w:t>
      </w:r>
      <w:r>
        <w:rPr>
          <w:rFonts w:hint="eastAsia"/>
          <w:color w:val="auto"/>
          <w:sz w:val="24"/>
          <w:highlight w:val="none"/>
        </w:rPr>
        <w:t xml:space="preserve"> </w:t>
      </w:r>
      <w:r>
        <w:rPr>
          <w:rFonts w:hint="eastAsia" w:ascii="宋体" w:hAnsi="宋体" w:cs="宋体"/>
          <w:color w:val="auto"/>
          <w:kern w:val="0"/>
          <w:sz w:val="24"/>
          <w:highlight w:val="none"/>
        </w:rPr>
        <w:t xml:space="preserve">  </w:t>
      </w:r>
    </w:p>
    <w:p>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3、采购方式：公开招标 </w:t>
      </w:r>
    </w:p>
    <w:p>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4、预算金额：</w:t>
      </w:r>
      <w:r>
        <w:rPr>
          <w:rFonts w:hint="eastAsia" w:ascii="宋体" w:hAnsi="宋体" w:cs="宋体"/>
          <w:color w:val="auto"/>
          <w:kern w:val="0"/>
          <w:sz w:val="24"/>
          <w:highlight w:val="none"/>
          <w:lang w:val="en-US" w:eastAsia="zh-CN"/>
        </w:rPr>
        <w:t>2634000元</w:t>
      </w:r>
      <w:r>
        <w:rPr>
          <w:rFonts w:hint="eastAsia" w:ascii="宋体" w:hAnsi="宋体" w:cs="宋体"/>
          <w:color w:val="auto"/>
          <w:kern w:val="0"/>
          <w:sz w:val="24"/>
          <w:highlight w:val="none"/>
        </w:rPr>
        <w:t xml:space="preserve">   </w:t>
      </w:r>
    </w:p>
    <w:p>
      <w:pPr>
        <w:widowControl/>
        <w:adjustRightInd w:val="0"/>
        <w:snapToGrid w:val="0"/>
        <w:spacing w:line="360" w:lineRule="auto"/>
        <w:ind w:firstLine="840"/>
        <w:jc w:val="left"/>
        <w:rPr>
          <w:rFonts w:ascii="宋体" w:hAnsi="宋体" w:cs="宋体"/>
          <w:color w:val="auto"/>
          <w:kern w:val="0"/>
          <w:sz w:val="24"/>
          <w:highlight w:val="none"/>
        </w:rPr>
      </w:pPr>
      <w:r>
        <w:rPr>
          <w:rFonts w:hint="eastAsia" w:ascii="宋体" w:hAnsi="宋体" w:cs="宋体"/>
          <w:color w:val="auto"/>
          <w:kern w:val="0"/>
          <w:sz w:val="24"/>
          <w:highlight w:val="none"/>
        </w:rPr>
        <w:t>最高限价：</w:t>
      </w:r>
      <w:r>
        <w:rPr>
          <w:rFonts w:hint="eastAsia" w:ascii="宋体" w:hAnsi="宋体" w:cs="宋体"/>
          <w:color w:val="auto"/>
          <w:kern w:val="0"/>
          <w:sz w:val="24"/>
          <w:highlight w:val="none"/>
          <w:lang w:val="en-US" w:eastAsia="zh-CN"/>
        </w:rPr>
        <w:t>2634000元</w:t>
      </w:r>
      <w:r>
        <w:rPr>
          <w:rFonts w:hint="eastAsia" w:ascii="宋体" w:hAnsi="宋体" w:cs="宋体"/>
          <w:color w:val="auto"/>
          <w:kern w:val="0"/>
          <w:sz w:val="24"/>
          <w:highlight w:val="none"/>
        </w:rPr>
        <w:t xml:space="preserve">    </w:t>
      </w:r>
    </w:p>
    <w:tbl>
      <w:tblPr>
        <w:tblStyle w:val="34"/>
        <w:tblW w:w="8683" w:type="dxa"/>
        <w:jc w:val="center"/>
        <w:tblCellSpacing w:w="0" w:type="dxa"/>
        <w:tblBorders>
          <w:top w:val="none" w:color="auto" w:sz="0" w:space="0"/>
          <w:left w:val="none" w:color="auto" w:sz="0" w:space="0"/>
          <w:bottom w:val="none" w:color="auto" w:sz="0" w:space="0"/>
          <w:right w:val="none" w:color="auto" w:sz="0" w:space="0"/>
          <w:insideH w:val="single" w:color="auto" w:sz="4" w:space="0"/>
          <w:insideV w:val="single" w:color="auto" w:sz="4" w:space="0"/>
        </w:tblBorders>
        <w:tblLayout w:type="autofit"/>
        <w:tblCellMar>
          <w:top w:w="0" w:type="dxa"/>
          <w:left w:w="0" w:type="dxa"/>
          <w:bottom w:w="0" w:type="dxa"/>
          <w:right w:w="0" w:type="dxa"/>
        </w:tblCellMar>
      </w:tblPr>
      <w:tblGrid>
        <w:gridCol w:w="1357"/>
        <w:gridCol w:w="1582"/>
        <w:gridCol w:w="1905"/>
        <w:gridCol w:w="1582"/>
        <w:gridCol w:w="2257"/>
      </w:tblGrid>
      <w:tr>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597" w:hRule="atLeast"/>
          <w:tblCellSpacing w:w="0" w:type="dxa"/>
          <w:jc w:val="center"/>
        </w:trPr>
        <w:tc>
          <w:tcPr>
            <w:tcW w:w="1357" w:type="dxa"/>
            <w:noWrap w:val="0"/>
            <w:vAlign w:val="center"/>
          </w:tcPr>
          <w:p>
            <w:pPr>
              <w:widowControl/>
              <w:adjustRightInd w:val="0"/>
              <w:snapToGrid w:val="0"/>
              <w:spacing w:line="240" w:lineRule="auto"/>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序号</w:t>
            </w:r>
          </w:p>
        </w:tc>
        <w:tc>
          <w:tcPr>
            <w:tcW w:w="1582" w:type="dxa"/>
            <w:noWrap w:val="0"/>
            <w:vAlign w:val="center"/>
          </w:tcPr>
          <w:p>
            <w:pPr>
              <w:widowControl/>
              <w:adjustRightInd w:val="0"/>
              <w:snapToGrid w:val="0"/>
              <w:spacing w:line="240" w:lineRule="auto"/>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包号</w:t>
            </w:r>
          </w:p>
        </w:tc>
        <w:tc>
          <w:tcPr>
            <w:tcW w:w="1905" w:type="dxa"/>
            <w:noWrap w:val="0"/>
            <w:vAlign w:val="center"/>
          </w:tcPr>
          <w:p>
            <w:pPr>
              <w:widowControl/>
              <w:adjustRightInd w:val="0"/>
              <w:snapToGrid w:val="0"/>
              <w:spacing w:line="240" w:lineRule="auto"/>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包名称</w:t>
            </w:r>
          </w:p>
        </w:tc>
        <w:tc>
          <w:tcPr>
            <w:tcW w:w="1582" w:type="dxa"/>
            <w:noWrap w:val="0"/>
            <w:vAlign w:val="center"/>
          </w:tcPr>
          <w:p>
            <w:pPr>
              <w:widowControl/>
              <w:adjustRightInd w:val="0"/>
              <w:snapToGrid w:val="0"/>
              <w:spacing w:line="240" w:lineRule="auto"/>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包预算（元）</w:t>
            </w:r>
          </w:p>
        </w:tc>
        <w:tc>
          <w:tcPr>
            <w:tcW w:w="2257" w:type="dxa"/>
            <w:noWrap w:val="0"/>
            <w:vAlign w:val="center"/>
          </w:tcPr>
          <w:p>
            <w:pPr>
              <w:widowControl/>
              <w:adjustRightInd w:val="0"/>
              <w:snapToGrid w:val="0"/>
              <w:spacing w:line="240" w:lineRule="auto"/>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包最高限价（元）</w:t>
            </w:r>
          </w:p>
        </w:tc>
      </w:tr>
      <w:tr>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597" w:hRule="atLeast"/>
          <w:tblCellSpacing w:w="0" w:type="dxa"/>
          <w:jc w:val="center"/>
        </w:trPr>
        <w:tc>
          <w:tcPr>
            <w:tcW w:w="1357" w:type="dxa"/>
            <w:noWrap w:val="0"/>
            <w:vAlign w:val="center"/>
          </w:tcPr>
          <w:p>
            <w:pPr>
              <w:widowControl/>
              <w:adjustRightInd w:val="0"/>
              <w:snapToGrid w:val="0"/>
              <w:spacing w:line="24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w:t>
            </w:r>
          </w:p>
        </w:tc>
        <w:tc>
          <w:tcPr>
            <w:tcW w:w="1582" w:type="dxa"/>
            <w:noWrap w:val="0"/>
            <w:vAlign w:val="center"/>
          </w:tcPr>
          <w:p>
            <w:pPr>
              <w:widowControl/>
              <w:adjustRightInd w:val="0"/>
              <w:snapToGrid w:val="0"/>
              <w:spacing w:line="24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第一标段</w:t>
            </w:r>
          </w:p>
        </w:tc>
        <w:tc>
          <w:tcPr>
            <w:tcW w:w="1905" w:type="dxa"/>
            <w:noWrap w:val="0"/>
            <w:vAlign w:val="center"/>
          </w:tcPr>
          <w:p>
            <w:pPr>
              <w:widowControl/>
              <w:adjustRightInd w:val="0"/>
              <w:snapToGrid w:val="0"/>
              <w:spacing w:line="24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保安</w:t>
            </w:r>
          </w:p>
        </w:tc>
        <w:tc>
          <w:tcPr>
            <w:tcW w:w="1582" w:type="dxa"/>
            <w:noWrap w:val="0"/>
            <w:vAlign w:val="center"/>
          </w:tcPr>
          <w:p>
            <w:pPr>
              <w:widowControl/>
              <w:adjustRightInd w:val="0"/>
              <w:snapToGrid w:val="0"/>
              <w:spacing w:line="24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1164</w:t>
            </w:r>
            <w:r>
              <w:rPr>
                <w:rFonts w:hint="eastAsia" w:ascii="宋体" w:hAnsi="宋体" w:eastAsia="宋体" w:cs="宋体"/>
                <w:color w:val="auto"/>
                <w:kern w:val="0"/>
                <w:sz w:val="24"/>
                <w:highlight w:val="none"/>
              </w:rPr>
              <w:t>000</w:t>
            </w:r>
          </w:p>
        </w:tc>
        <w:tc>
          <w:tcPr>
            <w:tcW w:w="2257" w:type="dxa"/>
            <w:noWrap w:val="0"/>
            <w:vAlign w:val="center"/>
          </w:tcPr>
          <w:p>
            <w:pPr>
              <w:widowControl/>
              <w:adjustRightInd w:val="0"/>
              <w:snapToGrid w:val="0"/>
              <w:spacing w:line="24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1164</w:t>
            </w:r>
            <w:r>
              <w:rPr>
                <w:rFonts w:hint="eastAsia" w:ascii="宋体" w:hAnsi="宋体" w:eastAsia="宋体" w:cs="宋体"/>
                <w:color w:val="auto"/>
                <w:kern w:val="0"/>
                <w:sz w:val="24"/>
                <w:highlight w:val="none"/>
              </w:rPr>
              <w:t>000</w:t>
            </w:r>
          </w:p>
        </w:tc>
      </w:tr>
      <w:tr>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597" w:hRule="atLeast"/>
          <w:tblCellSpacing w:w="0" w:type="dxa"/>
          <w:jc w:val="center"/>
        </w:trPr>
        <w:tc>
          <w:tcPr>
            <w:tcW w:w="1357" w:type="dxa"/>
            <w:noWrap w:val="0"/>
            <w:vAlign w:val="center"/>
          </w:tcPr>
          <w:p>
            <w:pPr>
              <w:widowControl/>
              <w:adjustRightInd w:val="0"/>
              <w:snapToGrid w:val="0"/>
              <w:spacing w:line="24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w:t>
            </w:r>
          </w:p>
        </w:tc>
        <w:tc>
          <w:tcPr>
            <w:tcW w:w="1582" w:type="dxa"/>
            <w:noWrap w:val="0"/>
            <w:vAlign w:val="center"/>
          </w:tcPr>
          <w:p>
            <w:pPr>
              <w:widowControl/>
              <w:adjustRightInd w:val="0"/>
              <w:snapToGrid w:val="0"/>
              <w:spacing w:line="24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第二标段</w:t>
            </w:r>
          </w:p>
        </w:tc>
        <w:tc>
          <w:tcPr>
            <w:tcW w:w="1905" w:type="dxa"/>
            <w:noWrap w:val="0"/>
            <w:vAlign w:val="center"/>
          </w:tcPr>
          <w:p>
            <w:pPr>
              <w:widowControl/>
              <w:adjustRightInd w:val="0"/>
              <w:snapToGrid w:val="0"/>
              <w:spacing w:line="24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保洁</w:t>
            </w:r>
          </w:p>
        </w:tc>
        <w:tc>
          <w:tcPr>
            <w:tcW w:w="1582" w:type="dxa"/>
            <w:noWrap w:val="0"/>
            <w:vAlign w:val="center"/>
          </w:tcPr>
          <w:p>
            <w:pPr>
              <w:widowControl/>
              <w:adjustRightInd w:val="0"/>
              <w:snapToGrid w:val="0"/>
              <w:spacing w:line="24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w:t>
            </w:r>
            <w:r>
              <w:rPr>
                <w:rFonts w:hint="eastAsia" w:ascii="宋体" w:hAnsi="宋体" w:eastAsia="宋体" w:cs="宋体"/>
                <w:color w:val="auto"/>
                <w:kern w:val="0"/>
                <w:sz w:val="24"/>
                <w:highlight w:val="none"/>
                <w:lang w:val="en-US" w:eastAsia="zh-CN"/>
              </w:rPr>
              <w:t>02</w:t>
            </w:r>
            <w:r>
              <w:rPr>
                <w:rFonts w:hint="eastAsia" w:ascii="宋体" w:hAnsi="宋体" w:eastAsia="宋体" w:cs="宋体"/>
                <w:color w:val="auto"/>
                <w:kern w:val="0"/>
                <w:sz w:val="24"/>
                <w:highlight w:val="none"/>
              </w:rPr>
              <w:t>0000</w:t>
            </w:r>
          </w:p>
        </w:tc>
        <w:tc>
          <w:tcPr>
            <w:tcW w:w="2257" w:type="dxa"/>
            <w:noWrap w:val="0"/>
            <w:vAlign w:val="center"/>
          </w:tcPr>
          <w:p>
            <w:pPr>
              <w:widowControl/>
              <w:adjustRightInd w:val="0"/>
              <w:snapToGrid w:val="0"/>
              <w:spacing w:line="24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w:t>
            </w:r>
            <w:r>
              <w:rPr>
                <w:rFonts w:hint="eastAsia" w:ascii="宋体" w:hAnsi="宋体" w:eastAsia="宋体" w:cs="宋体"/>
                <w:color w:val="auto"/>
                <w:kern w:val="0"/>
                <w:sz w:val="24"/>
                <w:highlight w:val="none"/>
                <w:lang w:val="en-US" w:eastAsia="zh-CN"/>
              </w:rPr>
              <w:t>02</w:t>
            </w:r>
            <w:r>
              <w:rPr>
                <w:rFonts w:hint="eastAsia" w:ascii="宋体" w:hAnsi="宋体" w:eastAsia="宋体" w:cs="宋体"/>
                <w:color w:val="auto"/>
                <w:kern w:val="0"/>
                <w:sz w:val="24"/>
                <w:highlight w:val="none"/>
              </w:rPr>
              <w:t>0000</w:t>
            </w:r>
          </w:p>
        </w:tc>
      </w:tr>
      <w:tr>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597" w:hRule="atLeast"/>
          <w:tblCellSpacing w:w="0" w:type="dxa"/>
          <w:jc w:val="center"/>
        </w:trPr>
        <w:tc>
          <w:tcPr>
            <w:tcW w:w="1357" w:type="dxa"/>
            <w:noWrap w:val="0"/>
            <w:vAlign w:val="center"/>
          </w:tcPr>
          <w:p>
            <w:pPr>
              <w:widowControl/>
              <w:adjustRightInd w:val="0"/>
              <w:snapToGrid w:val="0"/>
              <w:spacing w:line="24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w:t>
            </w:r>
          </w:p>
        </w:tc>
        <w:tc>
          <w:tcPr>
            <w:tcW w:w="1582" w:type="dxa"/>
            <w:noWrap w:val="0"/>
            <w:vAlign w:val="center"/>
          </w:tcPr>
          <w:p>
            <w:pPr>
              <w:widowControl/>
              <w:adjustRightInd w:val="0"/>
              <w:snapToGrid w:val="0"/>
              <w:spacing w:line="24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第三标段</w:t>
            </w:r>
          </w:p>
        </w:tc>
        <w:tc>
          <w:tcPr>
            <w:tcW w:w="1905" w:type="dxa"/>
            <w:noWrap w:val="0"/>
            <w:vAlign w:val="center"/>
          </w:tcPr>
          <w:p>
            <w:pPr>
              <w:widowControl/>
              <w:adjustRightInd w:val="0"/>
              <w:snapToGrid w:val="0"/>
              <w:spacing w:line="24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消防及监控维保</w:t>
            </w:r>
          </w:p>
        </w:tc>
        <w:tc>
          <w:tcPr>
            <w:tcW w:w="1582" w:type="dxa"/>
            <w:noWrap w:val="0"/>
            <w:vAlign w:val="center"/>
          </w:tcPr>
          <w:p>
            <w:pPr>
              <w:widowControl/>
              <w:adjustRightInd w:val="0"/>
              <w:snapToGrid w:val="0"/>
              <w:spacing w:line="24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450</w:t>
            </w:r>
            <w:r>
              <w:rPr>
                <w:rFonts w:hint="eastAsia" w:ascii="宋体" w:hAnsi="宋体" w:eastAsia="宋体" w:cs="宋体"/>
                <w:color w:val="auto"/>
                <w:kern w:val="0"/>
                <w:sz w:val="24"/>
                <w:highlight w:val="none"/>
              </w:rPr>
              <w:t>000</w:t>
            </w:r>
          </w:p>
        </w:tc>
        <w:tc>
          <w:tcPr>
            <w:tcW w:w="2257" w:type="dxa"/>
            <w:noWrap w:val="0"/>
            <w:vAlign w:val="center"/>
          </w:tcPr>
          <w:p>
            <w:pPr>
              <w:widowControl/>
              <w:adjustRightInd w:val="0"/>
              <w:snapToGrid w:val="0"/>
              <w:spacing w:line="24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450</w:t>
            </w:r>
            <w:r>
              <w:rPr>
                <w:rFonts w:hint="eastAsia" w:ascii="宋体" w:hAnsi="宋体" w:eastAsia="宋体" w:cs="宋体"/>
                <w:color w:val="auto"/>
                <w:kern w:val="0"/>
                <w:sz w:val="24"/>
                <w:highlight w:val="none"/>
              </w:rPr>
              <w:t>000</w:t>
            </w:r>
          </w:p>
        </w:tc>
      </w:tr>
    </w:tbl>
    <w:p>
      <w:pPr>
        <w:widowControl/>
        <w:adjustRightInd w:val="0"/>
        <w:snapToGrid w:val="0"/>
        <w:spacing w:line="360" w:lineRule="auto"/>
        <w:ind w:firstLine="840"/>
        <w:jc w:val="left"/>
        <w:rPr>
          <w:rFonts w:ascii="宋体" w:hAnsi="宋体" w:cs="宋体"/>
          <w:color w:val="auto"/>
          <w:kern w:val="0"/>
          <w:sz w:val="24"/>
          <w:highlight w:val="none"/>
        </w:rPr>
      </w:pPr>
    </w:p>
    <w:p>
      <w:pPr>
        <w:widowControl/>
        <w:numPr>
          <w:ilvl w:val="0"/>
          <w:numId w:val="2"/>
        </w:numPr>
        <w:adjustRightInd w:val="0"/>
        <w:snapToGrid w:val="0"/>
        <w:spacing w:line="360" w:lineRule="auto"/>
        <w:ind w:firstLine="420"/>
        <w:jc w:val="left"/>
        <w:rPr>
          <w:rFonts w:hint="eastAsia" w:ascii="宋体" w:hAnsi="宋体" w:cs="宋体"/>
          <w:color w:val="auto"/>
          <w:kern w:val="0"/>
          <w:sz w:val="24"/>
          <w:highlight w:val="none"/>
        </w:rPr>
      </w:pPr>
      <w:r>
        <w:rPr>
          <w:rFonts w:hint="eastAsia" w:ascii="宋体" w:hAnsi="宋体" w:cs="宋体"/>
          <w:color w:val="auto"/>
          <w:kern w:val="0"/>
          <w:sz w:val="24"/>
          <w:highlight w:val="none"/>
        </w:rPr>
        <w:t xml:space="preserve">采购需求（包括但不限于标的的名称、数量、简要技术需求或服务要求等）    </w:t>
      </w:r>
    </w:p>
    <w:p>
      <w:pPr>
        <w:widowControl/>
        <w:numPr>
          <w:ilvl w:val="0"/>
          <w:numId w:val="0"/>
        </w:numPr>
        <w:adjustRightInd w:val="0"/>
        <w:snapToGrid w:val="0"/>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八大街办公区保安、保洁、消防及监控维保(本项目所列预算金额及最高限价均为18个月)</w:t>
      </w:r>
    </w:p>
    <w:p>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6、合同履行期限：</w:t>
      </w:r>
      <w:r>
        <w:rPr>
          <w:rFonts w:hint="eastAsia" w:ascii="宋体" w:hAnsi="宋体" w:eastAsia="宋体" w:cs="宋体"/>
          <w:color w:val="auto"/>
          <w:kern w:val="0"/>
          <w:sz w:val="24"/>
          <w:highlight w:val="none"/>
          <w:lang w:val="en-US" w:eastAsia="zh-CN"/>
        </w:rPr>
        <w:t>18个月</w:t>
      </w:r>
      <w:r>
        <w:rPr>
          <w:rFonts w:hint="eastAsia" w:ascii="宋体" w:hAnsi="宋体" w:cs="宋体"/>
          <w:color w:val="auto"/>
          <w:kern w:val="0"/>
          <w:sz w:val="24"/>
          <w:highlight w:val="none"/>
        </w:rPr>
        <w:t xml:space="preserve">   </w:t>
      </w:r>
    </w:p>
    <w:p>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7、本项目是否接受联合体投标：否 </w:t>
      </w:r>
    </w:p>
    <w:p>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8、是否接受进口产品：否 </w:t>
      </w:r>
    </w:p>
    <w:p>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9、是否为只面向中小企业采购：否</w:t>
      </w:r>
    </w:p>
    <w:p>
      <w:pPr>
        <w:widowControl/>
        <w:adjustRightInd w:val="0"/>
        <w:snapToGrid w:val="0"/>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二、申请人资格要求： </w:t>
      </w:r>
    </w:p>
    <w:p>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1、满足《中华人民共和国政府采购法》第二十二条规定； </w:t>
      </w:r>
    </w:p>
    <w:p>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2、落实政府采购政策满足的资格要求：</w:t>
      </w:r>
    </w:p>
    <w:p>
      <w:pPr>
        <w:widowControl/>
        <w:adjustRightInd w:val="0"/>
        <w:snapToGrid w:val="0"/>
        <w:spacing w:line="360" w:lineRule="auto"/>
        <w:ind w:firstLine="960" w:firstLineChars="40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详见招标文件 </w:t>
      </w:r>
    </w:p>
    <w:p>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3、本项目的特定资格要求 </w:t>
      </w:r>
    </w:p>
    <w:p>
      <w:pPr>
        <w:widowControl/>
        <w:numPr>
          <w:ilvl w:val="0"/>
          <w:numId w:val="3"/>
        </w:numPr>
        <w:adjustRightInd w:val="0"/>
        <w:snapToGrid w:val="0"/>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供应商应具备下列条件，并提供相应材料：</w:t>
      </w:r>
    </w:p>
    <w:p>
      <w:pPr>
        <w:widowControl/>
        <w:numPr>
          <w:ilvl w:val="0"/>
          <w:numId w:val="4"/>
        </w:numPr>
        <w:adjustRightInd w:val="0"/>
        <w:snapToGrid w:val="0"/>
        <w:spacing w:line="360" w:lineRule="auto"/>
        <w:ind w:left="645" w:hanging="5"/>
        <w:jc w:val="left"/>
        <w:rPr>
          <w:rFonts w:ascii="宋体" w:hAnsi="宋体" w:cs="宋体"/>
          <w:color w:val="auto"/>
          <w:kern w:val="0"/>
          <w:sz w:val="24"/>
          <w:highlight w:val="none"/>
        </w:rPr>
      </w:pPr>
      <w:r>
        <w:rPr>
          <w:rFonts w:hint="eastAsia" w:ascii="宋体" w:hAnsi="宋体" w:cs="宋体"/>
          <w:color w:val="auto"/>
          <w:kern w:val="0"/>
          <w:sz w:val="24"/>
          <w:highlight w:val="none"/>
        </w:rPr>
        <w:t>营业执照等证明材料，具有独立承担民事责任的能力。（提供原件扫描件或电子证照，经营内容与本项目采购内容及履约能力相适合。不明确者同时提供显示经营范围的《国家企业信用信息公示系统》“营业执照信息”完整截图。）</w:t>
      </w:r>
    </w:p>
    <w:p>
      <w:pPr>
        <w:widowControl/>
        <w:numPr>
          <w:ilvl w:val="0"/>
          <w:numId w:val="4"/>
        </w:numPr>
        <w:adjustRightInd w:val="0"/>
        <w:snapToGrid w:val="0"/>
        <w:spacing w:line="360" w:lineRule="auto"/>
        <w:ind w:left="645" w:hanging="5"/>
        <w:jc w:val="left"/>
        <w:rPr>
          <w:rFonts w:ascii="宋体" w:hAnsi="宋体" w:cs="宋体"/>
          <w:color w:val="auto"/>
          <w:kern w:val="0"/>
          <w:sz w:val="24"/>
          <w:highlight w:val="none"/>
        </w:rPr>
      </w:pPr>
      <w:r>
        <w:rPr>
          <w:rFonts w:hint="eastAsia" w:ascii="宋体" w:hAnsi="宋体" w:cs="宋体"/>
          <w:color w:val="auto"/>
          <w:kern w:val="0"/>
          <w:sz w:val="24"/>
          <w:highlight w:val="none"/>
        </w:rPr>
        <w:t>财务状况报告。（是法人的，提供经审计的财务报告，或其基本开户银行出具的资信证明。是其他组织和自然人的，提供银行出具的资信证明。资信证明出具时间距开标不超过一年；财务报告出具时间为本年或上一年。提供原件扫描件。）</w:t>
      </w:r>
    </w:p>
    <w:p>
      <w:pPr>
        <w:widowControl/>
        <w:numPr>
          <w:ilvl w:val="0"/>
          <w:numId w:val="4"/>
        </w:numPr>
        <w:adjustRightInd w:val="0"/>
        <w:snapToGrid w:val="0"/>
        <w:spacing w:line="360" w:lineRule="auto"/>
        <w:ind w:left="645" w:hanging="5"/>
        <w:jc w:val="left"/>
        <w:rPr>
          <w:rFonts w:ascii="宋体" w:hAnsi="宋体" w:cs="宋体"/>
          <w:color w:val="auto"/>
          <w:kern w:val="0"/>
          <w:sz w:val="24"/>
          <w:highlight w:val="none"/>
        </w:rPr>
      </w:pPr>
      <w:r>
        <w:rPr>
          <w:rFonts w:hint="eastAsia" w:ascii="宋体" w:hAnsi="宋体" w:cs="宋体"/>
          <w:color w:val="auto"/>
          <w:kern w:val="0"/>
          <w:sz w:val="24"/>
          <w:highlight w:val="none"/>
        </w:rPr>
        <w:t>依法缴纳税收的证明材料。【提供距开标不超过半年（缴款日期、入库日期等）任意一次经营缴税凭据或税务部门出具的“无欠税证明”相关证明材料。属于免税对象者，自行出具免税声明或提供其他证明材料。】</w:t>
      </w:r>
    </w:p>
    <w:p>
      <w:pPr>
        <w:widowControl/>
        <w:numPr>
          <w:ilvl w:val="0"/>
          <w:numId w:val="4"/>
        </w:numPr>
        <w:adjustRightInd w:val="0"/>
        <w:snapToGrid w:val="0"/>
        <w:spacing w:line="360" w:lineRule="auto"/>
        <w:ind w:left="645" w:hanging="5"/>
        <w:jc w:val="left"/>
        <w:rPr>
          <w:rFonts w:ascii="宋体" w:hAnsi="宋体" w:cs="宋体"/>
          <w:color w:val="auto"/>
          <w:kern w:val="0"/>
          <w:sz w:val="24"/>
          <w:highlight w:val="none"/>
        </w:rPr>
      </w:pPr>
      <w:r>
        <w:rPr>
          <w:rFonts w:hint="eastAsia" w:ascii="宋体" w:hAnsi="宋体" w:cs="宋体"/>
          <w:color w:val="auto"/>
          <w:kern w:val="0"/>
          <w:sz w:val="24"/>
          <w:highlight w:val="none"/>
        </w:rPr>
        <w:t>依法缴纳社会保障资金的证明材料。（提供距开标不超过半年任意一次为职工缴纳社会保险的缴纳凭据或清单或社保部门证明。）</w:t>
      </w:r>
    </w:p>
    <w:p>
      <w:pPr>
        <w:widowControl/>
        <w:numPr>
          <w:ilvl w:val="0"/>
          <w:numId w:val="4"/>
        </w:numPr>
        <w:adjustRightInd w:val="0"/>
        <w:snapToGrid w:val="0"/>
        <w:spacing w:line="360" w:lineRule="auto"/>
        <w:ind w:left="645" w:hanging="5"/>
        <w:jc w:val="left"/>
        <w:rPr>
          <w:rFonts w:ascii="宋体" w:hAnsi="宋体" w:cs="宋体"/>
          <w:color w:val="auto"/>
          <w:kern w:val="0"/>
          <w:sz w:val="24"/>
          <w:highlight w:val="none"/>
        </w:rPr>
      </w:pPr>
      <w:r>
        <w:rPr>
          <w:rFonts w:hint="eastAsia" w:ascii="宋体" w:hAnsi="宋体" w:cs="宋体"/>
          <w:color w:val="auto"/>
          <w:kern w:val="0"/>
          <w:sz w:val="24"/>
          <w:highlight w:val="none"/>
        </w:rPr>
        <w:t>具备履行合同所必需的设备和专业技术能力的承诺。</w:t>
      </w:r>
    </w:p>
    <w:p>
      <w:pPr>
        <w:widowControl/>
        <w:numPr>
          <w:ilvl w:val="0"/>
          <w:numId w:val="4"/>
        </w:numPr>
        <w:adjustRightInd w:val="0"/>
        <w:snapToGrid w:val="0"/>
        <w:spacing w:line="360" w:lineRule="auto"/>
        <w:ind w:left="645" w:hanging="5"/>
        <w:jc w:val="left"/>
        <w:rPr>
          <w:rFonts w:ascii="宋体" w:hAnsi="宋体" w:cs="宋体"/>
          <w:color w:val="auto"/>
          <w:kern w:val="0"/>
          <w:sz w:val="24"/>
          <w:highlight w:val="none"/>
        </w:rPr>
      </w:pPr>
      <w:r>
        <w:rPr>
          <w:rFonts w:hint="eastAsia" w:ascii="宋体" w:hAnsi="宋体" w:cs="宋体"/>
          <w:color w:val="auto"/>
          <w:kern w:val="0"/>
          <w:sz w:val="24"/>
          <w:highlight w:val="none"/>
        </w:rPr>
        <w:t>供应商开标前三年内在经营活动中无重大违法记录的书面声明。</w:t>
      </w:r>
    </w:p>
    <w:p>
      <w:pPr>
        <w:widowControl/>
        <w:numPr>
          <w:ilvl w:val="0"/>
          <w:numId w:val="3"/>
        </w:numPr>
        <w:adjustRightInd w:val="0"/>
        <w:snapToGrid w:val="0"/>
        <w:spacing w:line="360" w:lineRule="auto"/>
        <w:ind w:left="5" w:firstLine="415"/>
        <w:jc w:val="left"/>
        <w:rPr>
          <w:rFonts w:ascii="宋体" w:hAnsi="宋体" w:cs="宋体"/>
          <w:color w:val="auto"/>
          <w:kern w:val="0"/>
          <w:sz w:val="24"/>
          <w:highlight w:val="none"/>
        </w:rPr>
      </w:pPr>
      <w:r>
        <w:rPr>
          <w:rFonts w:hint="eastAsia" w:ascii="宋体" w:hAnsi="宋体" w:cs="宋体"/>
          <w:color w:val="auto"/>
          <w:kern w:val="0"/>
          <w:sz w:val="24"/>
          <w:highlight w:val="none"/>
        </w:rPr>
        <w:t>具有良好的商业信誉。截至投标文件递交截止时间，供应商在“信用中国”网站列入“失信被执行人、重大税收违法失信主体”，或者在“中国政府采购网”上列入“政府采购严重违法失信行为信息记录”的，为无效投标。采购人、采购代理机构于开标后查询。【查询渠道：“信用中国”网站（http://www.creditchina.gov.cn）、中国政府采购网（http://www.ccgp.gov.cn）。】</w:t>
      </w:r>
    </w:p>
    <w:p>
      <w:pPr>
        <w:widowControl/>
        <w:numPr>
          <w:ilvl w:val="0"/>
          <w:numId w:val="3"/>
        </w:numPr>
        <w:adjustRightInd w:val="0"/>
        <w:snapToGrid w:val="0"/>
        <w:spacing w:line="360" w:lineRule="auto"/>
        <w:ind w:left="5" w:firstLine="415"/>
        <w:jc w:val="left"/>
        <w:rPr>
          <w:rFonts w:hint="eastAsia"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第一标段保安 具有公安机关部门颁发的《保安服务许可证》。</w:t>
      </w:r>
    </w:p>
    <w:p>
      <w:pPr>
        <w:widowControl/>
        <w:adjustRightInd w:val="0"/>
        <w:snapToGrid w:val="0"/>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三、获取招标文件 </w:t>
      </w:r>
    </w:p>
    <w:p>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1.时间：202</w:t>
      </w:r>
      <w:r>
        <w:rPr>
          <w:rFonts w:hint="eastAsia" w:ascii="宋体" w:hAnsi="宋体" w:cs="宋体"/>
          <w:color w:val="auto"/>
          <w:kern w:val="0"/>
          <w:sz w:val="24"/>
          <w:highlight w:val="none"/>
          <w:lang w:val="en-US" w:eastAsia="zh-CN"/>
        </w:rPr>
        <w:t>5</w:t>
      </w:r>
      <w:r>
        <w:rPr>
          <w:rFonts w:hint="eastAsia" w:ascii="宋体" w:hAnsi="宋体" w:cs="宋体"/>
          <w:color w:val="auto"/>
          <w:kern w:val="0"/>
          <w:sz w:val="24"/>
          <w:highlight w:val="none"/>
        </w:rPr>
        <w:t>年</w:t>
      </w:r>
      <w:r>
        <w:rPr>
          <w:rFonts w:hint="eastAsia" w:ascii="宋体" w:hAnsi="宋体" w:cs="宋体"/>
          <w:color w:val="auto"/>
          <w:kern w:val="0"/>
          <w:sz w:val="24"/>
          <w:highlight w:val="none"/>
          <w:lang w:val="en-US" w:eastAsia="zh-CN"/>
        </w:rPr>
        <w:t>3</w:t>
      </w:r>
      <w:r>
        <w:rPr>
          <w:rFonts w:hint="eastAsia" w:ascii="宋体" w:hAnsi="宋体" w:cs="宋体"/>
          <w:color w:val="auto"/>
          <w:kern w:val="0"/>
          <w:sz w:val="24"/>
          <w:highlight w:val="none"/>
        </w:rPr>
        <w:t>月</w:t>
      </w:r>
      <w:r>
        <w:rPr>
          <w:rFonts w:hint="eastAsia" w:ascii="宋体" w:hAnsi="宋体" w:cs="宋体"/>
          <w:color w:val="auto"/>
          <w:kern w:val="0"/>
          <w:sz w:val="24"/>
          <w:highlight w:val="none"/>
          <w:lang w:val="en-US" w:eastAsia="zh-CN"/>
        </w:rPr>
        <w:t>6</w:t>
      </w:r>
      <w:r>
        <w:rPr>
          <w:rFonts w:hint="eastAsia" w:ascii="宋体" w:hAnsi="宋体" w:cs="宋体"/>
          <w:color w:val="auto"/>
          <w:kern w:val="0"/>
          <w:sz w:val="24"/>
          <w:highlight w:val="none"/>
        </w:rPr>
        <w:t>日 至202</w:t>
      </w:r>
      <w:r>
        <w:rPr>
          <w:rFonts w:hint="eastAsia" w:ascii="宋体" w:hAnsi="宋体" w:cs="宋体"/>
          <w:color w:val="auto"/>
          <w:kern w:val="0"/>
          <w:sz w:val="24"/>
          <w:highlight w:val="none"/>
          <w:lang w:val="en-US" w:eastAsia="zh-CN"/>
        </w:rPr>
        <w:t>5</w:t>
      </w:r>
      <w:r>
        <w:rPr>
          <w:rFonts w:hint="eastAsia" w:ascii="宋体" w:hAnsi="宋体" w:cs="宋体"/>
          <w:color w:val="auto"/>
          <w:kern w:val="0"/>
          <w:sz w:val="24"/>
          <w:highlight w:val="none"/>
        </w:rPr>
        <w:t>年</w:t>
      </w:r>
      <w:r>
        <w:rPr>
          <w:rFonts w:hint="eastAsia" w:ascii="宋体" w:hAnsi="宋体" w:cs="宋体"/>
          <w:color w:val="auto"/>
          <w:kern w:val="0"/>
          <w:sz w:val="24"/>
          <w:highlight w:val="none"/>
          <w:lang w:val="en-US" w:eastAsia="zh-CN"/>
        </w:rPr>
        <w:t>3</w:t>
      </w:r>
      <w:r>
        <w:rPr>
          <w:rFonts w:hint="eastAsia" w:ascii="宋体" w:hAnsi="宋体" w:cs="宋体"/>
          <w:color w:val="auto"/>
          <w:kern w:val="0"/>
          <w:sz w:val="24"/>
          <w:highlight w:val="none"/>
        </w:rPr>
        <w:t>月</w:t>
      </w:r>
      <w:r>
        <w:rPr>
          <w:rFonts w:hint="eastAsia" w:ascii="宋体" w:hAnsi="宋体" w:cs="宋体"/>
          <w:color w:val="auto"/>
          <w:kern w:val="0"/>
          <w:sz w:val="24"/>
          <w:highlight w:val="none"/>
          <w:lang w:val="en-US" w:eastAsia="zh-CN"/>
        </w:rPr>
        <w:t>26</w:t>
      </w:r>
      <w:r>
        <w:rPr>
          <w:rFonts w:hint="eastAsia" w:ascii="宋体" w:hAnsi="宋体" w:cs="宋体"/>
          <w:color w:val="auto"/>
          <w:kern w:val="0"/>
          <w:sz w:val="24"/>
          <w:highlight w:val="none"/>
        </w:rPr>
        <w:t xml:space="preserve">日，每天上午00:00至12:00，下午12:00至23:59（北京时间，法定节假日除外。） </w:t>
      </w:r>
    </w:p>
    <w:p>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2.地点：《开封市公共资源交易信息网》电子交易系统。 </w:t>
      </w:r>
    </w:p>
    <w:p>
      <w:pPr>
        <w:widowControl/>
        <w:adjustRightInd w:val="0"/>
        <w:snapToGrid w:val="0"/>
        <w:spacing w:line="360" w:lineRule="auto"/>
        <w:ind w:firstLine="420"/>
        <w:jc w:val="left"/>
        <w:rPr>
          <w:rFonts w:ascii="宋体" w:hAnsi="宋体" w:eastAsia="微软雅黑" w:cs="宋体"/>
          <w:color w:val="auto"/>
          <w:kern w:val="0"/>
          <w:sz w:val="24"/>
          <w:highlight w:val="none"/>
        </w:rPr>
      </w:pPr>
      <w:r>
        <w:rPr>
          <w:rFonts w:hint="eastAsia" w:ascii="宋体" w:hAnsi="宋体" w:cs="宋体"/>
          <w:color w:val="auto"/>
          <w:kern w:val="0"/>
          <w:sz w:val="24"/>
          <w:highlight w:val="none"/>
        </w:rPr>
        <w:t>3.方式：凭CA密钥登录电子交易系统“政采、工程业务系统”自行下载招标文件及资料（详见http://www.kfsggzyjyw.cn办事指南-操作规程)。</w:t>
      </w:r>
    </w:p>
    <w:p>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4.售价：0元 </w:t>
      </w:r>
    </w:p>
    <w:p>
      <w:pPr>
        <w:widowControl/>
        <w:adjustRightInd w:val="0"/>
        <w:snapToGrid w:val="0"/>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四、投标截止时间及地点 </w:t>
      </w:r>
    </w:p>
    <w:p>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1.时间：202</w:t>
      </w:r>
      <w:r>
        <w:rPr>
          <w:rFonts w:hint="eastAsia" w:ascii="宋体" w:hAnsi="宋体" w:cs="宋体"/>
          <w:color w:val="auto"/>
          <w:kern w:val="0"/>
          <w:sz w:val="24"/>
          <w:highlight w:val="none"/>
          <w:lang w:val="en-US" w:eastAsia="zh-CN"/>
        </w:rPr>
        <w:t>5</w:t>
      </w:r>
      <w:r>
        <w:rPr>
          <w:rFonts w:hint="eastAsia" w:ascii="宋体" w:hAnsi="宋体" w:cs="宋体"/>
          <w:color w:val="auto"/>
          <w:kern w:val="0"/>
          <w:sz w:val="24"/>
          <w:highlight w:val="none"/>
        </w:rPr>
        <w:t>年</w:t>
      </w:r>
      <w:r>
        <w:rPr>
          <w:rFonts w:hint="eastAsia" w:ascii="宋体" w:hAnsi="宋体" w:cs="宋体"/>
          <w:color w:val="auto"/>
          <w:kern w:val="0"/>
          <w:sz w:val="24"/>
          <w:highlight w:val="none"/>
          <w:lang w:val="en-US" w:eastAsia="zh-CN"/>
        </w:rPr>
        <w:t>3</w:t>
      </w:r>
      <w:r>
        <w:rPr>
          <w:rFonts w:hint="eastAsia" w:ascii="宋体" w:hAnsi="宋体" w:cs="宋体"/>
          <w:color w:val="auto"/>
          <w:kern w:val="0"/>
          <w:sz w:val="24"/>
          <w:highlight w:val="none"/>
        </w:rPr>
        <w:t>月</w:t>
      </w:r>
      <w:r>
        <w:rPr>
          <w:rFonts w:hint="eastAsia" w:ascii="宋体" w:hAnsi="宋体" w:cs="宋体"/>
          <w:color w:val="auto"/>
          <w:kern w:val="0"/>
          <w:sz w:val="24"/>
          <w:highlight w:val="none"/>
          <w:lang w:val="en-US" w:eastAsia="zh-CN"/>
        </w:rPr>
        <w:t>27</w:t>
      </w:r>
      <w:r>
        <w:rPr>
          <w:rFonts w:hint="eastAsia" w:ascii="宋体" w:hAnsi="宋体" w:cs="宋体"/>
          <w:color w:val="auto"/>
          <w:kern w:val="0"/>
          <w:sz w:val="24"/>
          <w:highlight w:val="none"/>
        </w:rPr>
        <w:t>日09时</w:t>
      </w:r>
      <w:r>
        <w:rPr>
          <w:rFonts w:hint="eastAsia" w:ascii="宋体" w:hAnsi="宋体" w:cs="宋体"/>
          <w:color w:val="auto"/>
          <w:kern w:val="0"/>
          <w:sz w:val="24"/>
          <w:highlight w:val="none"/>
          <w:lang w:val="en-US" w:eastAsia="zh-CN"/>
        </w:rPr>
        <w:t>30</w:t>
      </w:r>
      <w:r>
        <w:rPr>
          <w:rFonts w:hint="eastAsia" w:ascii="宋体" w:hAnsi="宋体" w:cs="宋体"/>
          <w:color w:val="auto"/>
          <w:kern w:val="0"/>
          <w:sz w:val="24"/>
          <w:highlight w:val="none"/>
        </w:rPr>
        <w:t xml:space="preserve">分（北京时间） </w:t>
      </w:r>
    </w:p>
    <w:p>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2.地点：</w:t>
      </w:r>
      <w:r>
        <w:rPr>
          <w:rFonts w:hint="eastAsia" w:ascii="宋体" w:hAnsi="宋体" w:cs="宋体"/>
          <w:color w:val="auto"/>
          <w:kern w:val="0"/>
          <w:sz w:val="24"/>
          <w:highlight w:val="none"/>
          <w:lang w:val="zh-CN"/>
        </w:rPr>
        <w:t>在投标截止时间前，通过原下载招标文件的电子交易系统按提示上传、提交投标文件。</w:t>
      </w:r>
      <w:r>
        <w:rPr>
          <w:rFonts w:hint="eastAsia" w:ascii="宋体" w:hAnsi="宋体" w:cs="宋体"/>
          <w:color w:val="auto"/>
          <w:kern w:val="0"/>
          <w:sz w:val="24"/>
          <w:highlight w:val="none"/>
        </w:rPr>
        <w:t xml:space="preserve"> </w:t>
      </w:r>
    </w:p>
    <w:p>
      <w:pPr>
        <w:widowControl/>
        <w:adjustRightInd w:val="0"/>
        <w:snapToGrid w:val="0"/>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五、开标时间及地点 </w:t>
      </w:r>
    </w:p>
    <w:p>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1.时间：202</w:t>
      </w:r>
      <w:r>
        <w:rPr>
          <w:rFonts w:hint="eastAsia" w:ascii="宋体" w:hAnsi="宋体" w:cs="宋体"/>
          <w:color w:val="auto"/>
          <w:kern w:val="0"/>
          <w:sz w:val="24"/>
          <w:highlight w:val="none"/>
          <w:lang w:val="en-US" w:eastAsia="zh-CN"/>
        </w:rPr>
        <w:t>5</w:t>
      </w:r>
      <w:r>
        <w:rPr>
          <w:rFonts w:hint="eastAsia" w:ascii="宋体" w:hAnsi="宋体" w:cs="宋体"/>
          <w:color w:val="auto"/>
          <w:kern w:val="0"/>
          <w:sz w:val="24"/>
          <w:highlight w:val="none"/>
        </w:rPr>
        <w:t>年</w:t>
      </w:r>
      <w:r>
        <w:rPr>
          <w:rFonts w:hint="eastAsia" w:ascii="宋体" w:hAnsi="宋体" w:cs="宋体"/>
          <w:color w:val="auto"/>
          <w:kern w:val="0"/>
          <w:sz w:val="24"/>
          <w:highlight w:val="none"/>
          <w:lang w:val="en-US" w:eastAsia="zh-CN"/>
        </w:rPr>
        <w:t>3</w:t>
      </w:r>
      <w:r>
        <w:rPr>
          <w:rFonts w:hint="eastAsia" w:ascii="宋体" w:hAnsi="宋体" w:cs="宋体"/>
          <w:color w:val="auto"/>
          <w:kern w:val="0"/>
          <w:sz w:val="24"/>
          <w:highlight w:val="none"/>
        </w:rPr>
        <w:t>月</w:t>
      </w:r>
      <w:r>
        <w:rPr>
          <w:rFonts w:hint="eastAsia" w:ascii="宋体" w:hAnsi="宋体" w:cs="宋体"/>
          <w:color w:val="auto"/>
          <w:kern w:val="0"/>
          <w:sz w:val="24"/>
          <w:highlight w:val="none"/>
          <w:lang w:val="en-US" w:eastAsia="zh-CN"/>
        </w:rPr>
        <w:t>27</w:t>
      </w:r>
      <w:r>
        <w:rPr>
          <w:rFonts w:hint="eastAsia" w:ascii="宋体" w:hAnsi="宋体" w:cs="宋体"/>
          <w:color w:val="auto"/>
          <w:kern w:val="0"/>
          <w:sz w:val="24"/>
          <w:highlight w:val="none"/>
        </w:rPr>
        <w:t>日09时</w:t>
      </w:r>
      <w:r>
        <w:rPr>
          <w:rFonts w:hint="eastAsia" w:ascii="宋体" w:hAnsi="宋体" w:cs="宋体"/>
          <w:color w:val="auto"/>
          <w:kern w:val="0"/>
          <w:sz w:val="24"/>
          <w:highlight w:val="none"/>
          <w:lang w:val="en-US" w:eastAsia="zh-CN"/>
        </w:rPr>
        <w:t>30</w:t>
      </w:r>
      <w:r>
        <w:rPr>
          <w:rFonts w:hint="eastAsia" w:ascii="宋体" w:hAnsi="宋体" w:cs="宋体"/>
          <w:color w:val="auto"/>
          <w:kern w:val="0"/>
          <w:sz w:val="24"/>
          <w:highlight w:val="none"/>
        </w:rPr>
        <w:t xml:space="preserve">分（北京时间） </w:t>
      </w:r>
    </w:p>
    <w:p>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2.地点：《开封市公共资源交易信息网》（http://www.kfsggzyjyw.cn）</w:t>
      </w:r>
    </w:p>
    <w:p>
      <w:pPr>
        <w:widowControl/>
        <w:adjustRightInd w:val="0"/>
        <w:snapToGrid w:val="0"/>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六、发布公告的媒介及招标公告期限 </w:t>
      </w:r>
    </w:p>
    <w:p>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本次招标公告在《河南省政府采购网》《开封市公共资源交易信息网》上发布。招标公告期限为五个工作日。  </w:t>
      </w:r>
    </w:p>
    <w:p>
      <w:pPr>
        <w:widowControl/>
        <w:adjustRightInd w:val="0"/>
        <w:snapToGrid w:val="0"/>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七、其他补充事宜 </w:t>
      </w:r>
    </w:p>
    <w:p>
      <w:pPr>
        <w:widowControl/>
        <w:adjustRightInd w:val="0"/>
        <w:snapToGrid w:val="0"/>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1、供应商须提前注册成为《开封市公共资源交易信息网》会员并取得CA密钥（登录网站首页&gt;办事指南&gt;数字证书），已办理的请确保在有效期内，需更新的请联系CA服务机构。</w:t>
      </w:r>
    </w:p>
    <w:p>
      <w:pPr>
        <w:widowControl/>
        <w:adjustRightInd w:val="0"/>
        <w:snapToGrid w:val="0"/>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2、供应商应当充分熟悉该电子交易系统相关操作规则、要求、流程，知晓因未严格按操作手册要求和系统提示进行操作可能会出现不确定的异常情况，愿意承担电子招投标可能产生的风险。在投标过程中涉及系统平台操作的技术问题，可联系交易平台技术方咨询，电话：0371-23859291；采购人及采购中心仅作为平台使用方不负责解决技术问题。</w:t>
      </w:r>
    </w:p>
    <w:p>
      <w:pPr>
        <w:widowControl/>
        <w:adjustRightInd w:val="0"/>
        <w:snapToGrid w:val="0"/>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八、凡对本次招标提出询问，请按照以下方式联系 </w:t>
      </w:r>
    </w:p>
    <w:p>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1. 采购人信息 </w:t>
      </w:r>
    </w:p>
    <w:p>
      <w:pPr>
        <w:widowControl/>
        <w:adjustRightInd w:val="0"/>
        <w:snapToGrid w:val="0"/>
        <w:spacing w:line="360" w:lineRule="auto"/>
        <w:ind w:left="420" w:firstLine="42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名称：开封市机关事务中心 </w:t>
      </w:r>
    </w:p>
    <w:p>
      <w:pPr>
        <w:widowControl/>
        <w:adjustRightInd w:val="0"/>
        <w:snapToGrid w:val="0"/>
        <w:spacing w:line="360" w:lineRule="auto"/>
        <w:ind w:left="420" w:firstLine="42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地址：开封市金明区晋安路158号</w:t>
      </w:r>
    </w:p>
    <w:p>
      <w:pPr>
        <w:widowControl/>
        <w:adjustRightInd w:val="0"/>
        <w:snapToGrid w:val="0"/>
        <w:spacing w:line="360" w:lineRule="auto"/>
        <w:ind w:left="420" w:firstLine="42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联系人：</w:t>
      </w:r>
      <w:r>
        <w:rPr>
          <w:rFonts w:hint="eastAsia" w:ascii="宋体" w:hAnsi="宋体" w:eastAsia="宋体" w:cs="宋体"/>
          <w:color w:val="auto"/>
          <w:kern w:val="0"/>
          <w:sz w:val="24"/>
          <w:highlight w:val="none"/>
          <w:lang w:eastAsia="zh-CN"/>
        </w:rPr>
        <w:t>李</w:t>
      </w:r>
      <w:r>
        <w:rPr>
          <w:rFonts w:hint="eastAsia" w:ascii="宋体" w:hAnsi="宋体" w:eastAsia="宋体" w:cs="宋体"/>
          <w:color w:val="auto"/>
          <w:kern w:val="0"/>
          <w:sz w:val="24"/>
          <w:highlight w:val="none"/>
          <w:lang w:val="en-US" w:eastAsia="zh-CN"/>
        </w:rPr>
        <w:t>先生</w:t>
      </w:r>
    </w:p>
    <w:p>
      <w:pPr>
        <w:widowControl/>
        <w:adjustRightInd w:val="0"/>
        <w:snapToGrid w:val="0"/>
        <w:spacing w:line="360" w:lineRule="auto"/>
        <w:ind w:left="420" w:firstLine="420"/>
        <w:jc w:val="left"/>
        <w:rPr>
          <w:rFonts w:ascii="宋体" w:hAnsi="宋体" w:cs="宋体"/>
          <w:color w:val="auto"/>
          <w:kern w:val="0"/>
          <w:sz w:val="24"/>
          <w:highlight w:val="none"/>
        </w:rPr>
      </w:pPr>
      <w:r>
        <w:rPr>
          <w:rFonts w:hint="eastAsia" w:ascii="宋体" w:hAnsi="宋体" w:eastAsia="宋体" w:cs="宋体"/>
          <w:color w:val="auto"/>
          <w:kern w:val="0"/>
          <w:sz w:val="24"/>
          <w:highlight w:val="none"/>
        </w:rPr>
        <w:t>联系方式：0371—238750</w:t>
      </w:r>
      <w:r>
        <w:rPr>
          <w:rFonts w:hint="eastAsia" w:ascii="宋体" w:hAnsi="宋体" w:eastAsia="宋体" w:cs="宋体"/>
          <w:color w:val="auto"/>
          <w:kern w:val="0"/>
          <w:sz w:val="24"/>
          <w:highlight w:val="none"/>
          <w:lang w:val="en-US" w:eastAsia="zh-CN"/>
        </w:rPr>
        <w:t>1</w:t>
      </w:r>
      <w:r>
        <w:rPr>
          <w:rFonts w:hint="eastAsia" w:ascii="宋体" w:hAnsi="宋体" w:eastAsia="宋体" w:cs="宋体"/>
          <w:color w:val="auto"/>
          <w:kern w:val="0"/>
          <w:sz w:val="24"/>
          <w:highlight w:val="none"/>
        </w:rPr>
        <w:t xml:space="preserve">2     </w:t>
      </w:r>
      <w:r>
        <w:rPr>
          <w:rFonts w:hint="eastAsia" w:ascii="宋体" w:hAnsi="宋体" w:cs="宋体"/>
          <w:color w:val="auto"/>
          <w:kern w:val="0"/>
          <w:sz w:val="24"/>
          <w:highlight w:val="none"/>
        </w:rPr>
        <w:t xml:space="preserve">  </w:t>
      </w:r>
    </w:p>
    <w:p>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2.采购代理机构信息 </w:t>
      </w:r>
    </w:p>
    <w:p>
      <w:pPr>
        <w:widowControl/>
        <w:adjustRightInd w:val="0"/>
        <w:snapToGrid w:val="0"/>
        <w:spacing w:line="360" w:lineRule="auto"/>
        <w:ind w:left="420" w:firstLine="420"/>
        <w:jc w:val="left"/>
        <w:rPr>
          <w:rFonts w:hint="eastAsia" w:ascii="宋体" w:hAnsi="宋体" w:cs="宋体"/>
          <w:color w:val="auto"/>
          <w:kern w:val="0"/>
          <w:sz w:val="24"/>
          <w:highlight w:val="none"/>
        </w:rPr>
      </w:pPr>
      <w:r>
        <w:rPr>
          <w:rFonts w:hint="eastAsia" w:ascii="宋体" w:hAnsi="宋体" w:cs="宋体"/>
          <w:color w:val="auto"/>
          <w:kern w:val="0"/>
          <w:sz w:val="24"/>
          <w:highlight w:val="none"/>
        </w:rPr>
        <w:t xml:space="preserve">名称：开封市政府采购中心 </w:t>
      </w:r>
    </w:p>
    <w:p>
      <w:pPr>
        <w:widowControl/>
        <w:adjustRightInd w:val="0"/>
        <w:snapToGrid w:val="0"/>
        <w:spacing w:line="360" w:lineRule="auto"/>
        <w:ind w:left="420" w:firstLine="420"/>
        <w:jc w:val="left"/>
        <w:rPr>
          <w:rFonts w:hint="eastAsia" w:ascii="宋体" w:hAnsi="宋体" w:cs="宋体"/>
          <w:color w:val="auto"/>
          <w:kern w:val="0"/>
          <w:sz w:val="24"/>
          <w:highlight w:val="none"/>
        </w:rPr>
      </w:pPr>
      <w:r>
        <w:rPr>
          <w:rFonts w:hint="eastAsia" w:ascii="宋体" w:hAnsi="宋体" w:cs="宋体"/>
          <w:color w:val="auto"/>
          <w:kern w:val="0"/>
          <w:sz w:val="24"/>
          <w:highlight w:val="none"/>
        </w:rPr>
        <w:t xml:space="preserve">地址：开封市民之家6楼西头向北6067房间 </w:t>
      </w:r>
    </w:p>
    <w:p>
      <w:pPr>
        <w:widowControl/>
        <w:adjustRightInd w:val="0"/>
        <w:snapToGrid w:val="0"/>
        <w:spacing w:line="360" w:lineRule="auto"/>
        <w:ind w:left="420" w:firstLine="420"/>
        <w:jc w:val="left"/>
        <w:rPr>
          <w:rFonts w:hint="eastAsia" w:ascii="宋体" w:hAnsi="宋体" w:cs="宋体"/>
          <w:color w:val="auto"/>
          <w:kern w:val="0"/>
          <w:sz w:val="24"/>
          <w:highlight w:val="none"/>
        </w:rPr>
      </w:pPr>
      <w:r>
        <w:rPr>
          <w:rFonts w:hint="eastAsia" w:ascii="宋体" w:hAnsi="宋体" w:cs="宋体"/>
          <w:color w:val="auto"/>
          <w:kern w:val="0"/>
          <w:sz w:val="24"/>
          <w:highlight w:val="none"/>
        </w:rPr>
        <w:t xml:space="preserve">联系人：李女士  </w:t>
      </w:r>
    </w:p>
    <w:p>
      <w:pPr>
        <w:widowControl/>
        <w:adjustRightInd w:val="0"/>
        <w:snapToGrid w:val="0"/>
        <w:spacing w:line="360" w:lineRule="auto"/>
        <w:ind w:left="420" w:firstLine="420"/>
        <w:jc w:val="left"/>
        <w:rPr>
          <w:rFonts w:ascii="宋体" w:hAnsi="宋体" w:cs="宋体"/>
          <w:color w:val="auto"/>
          <w:kern w:val="0"/>
          <w:sz w:val="24"/>
          <w:highlight w:val="none"/>
        </w:rPr>
      </w:pPr>
      <w:r>
        <w:rPr>
          <w:rFonts w:hint="eastAsia" w:ascii="宋体" w:hAnsi="宋体" w:cs="宋体"/>
          <w:color w:val="auto"/>
          <w:kern w:val="0"/>
          <w:sz w:val="24"/>
          <w:highlight w:val="none"/>
        </w:rPr>
        <w:t>联系方式：0371—23856102  23856103</w:t>
      </w:r>
    </w:p>
    <w:p>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3.项目联系方式 </w:t>
      </w:r>
    </w:p>
    <w:p>
      <w:pPr>
        <w:widowControl/>
        <w:adjustRightInd w:val="0"/>
        <w:snapToGrid w:val="0"/>
        <w:spacing w:line="360" w:lineRule="auto"/>
        <w:ind w:left="420" w:firstLine="420"/>
        <w:jc w:val="left"/>
        <w:rPr>
          <w:rFonts w:hint="eastAsia" w:ascii="宋体" w:hAnsi="宋体" w:cs="宋体"/>
          <w:color w:val="auto"/>
          <w:kern w:val="0"/>
          <w:sz w:val="24"/>
          <w:highlight w:val="none"/>
        </w:rPr>
      </w:pPr>
      <w:r>
        <w:rPr>
          <w:rFonts w:hint="eastAsia" w:ascii="宋体" w:hAnsi="宋体" w:cs="宋体"/>
          <w:color w:val="auto"/>
          <w:kern w:val="0"/>
          <w:sz w:val="24"/>
          <w:highlight w:val="none"/>
        </w:rPr>
        <w:t xml:space="preserve">项目联系人：李女士  </w:t>
      </w:r>
    </w:p>
    <w:p>
      <w:pPr>
        <w:widowControl/>
        <w:adjustRightInd w:val="0"/>
        <w:snapToGrid w:val="0"/>
        <w:spacing w:line="360" w:lineRule="auto"/>
        <w:ind w:left="420" w:firstLine="420"/>
        <w:jc w:val="left"/>
        <w:rPr>
          <w:rFonts w:hint="eastAsia" w:ascii="宋体" w:hAnsi="宋体" w:cs="宋体"/>
          <w:color w:val="auto"/>
          <w:kern w:val="0"/>
          <w:sz w:val="24"/>
          <w:highlight w:val="none"/>
        </w:rPr>
      </w:pPr>
      <w:r>
        <w:rPr>
          <w:rFonts w:hint="eastAsia" w:ascii="宋体" w:hAnsi="宋体" w:cs="宋体"/>
          <w:color w:val="auto"/>
          <w:kern w:val="0"/>
          <w:sz w:val="24"/>
          <w:highlight w:val="none"/>
        </w:rPr>
        <w:t xml:space="preserve">联系方式：0371—23856102  23856103  </w:t>
      </w:r>
    </w:p>
    <w:p>
      <w:pPr>
        <w:spacing w:line="312" w:lineRule="auto"/>
        <w:ind w:firstLine="421"/>
        <w:rPr>
          <w:rFonts w:ascii="宋体" w:hAnsi="宋体"/>
          <w:color w:val="auto"/>
          <w:sz w:val="24"/>
          <w:highlight w:val="none"/>
          <w:lang w:val="zh-CN"/>
        </w:rPr>
      </w:pPr>
    </w:p>
    <w:p>
      <w:pPr>
        <w:pStyle w:val="6"/>
        <w:jc w:val="center"/>
        <w:rPr>
          <w:rFonts w:ascii="宋体" w:hAnsi="宋体"/>
          <w:color w:val="auto"/>
          <w:highlight w:val="none"/>
        </w:rPr>
      </w:pPr>
      <w:bookmarkStart w:id="19" w:name="_Toc338840185"/>
      <w:bookmarkStart w:id="20" w:name="_Toc346523463"/>
      <w:bookmarkStart w:id="21" w:name="_Toc246996173"/>
      <w:bookmarkStart w:id="22" w:name="_Toc494526399"/>
      <w:bookmarkStart w:id="23" w:name="_Toc246996916"/>
      <w:bookmarkStart w:id="24" w:name="_Toc8884"/>
      <w:bookmarkStart w:id="25" w:name="_Toc338840479"/>
      <w:bookmarkStart w:id="26" w:name="_Toc152045527"/>
      <w:bookmarkStart w:id="27" w:name="_Toc152042303"/>
      <w:bookmarkStart w:id="28" w:name="_Toc494093427"/>
      <w:bookmarkStart w:id="29" w:name="_Toc346523400"/>
      <w:bookmarkStart w:id="30" w:name="_Toc144974495"/>
      <w:bookmarkStart w:id="31" w:name="_Toc338840440"/>
      <w:bookmarkStart w:id="32" w:name="_Toc3179"/>
      <w:bookmarkStart w:id="33" w:name="_Toc179632544"/>
      <w:bookmarkStart w:id="34" w:name="_Toc28703"/>
      <w:bookmarkStart w:id="35" w:name="_Toc247085687"/>
      <w:r>
        <w:rPr>
          <w:rFonts w:hint="eastAsia" w:ascii="宋体" w:hAnsi="宋体"/>
          <w:color w:val="auto"/>
          <w:highlight w:val="none"/>
        </w:rPr>
        <w:br w:type="page"/>
      </w:r>
      <w:bookmarkStart w:id="36" w:name="_Toc13151"/>
      <w:r>
        <w:rPr>
          <w:rFonts w:hint="eastAsia" w:ascii="宋体" w:hAnsi="宋体"/>
          <w:color w:val="auto"/>
          <w:highlight w:val="none"/>
        </w:rPr>
        <w:t>第二章 供应商须知</w:t>
      </w:r>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p>
      <w:pPr>
        <w:pStyle w:val="7"/>
        <w:jc w:val="center"/>
        <w:rPr>
          <w:rFonts w:ascii="宋体" w:hAnsi="宋体" w:eastAsia="宋体"/>
          <w:color w:val="auto"/>
          <w:highlight w:val="none"/>
        </w:rPr>
      </w:pPr>
      <w:bookmarkStart w:id="37" w:name="_Toc246996174"/>
      <w:bookmarkStart w:id="38" w:name="_Toc494093428"/>
      <w:bookmarkStart w:id="39" w:name="_Toc338840441"/>
      <w:bookmarkStart w:id="40" w:name="_Toc18827"/>
      <w:bookmarkStart w:id="41" w:name="_Toc247085688"/>
      <w:bookmarkStart w:id="42" w:name="_Toc144974496"/>
      <w:bookmarkStart w:id="43" w:name="_Toc338840186"/>
      <w:bookmarkStart w:id="44" w:name="_Toc18612"/>
      <w:bookmarkStart w:id="45" w:name="_Toc179632545"/>
      <w:bookmarkStart w:id="46" w:name="_Toc346523464"/>
      <w:bookmarkStart w:id="47" w:name="_Toc152045528"/>
      <w:bookmarkStart w:id="48" w:name="_Toc152042304"/>
      <w:bookmarkStart w:id="49" w:name="_Toc346523401"/>
      <w:bookmarkStart w:id="50" w:name="_Toc11060"/>
      <w:bookmarkStart w:id="51" w:name="_Toc23185"/>
      <w:bookmarkStart w:id="52" w:name="_Toc246996917"/>
      <w:bookmarkStart w:id="53" w:name="_Toc494526400"/>
      <w:bookmarkStart w:id="54" w:name="_Toc338840480"/>
      <w:r>
        <w:rPr>
          <w:rFonts w:hint="eastAsia" w:ascii="宋体" w:hAnsi="宋体" w:eastAsia="宋体"/>
          <w:color w:val="auto"/>
          <w:highlight w:val="none"/>
        </w:rPr>
        <w:t>供应商须知前附表</w:t>
      </w:r>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p>
    <w:p>
      <w:pPr>
        <w:rPr>
          <w:rFonts w:ascii="宋体" w:hAnsi="宋体"/>
          <w:color w:val="auto"/>
          <w:highlight w:val="none"/>
        </w:rPr>
      </w:pPr>
      <w:r>
        <w:rPr>
          <w:rFonts w:hint="eastAsia" w:ascii="宋体" w:hAnsi="宋体"/>
          <w:color w:val="auto"/>
          <w:highlight w:val="none"/>
        </w:rPr>
        <w:t>注：本供应商须知前附表内容与供应商须知正文内容不一致时以本前附表内容为准。</w:t>
      </w:r>
    </w:p>
    <w:tbl>
      <w:tblPr>
        <w:tblStyle w:val="34"/>
        <w:tblW w:w="0" w:type="auto"/>
        <w:tblInd w:w="0" w:type="dxa"/>
        <w:tblLayout w:type="fixed"/>
        <w:tblCellMar>
          <w:top w:w="0" w:type="dxa"/>
          <w:left w:w="108" w:type="dxa"/>
          <w:bottom w:w="0" w:type="dxa"/>
          <w:right w:w="108" w:type="dxa"/>
        </w:tblCellMar>
      </w:tblPr>
      <w:tblGrid>
        <w:gridCol w:w="1008"/>
        <w:gridCol w:w="1980"/>
        <w:gridCol w:w="5534"/>
      </w:tblGrid>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b/>
                <w:color w:val="auto"/>
                <w:szCs w:val="21"/>
                <w:highlight w:val="none"/>
              </w:rPr>
            </w:pPr>
            <w:r>
              <w:rPr>
                <w:rFonts w:ascii="宋体" w:hAnsi="宋体"/>
                <w:b/>
                <w:color w:val="auto"/>
                <w:szCs w:val="21"/>
                <w:highlight w:val="none"/>
              </w:rPr>
              <w:t>条款号</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b/>
                <w:color w:val="auto"/>
                <w:szCs w:val="21"/>
                <w:highlight w:val="none"/>
              </w:rPr>
            </w:pPr>
            <w:r>
              <w:rPr>
                <w:rFonts w:ascii="宋体" w:hAnsi="宋体"/>
                <w:b/>
                <w:color w:val="auto"/>
                <w:szCs w:val="21"/>
                <w:highlight w:val="none"/>
              </w:rPr>
              <w:t>条  款  名  称</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b/>
                <w:color w:val="auto"/>
                <w:szCs w:val="21"/>
                <w:highlight w:val="none"/>
              </w:rPr>
            </w:pPr>
            <w:r>
              <w:rPr>
                <w:rFonts w:ascii="宋体" w:hAnsi="宋体"/>
                <w:b/>
                <w:color w:val="auto"/>
                <w:szCs w:val="21"/>
                <w:highlight w:val="none"/>
              </w:rPr>
              <w:t>编  列  内  容</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1.1.2</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采购人</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名称：开封市机关事务中心</w:t>
            </w:r>
          </w:p>
          <w:p>
            <w:pPr>
              <w:spacing w:line="440" w:lineRule="atLeas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地址：开封市金明区晋安路158号</w:t>
            </w:r>
          </w:p>
          <w:p>
            <w:pPr>
              <w:spacing w:line="440" w:lineRule="atLeas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联系人：</w:t>
            </w:r>
            <w:r>
              <w:rPr>
                <w:rFonts w:hint="eastAsia" w:ascii="宋体" w:hAnsi="宋体" w:eastAsia="宋体" w:cs="Times New Roman"/>
                <w:color w:val="auto"/>
                <w:szCs w:val="21"/>
                <w:highlight w:val="none"/>
                <w:lang w:eastAsia="zh-CN"/>
              </w:rPr>
              <w:t>李</w:t>
            </w:r>
            <w:r>
              <w:rPr>
                <w:rFonts w:hint="eastAsia" w:ascii="宋体" w:hAnsi="宋体" w:cs="Times New Roman"/>
                <w:color w:val="auto"/>
                <w:szCs w:val="21"/>
                <w:highlight w:val="none"/>
                <w:lang w:val="en-US" w:eastAsia="zh-CN"/>
              </w:rPr>
              <w:t>先生</w:t>
            </w:r>
          </w:p>
          <w:p>
            <w:pPr>
              <w:spacing w:line="440" w:lineRule="atLeast"/>
              <w:rPr>
                <w:rFonts w:ascii="宋体" w:hAnsi="宋体"/>
                <w:color w:val="auto"/>
                <w:szCs w:val="21"/>
                <w:highlight w:val="none"/>
              </w:rPr>
            </w:pPr>
            <w:r>
              <w:rPr>
                <w:rFonts w:hint="eastAsia" w:ascii="宋体" w:hAnsi="宋体" w:eastAsia="宋体" w:cs="Times New Roman"/>
                <w:color w:val="auto"/>
                <w:szCs w:val="21"/>
                <w:highlight w:val="none"/>
              </w:rPr>
              <w:t>电话：0371—238750</w:t>
            </w:r>
            <w:r>
              <w:rPr>
                <w:rFonts w:hint="eastAsia" w:ascii="宋体" w:hAnsi="宋体" w:eastAsia="宋体" w:cs="Times New Roman"/>
                <w:color w:val="auto"/>
                <w:szCs w:val="21"/>
                <w:highlight w:val="none"/>
                <w:lang w:val="en-US" w:eastAsia="zh-CN"/>
              </w:rPr>
              <w:t>1</w:t>
            </w:r>
            <w:r>
              <w:rPr>
                <w:rFonts w:hint="eastAsia" w:ascii="宋体" w:hAnsi="宋体" w:eastAsia="宋体" w:cs="Times New Roman"/>
                <w:color w:val="auto"/>
                <w:szCs w:val="21"/>
                <w:highlight w:val="none"/>
              </w:rPr>
              <w:t>2　</w:t>
            </w:r>
            <w:r>
              <w:rPr>
                <w:rFonts w:hint="eastAsia" w:ascii="宋体" w:hAnsi="宋体"/>
                <w:color w:val="auto"/>
                <w:szCs w:val="21"/>
                <w:highlight w:val="none"/>
              </w:rPr>
              <w:t>　</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1.1.3</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采购代理机构</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ascii="宋体" w:hAnsi="宋体"/>
                <w:color w:val="auto"/>
                <w:szCs w:val="21"/>
                <w:highlight w:val="none"/>
              </w:rPr>
            </w:pPr>
            <w:r>
              <w:rPr>
                <w:rFonts w:ascii="宋体" w:hAnsi="宋体"/>
                <w:color w:val="auto"/>
                <w:szCs w:val="21"/>
                <w:highlight w:val="none"/>
              </w:rPr>
              <w:t>名称：</w:t>
            </w:r>
            <w:r>
              <w:rPr>
                <w:rFonts w:hint="eastAsia" w:ascii="宋体" w:hAnsi="宋体"/>
                <w:color w:val="auto"/>
                <w:szCs w:val="21"/>
                <w:highlight w:val="none"/>
              </w:rPr>
              <w:t>开封市政府采购中心</w:t>
            </w:r>
          </w:p>
          <w:p>
            <w:pPr>
              <w:spacing w:line="440" w:lineRule="atLeast"/>
              <w:rPr>
                <w:rFonts w:hint="eastAsia" w:ascii="宋体" w:hAnsi="宋体" w:eastAsia="宋体" w:cs="Times New Roman"/>
                <w:color w:val="auto"/>
                <w:szCs w:val="21"/>
                <w:highlight w:val="none"/>
              </w:rPr>
            </w:pPr>
            <w:r>
              <w:rPr>
                <w:rFonts w:ascii="宋体" w:hAnsi="宋体"/>
                <w:color w:val="auto"/>
                <w:szCs w:val="21"/>
                <w:highlight w:val="none"/>
              </w:rPr>
              <w:t>地址：</w:t>
            </w:r>
            <w:r>
              <w:rPr>
                <w:rFonts w:hint="eastAsia" w:ascii="宋体" w:hAnsi="宋体"/>
                <w:color w:val="auto"/>
                <w:szCs w:val="21"/>
                <w:highlight w:val="none"/>
              </w:rPr>
              <w:t>开封市</w:t>
            </w:r>
            <w:r>
              <w:rPr>
                <w:rFonts w:hint="eastAsia" w:ascii="宋体" w:hAnsi="宋体" w:eastAsia="宋体" w:cs="Times New Roman"/>
                <w:color w:val="auto"/>
                <w:szCs w:val="21"/>
                <w:highlight w:val="none"/>
              </w:rPr>
              <w:t>郑开大道与三大街交汇处路北，开封市民之家6楼西头向北6067房间（政府采购）</w:t>
            </w:r>
          </w:p>
          <w:p>
            <w:pPr>
              <w:spacing w:line="440" w:lineRule="atLeast"/>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rPr>
              <w:t>项目联系人：</w:t>
            </w:r>
            <w:r>
              <w:rPr>
                <w:rFonts w:hint="eastAsia" w:ascii="宋体" w:hAnsi="宋体" w:eastAsia="宋体" w:cs="Times New Roman"/>
                <w:color w:val="auto"/>
                <w:szCs w:val="21"/>
                <w:highlight w:val="none"/>
                <w:lang w:val="en-US" w:eastAsia="zh-CN"/>
              </w:rPr>
              <w:t>李女士</w:t>
            </w:r>
          </w:p>
          <w:p>
            <w:pPr>
              <w:spacing w:line="440" w:lineRule="atLeast"/>
              <w:rPr>
                <w:rFonts w:ascii="宋体" w:hAnsi="宋体"/>
                <w:color w:val="auto"/>
                <w:szCs w:val="21"/>
                <w:highlight w:val="none"/>
              </w:rPr>
            </w:pPr>
            <w:r>
              <w:rPr>
                <w:rFonts w:hint="eastAsia" w:ascii="宋体" w:hAnsi="宋体" w:eastAsia="宋体" w:cs="Times New Roman"/>
                <w:color w:val="auto"/>
                <w:szCs w:val="21"/>
                <w:highlight w:val="none"/>
              </w:rPr>
              <w:t>电话：0371—23856102   23856103</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1.1.4</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项目名称</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hint="eastAsia" w:ascii="宋体" w:hAnsi="宋体"/>
                <w:color w:val="auto"/>
                <w:szCs w:val="21"/>
                <w:highlight w:val="none"/>
              </w:rPr>
            </w:pPr>
            <w:r>
              <w:rPr>
                <w:rFonts w:hint="eastAsia" w:ascii="宋体" w:hAnsi="宋体"/>
                <w:color w:val="auto"/>
                <w:szCs w:val="21"/>
                <w:highlight w:val="none"/>
                <w:lang w:val="en-US" w:eastAsia="zh-CN"/>
              </w:rPr>
              <w:t>开封市机关事务中心八大街办公区保安、保洁、消防及监控维保</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1.1.5</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合同履行</w:t>
            </w:r>
            <w:r>
              <w:rPr>
                <w:rFonts w:ascii="宋体" w:hAnsi="宋体"/>
                <w:color w:val="auto"/>
                <w:szCs w:val="21"/>
                <w:highlight w:val="none"/>
              </w:rPr>
              <w:t>地点</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exact"/>
              <w:rPr>
                <w:rFonts w:hint="eastAsia"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rPr>
              <w:t>开封市机关事务中心八大街办公区</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1.2.1</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资金来源</w:t>
            </w:r>
            <w:r>
              <w:rPr>
                <w:rFonts w:hint="eastAsia" w:ascii="宋体" w:hAnsi="宋体"/>
                <w:color w:val="auto"/>
                <w:szCs w:val="21"/>
                <w:highlight w:val="none"/>
              </w:rPr>
              <w:t>及比例</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hint="eastAsia" w:ascii="宋体" w:hAnsi="宋体"/>
                <w:color w:val="auto"/>
                <w:szCs w:val="21"/>
                <w:highlight w:val="none"/>
              </w:rPr>
            </w:pPr>
            <w:r>
              <w:rPr>
                <w:rFonts w:hint="eastAsia" w:ascii="宋体" w:hAnsi="宋体"/>
                <w:color w:val="auto"/>
                <w:szCs w:val="21"/>
                <w:highlight w:val="none"/>
              </w:rPr>
              <w:t>100%财政资金</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1.2.2</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资金</w:t>
            </w:r>
            <w:r>
              <w:rPr>
                <w:rFonts w:ascii="宋体" w:hAnsi="宋体"/>
                <w:color w:val="auto"/>
                <w:szCs w:val="21"/>
                <w:highlight w:val="none"/>
              </w:rPr>
              <w:t>落实情况</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ascii="宋体" w:hAnsi="宋体"/>
                <w:color w:val="auto"/>
                <w:szCs w:val="21"/>
                <w:highlight w:val="none"/>
              </w:rPr>
            </w:pPr>
            <w:r>
              <w:rPr>
                <w:rFonts w:hint="eastAsia" w:ascii="宋体" w:hAnsi="宋体"/>
                <w:color w:val="auto"/>
                <w:szCs w:val="21"/>
                <w:highlight w:val="none"/>
              </w:rPr>
              <w:t>已落实</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1.</w:t>
            </w:r>
            <w:r>
              <w:rPr>
                <w:rFonts w:hint="eastAsia" w:ascii="宋体" w:hAnsi="宋体"/>
                <w:color w:val="auto"/>
                <w:szCs w:val="21"/>
                <w:highlight w:val="none"/>
              </w:rPr>
              <w:t>3</w:t>
            </w:r>
            <w:r>
              <w:rPr>
                <w:rFonts w:ascii="宋体" w:hAnsi="宋体"/>
                <w:color w:val="auto"/>
                <w:szCs w:val="21"/>
                <w:highlight w:val="none"/>
              </w:rPr>
              <w:t>.1</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招标</w:t>
            </w:r>
            <w:r>
              <w:rPr>
                <w:rFonts w:hint="eastAsia" w:ascii="宋体" w:hAnsi="宋体"/>
                <w:color w:val="auto"/>
                <w:szCs w:val="21"/>
                <w:highlight w:val="none"/>
              </w:rPr>
              <w:t>范围</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hint="eastAsia" w:ascii="宋体" w:hAnsi="宋体"/>
                <w:color w:val="auto"/>
                <w:szCs w:val="21"/>
                <w:highlight w:val="none"/>
              </w:rPr>
            </w:pPr>
            <w:r>
              <w:rPr>
                <w:rFonts w:hint="eastAsia" w:ascii="宋体" w:hAnsi="宋体"/>
                <w:color w:val="auto"/>
                <w:szCs w:val="21"/>
                <w:highlight w:val="none"/>
              </w:rPr>
              <w:t>第五章“招标内容及商务技术要求”范围内的招标标的及数量</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1.3.2</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合同履行期限</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hint="eastAsia" w:ascii="宋体" w:hAnsi="宋体"/>
                <w:color w:val="auto"/>
                <w:szCs w:val="21"/>
                <w:highlight w:val="none"/>
              </w:rPr>
            </w:pPr>
            <w:r>
              <w:rPr>
                <w:rFonts w:hint="eastAsia" w:ascii="宋体" w:hAnsi="宋体"/>
                <w:color w:val="auto"/>
                <w:szCs w:val="21"/>
                <w:highlight w:val="none"/>
                <w:lang w:val="en-US" w:eastAsia="zh-CN"/>
              </w:rPr>
              <w:t>18个月</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1.3.3</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质量要求</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ascii="宋体" w:hAnsi="宋体"/>
                <w:color w:val="auto"/>
                <w:szCs w:val="21"/>
                <w:highlight w:val="none"/>
              </w:rPr>
            </w:pPr>
            <w:r>
              <w:rPr>
                <w:rFonts w:hint="eastAsia" w:ascii="宋体" w:hAnsi="宋体"/>
                <w:color w:val="auto"/>
                <w:szCs w:val="21"/>
                <w:highlight w:val="none"/>
              </w:rPr>
              <w:t>质量符合</w:t>
            </w:r>
            <w:r>
              <w:rPr>
                <w:rFonts w:hint="eastAsia" w:ascii="宋体" w:hAnsi="宋体"/>
                <w:color w:val="auto"/>
                <w:szCs w:val="21"/>
                <w:highlight w:val="none"/>
                <w:u w:val="single"/>
              </w:rPr>
              <w:t>　国家标准　</w:t>
            </w:r>
            <w:r>
              <w:rPr>
                <w:rFonts w:hint="eastAsia" w:ascii="宋体" w:hAnsi="宋体"/>
                <w:color w:val="auto"/>
                <w:szCs w:val="21"/>
                <w:highlight w:val="none"/>
              </w:rPr>
              <w:t>。本项内容要求与第五章“采购内容及商务技术要求”内容不一致时以后者为准。</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1.4.1</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供应商资</w:t>
            </w:r>
            <w:r>
              <w:rPr>
                <w:rFonts w:hint="eastAsia" w:ascii="宋体" w:hAnsi="宋体"/>
                <w:color w:val="auto"/>
                <w:szCs w:val="21"/>
                <w:highlight w:val="none"/>
              </w:rPr>
              <w:t>格要求</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color w:val="auto"/>
                <w:highlight w:val="none"/>
              </w:rPr>
            </w:pPr>
            <w:r>
              <w:rPr>
                <w:rFonts w:hint="eastAsia"/>
                <w:color w:val="auto"/>
                <w:highlight w:val="none"/>
              </w:rPr>
              <w:t xml:space="preserve">1、满足《中华人民共和国政府采购法》第二十二条规定； </w:t>
            </w:r>
          </w:p>
          <w:p>
            <w:pPr>
              <w:spacing w:line="440" w:lineRule="atLeast"/>
              <w:rPr>
                <w:color w:val="auto"/>
                <w:highlight w:val="none"/>
              </w:rPr>
            </w:pPr>
            <w:r>
              <w:rPr>
                <w:rFonts w:hint="eastAsia"/>
                <w:color w:val="auto"/>
                <w:highlight w:val="none"/>
              </w:rPr>
              <w:t>2、落实政府采购政策满足的资格要求：</w:t>
            </w:r>
          </w:p>
          <w:p>
            <w:pPr>
              <w:spacing w:line="440" w:lineRule="atLeast"/>
              <w:rPr>
                <w:rFonts w:hint="eastAsia"/>
                <w:color w:val="auto"/>
                <w:highlight w:val="none"/>
              </w:rPr>
            </w:pPr>
            <w:r>
              <w:rPr>
                <w:rFonts w:hint="eastAsia"/>
                <w:color w:val="auto"/>
                <w:highlight w:val="none"/>
              </w:rPr>
              <w:t xml:space="preserve">详见招标文件 </w:t>
            </w:r>
          </w:p>
          <w:p>
            <w:pPr>
              <w:spacing w:line="440" w:lineRule="atLeast"/>
              <w:rPr>
                <w:color w:val="auto"/>
                <w:highlight w:val="none"/>
              </w:rPr>
            </w:pPr>
            <w:r>
              <w:rPr>
                <w:rFonts w:hint="eastAsia"/>
                <w:color w:val="auto"/>
                <w:highlight w:val="none"/>
              </w:rPr>
              <w:t xml:space="preserve">3、本项目的特定资格要求 </w:t>
            </w:r>
          </w:p>
          <w:p>
            <w:pPr>
              <w:spacing w:line="440" w:lineRule="atLeast"/>
              <w:rPr>
                <w:color w:val="auto"/>
                <w:highlight w:val="none"/>
              </w:rPr>
            </w:pPr>
            <w:r>
              <w:rPr>
                <w:rFonts w:hint="eastAsia"/>
                <w:color w:val="auto"/>
                <w:highlight w:val="none"/>
              </w:rPr>
              <w:t>1)供应商应具备下列条件，并提供相应材料：</w:t>
            </w:r>
          </w:p>
          <w:p>
            <w:pPr>
              <w:spacing w:line="440" w:lineRule="atLeast"/>
              <w:jc w:val="left"/>
              <w:rPr>
                <w:color w:val="auto"/>
                <w:highlight w:val="none"/>
              </w:rPr>
            </w:pPr>
            <w:r>
              <w:rPr>
                <w:rFonts w:hint="eastAsia"/>
                <w:color w:val="auto"/>
                <w:highlight w:val="none"/>
              </w:rPr>
              <w:t>(1)营业执照等证明材料，具有独立承担民事责任的能力。（提供原件扫描件或电子证照，经营内容与本项目采购内容及履约能力相适合。不明确者同时提供显示经营范围的《国家企业信用信息公示系统》“营业执照信息”完整截图。）</w:t>
            </w:r>
          </w:p>
          <w:p>
            <w:pPr>
              <w:spacing w:line="440" w:lineRule="atLeast"/>
              <w:jc w:val="left"/>
              <w:rPr>
                <w:color w:val="auto"/>
                <w:highlight w:val="none"/>
              </w:rPr>
            </w:pPr>
            <w:r>
              <w:rPr>
                <w:rFonts w:hint="eastAsia"/>
                <w:color w:val="auto"/>
                <w:highlight w:val="none"/>
              </w:rPr>
              <w:t>(2)财务状况报告。（是法人的，提供经审计的财务报告，或其基本开户银行出具的资信证明。是其他组织和自然人的，提供银行出具的资信证明。资信证明出具时间距开标不超过一年；财务报告出具时间为本年或上一年。提供原件扫描件。）</w:t>
            </w:r>
          </w:p>
          <w:p>
            <w:pPr>
              <w:spacing w:line="440" w:lineRule="atLeast"/>
              <w:jc w:val="left"/>
              <w:rPr>
                <w:rFonts w:hint="eastAsia"/>
                <w:color w:val="auto"/>
                <w:highlight w:val="none"/>
              </w:rPr>
            </w:pPr>
            <w:r>
              <w:rPr>
                <w:rFonts w:hint="eastAsia"/>
                <w:color w:val="auto"/>
                <w:highlight w:val="none"/>
              </w:rPr>
              <w:t>(3)依法缴纳税收的证明材料。【提供距开标不超过半年（缴款日期、入库日期等）任意一次经营缴税凭据或税务部门出具的“无欠税证明”相关证明材料。属于免税对象者，自行出具免税声明或提供其他证明材料。】</w:t>
            </w:r>
          </w:p>
          <w:p>
            <w:pPr>
              <w:spacing w:line="440" w:lineRule="atLeast"/>
              <w:jc w:val="left"/>
              <w:rPr>
                <w:color w:val="auto"/>
                <w:highlight w:val="none"/>
              </w:rPr>
            </w:pPr>
            <w:r>
              <w:rPr>
                <w:rFonts w:hint="eastAsia"/>
                <w:color w:val="auto"/>
                <w:highlight w:val="none"/>
              </w:rPr>
              <w:t>(4)依法缴纳社会保障资金的证明材料。（提供距开标不超过半年任意一次为职工缴纳社会保险的缴纳凭据或清单或社保部门证明。）(5)具备履行合同所必需的设备和专业技术能力的承诺。</w:t>
            </w:r>
          </w:p>
          <w:p>
            <w:pPr>
              <w:spacing w:line="440" w:lineRule="atLeast"/>
              <w:jc w:val="left"/>
              <w:rPr>
                <w:color w:val="auto"/>
                <w:highlight w:val="none"/>
              </w:rPr>
            </w:pPr>
            <w:r>
              <w:rPr>
                <w:rFonts w:hint="eastAsia"/>
                <w:color w:val="auto"/>
                <w:highlight w:val="none"/>
              </w:rPr>
              <w:t>(6)供应商开标前三年内在经营活动中无重大违法记录的书面声明。</w:t>
            </w:r>
          </w:p>
          <w:p>
            <w:pPr>
              <w:spacing w:line="440" w:lineRule="atLeast"/>
              <w:jc w:val="left"/>
              <w:rPr>
                <w:rFonts w:hint="eastAsia"/>
                <w:color w:val="auto"/>
                <w:highlight w:val="none"/>
              </w:rPr>
            </w:pPr>
            <w:r>
              <w:rPr>
                <w:rFonts w:hint="eastAsia"/>
                <w:color w:val="auto"/>
                <w:highlight w:val="none"/>
              </w:rPr>
              <w:t>2)具有良好的商业信誉。截至投标文件递交截止时间，供应商在“信用中国”网站列入“失信被执行人、重大税收违法失信主体”，或者在“中国政府采购网”上列入“政府采购严重违法失信行为信息记录”的，为无效投标。采购人、采购代理机构于开标后查询。【查询渠道：“信用中国”网站（http://www.creditchina.gov.cn）、中国政府采购网（http://www.ccgp.gov.cn）。】</w:t>
            </w:r>
          </w:p>
          <w:p>
            <w:pPr>
              <w:spacing w:line="440" w:lineRule="atLeast"/>
              <w:jc w:val="left"/>
              <w:rPr>
                <w:color w:val="auto"/>
                <w:highlight w:val="none"/>
              </w:rPr>
            </w:pPr>
            <w:r>
              <w:rPr>
                <w:rFonts w:hint="eastAsia"/>
                <w:color w:val="auto"/>
                <w:highlight w:val="none"/>
                <w:lang w:val="en-US" w:eastAsia="zh-CN"/>
              </w:rPr>
              <w:t>3）第一标段保安 具有公安机关部门颁发的《保安服务许可证》。</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1.</w:t>
            </w:r>
            <w:r>
              <w:rPr>
                <w:rFonts w:hint="eastAsia" w:ascii="宋体" w:hAnsi="宋体"/>
                <w:color w:val="auto"/>
                <w:szCs w:val="21"/>
                <w:highlight w:val="none"/>
              </w:rPr>
              <w:t>9</w:t>
            </w:r>
            <w:r>
              <w:rPr>
                <w:rFonts w:ascii="宋体" w:hAnsi="宋体"/>
                <w:color w:val="auto"/>
                <w:szCs w:val="21"/>
                <w:highlight w:val="none"/>
              </w:rPr>
              <w:t>.1</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踏勘现场</w:t>
            </w:r>
          </w:p>
        </w:tc>
        <w:tc>
          <w:tcPr>
            <w:tcW w:w="5534" w:type="dxa"/>
            <w:tcBorders>
              <w:top w:val="single" w:color="auto" w:sz="4" w:space="0"/>
              <w:left w:val="single" w:color="auto" w:sz="4" w:space="0"/>
              <w:bottom w:val="single" w:color="auto" w:sz="4" w:space="0"/>
              <w:right w:val="single" w:color="auto" w:sz="4" w:space="0"/>
            </w:tcBorders>
            <w:vAlign w:val="center"/>
          </w:tcPr>
          <w:p>
            <w:pPr>
              <w:pStyle w:val="13"/>
              <w:topLinePunct/>
              <w:spacing w:line="440" w:lineRule="atLeast"/>
              <w:rPr>
                <w:rFonts w:hAnsi="宋体"/>
                <w:color w:val="auto"/>
                <w:sz w:val="21"/>
                <w:szCs w:val="21"/>
                <w:highlight w:val="none"/>
              </w:rPr>
            </w:pPr>
            <w:r>
              <w:rPr>
                <w:rFonts w:hAnsi="宋体"/>
                <w:color w:val="auto"/>
                <w:sz w:val="21"/>
                <w:szCs w:val="21"/>
                <w:highlight w:val="none"/>
              </w:rPr>
              <w:sym w:font="Wingdings" w:char="F0FE"/>
            </w:r>
            <w:r>
              <w:rPr>
                <w:rFonts w:hint="eastAsia" w:hAnsi="宋体"/>
                <w:color w:val="auto"/>
                <w:sz w:val="21"/>
                <w:szCs w:val="21"/>
                <w:highlight w:val="none"/>
              </w:rPr>
              <w:t>不组织，各供应商自行踏勘</w:t>
            </w:r>
          </w:p>
          <w:p>
            <w:pPr>
              <w:spacing w:line="440" w:lineRule="atLeast"/>
              <w:rPr>
                <w:rFonts w:ascii="宋体" w:hAnsi="宋体"/>
                <w:color w:val="auto"/>
                <w:szCs w:val="21"/>
                <w:highlight w:val="none"/>
              </w:rPr>
            </w:pPr>
            <w:r>
              <w:rPr>
                <w:rFonts w:ascii="宋体" w:hAnsi="宋体"/>
                <w:color w:val="auto"/>
                <w:szCs w:val="21"/>
                <w:highlight w:val="none"/>
              </w:rPr>
              <w:t>□</w:t>
            </w:r>
            <w:r>
              <w:rPr>
                <w:rFonts w:hint="eastAsia" w:ascii="宋体" w:hAnsi="宋体"/>
                <w:color w:val="auto"/>
                <w:szCs w:val="21"/>
                <w:highlight w:val="none"/>
              </w:rPr>
              <w:t>组织，踏勘时间：　　　踏勘集中地点：</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1.</w:t>
            </w:r>
            <w:r>
              <w:rPr>
                <w:rFonts w:hint="eastAsia" w:ascii="宋体" w:hAnsi="宋体"/>
                <w:color w:val="auto"/>
                <w:szCs w:val="21"/>
                <w:highlight w:val="none"/>
              </w:rPr>
              <w:t>10</w:t>
            </w:r>
            <w:r>
              <w:rPr>
                <w:rFonts w:ascii="宋体" w:hAnsi="宋体"/>
                <w:color w:val="auto"/>
                <w:szCs w:val="21"/>
                <w:highlight w:val="none"/>
              </w:rPr>
              <w:t>.1</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投标预备会</w:t>
            </w:r>
          </w:p>
        </w:tc>
        <w:tc>
          <w:tcPr>
            <w:tcW w:w="5534" w:type="dxa"/>
            <w:tcBorders>
              <w:top w:val="single" w:color="auto" w:sz="4" w:space="0"/>
              <w:left w:val="single" w:color="auto" w:sz="4" w:space="0"/>
              <w:bottom w:val="single" w:color="auto" w:sz="4" w:space="0"/>
              <w:right w:val="single" w:color="auto" w:sz="4" w:space="0"/>
            </w:tcBorders>
            <w:vAlign w:val="center"/>
          </w:tcPr>
          <w:p>
            <w:pPr>
              <w:pStyle w:val="13"/>
              <w:topLinePunct/>
              <w:spacing w:line="440" w:lineRule="atLeast"/>
              <w:rPr>
                <w:rFonts w:hAnsi="宋体"/>
                <w:color w:val="auto"/>
                <w:sz w:val="21"/>
                <w:szCs w:val="21"/>
                <w:highlight w:val="none"/>
              </w:rPr>
            </w:pPr>
            <w:r>
              <w:rPr>
                <w:rFonts w:hAnsi="宋体"/>
                <w:color w:val="auto"/>
                <w:sz w:val="21"/>
                <w:szCs w:val="21"/>
                <w:highlight w:val="none"/>
              </w:rPr>
              <w:sym w:font="Wingdings" w:char="F0FE"/>
            </w:r>
            <w:r>
              <w:rPr>
                <w:rFonts w:hint="eastAsia" w:hAnsi="宋体"/>
                <w:color w:val="auto"/>
                <w:sz w:val="21"/>
                <w:szCs w:val="21"/>
                <w:highlight w:val="none"/>
              </w:rPr>
              <w:t>不召开</w:t>
            </w:r>
          </w:p>
          <w:p>
            <w:pPr>
              <w:spacing w:line="440" w:lineRule="atLeast"/>
              <w:rPr>
                <w:rFonts w:ascii="宋体" w:hAnsi="宋体"/>
                <w:color w:val="auto"/>
                <w:szCs w:val="21"/>
                <w:highlight w:val="none"/>
              </w:rPr>
            </w:pPr>
            <w:r>
              <w:rPr>
                <w:rFonts w:ascii="宋体" w:hAnsi="宋体"/>
                <w:color w:val="auto"/>
                <w:sz w:val="32"/>
                <w:szCs w:val="32"/>
                <w:highlight w:val="none"/>
              </w:rPr>
              <w:t>□</w:t>
            </w:r>
            <w:r>
              <w:rPr>
                <w:rFonts w:hint="eastAsia" w:ascii="宋体" w:hAnsi="宋体"/>
                <w:color w:val="auto"/>
                <w:highlight w:val="none"/>
              </w:rPr>
              <w:t>召开，召开时间：　　　　　召开地点：</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1.11.1</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实质性要求和条件</w:t>
            </w:r>
          </w:p>
        </w:tc>
        <w:tc>
          <w:tcPr>
            <w:tcW w:w="5534" w:type="dxa"/>
            <w:tcBorders>
              <w:top w:val="single" w:color="auto" w:sz="4" w:space="0"/>
              <w:left w:val="single" w:color="auto" w:sz="4" w:space="0"/>
              <w:bottom w:val="single" w:color="auto" w:sz="4" w:space="0"/>
              <w:right w:val="single" w:color="auto" w:sz="4" w:space="0"/>
            </w:tcBorders>
            <w:vAlign w:val="center"/>
          </w:tcPr>
          <w:p>
            <w:pPr>
              <w:pStyle w:val="13"/>
              <w:topLinePunct/>
              <w:spacing w:line="440" w:lineRule="atLeast"/>
              <w:rPr>
                <w:rFonts w:hAnsi="宋体"/>
                <w:color w:val="auto"/>
                <w:sz w:val="21"/>
                <w:szCs w:val="21"/>
                <w:highlight w:val="none"/>
              </w:rPr>
            </w:pPr>
            <w:r>
              <w:rPr>
                <w:rFonts w:hint="eastAsia" w:hAnsi="宋体"/>
                <w:color w:val="auto"/>
                <w:sz w:val="21"/>
                <w:szCs w:val="21"/>
                <w:highlight w:val="none"/>
              </w:rPr>
              <w:t>1、“资格要求”内容。</w:t>
            </w:r>
          </w:p>
          <w:p>
            <w:pPr>
              <w:pStyle w:val="13"/>
              <w:topLinePunct/>
              <w:spacing w:line="440" w:lineRule="atLeast"/>
              <w:rPr>
                <w:rFonts w:hAnsi="宋体"/>
                <w:color w:val="auto"/>
                <w:sz w:val="21"/>
                <w:szCs w:val="21"/>
                <w:highlight w:val="none"/>
              </w:rPr>
            </w:pPr>
            <w:r>
              <w:rPr>
                <w:rFonts w:hint="eastAsia" w:hAnsi="宋体"/>
                <w:color w:val="auto"/>
                <w:sz w:val="21"/>
                <w:szCs w:val="21"/>
                <w:highlight w:val="none"/>
              </w:rPr>
              <w:t>2、评标办法前附表中“符合性审查”内容。</w:t>
            </w:r>
          </w:p>
          <w:p>
            <w:pPr>
              <w:pStyle w:val="13"/>
              <w:topLinePunct/>
              <w:spacing w:line="440" w:lineRule="atLeast"/>
              <w:rPr>
                <w:rFonts w:hAnsi="宋体"/>
                <w:color w:val="auto"/>
                <w:sz w:val="21"/>
                <w:szCs w:val="21"/>
                <w:highlight w:val="none"/>
              </w:rPr>
            </w:pPr>
            <w:r>
              <w:rPr>
                <w:rFonts w:hint="eastAsia" w:hAnsi="宋体"/>
                <w:color w:val="auto"/>
                <w:sz w:val="21"/>
                <w:szCs w:val="21"/>
                <w:highlight w:val="none"/>
              </w:rPr>
              <w:t>3、采购文件列明的其他构成无效投标的内容。</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2.1</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构成招标文件的其他材料</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ascii="宋体" w:hAnsi="宋体"/>
                <w:color w:val="auto"/>
                <w:szCs w:val="21"/>
                <w:highlight w:val="none"/>
              </w:rPr>
            </w:pPr>
            <w:r>
              <w:rPr>
                <w:rFonts w:hint="eastAsia" w:ascii="宋体" w:hAnsi="宋体"/>
                <w:color w:val="auto"/>
                <w:szCs w:val="21"/>
                <w:highlight w:val="none"/>
              </w:rPr>
              <w:t>///</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2.2.1</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供应商</w:t>
            </w:r>
            <w:r>
              <w:rPr>
                <w:rFonts w:hint="eastAsia" w:ascii="宋体" w:hAnsi="宋体"/>
                <w:color w:val="auto"/>
                <w:szCs w:val="21"/>
                <w:highlight w:val="none"/>
              </w:rPr>
              <w:t>要求对</w:t>
            </w:r>
            <w:r>
              <w:rPr>
                <w:rFonts w:ascii="宋体" w:hAnsi="宋体"/>
                <w:color w:val="auto"/>
                <w:szCs w:val="21"/>
                <w:highlight w:val="none"/>
              </w:rPr>
              <w:t>招标文件</w:t>
            </w:r>
            <w:r>
              <w:rPr>
                <w:rFonts w:hint="eastAsia" w:ascii="宋体" w:hAnsi="宋体"/>
                <w:color w:val="auto"/>
                <w:szCs w:val="21"/>
                <w:highlight w:val="none"/>
              </w:rPr>
              <w:t>澄清</w:t>
            </w:r>
            <w:r>
              <w:rPr>
                <w:rFonts w:ascii="宋体" w:hAnsi="宋体"/>
                <w:color w:val="auto"/>
                <w:szCs w:val="21"/>
                <w:highlight w:val="none"/>
              </w:rPr>
              <w:t>的时间</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ascii="宋体" w:hAnsi="宋体" w:cs="宋体"/>
                <w:color w:val="auto"/>
                <w:kern w:val="0"/>
                <w:szCs w:val="21"/>
                <w:highlight w:val="none"/>
              </w:rPr>
            </w:pPr>
            <w:r>
              <w:rPr>
                <w:rFonts w:hint="eastAsia" w:ascii="宋体" w:hAnsi="宋体" w:cs="宋体"/>
                <w:color w:val="auto"/>
                <w:kern w:val="0"/>
                <w:szCs w:val="21"/>
                <w:highlight w:val="none"/>
              </w:rPr>
              <w:t>获得招标文件之日或招标公告期限届满之日起7个工作日内。</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2.2.2</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招标文件澄清和修改发出形式</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ascii="宋体" w:hAnsi="宋体" w:cs="宋体"/>
                <w:color w:val="auto"/>
                <w:kern w:val="0"/>
                <w:szCs w:val="21"/>
                <w:highlight w:val="none"/>
              </w:rPr>
            </w:pPr>
            <w:r>
              <w:rPr>
                <w:rFonts w:hint="eastAsia" w:ascii="宋体" w:hAnsi="宋体" w:cs="宋体"/>
                <w:color w:val="auto"/>
                <w:kern w:val="0"/>
                <w:szCs w:val="21"/>
                <w:highlight w:val="none"/>
              </w:rPr>
              <w:t>在《河南省政府采购网》和《开封市公共资源交易信息网》公布。</w:t>
            </w:r>
          </w:p>
        </w:tc>
      </w:tr>
      <w:tr>
        <w:tblPrEx>
          <w:tblCellMar>
            <w:top w:w="0" w:type="dxa"/>
            <w:left w:w="108" w:type="dxa"/>
            <w:bottom w:w="0" w:type="dxa"/>
            <w:right w:w="108" w:type="dxa"/>
          </w:tblCellMar>
        </w:tblPrEx>
        <w:trPr>
          <w:trHeight w:val="755" w:hRule="atLeast"/>
        </w:trPr>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2.</w:t>
            </w:r>
            <w:r>
              <w:rPr>
                <w:rFonts w:hint="eastAsia" w:ascii="宋体" w:hAnsi="宋体"/>
                <w:color w:val="auto"/>
                <w:szCs w:val="21"/>
                <w:highlight w:val="none"/>
              </w:rPr>
              <w:t>2</w:t>
            </w:r>
            <w:r>
              <w:rPr>
                <w:rFonts w:ascii="宋体" w:hAnsi="宋体"/>
                <w:color w:val="auto"/>
                <w:szCs w:val="21"/>
                <w:highlight w:val="none"/>
              </w:rPr>
              <w:t>.</w:t>
            </w:r>
            <w:r>
              <w:rPr>
                <w:rFonts w:hint="eastAsia" w:ascii="宋体" w:hAnsi="宋体"/>
                <w:color w:val="auto"/>
                <w:szCs w:val="21"/>
                <w:highlight w:val="none"/>
              </w:rPr>
              <w:t>3</w:t>
            </w:r>
          </w:p>
        </w:tc>
        <w:tc>
          <w:tcPr>
            <w:tcW w:w="198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Cs w:val="21"/>
                <w:highlight w:val="none"/>
              </w:rPr>
            </w:pPr>
            <w:r>
              <w:rPr>
                <w:rFonts w:hint="eastAsia" w:ascii="宋体" w:hAnsi="宋体"/>
                <w:color w:val="auto"/>
                <w:szCs w:val="21"/>
                <w:highlight w:val="none"/>
              </w:rPr>
              <w:t>供应商确认收到招标文件澄清和修改的时间</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ascii="宋体" w:hAnsi="宋体"/>
                <w:color w:val="auto"/>
                <w:szCs w:val="21"/>
                <w:highlight w:val="none"/>
              </w:rPr>
            </w:pPr>
            <w:r>
              <w:rPr>
                <w:rFonts w:hint="eastAsia" w:ascii="宋体" w:hAnsi="宋体"/>
                <w:color w:val="auto"/>
                <w:szCs w:val="21"/>
                <w:highlight w:val="none"/>
              </w:rPr>
              <w:t>自招标文件澄清或修改在相关网站发布起，即默认为供应商收到。</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3.1</w:t>
            </w:r>
            <w:r>
              <w:rPr>
                <w:rFonts w:hint="eastAsia" w:ascii="宋体" w:hAnsi="宋体"/>
                <w:color w:val="auto"/>
                <w:szCs w:val="21"/>
                <w:highlight w:val="none"/>
              </w:rPr>
              <w:t>.1</w:t>
            </w:r>
          </w:p>
        </w:tc>
        <w:tc>
          <w:tcPr>
            <w:tcW w:w="198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Cs w:val="21"/>
                <w:highlight w:val="none"/>
              </w:rPr>
            </w:pPr>
            <w:r>
              <w:rPr>
                <w:rFonts w:ascii="宋体" w:hAnsi="宋体"/>
                <w:color w:val="auto"/>
                <w:szCs w:val="21"/>
                <w:highlight w:val="none"/>
              </w:rPr>
              <w:t>构成投标文件的其他材料</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ascii="宋体" w:hAnsi="宋体"/>
                <w:color w:val="auto"/>
                <w:szCs w:val="21"/>
                <w:highlight w:val="none"/>
              </w:rPr>
            </w:pPr>
            <w:r>
              <w:rPr>
                <w:rFonts w:hint="eastAsia" w:ascii="宋体" w:hAnsi="宋体"/>
                <w:color w:val="auto"/>
                <w:szCs w:val="21"/>
                <w:highlight w:val="none"/>
              </w:rPr>
              <w:t>///</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3.2.1</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报价范围</w:t>
            </w:r>
          </w:p>
        </w:tc>
        <w:tc>
          <w:tcPr>
            <w:tcW w:w="5534" w:type="dxa"/>
            <w:tcBorders>
              <w:top w:val="single" w:color="auto" w:sz="4" w:space="0"/>
              <w:left w:val="single" w:color="auto" w:sz="4" w:space="0"/>
              <w:bottom w:val="single" w:color="auto" w:sz="4" w:space="0"/>
              <w:right w:val="single" w:color="auto" w:sz="4" w:space="0"/>
            </w:tcBorders>
            <w:vAlign w:val="center"/>
          </w:tcPr>
          <w:p>
            <w:pPr>
              <w:rPr>
                <w:color w:val="auto"/>
                <w:szCs w:val="21"/>
                <w:highlight w:val="none"/>
              </w:rPr>
            </w:pPr>
            <w:r>
              <w:rPr>
                <w:rFonts w:hint="eastAsia" w:ascii="宋体" w:hAnsi="宋体"/>
                <w:color w:val="auto"/>
                <w:szCs w:val="21"/>
                <w:highlight w:val="none"/>
              </w:rPr>
              <w:t>投标人应按第五章“招标内容及商务技术要求” 内容进行报价。（涉及货物者，所报的价格中包含本招标采购对象及与之相关的设计、制造、包装、运输、装卸、安装、调试、质量检验、各项税费、保险费、意外事故等验收合格前全部费用，以及备品备件、专用工具、技术培训、技术资料、质量保证期内的各项保修和系统维护、相应的伴随服务和售后服务费用等。）</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3.2.3</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最高限价</w:t>
            </w:r>
          </w:p>
          <w:p>
            <w:pPr>
              <w:spacing w:line="440" w:lineRule="atLeast"/>
              <w:jc w:val="center"/>
              <w:rPr>
                <w:rFonts w:ascii="宋体" w:hAnsi="宋体"/>
                <w:color w:val="auto"/>
                <w:szCs w:val="21"/>
                <w:highlight w:val="none"/>
              </w:rPr>
            </w:pPr>
            <w:r>
              <w:rPr>
                <w:rFonts w:hint="eastAsia" w:ascii="宋体" w:hAnsi="宋体"/>
                <w:color w:val="auto"/>
                <w:sz w:val="32"/>
                <w:szCs w:val="32"/>
                <w:highlight w:val="none"/>
              </w:rPr>
              <w:t>/</w:t>
            </w:r>
            <w:r>
              <w:rPr>
                <w:rFonts w:hint="eastAsia" w:ascii="宋体" w:hAnsi="宋体"/>
                <w:color w:val="auto"/>
                <w:szCs w:val="21"/>
                <w:highlight w:val="none"/>
              </w:rPr>
              <w:t>项目预算金额</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ascii="宋体" w:hAnsi="宋体"/>
                <w:color w:val="auto"/>
                <w:kern w:val="0"/>
                <w:szCs w:val="21"/>
                <w:highlight w:val="none"/>
              </w:rPr>
            </w:pPr>
            <w:r>
              <w:rPr>
                <w:rFonts w:hint="eastAsia" w:ascii="宋体" w:hAnsi="宋体"/>
                <w:color w:val="auto"/>
                <w:kern w:val="0"/>
                <w:szCs w:val="21"/>
                <w:highlight w:val="none"/>
              </w:rPr>
              <w:t>□不设最高限价。</w:t>
            </w:r>
          </w:p>
          <w:p>
            <w:pPr>
              <w:spacing w:line="440" w:lineRule="atLeast"/>
              <w:rPr>
                <w:rFonts w:ascii="宋体" w:hAnsi="宋体"/>
                <w:color w:val="auto"/>
                <w:szCs w:val="21"/>
                <w:highlight w:val="none"/>
              </w:rPr>
            </w:pPr>
            <w:r>
              <w:rPr>
                <w:rFonts w:ascii="宋体" w:hAnsi="宋体"/>
                <w:color w:val="auto"/>
                <w:szCs w:val="21"/>
                <w:highlight w:val="none"/>
              </w:rPr>
              <w:sym w:font="Wingdings" w:char="F0FE"/>
            </w:r>
            <w:r>
              <w:rPr>
                <w:rFonts w:hint="eastAsia" w:ascii="宋体" w:hAnsi="宋体"/>
                <w:color w:val="auto"/>
                <w:szCs w:val="21"/>
                <w:highlight w:val="none"/>
              </w:rPr>
              <w:t>设最高限价，最高限价为</w:t>
            </w:r>
            <w:r>
              <w:rPr>
                <w:rFonts w:hint="eastAsia" w:ascii="宋体" w:hAnsi="宋体" w:eastAsia="宋体" w:cs="Times New Roman"/>
                <w:color w:val="auto"/>
                <w:szCs w:val="21"/>
                <w:highlight w:val="none"/>
                <w:u w:val="single"/>
              </w:rPr>
              <w:t>第三标段消防及监控维保</w:t>
            </w:r>
            <w:r>
              <w:rPr>
                <w:rFonts w:hint="eastAsia" w:ascii="宋体" w:hAnsi="宋体" w:eastAsia="宋体" w:cs="Times New Roman"/>
                <w:color w:val="auto"/>
                <w:szCs w:val="21"/>
                <w:highlight w:val="none"/>
                <w:u w:val="single"/>
                <w:lang w:val="en-US" w:eastAsia="zh-CN"/>
              </w:rPr>
              <w:t>45</w:t>
            </w:r>
            <w:r>
              <w:rPr>
                <w:rFonts w:hint="eastAsia" w:ascii="宋体" w:hAnsi="宋体" w:eastAsia="宋体" w:cs="Times New Roman"/>
                <w:color w:val="auto"/>
                <w:szCs w:val="21"/>
                <w:highlight w:val="none"/>
                <w:u w:val="single"/>
              </w:rPr>
              <w:t>0000</w:t>
            </w:r>
            <w:r>
              <w:rPr>
                <w:rFonts w:hint="eastAsia" w:ascii="宋体" w:hAnsi="宋体"/>
                <w:color w:val="auto"/>
                <w:szCs w:val="21"/>
                <w:highlight w:val="none"/>
              </w:rPr>
              <w:t>元。</w:t>
            </w:r>
          </w:p>
          <w:p>
            <w:pPr>
              <w:spacing w:line="440" w:lineRule="atLeast"/>
              <w:rPr>
                <w:rFonts w:ascii="宋体" w:hAnsi="宋体"/>
                <w:color w:val="auto"/>
                <w:szCs w:val="21"/>
                <w:highlight w:val="none"/>
              </w:rPr>
            </w:pPr>
            <w:r>
              <w:rPr>
                <w:rFonts w:hint="eastAsia" w:ascii="宋体" w:hAnsi="宋体"/>
                <w:color w:val="auto"/>
                <w:szCs w:val="21"/>
                <w:highlight w:val="none"/>
              </w:rPr>
              <w:t>项目预算金额：</w:t>
            </w:r>
            <w:r>
              <w:rPr>
                <w:rFonts w:hint="eastAsia" w:ascii="宋体" w:hAnsi="宋体" w:eastAsia="宋体" w:cs="Times New Roman"/>
                <w:color w:val="auto"/>
                <w:szCs w:val="21"/>
                <w:highlight w:val="none"/>
                <w:u w:val="single"/>
              </w:rPr>
              <w:t>第三标段消防及监控维保</w:t>
            </w:r>
            <w:r>
              <w:rPr>
                <w:rFonts w:hint="eastAsia" w:ascii="宋体" w:hAnsi="宋体" w:eastAsia="宋体" w:cs="Times New Roman"/>
                <w:color w:val="auto"/>
                <w:szCs w:val="21"/>
                <w:highlight w:val="none"/>
                <w:u w:val="single"/>
                <w:lang w:val="en-US" w:eastAsia="zh-CN"/>
              </w:rPr>
              <w:t>45</w:t>
            </w:r>
            <w:r>
              <w:rPr>
                <w:rFonts w:hint="eastAsia" w:ascii="宋体" w:hAnsi="宋体" w:eastAsia="宋体" w:cs="Times New Roman"/>
                <w:color w:val="auto"/>
                <w:szCs w:val="21"/>
                <w:highlight w:val="none"/>
                <w:u w:val="single"/>
              </w:rPr>
              <w:t>0000</w:t>
            </w:r>
            <w:r>
              <w:rPr>
                <w:rFonts w:hint="eastAsia" w:ascii="宋体" w:hAnsi="宋体"/>
                <w:color w:val="auto"/>
                <w:szCs w:val="21"/>
                <w:highlight w:val="none"/>
              </w:rPr>
              <w:t>元。</w:t>
            </w:r>
          </w:p>
          <w:p>
            <w:pPr>
              <w:spacing w:line="440" w:lineRule="atLeast"/>
              <w:rPr>
                <w:rFonts w:ascii="宋体" w:hAnsi="宋体"/>
                <w:color w:val="auto"/>
                <w:szCs w:val="21"/>
                <w:highlight w:val="none"/>
                <w:u w:val="single"/>
              </w:rPr>
            </w:pPr>
            <w:r>
              <w:rPr>
                <w:rFonts w:hint="eastAsia" w:ascii="宋体" w:hAnsi="宋体"/>
                <w:color w:val="auto"/>
                <w:szCs w:val="21"/>
                <w:highlight w:val="none"/>
              </w:rPr>
              <w:t>投标报价高于最高限价的为无效投标。</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3.2.4</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报价币种</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ascii="宋体" w:hAnsi="宋体"/>
                <w:color w:val="auto"/>
                <w:szCs w:val="21"/>
                <w:highlight w:val="none"/>
              </w:rPr>
            </w:pPr>
            <w:r>
              <w:rPr>
                <w:rFonts w:hint="eastAsia" w:ascii="宋体" w:hAnsi="宋体"/>
                <w:color w:val="auto"/>
                <w:szCs w:val="21"/>
                <w:highlight w:val="none"/>
              </w:rPr>
              <w:t>全部报价均应以人民币为计量货币，并以人民币进行结算。</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3.3</w:t>
            </w:r>
            <w:r>
              <w:rPr>
                <w:rFonts w:hint="eastAsia" w:ascii="宋体" w:hAnsi="宋体"/>
                <w:color w:val="auto"/>
                <w:szCs w:val="21"/>
                <w:highlight w:val="none"/>
              </w:rPr>
              <w:t>.1</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投标有效期</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ascii="宋体" w:hAnsi="宋体"/>
                <w:color w:val="auto"/>
                <w:szCs w:val="21"/>
                <w:highlight w:val="none"/>
              </w:rPr>
            </w:pPr>
            <w:r>
              <w:rPr>
                <w:rFonts w:hint="eastAsia" w:ascii="宋体" w:hAnsi="宋体"/>
                <w:color w:val="auto"/>
                <w:szCs w:val="21"/>
                <w:highlight w:val="none"/>
              </w:rPr>
              <w:t>自投标截止日起</w:t>
            </w:r>
            <w:r>
              <w:rPr>
                <w:rFonts w:hint="eastAsia" w:ascii="宋体" w:hAnsi="宋体"/>
                <w:color w:val="auto"/>
                <w:szCs w:val="21"/>
                <w:highlight w:val="none"/>
                <w:u w:val="single"/>
              </w:rPr>
              <w:t>　60　</w:t>
            </w:r>
            <w:r>
              <w:rPr>
                <w:rFonts w:hint="eastAsia" w:ascii="宋体" w:hAnsi="宋体"/>
                <w:color w:val="auto"/>
                <w:szCs w:val="21"/>
                <w:highlight w:val="none"/>
              </w:rPr>
              <w:t>日历天（供应商承诺的投标有效期不得少于该时间要求）。</w:t>
            </w:r>
          </w:p>
        </w:tc>
      </w:tr>
      <w:tr>
        <w:tblPrEx>
          <w:tblCellMar>
            <w:top w:w="0" w:type="dxa"/>
            <w:left w:w="108" w:type="dxa"/>
            <w:bottom w:w="0" w:type="dxa"/>
            <w:right w:w="108" w:type="dxa"/>
          </w:tblCellMar>
        </w:tblPrEx>
        <w:trPr>
          <w:trHeight w:val="240" w:hRule="atLeast"/>
        </w:trPr>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3.4.1</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投标保证金</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ascii="宋体" w:hAnsi="宋体"/>
                <w:color w:val="auto"/>
                <w:szCs w:val="21"/>
                <w:highlight w:val="none"/>
              </w:rPr>
            </w:pPr>
            <w:r>
              <w:rPr>
                <w:rFonts w:hint="eastAsia" w:ascii="宋体" w:hAnsi="宋体"/>
                <w:color w:val="auto"/>
                <w:szCs w:val="21"/>
                <w:highlight w:val="none"/>
              </w:rPr>
              <w:t>免收。</w:t>
            </w:r>
          </w:p>
        </w:tc>
      </w:tr>
      <w:tr>
        <w:tblPrEx>
          <w:tblCellMar>
            <w:top w:w="0" w:type="dxa"/>
            <w:left w:w="108" w:type="dxa"/>
            <w:bottom w:w="0" w:type="dxa"/>
            <w:right w:w="108" w:type="dxa"/>
          </w:tblCellMar>
        </w:tblPrEx>
        <w:trPr>
          <w:trHeight w:val="225" w:hRule="atLeast"/>
        </w:trPr>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3.</w:t>
            </w:r>
            <w:r>
              <w:rPr>
                <w:rFonts w:hint="eastAsia" w:ascii="宋体" w:hAnsi="宋体"/>
                <w:color w:val="auto"/>
                <w:szCs w:val="21"/>
                <w:highlight w:val="none"/>
              </w:rPr>
              <w:t>6</w:t>
            </w:r>
            <w:r>
              <w:rPr>
                <w:rFonts w:ascii="宋体" w:hAnsi="宋体"/>
                <w:color w:val="auto"/>
                <w:szCs w:val="21"/>
                <w:highlight w:val="none"/>
              </w:rPr>
              <w:t>.3</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签字</w:t>
            </w:r>
            <w:r>
              <w:rPr>
                <w:rFonts w:hint="eastAsia" w:ascii="宋体" w:hAnsi="宋体"/>
                <w:color w:val="auto"/>
                <w:szCs w:val="21"/>
                <w:highlight w:val="none"/>
              </w:rPr>
              <w:t>、</w:t>
            </w:r>
            <w:r>
              <w:rPr>
                <w:rFonts w:ascii="宋体" w:hAnsi="宋体"/>
                <w:color w:val="auto"/>
                <w:szCs w:val="21"/>
                <w:highlight w:val="none"/>
              </w:rPr>
              <w:t>盖章要求</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ascii="宋体" w:hAnsi="宋体"/>
                <w:color w:val="auto"/>
                <w:szCs w:val="21"/>
                <w:highlight w:val="none"/>
              </w:rPr>
            </w:pPr>
            <w:r>
              <w:rPr>
                <w:rFonts w:hint="eastAsia" w:ascii="宋体" w:hAnsi="宋体"/>
                <w:color w:val="auto"/>
                <w:szCs w:val="21"/>
                <w:highlight w:val="none"/>
              </w:rPr>
              <w:t>投标文件中投标函、法定代表人资格证明（或授权委托书）按投标文件格式要求签字、盖章。</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4.1.1</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投标文件的加密</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ascii="宋体" w:hAnsi="宋体"/>
                <w:color w:val="auto"/>
                <w:szCs w:val="21"/>
                <w:highlight w:val="none"/>
              </w:rPr>
            </w:pPr>
            <w:r>
              <w:rPr>
                <w:rFonts w:hint="eastAsia" w:ascii="宋体" w:hAnsi="宋体"/>
                <w:color w:val="auto"/>
                <w:szCs w:val="21"/>
                <w:highlight w:val="none"/>
              </w:rPr>
              <w:t>按照网上系统要求进行加密、解密。</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4.2.1</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投标文件的递交</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ascii="宋体" w:hAnsi="宋体"/>
                <w:color w:val="auto"/>
                <w:szCs w:val="21"/>
                <w:highlight w:val="none"/>
              </w:rPr>
            </w:pPr>
            <w:r>
              <w:rPr>
                <w:rFonts w:hint="eastAsia" w:ascii="宋体" w:hAnsi="宋体"/>
                <w:color w:val="auto"/>
                <w:szCs w:val="21"/>
                <w:highlight w:val="none"/>
              </w:rPr>
              <w:t>在投标截止时间前，通过原下载招标文件的电子交易系统上传、提交投标文件。</w:t>
            </w:r>
          </w:p>
        </w:tc>
      </w:tr>
      <w:tr>
        <w:tblPrEx>
          <w:tblCellMar>
            <w:top w:w="0" w:type="dxa"/>
            <w:left w:w="108" w:type="dxa"/>
            <w:bottom w:w="0" w:type="dxa"/>
            <w:right w:w="108" w:type="dxa"/>
          </w:tblCellMar>
        </w:tblPrEx>
        <w:trPr>
          <w:trHeight w:val="274" w:hRule="atLeast"/>
        </w:trPr>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5.1</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投标截止及开标时间、地点</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ascii="宋体" w:hAnsi="宋体"/>
                <w:color w:val="auto"/>
                <w:szCs w:val="21"/>
                <w:highlight w:val="none"/>
              </w:rPr>
            </w:pPr>
            <w:r>
              <w:rPr>
                <w:rFonts w:hint="eastAsia" w:ascii="宋体" w:hAnsi="宋体"/>
                <w:color w:val="auto"/>
                <w:szCs w:val="21"/>
                <w:highlight w:val="none"/>
              </w:rPr>
              <w:t>投标截止及</w:t>
            </w:r>
            <w:r>
              <w:rPr>
                <w:rFonts w:ascii="宋体" w:hAnsi="宋体"/>
                <w:color w:val="auto"/>
                <w:szCs w:val="21"/>
                <w:highlight w:val="none"/>
              </w:rPr>
              <w:t>开标时间</w:t>
            </w:r>
            <w:r>
              <w:rPr>
                <w:rFonts w:hint="eastAsia" w:ascii="宋体" w:hAnsi="宋体"/>
                <w:color w:val="auto"/>
                <w:szCs w:val="21"/>
                <w:highlight w:val="none"/>
              </w:rPr>
              <w:t>：</w:t>
            </w:r>
            <w:r>
              <w:rPr>
                <w:rFonts w:hint="eastAsia" w:ascii="宋体" w:hAnsi="宋体"/>
                <w:color w:val="auto"/>
                <w:szCs w:val="21"/>
                <w:highlight w:val="none"/>
                <w:u w:val="single"/>
                <w:lang w:val="en-US" w:eastAsia="zh-CN"/>
              </w:rPr>
              <w:t>2025</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3</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27</w:t>
            </w:r>
            <w:r>
              <w:rPr>
                <w:rFonts w:hint="eastAsia" w:ascii="宋体" w:hAnsi="宋体"/>
                <w:color w:val="auto"/>
                <w:szCs w:val="21"/>
                <w:highlight w:val="none"/>
                <w:u w:val="single"/>
              </w:rPr>
              <w:t xml:space="preserve"> </w:t>
            </w:r>
            <w:r>
              <w:rPr>
                <w:rFonts w:hint="eastAsia" w:ascii="宋体" w:hAnsi="宋体"/>
                <w:color w:val="auto"/>
                <w:szCs w:val="21"/>
                <w:highlight w:val="none"/>
              </w:rPr>
              <w:t>日</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9</w:t>
            </w:r>
            <w:r>
              <w:rPr>
                <w:rFonts w:hint="eastAsia" w:ascii="宋体" w:hAnsi="宋体"/>
                <w:color w:val="auto"/>
                <w:szCs w:val="21"/>
                <w:highlight w:val="none"/>
                <w:u w:val="single"/>
              </w:rPr>
              <w:t xml:space="preserve"> 时 </w:t>
            </w:r>
            <w:r>
              <w:rPr>
                <w:rFonts w:hint="eastAsia" w:ascii="宋体" w:hAnsi="宋体"/>
                <w:color w:val="auto"/>
                <w:szCs w:val="21"/>
                <w:highlight w:val="none"/>
                <w:u w:val="single"/>
                <w:lang w:val="en-US" w:eastAsia="zh-CN"/>
              </w:rPr>
              <w:t>30</w:t>
            </w:r>
            <w:r>
              <w:rPr>
                <w:rFonts w:hint="eastAsia" w:ascii="宋体" w:hAnsi="宋体"/>
                <w:color w:val="auto"/>
                <w:szCs w:val="21"/>
                <w:highlight w:val="none"/>
                <w:u w:val="single"/>
              </w:rPr>
              <w:t xml:space="preserve"> 分</w:t>
            </w:r>
          </w:p>
          <w:p>
            <w:pPr>
              <w:spacing w:line="440" w:lineRule="atLeast"/>
              <w:jc w:val="left"/>
              <w:rPr>
                <w:rFonts w:ascii="宋体" w:hAnsi="宋体"/>
                <w:color w:val="auto"/>
                <w:szCs w:val="21"/>
                <w:highlight w:val="none"/>
              </w:rPr>
            </w:pPr>
            <w:r>
              <w:rPr>
                <w:rFonts w:ascii="宋体" w:hAnsi="宋体"/>
                <w:color w:val="auto"/>
                <w:szCs w:val="21"/>
                <w:highlight w:val="none"/>
              </w:rPr>
              <w:t>开</w:t>
            </w:r>
            <w:r>
              <w:rPr>
                <w:rFonts w:hint="eastAsia" w:ascii="宋体" w:hAnsi="宋体"/>
                <w:color w:val="auto"/>
                <w:szCs w:val="21"/>
                <w:highlight w:val="none"/>
              </w:rPr>
              <w:t>标地点：《开封市公共资源交易信息网》（http://www.kfsggzyjyw.cn）</w:t>
            </w:r>
          </w:p>
        </w:tc>
      </w:tr>
      <w:tr>
        <w:tblPrEx>
          <w:tblCellMar>
            <w:top w:w="0" w:type="dxa"/>
            <w:left w:w="108" w:type="dxa"/>
            <w:bottom w:w="0" w:type="dxa"/>
            <w:right w:w="108" w:type="dxa"/>
          </w:tblCellMar>
        </w:tblPrEx>
        <w:trPr>
          <w:trHeight w:val="381" w:hRule="atLeast"/>
        </w:trPr>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5.2</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开标程序</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ind w:firstLine="420"/>
              <w:rPr>
                <w:rFonts w:ascii="宋体" w:hAnsi="宋体"/>
                <w:color w:val="auto"/>
                <w:szCs w:val="21"/>
                <w:highlight w:val="none"/>
              </w:rPr>
            </w:pPr>
            <w:r>
              <w:rPr>
                <w:rFonts w:hint="eastAsia" w:ascii="宋体" w:hAnsi="宋体"/>
                <w:color w:val="auto"/>
                <w:szCs w:val="21"/>
                <w:highlight w:val="none"/>
              </w:rPr>
              <w:t>网上开标。</w:t>
            </w:r>
          </w:p>
          <w:p>
            <w:pPr>
              <w:spacing w:line="440" w:lineRule="atLeast"/>
              <w:ind w:firstLine="420"/>
              <w:rPr>
                <w:rFonts w:ascii="宋体" w:hAnsi="宋体"/>
                <w:color w:val="auto"/>
                <w:szCs w:val="21"/>
                <w:highlight w:val="none"/>
              </w:rPr>
            </w:pPr>
            <w:r>
              <w:rPr>
                <w:rFonts w:hint="eastAsia" w:ascii="宋体" w:hAnsi="宋体"/>
                <w:color w:val="auto"/>
                <w:szCs w:val="21"/>
                <w:highlight w:val="none"/>
              </w:rPr>
              <w:t>1、网上解密投标文件。供应商应提前使用CA密钥进入电子交易系统，开标时间到，尽快对其电子投标文件完成解密（系统默认解密时长为40分钟），不能成功解密者，自行承担其投标文件不能开标的责任。</w:t>
            </w:r>
          </w:p>
          <w:p>
            <w:pPr>
              <w:spacing w:line="440" w:lineRule="atLeast"/>
              <w:ind w:firstLine="420"/>
              <w:rPr>
                <w:rFonts w:ascii="宋体" w:hAnsi="宋体"/>
                <w:color w:val="auto"/>
                <w:szCs w:val="21"/>
                <w:highlight w:val="none"/>
              </w:rPr>
            </w:pPr>
            <w:r>
              <w:rPr>
                <w:rFonts w:hint="eastAsia" w:ascii="宋体" w:hAnsi="宋体"/>
                <w:color w:val="auto"/>
                <w:szCs w:val="21"/>
                <w:highlight w:val="none"/>
              </w:rPr>
              <w:t>2、部分供应商投标文件未解密或解密失败的，程序可以继续进行。若解密成功的投标不足 3 家，该项目标段废标。</w:t>
            </w:r>
          </w:p>
          <w:p>
            <w:pPr>
              <w:spacing w:line="440" w:lineRule="atLeast"/>
              <w:ind w:firstLine="420"/>
              <w:rPr>
                <w:rFonts w:ascii="宋体" w:hAnsi="宋体"/>
                <w:color w:val="auto"/>
                <w:szCs w:val="21"/>
                <w:highlight w:val="none"/>
              </w:rPr>
            </w:pPr>
            <w:r>
              <w:rPr>
                <w:rFonts w:hint="eastAsia" w:ascii="宋体" w:hAnsi="宋体"/>
                <w:color w:val="auto"/>
                <w:szCs w:val="21"/>
                <w:highlight w:val="none"/>
              </w:rPr>
              <w:t>3、开标结束。</w:t>
            </w:r>
          </w:p>
        </w:tc>
      </w:tr>
      <w:tr>
        <w:tblPrEx>
          <w:tblCellMar>
            <w:top w:w="0" w:type="dxa"/>
            <w:left w:w="108" w:type="dxa"/>
            <w:bottom w:w="0" w:type="dxa"/>
            <w:right w:w="108" w:type="dxa"/>
          </w:tblCellMar>
        </w:tblPrEx>
        <w:trPr>
          <w:trHeight w:val="880" w:hRule="atLeast"/>
        </w:trPr>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6.1.1</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评标委员会的组建</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ascii="宋体" w:hAnsi="宋体"/>
                <w:color w:val="auto"/>
                <w:szCs w:val="21"/>
                <w:highlight w:val="none"/>
              </w:rPr>
            </w:pPr>
            <w:r>
              <w:rPr>
                <w:rFonts w:hint="eastAsia" w:ascii="宋体" w:hAnsi="宋体"/>
                <w:color w:val="auto"/>
                <w:szCs w:val="21"/>
                <w:highlight w:val="none"/>
              </w:rPr>
              <w:t>评标委员会构成：由采购人代表和评审专家共</w:t>
            </w:r>
            <w:r>
              <w:rPr>
                <w:rFonts w:hint="eastAsia" w:ascii="宋体" w:hAnsi="宋体"/>
                <w:color w:val="auto"/>
                <w:szCs w:val="21"/>
                <w:highlight w:val="none"/>
                <w:u w:val="single"/>
              </w:rPr>
              <w:t>　</w:t>
            </w:r>
            <w:r>
              <w:rPr>
                <w:rFonts w:hint="eastAsia" w:ascii="宋体" w:hAnsi="宋体"/>
                <w:color w:val="auto"/>
                <w:szCs w:val="21"/>
                <w:highlight w:val="none"/>
                <w:u w:val="single"/>
                <w:lang w:val="en-US" w:eastAsia="zh-CN"/>
              </w:rPr>
              <w:t>5</w:t>
            </w:r>
            <w:r>
              <w:rPr>
                <w:rFonts w:hint="eastAsia" w:ascii="宋体" w:hAnsi="宋体"/>
                <w:color w:val="auto"/>
                <w:szCs w:val="21"/>
                <w:highlight w:val="none"/>
                <w:u w:val="single"/>
              </w:rPr>
              <w:t>　</w:t>
            </w:r>
            <w:r>
              <w:rPr>
                <w:rFonts w:hint="eastAsia" w:ascii="宋体" w:hAnsi="宋体"/>
                <w:color w:val="auto"/>
                <w:szCs w:val="21"/>
                <w:highlight w:val="none"/>
              </w:rPr>
              <w:t>人组成，其中评审专家不少于成员总数的三分之二。</w:t>
            </w:r>
          </w:p>
          <w:p>
            <w:pPr>
              <w:spacing w:line="440" w:lineRule="atLeast"/>
              <w:rPr>
                <w:rFonts w:ascii="宋体" w:hAnsi="宋体"/>
                <w:color w:val="auto"/>
                <w:szCs w:val="21"/>
                <w:highlight w:val="none"/>
              </w:rPr>
            </w:pPr>
            <w:r>
              <w:rPr>
                <w:rFonts w:ascii="宋体" w:hAnsi="宋体"/>
                <w:color w:val="auto"/>
                <w:szCs w:val="21"/>
                <w:highlight w:val="none"/>
              </w:rPr>
              <w:t>评标专家确定方式</w:t>
            </w:r>
            <w:r>
              <w:rPr>
                <w:rFonts w:hint="eastAsia" w:ascii="宋体" w:hAnsi="宋体"/>
                <w:color w:val="auto"/>
                <w:szCs w:val="21"/>
                <w:highlight w:val="none"/>
              </w:rPr>
              <w:t>：从招投标主管部门专家库中随机抽取。</w:t>
            </w:r>
          </w:p>
        </w:tc>
      </w:tr>
      <w:tr>
        <w:tblPrEx>
          <w:tblCellMar>
            <w:top w:w="0" w:type="dxa"/>
            <w:left w:w="108" w:type="dxa"/>
            <w:bottom w:w="0" w:type="dxa"/>
            <w:right w:w="108" w:type="dxa"/>
          </w:tblCellMar>
        </w:tblPrEx>
        <w:trPr>
          <w:trHeight w:val="880" w:hRule="atLeast"/>
        </w:trPr>
        <w:tc>
          <w:tcPr>
            <w:tcW w:w="1008" w:type="dxa"/>
            <w:tcBorders>
              <w:top w:val="single" w:color="auto" w:sz="4" w:space="0"/>
              <w:left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7.1</w:t>
            </w:r>
          </w:p>
        </w:tc>
        <w:tc>
          <w:tcPr>
            <w:tcW w:w="1980" w:type="dxa"/>
            <w:tcBorders>
              <w:top w:val="single" w:color="auto" w:sz="4" w:space="0"/>
              <w:left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是否授权评标委员会确定中标人</w:t>
            </w:r>
          </w:p>
        </w:tc>
        <w:tc>
          <w:tcPr>
            <w:tcW w:w="5534" w:type="dxa"/>
            <w:tcBorders>
              <w:top w:val="single" w:color="auto" w:sz="4" w:space="0"/>
              <w:left w:val="single" w:color="auto" w:sz="4" w:space="0"/>
              <w:right w:val="single" w:color="auto" w:sz="4" w:space="0"/>
            </w:tcBorders>
            <w:vAlign w:val="center"/>
          </w:tcPr>
          <w:p>
            <w:pPr>
              <w:spacing w:line="440" w:lineRule="atLeast"/>
              <w:rPr>
                <w:rFonts w:ascii="宋体" w:hAnsi="宋体"/>
                <w:color w:val="auto"/>
                <w:szCs w:val="21"/>
                <w:highlight w:val="none"/>
              </w:rPr>
            </w:pPr>
            <w:r>
              <w:rPr>
                <w:rFonts w:ascii="宋体" w:hAnsi="宋体"/>
                <w:color w:val="auto"/>
                <w:szCs w:val="21"/>
                <w:highlight w:val="none"/>
              </w:rPr>
              <w:t>□</w:t>
            </w:r>
            <w:r>
              <w:rPr>
                <w:rFonts w:hint="eastAsia" w:ascii="宋体" w:hAnsi="宋体"/>
                <w:color w:val="auto"/>
                <w:szCs w:val="21"/>
                <w:highlight w:val="none"/>
              </w:rPr>
              <w:t>是</w:t>
            </w:r>
          </w:p>
          <w:p>
            <w:pPr>
              <w:spacing w:line="440" w:lineRule="atLeast"/>
              <w:rPr>
                <w:rFonts w:ascii="宋体" w:hAnsi="宋体"/>
                <w:color w:val="auto"/>
                <w:szCs w:val="21"/>
                <w:highlight w:val="none"/>
              </w:rPr>
            </w:pPr>
            <w:r>
              <w:rPr>
                <w:rFonts w:ascii="宋体" w:hAnsi="宋体"/>
                <w:color w:val="auto"/>
                <w:szCs w:val="21"/>
                <w:highlight w:val="none"/>
              </w:rPr>
              <w:sym w:font="Wingdings" w:char="F0FE"/>
            </w:r>
            <w:r>
              <w:rPr>
                <w:rFonts w:hint="eastAsia" w:ascii="宋体" w:hAnsi="宋体"/>
                <w:color w:val="auto"/>
                <w:szCs w:val="21"/>
                <w:highlight w:val="none"/>
              </w:rPr>
              <w:t>否，</w:t>
            </w:r>
            <w:r>
              <w:rPr>
                <w:rFonts w:ascii="宋体" w:hAnsi="宋体"/>
                <w:color w:val="auto"/>
                <w:szCs w:val="21"/>
                <w:highlight w:val="none"/>
              </w:rPr>
              <w:t>推荐的中标候选人数</w:t>
            </w:r>
            <w:r>
              <w:rPr>
                <w:rFonts w:hint="eastAsia" w:ascii="宋体" w:hAnsi="宋体"/>
                <w:color w:val="auto"/>
                <w:szCs w:val="21"/>
                <w:highlight w:val="none"/>
              </w:rPr>
              <w:t>：3人。</w:t>
            </w:r>
          </w:p>
        </w:tc>
      </w:tr>
      <w:tr>
        <w:tblPrEx>
          <w:tblCellMar>
            <w:top w:w="0" w:type="dxa"/>
            <w:left w:w="108" w:type="dxa"/>
            <w:bottom w:w="0" w:type="dxa"/>
            <w:right w:w="108" w:type="dxa"/>
          </w:tblCellMar>
        </w:tblPrEx>
        <w:trPr>
          <w:trHeight w:val="90" w:hRule="atLeast"/>
        </w:trPr>
        <w:tc>
          <w:tcPr>
            <w:tcW w:w="1008" w:type="dxa"/>
            <w:tcBorders>
              <w:top w:val="single" w:color="auto" w:sz="4" w:space="0"/>
              <w:left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7.2</w:t>
            </w:r>
          </w:p>
        </w:tc>
        <w:tc>
          <w:tcPr>
            <w:tcW w:w="1980" w:type="dxa"/>
            <w:tcBorders>
              <w:top w:val="single" w:color="auto" w:sz="4" w:space="0"/>
              <w:left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中标人公布媒介</w:t>
            </w:r>
          </w:p>
        </w:tc>
        <w:tc>
          <w:tcPr>
            <w:tcW w:w="5534" w:type="dxa"/>
            <w:tcBorders>
              <w:top w:val="single" w:color="auto" w:sz="4" w:space="0"/>
              <w:left w:val="single" w:color="auto" w:sz="4" w:space="0"/>
              <w:right w:val="single" w:color="auto" w:sz="4" w:space="0"/>
            </w:tcBorders>
            <w:vAlign w:val="center"/>
          </w:tcPr>
          <w:p>
            <w:pPr>
              <w:spacing w:line="440" w:lineRule="atLeast"/>
              <w:rPr>
                <w:rFonts w:ascii="宋体" w:hAnsi="宋体"/>
                <w:color w:val="auto"/>
                <w:szCs w:val="21"/>
                <w:highlight w:val="none"/>
              </w:rPr>
            </w:pPr>
            <w:r>
              <w:rPr>
                <w:rFonts w:hint="eastAsia" w:ascii="宋体" w:hAnsi="宋体"/>
                <w:color w:val="auto"/>
                <w:szCs w:val="21"/>
                <w:highlight w:val="none"/>
              </w:rPr>
              <w:t>《河南省政府采购网》《开封市公共资源交易信息网》</w:t>
            </w:r>
          </w:p>
        </w:tc>
      </w:tr>
      <w:tr>
        <w:tblPrEx>
          <w:tblCellMar>
            <w:top w:w="0" w:type="dxa"/>
            <w:left w:w="108" w:type="dxa"/>
            <w:bottom w:w="0" w:type="dxa"/>
            <w:right w:w="108" w:type="dxa"/>
          </w:tblCellMar>
        </w:tblPrEx>
        <w:trPr>
          <w:trHeight w:val="880" w:hRule="atLeast"/>
        </w:trPr>
        <w:tc>
          <w:tcPr>
            <w:tcW w:w="1008" w:type="dxa"/>
            <w:tcBorders>
              <w:top w:val="single" w:color="auto" w:sz="4" w:space="0"/>
              <w:left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7.3</w:t>
            </w:r>
          </w:p>
        </w:tc>
        <w:tc>
          <w:tcPr>
            <w:tcW w:w="1980" w:type="dxa"/>
            <w:tcBorders>
              <w:top w:val="single" w:color="auto" w:sz="4" w:space="0"/>
              <w:left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中标通知书</w:t>
            </w:r>
          </w:p>
        </w:tc>
        <w:tc>
          <w:tcPr>
            <w:tcW w:w="5534" w:type="dxa"/>
            <w:tcBorders>
              <w:top w:val="single" w:color="auto" w:sz="4" w:space="0"/>
              <w:left w:val="single" w:color="auto" w:sz="4" w:space="0"/>
              <w:right w:val="single" w:color="auto" w:sz="4" w:space="0"/>
            </w:tcBorders>
            <w:vAlign w:val="center"/>
          </w:tcPr>
          <w:p>
            <w:pPr>
              <w:spacing w:line="440" w:lineRule="atLeast"/>
              <w:rPr>
                <w:rFonts w:ascii="宋体" w:hAnsi="宋体"/>
                <w:color w:val="auto"/>
                <w:szCs w:val="21"/>
                <w:highlight w:val="none"/>
              </w:rPr>
            </w:pPr>
            <w:r>
              <w:rPr>
                <w:rFonts w:hint="eastAsia" w:ascii="宋体" w:hAnsi="宋体" w:cs="宋体"/>
                <w:color w:val="auto"/>
                <w:szCs w:val="21"/>
                <w:highlight w:val="none"/>
              </w:rPr>
              <w:t>中标人确定后，开封市政府采购中心协同采购人和开封市公共资源交易中心</w:t>
            </w:r>
            <w:r>
              <w:rPr>
                <w:rFonts w:hint="eastAsia" w:ascii="宋体" w:hAnsi="宋体"/>
                <w:color w:val="auto"/>
                <w:szCs w:val="21"/>
                <w:highlight w:val="none"/>
              </w:rPr>
              <w:t>向中标人发出《中标通知书》。</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7.</w:t>
            </w:r>
            <w:r>
              <w:rPr>
                <w:rFonts w:hint="eastAsia" w:ascii="宋体" w:hAnsi="宋体"/>
                <w:color w:val="auto"/>
                <w:szCs w:val="21"/>
                <w:highlight w:val="none"/>
              </w:rPr>
              <w:t>4</w:t>
            </w:r>
            <w:r>
              <w:rPr>
                <w:rFonts w:ascii="宋体" w:hAnsi="宋体"/>
                <w:color w:val="auto"/>
                <w:szCs w:val="21"/>
                <w:highlight w:val="none"/>
              </w:rPr>
              <w:t>.1</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履约担保</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ascii="宋体" w:hAnsi="宋体"/>
                <w:color w:val="auto"/>
                <w:szCs w:val="21"/>
                <w:highlight w:val="none"/>
              </w:rPr>
            </w:pPr>
            <w:r>
              <w:rPr>
                <w:rFonts w:hint="eastAsia" w:ascii="宋体" w:hAnsi="宋体"/>
                <w:color w:val="auto"/>
                <w:szCs w:val="21"/>
                <w:highlight w:val="none"/>
              </w:rPr>
              <w:t>//</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7.5.1</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签订合同</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ascii="宋体" w:hAnsi="宋体"/>
                <w:color w:val="auto"/>
                <w:szCs w:val="21"/>
                <w:highlight w:val="none"/>
              </w:rPr>
            </w:pPr>
            <w:r>
              <w:rPr>
                <w:rFonts w:hint="eastAsia" w:ascii="宋体" w:hAnsi="宋体"/>
                <w:color w:val="auto"/>
                <w:szCs w:val="21"/>
                <w:highlight w:val="none"/>
              </w:rPr>
              <w:t>中标人按《中标通知书》约定时间（无约定时，应在中标通知书发出时间30日内），根据招标文件和中标人的投标文件与采购人签订合同。</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8.5</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询问和质疑</w:t>
            </w:r>
          </w:p>
          <w:p>
            <w:pPr>
              <w:spacing w:line="440" w:lineRule="atLeast"/>
              <w:jc w:val="center"/>
              <w:rPr>
                <w:rFonts w:ascii="宋体" w:hAnsi="宋体"/>
                <w:color w:val="auto"/>
                <w:szCs w:val="21"/>
                <w:highlight w:val="none"/>
              </w:rPr>
            </w:pPr>
          </w:p>
          <w:p>
            <w:pPr>
              <w:spacing w:line="440" w:lineRule="atLeast"/>
              <w:jc w:val="center"/>
              <w:rPr>
                <w:rFonts w:ascii="宋体" w:hAnsi="宋体"/>
                <w:color w:val="auto"/>
                <w:szCs w:val="21"/>
                <w:highlight w:val="none"/>
              </w:rPr>
            </w:pPr>
            <w:r>
              <w:rPr>
                <w:rFonts w:hint="eastAsia" w:ascii="宋体" w:hAnsi="宋体"/>
                <w:color w:val="auto"/>
                <w:szCs w:val="21"/>
                <w:highlight w:val="none"/>
              </w:rPr>
              <w:t>（包括对招标文件、采购过程、成交或成交结果）</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ascii="宋体" w:hAnsi="宋体"/>
                <w:color w:val="auto"/>
                <w:szCs w:val="21"/>
                <w:highlight w:val="none"/>
              </w:rPr>
            </w:pPr>
            <w:r>
              <w:rPr>
                <w:rFonts w:hint="eastAsia" w:ascii="宋体" w:hAnsi="宋体"/>
                <w:color w:val="auto"/>
                <w:szCs w:val="21"/>
                <w:highlight w:val="none"/>
              </w:rPr>
              <w:t>　　1、询问。供应商有疑问的，可先按政府采购法第五十一条向采购人、代理机构提出询问，通过面对面、电话形式沟通，属于理解偏差等小问题可当即解决，如仍有异议可提出质疑。（联系人和电话见本表第1.1.2和1.1.3.）</w:t>
            </w:r>
          </w:p>
          <w:p>
            <w:pPr>
              <w:spacing w:line="440" w:lineRule="atLeast"/>
              <w:ind w:firstLine="426"/>
              <w:rPr>
                <w:rFonts w:ascii="宋体" w:hAnsi="宋体"/>
                <w:color w:val="auto"/>
                <w:szCs w:val="21"/>
                <w:highlight w:val="none"/>
              </w:rPr>
            </w:pPr>
            <w:r>
              <w:rPr>
                <w:rFonts w:hint="eastAsia" w:ascii="宋体" w:hAnsi="宋体"/>
                <w:color w:val="auto"/>
                <w:szCs w:val="21"/>
                <w:highlight w:val="none"/>
              </w:rPr>
              <w:t>2、质疑（格式参照财政部2018年发布的《质疑函范本》）。对招标文件的质疑，应当在收到招标文件之日或招标公告期满之日起7个工作日内</w:t>
            </w:r>
            <w:r>
              <w:rPr>
                <w:rFonts w:hint="eastAsia" w:ascii="宋体" w:hAnsi="宋体"/>
                <w:color w:val="auto"/>
                <w:szCs w:val="21"/>
                <w:highlight w:val="none"/>
                <w:lang w:val="en-US" w:eastAsia="zh-CN"/>
              </w:rPr>
              <w:t>且在开标时间前</w:t>
            </w:r>
            <w:r>
              <w:rPr>
                <w:rFonts w:hint="eastAsia" w:ascii="宋体" w:hAnsi="宋体"/>
                <w:color w:val="auto"/>
                <w:szCs w:val="21"/>
                <w:highlight w:val="none"/>
              </w:rPr>
              <w:t>提出（</w:t>
            </w:r>
            <w:r>
              <w:rPr>
                <w:rFonts w:hint="eastAsia" w:ascii="宋体" w:hAnsi="宋体" w:cs="宋体"/>
                <w:color w:val="auto"/>
                <w:kern w:val="0"/>
                <w:szCs w:val="21"/>
                <w:highlight w:val="none"/>
              </w:rPr>
              <w:t>在公告期限届满之前下载招标文件的，对招标文件的质疑期限从下载之日起计算；在招标公告期限届满之后下载招标文件的，对招标文件的质疑期限从公告期限届满之日起计算。</w:t>
            </w:r>
            <w:r>
              <w:rPr>
                <w:rFonts w:hint="eastAsia" w:ascii="宋体" w:hAnsi="宋体"/>
                <w:color w:val="auto"/>
                <w:szCs w:val="21"/>
                <w:highlight w:val="none"/>
              </w:rPr>
              <w:t>）；对</w:t>
            </w:r>
            <w:r>
              <w:rPr>
                <w:rFonts w:hint="eastAsia" w:ascii="宋体" w:hAnsi="宋体"/>
                <w:color w:val="auto"/>
                <w:szCs w:val="21"/>
                <w:highlight w:val="none"/>
                <w:lang w:val="en-US" w:eastAsia="zh-CN"/>
              </w:rPr>
              <w:t>采购</w:t>
            </w:r>
            <w:r>
              <w:rPr>
                <w:rFonts w:hint="eastAsia" w:ascii="宋体" w:hAnsi="宋体"/>
                <w:color w:val="auto"/>
                <w:szCs w:val="21"/>
                <w:highlight w:val="none"/>
              </w:rPr>
              <w:t>过程的质疑，应在知道或者应知其权益受到损害之日起7个工作日内提出； 对</w:t>
            </w:r>
            <w:r>
              <w:rPr>
                <w:rFonts w:hint="eastAsia" w:ascii="宋体" w:hAnsi="宋体"/>
                <w:color w:val="auto"/>
                <w:szCs w:val="21"/>
                <w:highlight w:val="none"/>
                <w:lang w:val="en-US" w:eastAsia="zh-CN"/>
              </w:rPr>
              <w:t>中标</w:t>
            </w:r>
            <w:r>
              <w:rPr>
                <w:rFonts w:hint="eastAsia" w:ascii="宋体" w:hAnsi="宋体"/>
                <w:color w:val="auto"/>
                <w:szCs w:val="21"/>
                <w:highlight w:val="none"/>
              </w:rPr>
              <w:t>或成交结果有质疑的，应在</w:t>
            </w:r>
            <w:r>
              <w:rPr>
                <w:rFonts w:hint="eastAsia" w:ascii="宋体" w:hAnsi="宋体"/>
                <w:color w:val="auto"/>
                <w:szCs w:val="21"/>
                <w:highlight w:val="none"/>
                <w:lang w:val="en-US" w:eastAsia="zh-CN"/>
              </w:rPr>
              <w:t>中标</w:t>
            </w:r>
            <w:r>
              <w:rPr>
                <w:rFonts w:hint="eastAsia" w:ascii="宋体" w:hAnsi="宋体"/>
                <w:color w:val="auto"/>
                <w:szCs w:val="21"/>
                <w:highlight w:val="none"/>
              </w:rPr>
              <w:t>或成交公告期满之日起7个工作日内提出。通过《开封市公共资源交易信息网》凭CA密钥登录，线上提起，并同时打电话提醒采购人和采购代理机构注意及时查收。</w:t>
            </w:r>
          </w:p>
          <w:p>
            <w:pPr>
              <w:spacing w:line="440" w:lineRule="atLeast"/>
              <w:ind w:firstLine="426"/>
              <w:rPr>
                <w:rFonts w:ascii="宋体" w:hAnsi="宋体"/>
                <w:color w:val="auto"/>
                <w:szCs w:val="21"/>
                <w:highlight w:val="none"/>
              </w:rPr>
            </w:pPr>
            <w:r>
              <w:rPr>
                <w:rFonts w:hint="eastAsia" w:ascii="宋体" w:hAnsi="宋体"/>
                <w:color w:val="auto"/>
                <w:szCs w:val="21"/>
                <w:highlight w:val="none"/>
              </w:rPr>
              <w:t>供应商应在法定质疑期内一次性提出针对同一采购程序环节的质疑。</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b/>
                <w:color w:val="auto"/>
                <w:szCs w:val="21"/>
                <w:highlight w:val="none"/>
              </w:rPr>
            </w:pPr>
            <w:r>
              <w:rPr>
                <w:rFonts w:hint="eastAsia" w:ascii="宋体" w:hAnsi="宋体"/>
                <w:b/>
                <w:color w:val="auto"/>
                <w:szCs w:val="21"/>
                <w:highlight w:val="none"/>
              </w:rPr>
              <w:t>10</w:t>
            </w:r>
          </w:p>
        </w:tc>
        <w:tc>
          <w:tcPr>
            <w:tcW w:w="7514" w:type="dxa"/>
            <w:gridSpan w:val="2"/>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b/>
                <w:color w:val="auto"/>
                <w:szCs w:val="21"/>
                <w:highlight w:val="none"/>
              </w:rPr>
            </w:pPr>
            <w:r>
              <w:rPr>
                <w:rFonts w:hint="eastAsia" w:ascii="宋体" w:hAnsi="宋体"/>
                <w:b/>
                <w:color w:val="auto"/>
                <w:szCs w:val="21"/>
                <w:highlight w:val="none"/>
              </w:rPr>
              <w:t>需要</w:t>
            </w:r>
            <w:r>
              <w:rPr>
                <w:rFonts w:ascii="宋体" w:hAnsi="宋体"/>
                <w:b/>
                <w:color w:val="auto"/>
                <w:szCs w:val="21"/>
                <w:highlight w:val="none"/>
              </w:rPr>
              <w:t>补充</w:t>
            </w:r>
            <w:r>
              <w:rPr>
                <w:rFonts w:hint="eastAsia" w:ascii="宋体" w:hAnsi="宋体"/>
                <w:b/>
                <w:color w:val="auto"/>
                <w:szCs w:val="21"/>
                <w:highlight w:val="none"/>
              </w:rPr>
              <w:t>的其他</w:t>
            </w:r>
            <w:r>
              <w:rPr>
                <w:rFonts w:ascii="宋体" w:hAnsi="宋体"/>
                <w:b/>
                <w:color w:val="auto"/>
                <w:szCs w:val="21"/>
                <w:highlight w:val="none"/>
              </w:rPr>
              <w:t>内容</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10.1</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付款方式</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ascii="宋体" w:hAnsi="宋体"/>
                <w:color w:val="auto"/>
                <w:szCs w:val="21"/>
                <w:highlight w:val="none"/>
              </w:rPr>
            </w:pPr>
            <w:r>
              <w:rPr>
                <w:rFonts w:hint="eastAsia" w:ascii="宋体" w:hAnsi="宋体"/>
                <w:color w:val="auto"/>
                <w:szCs w:val="21"/>
                <w:highlight w:val="none"/>
              </w:rPr>
              <w:t>按月付款</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10.2</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交易服务费</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ascii="宋体" w:hAnsi="宋体"/>
                <w:color w:val="auto"/>
                <w:szCs w:val="21"/>
                <w:highlight w:val="none"/>
              </w:rPr>
            </w:pPr>
            <w:r>
              <w:rPr>
                <w:rFonts w:hint="eastAsia" w:ascii="宋体" w:hAnsi="宋体"/>
                <w:color w:val="auto"/>
                <w:szCs w:val="21"/>
                <w:highlight w:val="none"/>
              </w:rPr>
              <w:t>免收。</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10.3</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中标服务费</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jc w:val="left"/>
              <w:rPr>
                <w:rFonts w:ascii="宋体" w:hAnsi="宋体"/>
                <w:color w:val="auto"/>
                <w:szCs w:val="21"/>
                <w:highlight w:val="none"/>
              </w:rPr>
            </w:pPr>
            <w:r>
              <w:rPr>
                <w:rFonts w:hint="eastAsia" w:ascii="宋体" w:hAnsi="宋体"/>
                <w:color w:val="auto"/>
                <w:szCs w:val="21"/>
                <w:highlight w:val="none"/>
              </w:rPr>
              <w:t>免收。</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10.4</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解释权</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ascii="宋体" w:hAnsi="宋体"/>
                <w:color w:val="auto"/>
                <w:szCs w:val="21"/>
                <w:highlight w:val="none"/>
              </w:rPr>
            </w:pPr>
            <w:r>
              <w:rPr>
                <w:rFonts w:hint="eastAsia" w:ascii="宋体" w:hAnsi="宋体"/>
                <w:color w:val="auto"/>
                <w:szCs w:val="21"/>
                <w:highlight w:val="none"/>
              </w:rPr>
              <w:t>构成本招标文件的各个组成部分应互为解释、互为说明，如有不明确或不一致，除招标文件中有特别规定外，在招标投标和评标阶段的优先解释顺序如下：按招标公告（投标邀请书）、供应商须知、评标办法、招标内容及商务技术要求、投标文件格式的先后顺序解释；同一组成部分中就同一事项的规定或约定不一致的，以编排顺序在后者为准；同一组成部分不同版本之间有不一致的，以形成时间在后者为准。按本款前述规定仍不能形成结论的，由采购人或采购代理机构负责解释。</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10.5</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业务咨询</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ascii="宋体" w:hAnsi="宋体"/>
                <w:color w:val="auto"/>
                <w:szCs w:val="21"/>
                <w:highlight w:val="none"/>
              </w:rPr>
            </w:pPr>
            <w:r>
              <w:rPr>
                <w:rFonts w:hint="eastAsia" w:ascii="宋体" w:hAnsi="宋体"/>
                <w:color w:val="auto"/>
                <w:szCs w:val="21"/>
                <w:highlight w:val="none"/>
              </w:rPr>
              <w:t>开封市政府采购中心免费提供政府采购相关业务咨询。</w:t>
            </w:r>
          </w:p>
          <w:p>
            <w:pPr>
              <w:spacing w:line="440" w:lineRule="atLeast"/>
              <w:rPr>
                <w:rFonts w:ascii="宋体" w:hAnsi="宋体"/>
                <w:color w:val="auto"/>
                <w:szCs w:val="21"/>
                <w:highlight w:val="none"/>
              </w:rPr>
            </w:pPr>
            <w:r>
              <w:rPr>
                <w:rFonts w:hint="eastAsia" w:ascii="宋体" w:hAnsi="宋体"/>
                <w:color w:val="auto"/>
                <w:szCs w:val="21"/>
                <w:highlight w:val="none"/>
              </w:rPr>
              <w:t>电话：0371—23856102   23856103</w:t>
            </w:r>
          </w:p>
          <w:p>
            <w:pPr>
              <w:spacing w:line="440" w:lineRule="atLeast"/>
              <w:rPr>
                <w:rFonts w:ascii="宋体" w:hAnsi="宋体"/>
                <w:color w:val="auto"/>
                <w:szCs w:val="21"/>
                <w:highlight w:val="none"/>
              </w:rPr>
            </w:pPr>
            <w:r>
              <w:rPr>
                <w:rFonts w:hint="eastAsia" w:ascii="宋体" w:hAnsi="宋体"/>
                <w:color w:val="auto"/>
                <w:szCs w:val="21"/>
                <w:highlight w:val="none"/>
              </w:rPr>
              <w:t>地址：开封市郑开大道与三大街交汇处路北，开封市民之家6楼西头向北6067房间（政府采购）</w:t>
            </w:r>
          </w:p>
        </w:tc>
      </w:tr>
      <w:tr>
        <w:tblPrEx>
          <w:tblCellMar>
            <w:top w:w="0" w:type="dxa"/>
            <w:left w:w="108" w:type="dxa"/>
            <w:bottom w:w="0" w:type="dxa"/>
            <w:right w:w="108" w:type="dxa"/>
          </w:tblCellMar>
        </w:tblPrEx>
        <w:trPr>
          <w:trHeight w:val="56" w:hRule="atLeast"/>
        </w:trPr>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ascii="宋体" w:hAnsi="宋体" w:cs="宋体"/>
                <w:color w:val="auto"/>
                <w:szCs w:val="21"/>
                <w:highlight w:val="none"/>
              </w:rPr>
            </w:pPr>
            <w:r>
              <w:rPr>
                <w:rFonts w:ascii="宋体" w:hAnsi="宋体" w:cs="宋体"/>
                <w:color w:val="auto"/>
                <w:szCs w:val="21"/>
                <w:highlight w:val="none"/>
              </w:rPr>
              <w:t>…</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b/>
                <w:bCs/>
                <w:color w:val="auto"/>
                <w:szCs w:val="21"/>
                <w:highlight w:val="none"/>
              </w:rPr>
            </w:pPr>
            <w:r>
              <w:rPr>
                <w:rFonts w:hint="eastAsia" w:ascii="宋体" w:hAnsi="宋体"/>
                <w:b/>
                <w:bCs/>
                <w:color w:val="auto"/>
                <w:szCs w:val="21"/>
                <w:highlight w:val="none"/>
              </w:rPr>
              <w:t>11</w:t>
            </w:r>
          </w:p>
        </w:tc>
        <w:tc>
          <w:tcPr>
            <w:tcW w:w="7514" w:type="dxa"/>
            <w:gridSpan w:val="2"/>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b/>
                <w:bCs/>
                <w:color w:val="auto"/>
                <w:szCs w:val="21"/>
                <w:highlight w:val="none"/>
              </w:rPr>
            </w:pPr>
            <w:r>
              <w:rPr>
                <w:rFonts w:hint="eastAsia" w:ascii="宋体" w:hAnsi="宋体"/>
                <w:b/>
                <w:bCs/>
                <w:color w:val="auto"/>
                <w:szCs w:val="21"/>
                <w:highlight w:val="none"/>
              </w:rPr>
              <w:t>电子招标投标</w:t>
            </w:r>
          </w:p>
        </w:tc>
      </w:tr>
      <w:tr>
        <w:tblPrEx>
          <w:tblCellMar>
            <w:top w:w="0" w:type="dxa"/>
            <w:left w:w="108" w:type="dxa"/>
            <w:bottom w:w="0" w:type="dxa"/>
            <w:right w:w="108" w:type="dxa"/>
          </w:tblCellMar>
        </w:tblPrEx>
        <w:trPr>
          <w:trHeight w:val="56" w:hRule="atLeast"/>
        </w:trPr>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11.1</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招标形式</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ind w:firstLine="420" w:firstLineChars="200"/>
              <w:rPr>
                <w:rFonts w:ascii="宋体" w:hAnsi="宋体"/>
                <w:color w:val="auto"/>
                <w:szCs w:val="21"/>
                <w:highlight w:val="none"/>
              </w:rPr>
            </w:pPr>
            <w:r>
              <w:rPr>
                <w:rFonts w:hint="eastAsia" w:ascii="宋体" w:hAnsi="宋体"/>
                <w:color w:val="auto"/>
                <w:szCs w:val="21"/>
                <w:highlight w:val="none"/>
              </w:rPr>
              <w:t>本项目采用电子招标投标</w:t>
            </w:r>
          </w:p>
        </w:tc>
      </w:tr>
      <w:tr>
        <w:tblPrEx>
          <w:tblCellMar>
            <w:top w:w="0" w:type="dxa"/>
            <w:left w:w="108" w:type="dxa"/>
            <w:bottom w:w="0" w:type="dxa"/>
            <w:right w:w="108" w:type="dxa"/>
          </w:tblCellMar>
        </w:tblPrEx>
        <w:trPr>
          <w:trHeight w:val="90" w:hRule="atLeast"/>
        </w:trPr>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11.2</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注意事项</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ind w:firstLine="420" w:firstLineChars="200"/>
              <w:rPr>
                <w:rFonts w:ascii="宋体" w:hAnsi="宋体"/>
                <w:color w:val="auto"/>
                <w:highlight w:val="none"/>
              </w:rPr>
            </w:pPr>
            <w:r>
              <w:rPr>
                <w:rFonts w:hint="eastAsia" w:ascii="宋体" w:hAnsi="宋体"/>
                <w:color w:val="auto"/>
                <w:szCs w:val="21"/>
                <w:highlight w:val="none"/>
              </w:rPr>
              <w:t>供应商从参与项目开始至结束，应时刻关注电子交易系统中的项目进度和状态，留意变更公告等内容，特别是项目开标后，评标委员会向供应商提出的澄清要求、报价要求等，供应商应自系统发出30分钟（另有约定的从其约定）内回复。错过重要信息者，供应商自行承担责任。</w:t>
            </w:r>
          </w:p>
        </w:tc>
      </w:tr>
      <w:tr>
        <w:tblPrEx>
          <w:tblCellMar>
            <w:top w:w="0" w:type="dxa"/>
            <w:left w:w="108" w:type="dxa"/>
            <w:bottom w:w="0" w:type="dxa"/>
            <w:right w:w="108" w:type="dxa"/>
          </w:tblCellMar>
        </w:tblPrEx>
        <w:trPr>
          <w:trHeight w:val="90" w:hRule="atLeast"/>
        </w:trPr>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11.3</w:t>
            </w:r>
          </w:p>
        </w:tc>
        <w:tc>
          <w:tcPr>
            <w:tcW w:w="1980"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hint="eastAsia" w:ascii="宋体" w:hAnsi="宋体"/>
                <w:color w:val="auto"/>
                <w:szCs w:val="21"/>
                <w:highlight w:val="none"/>
              </w:rPr>
              <w:t>原件扫描件</w:t>
            </w:r>
          </w:p>
        </w:tc>
        <w:tc>
          <w:tcPr>
            <w:tcW w:w="5534" w:type="dxa"/>
            <w:tcBorders>
              <w:top w:val="single" w:color="auto" w:sz="4" w:space="0"/>
              <w:left w:val="single" w:color="auto" w:sz="4" w:space="0"/>
              <w:bottom w:val="single" w:color="auto" w:sz="4" w:space="0"/>
              <w:right w:val="single" w:color="auto" w:sz="4" w:space="0"/>
            </w:tcBorders>
            <w:vAlign w:val="center"/>
          </w:tcPr>
          <w:p>
            <w:pPr>
              <w:spacing w:line="440" w:lineRule="atLeast"/>
              <w:ind w:firstLine="420" w:firstLineChars="200"/>
              <w:rPr>
                <w:rFonts w:ascii="宋体" w:hAnsi="宋体"/>
                <w:color w:val="auto"/>
                <w:szCs w:val="21"/>
                <w:highlight w:val="none"/>
              </w:rPr>
            </w:pPr>
            <w:r>
              <w:rPr>
                <w:rFonts w:hint="eastAsia" w:ascii="宋体" w:hAnsi="宋体"/>
                <w:color w:val="auto"/>
                <w:szCs w:val="21"/>
                <w:highlight w:val="none"/>
              </w:rPr>
              <w:t>本项目所要求提供的原件扫描件均应为能准确反映原件色彩原貌的彩色扫描件。</w:t>
            </w:r>
          </w:p>
        </w:tc>
      </w:tr>
      <w:tr>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w:t>
            </w:r>
          </w:p>
        </w:tc>
        <w:tc>
          <w:tcPr>
            <w:tcW w:w="7514" w:type="dxa"/>
            <w:gridSpan w:val="2"/>
            <w:tcBorders>
              <w:top w:val="single" w:color="auto" w:sz="4" w:space="0"/>
              <w:left w:val="single" w:color="auto" w:sz="4" w:space="0"/>
              <w:bottom w:val="single" w:color="auto" w:sz="4" w:space="0"/>
              <w:right w:val="single" w:color="auto" w:sz="4" w:space="0"/>
            </w:tcBorders>
            <w:vAlign w:val="center"/>
          </w:tcPr>
          <w:p>
            <w:pPr>
              <w:spacing w:line="440" w:lineRule="atLeast"/>
              <w:jc w:val="center"/>
              <w:rPr>
                <w:rFonts w:ascii="宋体" w:hAnsi="宋体"/>
                <w:color w:val="auto"/>
                <w:szCs w:val="21"/>
                <w:highlight w:val="none"/>
              </w:rPr>
            </w:pPr>
            <w:r>
              <w:rPr>
                <w:rFonts w:ascii="宋体" w:hAnsi="宋体"/>
                <w:color w:val="auto"/>
                <w:szCs w:val="21"/>
                <w:highlight w:val="none"/>
              </w:rPr>
              <w:t>…</w:t>
            </w:r>
          </w:p>
        </w:tc>
      </w:tr>
    </w:tbl>
    <w:p>
      <w:pPr>
        <w:pStyle w:val="7"/>
        <w:rPr>
          <w:rFonts w:ascii="宋体" w:hAnsi="宋体" w:eastAsia="宋体"/>
          <w:color w:val="auto"/>
          <w:highlight w:val="none"/>
        </w:rPr>
      </w:pPr>
      <w:bookmarkStart w:id="55" w:name="_Toc494093429"/>
      <w:bookmarkStart w:id="56" w:name="_Toc179632546"/>
      <w:bookmarkStart w:id="57" w:name="_Toc346523402"/>
      <w:bookmarkStart w:id="58" w:name="_Toc338840442"/>
      <w:bookmarkStart w:id="59" w:name="_Toc152045529"/>
      <w:bookmarkStart w:id="60" w:name="_Toc144974497"/>
      <w:bookmarkStart w:id="61" w:name="_Toc338840481"/>
      <w:bookmarkStart w:id="62" w:name="_Toc152042305"/>
      <w:bookmarkStart w:id="63" w:name="_Toc494526401"/>
      <w:bookmarkStart w:id="64" w:name="_Toc338840187"/>
      <w:bookmarkStart w:id="65" w:name="_Toc247085689"/>
      <w:bookmarkStart w:id="66" w:name="_Toc346523465"/>
      <w:bookmarkStart w:id="67" w:name="_Toc246996175"/>
      <w:bookmarkStart w:id="68" w:name="_Toc246996918"/>
      <w:r>
        <w:rPr>
          <w:rFonts w:hint="eastAsia" w:ascii="宋体" w:hAnsi="宋体" w:eastAsia="宋体"/>
          <w:color w:val="auto"/>
          <w:highlight w:val="none"/>
        </w:rPr>
        <w:br w:type="page"/>
      </w:r>
      <w:bookmarkStart w:id="69" w:name="_Toc28332"/>
      <w:bookmarkStart w:id="70" w:name="_Toc25787"/>
      <w:bookmarkStart w:id="71" w:name="_Toc18686"/>
      <w:bookmarkStart w:id="72" w:name="_Toc29445"/>
      <w:r>
        <w:rPr>
          <w:rFonts w:hint="eastAsia" w:ascii="宋体" w:hAnsi="宋体" w:eastAsia="宋体"/>
          <w:color w:val="auto"/>
          <w:highlight w:val="none"/>
        </w:rPr>
        <w:t>1. 总则</w:t>
      </w:r>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p>
    <w:p>
      <w:pPr>
        <w:pStyle w:val="8"/>
        <w:rPr>
          <w:rFonts w:ascii="宋体" w:hAnsi="宋体"/>
          <w:color w:val="auto"/>
          <w:highlight w:val="none"/>
        </w:rPr>
      </w:pPr>
      <w:bookmarkStart w:id="73" w:name="_Toc179632547"/>
      <w:bookmarkStart w:id="74" w:name="_Toc144974498"/>
      <w:bookmarkStart w:id="75" w:name="_Toc246996919"/>
      <w:bookmarkStart w:id="76" w:name="_Toc246996176"/>
      <w:bookmarkStart w:id="77" w:name="_Toc152042306"/>
      <w:bookmarkStart w:id="78" w:name="_Toc247085690"/>
      <w:bookmarkStart w:id="79" w:name="_Toc152045530"/>
      <w:bookmarkStart w:id="80" w:name="_Toc338840188"/>
      <w:r>
        <w:rPr>
          <w:rFonts w:hint="eastAsia" w:ascii="宋体" w:hAnsi="宋体"/>
          <w:color w:val="auto"/>
          <w:highlight w:val="none"/>
        </w:rPr>
        <w:t>1.1 项目概况</w:t>
      </w:r>
      <w:bookmarkEnd w:id="73"/>
      <w:bookmarkEnd w:id="74"/>
      <w:bookmarkEnd w:id="75"/>
      <w:bookmarkEnd w:id="76"/>
      <w:bookmarkEnd w:id="77"/>
      <w:bookmarkEnd w:id="78"/>
      <w:bookmarkEnd w:id="79"/>
      <w:bookmarkEnd w:id="80"/>
    </w:p>
    <w:p>
      <w:pPr>
        <w:spacing w:line="400" w:lineRule="exact"/>
        <w:ind w:firstLine="420" w:firstLineChars="200"/>
        <w:rPr>
          <w:rFonts w:ascii="宋体" w:hAnsi="宋体"/>
          <w:color w:val="auto"/>
          <w:highlight w:val="none"/>
        </w:rPr>
      </w:pPr>
      <w:r>
        <w:rPr>
          <w:rFonts w:hint="eastAsia" w:ascii="宋体" w:hAnsi="宋体"/>
          <w:color w:val="auto"/>
          <w:highlight w:val="none"/>
        </w:rPr>
        <w:t>1.1.1根据《中华人民共和国政府采购法》、《中华人民共和国招标投标法》等有关法律、法规和规章的规定，本招标项目已具备招标条件，现对本项目进行招标。</w:t>
      </w:r>
    </w:p>
    <w:p>
      <w:pPr>
        <w:spacing w:line="400" w:lineRule="exact"/>
        <w:ind w:firstLine="420" w:firstLineChars="200"/>
        <w:rPr>
          <w:rFonts w:ascii="宋体" w:hAnsi="宋体"/>
          <w:color w:val="auto"/>
          <w:highlight w:val="none"/>
        </w:rPr>
      </w:pPr>
      <w:r>
        <w:rPr>
          <w:rFonts w:hint="eastAsia" w:ascii="宋体" w:hAnsi="宋体"/>
          <w:color w:val="auto"/>
          <w:highlight w:val="none"/>
        </w:rPr>
        <w:t>1.1.2 本招标项目采购人：见供应商须知前附表。</w:t>
      </w:r>
    </w:p>
    <w:p>
      <w:pPr>
        <w:spacing w:line="400" w:lineRule="exact"/>
        <w:ind w:firstLine="420" w:firstLineChars="200"/>
        <w:rPr>
          <w:rFonts w:ascii="宋体" w:hAnsi="宋体"/>
          <w:color w:val="auto"/>
          <w:highlight w:val="none"/>
        </w:rPr>
      </w:pPr>
      <w:r>
        <w:rPr>
          <w:rFonts w:hint="eastAsia" w:ascii="宋体" w:hAnsi="宋体"/>
          <w:color w:val="auto"/>
          <w:highlight w:val="none"/>
        </w:rPr>
        <w:t>1.1.3 本招标项目采购代理机构：见供应商须知前附表。</w:t>
      </w:r>
    </w:p>
    <w:p>
      <w:pPr>
        <w:spacing w:line="400" w:lineRule="exact"/>
        <w:ind w:firstLine="420" w:firstLineChars="200"/>
        <w:rPr>
          <w:rFonts w:ascii="宋体" w:hAnsi="宋体"/>
          <w:color w:val="auto"/>
          <w:highlight w:val="none"/>
        </w:rPr>
      </w:pPr>
      <w:r>
        <w:rPr>
          <w:rFonts w:hint="eastAsia" w:ascii="宋体" w:hAnsi="宋体"/>
          <w:color w:val="auto"/>
          <w:highlight w:val="none"/>
        </w:rPr>
        <w:t>1.1.4 本招标项目名称：见供应商须知前附表。</w:t>
      </w:r>
    </w:p>
    <w:p>
      <w:pPr>
        <w:spacing w:line="400" w:lineRule="exact"/>
        <w:ind w:firstLine="420" w:firstLineChars="200"/>
        <w:rPr>
          <w:rFonts w:ascii="宋体" w:hAnsi="宋体"/>
          <w:color w:val="auto"/>
          <w:highlight w:val="none"/>
        </w:rPr>
      </w:pPr>
      <w:r>
        <w:rPr>
          <w:rFonts w:hint="eastAsia" w:ascii="宋体" w:hAnsi="宋体"/>
          <w:color w:val="auto"/>
          <w:highlight w:val="none"/>
        </w:rPr>
        <w:t>1.1.5 本招标项目</w:t>
      </w:r>
      <w:r>
        <w:rPr>
          <w:rFonts w:hint="eastAsia" w:ascii="宋体" w:hAnsi="宋体"/>
          <w:color w:val="auto"/>
          <w:szCs w:val="21"/>
          <w:highlight w:val="none"/>
        </w:rPr>
        <w:t>合同履行地点</w:t>
      </w:r>
      <w:r>
        <w:rPr>
          <w:rFonts w:hint="eastAsia" w:ascii="宋体" w:hAnsi="宋体"/>
          <w:color w:val="auto"/>
          <w:highlight w:val="none"/>
        </w:rPr>
        <w:t>：见供应商须知前附表。</w:t>
      </w:r>
    </w:p>
    <w:p>
      <w:pPr>
        <w:pStyle w:val="8"/>
        <w:rPr>
          <w:rFonts w:ascii="宋体" w:hAnsi="宋体"/>
          <w:color w:val="auto"/>
          <w:highlight w:val="none"/>
        </w:rPr>
      </w:pPr>
      <w:bookmarkStart w:id="81" w:name="_Toc247085691"/>
      <w:bookmarkStart w:id="82" w:name="_Toc152045531"/>
      <w:bookmarkStart w:id="83" w:name="_Toc152042307"/>
      <w:bookmarkStart w:id="84" w:name="_Toc179632548"/>
      <w:bookmarkStart w:id="85" w:name="_Toc246996920"/>
      <w:bookmarkStart w:id="86" w:name="_Toc246996177"/>
      <w:bookmarkStart w:id="87" w:name="_Toc338840189"/>
      <w:bookmarkStart w:id="88" w:name="_Toc144974499"/>
      <w:r>
        <w:rPr>
          <w:rFonts w:hint="eastAsia" w:ascii="宋体" w:hAnsi="宋体"/>
          <w:color w:val="auto"/>
          <w:highlight w:val="none"/>
        </w:rPr>
        <w:t>1.2 资金来源和落实情况</w:t>
      </w:r>
      <w:bookmarkEnd w:id="81"/>
      <w:bookmarkEnd w:id="82"/>
      <w:bookmarkEnd w:id="83"/>
      <w:bookmarkEnd w:id="84"/>
      <w:bookmarkEnd w:id="85"/>
      <w:bookmarkEnd w:id="86"/>
      <w:bookmarkEnd w:id="87"/>
      <w:bookmarkEnd w:id="88"/>
    </w:p>
    <w:p>
      <w:pPr>
        <w:spacing w:line="400" w:lineRule="exact"/>
        <w:ind w:firstLine="420" w:firstLineChars="200"/>
        <w:rPr>
          <w:rFonts w:ascii="宋体" w:hAnsi="宋体"/>
          <w:color w:val="auto"/>
          <w:highlight w:val="none"/>
        </w:rPr>
      </w:pPr>
      <w:r>
        <w:rPr>
          <w:rFonts w:hint="eastAsia" w:ascii="宋体" w:hAnsi="宋体"/>
          <w:color w:val="auto"/>
          <w:highlight w:val="none"/>
        </w:rPr>
        <w:t>1.2.1 本招标项目的资金来源及出资比例：见供应商须知前附表。</w:t>
      </w:r>
    </w:p>
    <w:p>
      <w:pPr>
        <w:spacing w:line="400" w:lineRule="exact"/>
        <w:ind w:firstLine="420" w:firstLineChars="200"/>
        <w:rPr>
          <w:rFonts w:ascii="宋体" w:hAnsi="宋体"/>
          <w:color w:val="auto"/>
          <w:highlight w:val="none"/>
        </w:rPr>
      </w:pPr>
      <w:r>
        <w:rPr>
          <w:rFonts w:hint="eastAsia" w:ascii="宋体" w:hAnsi="宋体"/>
          <w:color w:val="auto"/>
          <w:highlight w:val="none"/>
        </w:rPr>
        <w:t>1.2.2 本招标项目的资金落实情况：见供应商须知前附表。</w:t>
      </w:r>
    </w:p>
    <w:p>
      <w:pPr>
        <w:pStyle w:val="8"/>
        <w:rPr>
          <w:rFonts w:ascii="宋体" w:hAnsi="宋体"/>
          <w:color w:val="auto"/>
          <w:highlight w:val="none"/>
        </w:rPr>
      </w:pPr>
      <w:bookmarkStart w:id="89" w:name="_Toc179632549"/>
      <w:bookmarkStart w:id="90" w:name="_Toc144974500"/>
      <w:bookmarkStart w:id="91" w:name="_Toc246996921"/>
      <w:bookmarkStart w:id="92" w:name="_Toc246996178"/>
      <w:bookmarkStart w:id="93" w:name="_Toc338840190"/>
      <w:bookmarkStart w:id="94" w:name="_Toc152045532"/>
      <w:bookmarkStart w:id="95" w:name="_Toc247085692"/>
      <w:bookmarkStart w:id="96" w:name="_Toc152042308"/>
      <w:r>
        <w:rPr>
          <w:rFonts w:hint="eastAsia" w:ascii="宋体" w:hAnsi="宋体"/>
          <w:color w:val="auto"/>
          <w:highlight w:val="none"/>
        </w:rPr>
        <w:t>1.3 招标范围、合同履行期限、质量要求</w:t>
      </w:r>
      <w:bookmarkEnd w:id="89"/>
      <w:bookmarkEnd w:id="90"/>
      <w:bookmarkEnd w:id="91"/>
      <w:bookmarkEnd w:id="92"/>
      <w:bookmarkEnd w:id="93"/>
      <w:bookmarkEnd w:id="94"/>
      <w:bookmarkEnd w:id="95"/>
      <w:bookmarkEnd w:id="96"/>
    </w:p>
    <w:p>
      <w:pPr>
        <w:spacing w:line="400" w:lineRule="exact"/>
        <w:ind w:firstLine="420" w:firstLineChars="200"/>
        <w:rPr>
          <w:rFonts w:ascii="宋体" w:hAnsi="宋体"/>
          <w:color w:val="auto"/>
          <w:highlight w:val="none"/>
        </w:rPr>
      </w:pPr>
      <w:r>
        <w:rPr>
          <w:rFonts w:hint="eastAsia" w:ascii="宋体" w:hAnsi="宋体"/>
          <w:color w:val="auto"/>
          <w:highlight w:val="none"/>
        </w:rPr>
        <w:t>1.3.1 本次招标范围：见供应商须知前附表。</w:t>
      </w:r>
    </w:p>
    <w:p>
      <w:pPr>
        <w:spacing w:line="400" w:lineRule="exact"/>
        <w:ind w:firstLine="420" w:firstLineChars="200"/>
        <w:rPr>
          <w:rFonts w:ascii="宋体" w:hAnsi="宋体"/>
          <w:color w:val="auto"/>
          <w:highlight w:val="none"/>
        </w:rPr>
      </w:pPr>
      <w:r>
        <w:rPr>
          <w:rFonts w:hint="eastAsia" w:ascii="宋体" w:hAnsi="宋体"/>
          <w:color w:val="auto"/>
          <w:highlight w:val="none"/>
        </w:rPr>
        <w:t>1.3.2 本招标项目的合同履行期限：见供应商须知前附表。</w:t>
      </w:r>
    </w:p>
    <w:p>
      <w:pPr>
        <w:spacing w:line="400" w:lineRule="exact"/>
        <w:ind w:firstLine="420" w:firstLineChars="200"/>
        <w:rPr>
          <w:rFonts w:ascii="宋体" w:hAnsi="宋体"/>
          <w:color w:val="auto"/>
          <w:highlight w:val="none"/>
        </w:rPr>
      </w:pPr>
      <w:r>
        <w:rPr>
          <w:rFonts w:hint="eastAsia" w:ascii="宋体" w:hAnsi="宋体"/>
          <w:color w:val="auto"/>
          <w:highlight w:val="none"/>
        </w:rPr>
        <w:t>1.3.3 本招标项目的质量要求：见供应商须知前附表。</w:t>
      </w:r>
    </w:p>
    <w:p>
      <w:pPr>
        <w:spacing w:line="400" w:lineRule="exact"/>
        <w:ind w:firstLine="420" w:firstLineChars="200"/>
        <w:rPr>
          <w:rFonts w:ascii="宋体" w:hAnsi="宋体"/>
          <w:color w:val="auto"/>
          <w:highlight w:val="none"/>
        </w:rPr>
      </w:pPr>
      <w:r>
        <w:rPr>
          <w:rFonts w:hint="eastAsia" w:ascii="宋体" w:hAnsi="宋体"/>
          <w:color w:val="auto"/>
          <w:highlight w:val="none"/>
        </w:rPr>
        <w:t>1.3.4本招标项目的质量保证期：见供应商须知前附表。</w:t>
      </w:r>
    </w:p>
    <w:p>
      <w:pPr>
        <w:pStyle w:val="8"/>
        <w:rPr>
          <w:rFonts w:ascii="宋体" w:hAnsi="宋体"/>
          <w:color w:val="auto"/>
          <w:highlight w:val="none"/>
        </w:rPr>
      </w:pPr>
      <w:bookmarkStart w:id="97" w:name="_Toc179632551"/>
      <w:bookmarkStart w:id="98" w:name="_Toc144974502"/>
      <w:bookmarkStart w:id="99" w:name="_Toc152045534"/>
      <w:bookmarkStart w:id="100" w:name="_Toc246996179"/>
      <w:bookmarkStart w:id="101" w:name="_Toc338840191"/>
      <w:bookmarkStart w:id="102" w:name="_Toc246996922"/>
      <w:bookmarkStart w:id="103" w:name="_Toc152042310"/>
      <w:bookmarkStart w:id="104" w:name="_Toc247085693"/>
      <w:r>
        <w:rPr>
          <w:rFonts w:hint="eastAsia" w:ascii="宋体" w:hAnsi="宋体"/>
          <w:color w:val="auto"/>
          <w:highlight w:val="none"/>
        </w:rPr>
        <w:t>1.4 供应商资格要求</w:t>
      </w:r>
      <w:bookmarkEnd w:id="97"/>
      <w:bookmarkEnd w:id="98"/>
      <w:bookmarkEnd w:id="99"/>
      <w:bookmarkEnd w:id="100"/>
      <w:bookmarkEnd w:id="101"/>
      <w:bookmarkEnd w:id="102"/>
      <w:bookmarkEnd w:id="103"/>
      <w:bookmarkEnd w:id="104"/>
    </w:p>
    <w:p>
      <w:pPr>
        <w:spacing w:line="400" w:lineRule="exact"/>
        <w:ind w:firstLine="359" w:firstLineChars="171"/>
        <w:rPr>
          <w:rFonts w:ascii="宋体" w:hAnsi="宋体"/>
          <w:color w:val="auto"/>
          <w:highlight w:val="none"/>
        </w:rPr>
      </w:pPr>
      <w:r>
        <w:rPr>
          <w:rFonts w:hint="eastAsia" w:ascii="宋体" w:hAnsi="宋体"/>
          <w:color w:val="auto"/>
          <w:highlight w:val="none"/>
        </w:rPr>
        <w:t>1.4.1 供应商应具备承担本项目的资格条件。见供应商须知前附表；</w:t>
      </w:r>
    </w:p>
    <w:p>
      <w:pPr>
        <w:spacing w:line="400" w:lineRule="exact"/>
        <w:ind w:firstLine="359" w:firstLineChars="171"/>
        <w:rPr>
          <w:rFonts w:ascii="宋体" w:hAnsi="宋体"/>
          <w:color w:val="auto"/>
          <w:highlight w:val="none"/>
        </w:rPr>
      </w:pPr>
      <w:r>
        <w:rPr>
          <w:rFonts w:hint="eastAsia" w:ascii="宋体" w:hAnsi="宋体"/>
          <w:color w:val="auto"/>
          <w:highlight w:val="none"/>
        </w:rPr>
        <w:t>1.4.2 供应商不得存在下列情形之一：</w:t>
      </w:r>
    </w:p>
    <w:p>
      <w:pPr>
        <w:spacing w:line="400" w:lineRule="exact"/>
        <w:ind w:firstLine="359" w:firstLineChars="171"/>
        <w:rPr>
          <w:rFonts w:ascii="宋体" w:hAnsi="宋体"/>
          <w:color w:val="auto"/>
          <w:highlight w:val="none"/>
        </w:rPr>
      </w:pPr>
      <w:r>
        <w:rPr>
          <w:rFonts w:hint="eastAsia" w:ascii="宋体" w:hAnsi="宋体"/>
          <w:color w:val="auto"/>
          <w:highlight w:val="none"/>
        </w:rPr>
        <w:t>（1）为采购人不具有独立法人资格的附属机构（单位）；</w:t>
      </w:r>
    </w:p>
    <w:p>
      <w:pPr>
        <w:spacing w:line="400" w:lineRule="exact"/>
        <w:ind w:firstLine="359" w:firstLineChars="171"/>
        <w:rPr>
          <w:rFonts w:ascii="宋体" w:hAnsi="宋体"/>
          <w:color w:val="auto"/>
          <w:highlight w:val="none"/>
        </w:rPr>
      </w:pPr>
      <w:r>
        <w:rPr>
          <w:rFonts w:hint="eastAsia" w:ascii="宋体" w:hAnsi="宋体"/>
          <w:color w:val="auto"/>
          <w:highlight w:val="none"/>
        </w:rPr>
        <w:t xml:space="preserve">（2）为本招标项目前期准备提供专业设计或专业咨询服务的； </w:t>
      </w:r>
    </w:p>
    <w:p>
      <w:pPr>
        <w:spacing w:line="400" w:lineRule="exact"/>
        <w:ind w:firstLine="359" w:firstLineChars="171"/>
        <w:rPr>
          <w:rFonts w:ascii="宋体" w:hAnsi="宋体"/>
          <w:color w:val="auto"/>
          <w:highlight w:val="none"/>
        </w:rPr>
      </w:pPr>
      <w:r>
        <w:rPr>
          <w:rFonts w:hint="eastAsia" w:ascii="宋体" w:hAnsi="宋体"/>
          <w:color w:val="auto"/>
          <w:highlight w:val="none"/>
        </w:rPr>
        <w:t>（3）为本招标项目提供招标代理服务的；</w:t>
      </w:r>
    </w:p>
    <w:p>
      <w:pPr>
        <w:spacing w:line="400" w:lineRule="exact"/>
        <w:ind w:firstLine="359" w:firstLineChars="171"/>
        <w:rPr>
          <w:rFonts w:ascii="宋体" w:hAnsi="宋体"/>
          <w:color w:val="auto"/>
          <w:highlight w:val="none"/>
        </w:rPr>
      </w:pPr>
      <w:r>
        <w:rPr>
          <w:rFonts w:hint="eastAsia" w:ascii="宋体" w:hAnsi="宋体"/>
          <w:color w:val="auto"/>
          <w:highlight w:val="none"/>
        </w:rPr>
        <w:t>（4）被责令停业的；</w:t>
      </w:r>
    </w:p>
    <w:p>
      <w:pPr>
        <w:spacing w:line="400" w:lineRule="exact"/>
        <w:ind w:firstLine="359" w:firstLineChars="171"/>
        <w:rPr>
          <w:rFonts w:ascii="宋体" w:hAnsi="宋体"/>
          <w:color w:val="auto"/>
          <w:highlight w:val="none"/>
        </w:rPr>
      </w:pPr>
      <w:r>
        <w:rPr>
          <w:rFonts w:hint="eastAsia" w:ascii="宋体" w:hAnsi="宋体"/>
          <w:color w:val="auto"/>
          <w:highlight w:val="none"/>
        </w:rPr>
        <w:t>（5）被暂停或取消投标资格的；</w:t>
      </w:r>
    </w:p>
    <w:p>
      <w:pPr>
        <w:spacing w:line="400" w:lineRule="exact"/>
        <w:ind w:firstLine="359" w:firstLineChars="171"/>
        <w:rPr>
          <w:rFonts w:ascii="宋体" w:hAnsi="宋体"/>
          <w:color w:val="auto"/>
          <w:highlight w:val="none"/>
        </w:rPr>
      </w:pPr>
      <w:r>
        <w:rPr>
          <w:rFonts w:hint="eastAsia" w:ascii="宋体" w:hAnsi="宋体"/>
          <w:color w:val="auto"/>
          <w:highlight w:val="none"/>
        </w:rPr>
        <w:t>（6）财产被接管或冻结的；</w:t>
      </w:r>
    </w:p>
    <w:p>
      <w:pPr>
        <w:spacing w:line="400" w:lineRule="exact"/>
        <w:ind w:firstLine="359" w:firstLineChars="171"/>
        <w:rPr>
          <w:rFonts w:ascii="宋体" w:hAnsi="宋体"/>
          <w:color w:val="auto"/>
          <w:highlight w:val="none"/>
        </w:rPr>
      </w:pPr>
      <w:r>
        <w:rPr>
          <w:rFonts w:hint="eastAsia" w:ascii="宋体" w:hAnsi="宋体"/>
          <w:color w:val="auto"/>
          <w:highlight w:val="none"/>
        </w:rPr>
        <w:t>（7）在最近三年内有骗取中标或严重违约或重大质量问题的。</w:t>
      </w:r>
    </w:p>
    <w:p>
      <w:pPr>
        <w:pStyle w:val="8"/>
        <w:rPr>
          <w:rFonts w:ascii="宋体" w:hAnsi="宋体"/>
          <w:color w:val="auto"/>
          <w:highlight w:val="none"/>
        </w:rPr>
      </w:pPr>
      <w:bookmarkStart w:id="105" w:name="_Toc144974503"/>
      <w:bookmarkStart w:id="106" w:name="_Toc338840192"/>
      <w:bookmarkStart w:id="107" w:name="_Toc179632552"/>
      <w:bookmarkStart w:id="108" w:name="_Toc246996923"/>
      <w:bookmarkStart w:id="109" w:name="_Toc246996180"/>
      <w:bookmarkStart w:id="110" w:name="_Toc247085694"/>
      <w:bookmarkStart w:id="111" w:name="_Toc152045535"/>
      <w:bookmarkStart w:id="112" w:name="_Toc152042311"/>
      <w:r>
        <w:rPr>
          <w:rFonts w:hint="eastAsia" w:ascii="宋体" w:hAnsi="宋体"/>
          <w:color w:val="auto"/>
          <w:highlight w:val="none"/>
        </w:rPr>
        <w:t>1.5 费用承担</w:t>
      </w:r>
      <w:bookmarkEnd w:id="105"/>
      <w:bookmarkEnd w:id="106"/>
      <w:bookmarkEnd w:id="107"/>
      <w:bookmarkEnd w:id="108"/>
      <w:bookmarkEnd w:id="109"/>
      <w:bookmarkEnd w:id="110"/>
      <w:bookmarkEnd w:id="111"/>
      <w:bookmarkEnd w:id="112"/>
    </w:p>
    <w:p>
      <w:pPr>
        <w:spacing w:line="400" w:lineRule="exact"/>
        <w:ind w:firstLine="420" w:firstLineChars="200"/>
        <w:rPr>
          <w:rFonts w:ascii="宋体" w:hAnsi="宋体"/>
          <w:color w:val="auto"/>
          <w:highlight w:val="none"/>
        </w:rPr>
      </w:pPr>
      <w:r>
        <w:rPr>
          <w:rFonts w:hint="eastAsia" w:ascii="宋体" w:hAnsi="宋体"/>
          <w:color w:val="auto"/>
          <w:highlight w:val="none"/>
        </w:rPr>
        <w:t>供应商准备和参加投标活动发生的费用自理。</w:t>
      </w:r>
    </w:p>
    <w:p>
      <w:pPr>
        <w:pStyle w:val="8"/>
        <w:rPr>
          <w:rFonts w:ascii="宋体" w:hAnsi="宋体"/>
          <w:color w:val="auto"/>
          <w:highlight w:val="none"/>
        </w:rPr>
      </w:pPr>
      <w:bookmarkStart w:id="113" w:name="_Toc152045536"/>
      <w:bookmarkStart w:id="114" w:name="_Toc338840193"/>
      <w:bookmarkStart w:id="115" w:name="_Toc179632553"/>
      <w:bookmarkStart w:id="116" w:name="_Toc246996181"/>
      <w:bookmarkStart w:id="117" w:name="_Toc152042312"/>
      <w:bookmarkStart w:id="118" w:name="_Toc144974504"/>
      <w:bookmarkStart w:id="119" w:name="_Toc247085695"/>
      <w:bookmarkStart w:id="120" w:name="_Toc246996924"/>
      <w:r>
        <w:rPr>
          <w:rFonts w:hint="eastAsia" w:ascii="宋体" w:hAnsi="宋体"/>
          <w:color w:val="auto"/>
          <w:highlight w:val="none"/>
        </w:rPr>
        <w:t>1.6 保密</w:t>
      </w:r>
      <w:bookmarkEnd w:id="113"/>
      <w:bookmarkEnd w:id="114"/>
      <w:bookmarkEnd w:id="115"/>
      <w:bookmarkEnd w:id="116"/>
      <w:bookmarkEnd w:id="117"/>
      <w:bookmarkEnd w:id="118"/>
      <w:bookmarkEnd w:id="119"/>
      <w:bookmarkEnd w:id="120"/>
    </w:p>
    <w:p>
      <w:pPr>
        <w:spacing w:line="400" w:lineRule="exact"/>
        <w:ind w:firstLine="420" w:firstLineChars="200"/>
        <w:rPr>
          <w:rFonts w:ascii="宋体" w:hAnsi="宋体"/>
          <w:color w:val="auto"/>
          <w:highlight w:val="none"/>
        </w:rPr>
      </w:pPr>
      <w:r>
        <w:rPr>
          <w:rFonts w:hint="eastAsia" w:ascii="宋体" w:hAnsi="宋体"/>
          <w:color w:val="auto"/>
          <w:highlight w:val="none"/>
        </w:rPr>
        <w:t xml:space="preserve">参与招标投标活动的各方应对招标文件和投标文件中的商业和技术等秘密保密，违者应对由此造成的后果承担法律责任。 </w:t>
      </w:r>
    </w:p>
    <w:p>
      <w:pPr>
        <w:pStyle w:val="8"/>
        <w:rPr>
          <w:rFonts w:ascii="宋体" w:hAnsi="宋体"/>
          <w:color w:val="auto"/>
          <w:highlight w:val="none"/>
        </w:rPr>
      </w:pPr>
      <w:bookmarkStart w:id="121" w:name="_Toc144974505"/>
      <w:bookmarkStart w:id="122" w:name="_Toc152045537"/>
      <w:bookmarkStart w:id="123" w:name="_Toc152042313"/>
      <w:bookmarkStart w:id="124" w:name="_Toc179632554"/>
      <w:bookmarkStart w:id="125" w:name="_Toc338840194"/>
      <w:bookmarkStart w:id="126" w:name="_Toc247085696"/>
      <w:bookmarkStart w:id="127" w:name="_Toc246996182"/>
      <w:bookmarkStart w:id="128" w:name="_Toc246996925"/>
      <w:r>
        <w:rPr>
          <w:rFonts w:hint="eastAsia" w:ascii="宋体" w:hAnsi="宋体"/>
          <w:color w:val="auto"/>
          <w:highlight w:val="none"/>
        </w:rPr>
        <w:t>1.7 语言</w:t>
      </w:r>
      <w:bookmarkEnd w:id="121"/>
      <w:r>
        <w:rPr>
          <w:rFonts w:hint="eastAsia" w:ascii="宋体" w:hAnsi="宋体"/>
          <w:color w:val="auto"/>
          <w:highlight w:val="none"/>
        </w:rPr>
        <w:t>文字</w:t>
      </w:r>
      <w:bookmarkEnd w:id="122"/>
      <w:bookmarkEnd w:id="123"/>
      <w:bookmarkEnd w:id="124"/>
      <w:bookmarkEnd w:id="125"/>
      <w:bookmarkEnd w:id="126"/>
      <w:bookmarkEnd w:id="127"/>
      <w:bookmarkEnd w:id="128"/>
    </w:p>
    <w:p>
      <w:pPr>
        <w:spacing w:line="400" w:lineRule="exact"/>
        <w:ind w:firstLine="420" w:firstLineChars="200"/>
        <w:rPr>
          <w:rFonts w:ascii="宋体" w:hAnsi="宋体"/>
          <w:color w:val="auto"/>
          <w:highlight w:val="none"/>
        </w:rPr>
      </w:pPr>
      <w:bookmarkStart w:id="129" w:name="_Toc152042314"/>
      <w:bookmarkStart w:id="130" w:name="_Toc179632555"/>
      <w:bookmarkStart w:id="131" w:name="_Toc152045538"/>
      <w:bookmarkStart w:id="132" w:name="_Toc144974506"/>
      <w:bookmarkStart w:id="133" w:name="_Toc246996926"/>
      <w:bookmarkStart w:id="134" w:name="_Toc247085697"/>
      <w:bookmarkStart w:id="135" w:name="_Toc246996183"/>
      <w:r>
        <w:rPr>
          <w:rFonts w:hint="eastAsia" w:ascii="宋体" w:hAnsi="宋体"/>
          <w:color w:val="auto"/>
          <w:highlight w:val="none"/>
        </w:rPr>
        <w:t>招标投标文件使用的语言文字为中文。专用术语使用外文的，应附有中文注释。证书证件应使用中文版本，无中文版本的应附相应的中文注释。</w:t>
      </w:r>
    </w:p>
    <w:p>
      <w:pPr>
        <w:pStyle w:val="8"/>
        <w:rPr>
          <w:rFonts w:ascii="宋体" w:hAnsi="宋体"/>
          <w:color w:val="auto"/>
          <w:highlight w:val="none"/>
        </w:rPr>
      </w:pPr>
      <w:bookmarkStart w:id="136" w:name="_Toc338840195"/>
      <w:r>
        <w:rPr>
          <w:rFonts w:hint="eastAsia" w:ascii="宋体" w:hAnsi="宋体"/>
          <w:color w:val="auto"/>
          <w:highlight w:val="none"/>
        </w:rPr>
        <w:t>1.8 计量单位</w:t>
      </w:r>
      <w:bookmarkEnd w:id="129"/>
      <w:bookmarkEnd w:id="130"/>
      <w:bookmarkEnd w:id="131"/>
      <w:bookmarkEnd w:id="132"/>
      <w:bookmarkEnd w:id="133"/>
      <w:bookmarkEnd w:id="134"/>
      <w:bookmarkEnd w:id="135"/>
      <w:bookmarkEnd w:id="136"/>
    </w:p>
    <w:p>
      <w:pPr>
        <w:spacing w:line="400" w:lineRule="exact"/>
        <w:ind w:firstLine="420" w:firstLineChars="200"/>
        <w:rPr>
          <w:rFonts w:ascii="宋体" w:hAnsi="宋体"/>
          <w:color w:val="auto"/>
          <w:highlight w:val="none"/>
        </w:rPr>
      </w:pPr>
      <w:r>
        <w:rPr>
          <w:rFonts w:hint="eastAsia" w:ascii="宋体" w:hAnsi="宋体"/>
          <w:color w:val="auto"/>
          <w:highlight w:val="none"/>
        </w:rPr>
        <w:t>所有计量均采用中华人民共和国法定计量单位。</w:t>
      </w:r>
    </w:p>
    <w:p>
      <w:pPr>
        <w:pStyle w:val="8"/>
        <w:rPr>
          <w:rFonts w:ascii="宋体" w:hAnsi="宋体"/>
          <w:color w:val="auto"/>
          <w:highlight w:val="none"/>
        </w:rPr>
      </w:pPr>
      <w:bookmarkStart w:id="137" w:name="_Toc152042315"/>
      <w:bookmarkStart w:id="138" w:name="_Toc247513962"/>
      <w:bookmarkStart w:id="139" w:name="_Toc152045539"/>
      <w:bookmarkStart w:id="140" w:name="_Toc144974507"/>
      <w:bookmarkStart w:id="141" w:name="_Toc338840196"/>
      <w:bookmarkStart w:id="142" w:name="_Toc247592876"/>
      <w:bookmarkStart w:id="143" w:name="_Toc247527563"/>
      <w:r>
        <w:rPr>
          <w:rFonts w:hint="eastAsia" w:ascii="宋体" w:hAnsi="宋体"/>
          <w:color w:val="auto"/>
          <w:highlight w:val="none"/>
        </w:rPr>
        <w:t>1.9 踏勘现场</w:t>
      </w:r>
      <w:bookmarkEnd w:id="137"/>
      <w:bookmarkEnd w:id="138"/>
      <w:bookmarkEnd w:id="139"/>
      <w:bookmarkEnd w:id="140"/>
      <w:bookmarkEnd w:id="141"/>
      <w:bookmarkEnd w:id="142"/>
      <w:bookmarkEnd w:id="143"/>
    </w:p>
    <w:p>
      <w:pPr>
        <w:spacing w:line="400" w:lineRule="exact"/>
        <w:ind w:firstLine="420" w:firstLineChars="200"/>
        <w:rPr>
          <w:rFonts w:ascii="宋体" w:hAnsi="宋体"/>
          <w:color w:val="auto"/>
          <w:highlight w:val="none"/>
        </w:rPr>
      </w:pPr>
      <w:r>
        <w:rPr>
          <w:rFonts w:hint="eastAsia" w:ascii="宋体" w:hAnsi="宋体"/>
          <w:color w:val="auto"/>
          <w:highlight w:val="none"/>
        </w:rPr>
        <w:t xml:space="preserve">1.9.1 供应商须知前附表规定组织踏勘现场的，采购人按供应商须知前附表规定的时间、地点组织供应商踏勘项目现场。 </w:t>
      </w:r>
    </w:p>
    <w:p>
      <w:pPr>
        <w:spacing w:line="400" w:lineRule="exact"/>
        <w:ind w:firstLine="420" w:firstLineChars="200"/>
        <w:rPr>
          <w:rFonts w:ascii="宋体" w:hAnsi="宋体"/>
          <w:color w:val="auto"/>
          <w:highlight w:val="none"/>
        </w:rPr>
      </w:pPr>
      <w:r>
        <w:rPr>
          <w:rFonts w:hint="eastAsia" w:ascii="宋体" w:hAnsi="宋体"/>
          <w:color w:val="auto"/>
          <w:highlight w:val="none"/>
        </w:rPr>
        <w:t>1.9.2 供应商踏勘现场发生的费用自理。</w:t>
      </w:r>
    </w:p>
    <w:p>
      <w:pPr>
        <w:spacing w:line="400" w:lineRule="exact"/>
        <w:ind w:firstLine="420" w:firstLineChars="200"/>
        <w:rPr>
          <w:rFonts w:ascii="宋体" w:hAnsi="宋体"/>
          <w:color w:val="auto"/>
          <w:highlight w:val="none"/>
        </w:rPr>
      </w:pPr>
      <w:r>
        <w:rPr>
          <w:rFonts w:hint="eastAsia" w:ascii="宋体" w:hAnsi="宋体"/>
          <w:color w:val="auto"/>
          <w:highlight w:val="none"/>
        </w:rPr>
        <w:t>1.9.3 除采购人的原因外，供应商自行负责在踏勘现场中所发生的人员伤亡和财产损失。</w:t>
      </w:r>
    </w:p>
    <w:p>
      <w:pPr>
        <w:spacing w:line="400" w:lineRule="exact"/>
        <w:ind w:firstLine="420" w:firstLineChars="200"/>
        <w:rPr>
          <w:rFonts w:ascii="宋体" w:hAnsi="宋体"/>
          <w:color w:val="auto"/>
          <w:highlight w:val="none"/>
        </w:rPr>
      </w:pPr>
      <w:r>
        <w:rPr>
          <w:rFonts w:hint="eastAsia" w:ascii="宋体" w:hAnsi="宋体"/>
          <w:color w:val="auto"/>
          <w:highlight w:val="none"/>
        </w:rPr>
        <w:t>1.9.4 采购人在踏勘现场中介绍的有关情况和相关的周边环境情况，供应商在编制投标文件时参考，采购人不对供应商据此作出的判断和决策负责。</w:t>
      </w:r>
    </w:p>
    <w:p>
      <w:pPr>
        <w:pStyle w:val="8"/>
        <w:rPr>
          <w:rFonts w:ascii="宋体" w:hAnsi="宋体"/>
          <w:color w:val="auto"/>
          <w:highlight w:val="none"/>
        </w:rPr>
      </w:pPr>
      <w:bookmarkStart w:id="144" w:name="_Toc247592877"/>
      <w:bookmarkStart w:id="145" w:name="_Toc247527564"/>
      <w:bookmarkStart w:id="146" w:name="_Toc338840197"/>
      <w:bookmarkStart w:id="147" w:name="_Toc247513963"/>
      <w:bookmarkStart w:id="148" w:name="_Toc152042316"/>
      <w:bookmarkStart w:id="149" w:name="_Toc152045540"/>
      <w:bookmarkStart w:id="150" w:name="_Toc144974508"/>
      <w:r>
        <w:rPr>
          <w:rFonts w:hint="eastAsia" w:ascii="宋体" w:hAnsi="宋体"/>
          <w:color w:val="auto"/>
          <w:highlight w:val="none"/>
        </w:rPr>
        <w:t>1.10 投标预备会</w:t>
      </w:r>
      <w:bookmarkEnd w:id="144"/>
      <w:bookmarkEnd w:id="145"/>
      <w:bookmarkEnd w:id="146"/>
      <w:bookmarkEnd w:id="147"/>
      <w:bookmarkEnd w:id="148"/>
      <w:bookmarkEnd w:id="149"/>
      <w:bookmarkEnd w:id="150"/>
    </w:p>
    <w:p>
      <w:pPr>
        <w:spacing w:line="400" w:lineRule="exact"/>
        <w:ind w:firstLine="420" w:firstLineChars="200"/>
        <w:rPr>
          <w:rFonts w:ascii="宋体" w:hAnsi="宋体"/>
          <w:color w:val="auto"/>
          <w:highlight w:val="none"/>
        </w:rPr>
      </w:pPr>
      <w:r>
        <w:rPr>
          <w:rFonts w:hint="eastAsia" w:ascii="宋体" w:hAnsi="宋体"/>
          <w:color w:val="auto"/>
          <w:highlight w:val="none"/>
        </w:rPr>
        <w:t>1.10.1 供应商须知前附表规定召开投标预备会的，采购人按供应商须知前附表规定的时间和地点召开投标预备会，澄清供应商提出的问题。</w:t>
      </w:r>
    </w:p>
    <w:p>
      <w:pPr>
        <w:spacing w:line="400" w:lineRule="exact"/>
        <w:ind w:firstLine="420" w:firstLineChars="200"/>
        <w:rPr>
          <w:rFonts w:ascii="宋体" w:hAnsi="宋体"/>
          <w:color w:val="auto"/>
          <w:highlight w:val="none"/>
        </w:rPr>
      </w:pPr>
      <w:r>
        <w:rPr>
          <w:rFonts w:hint="eastAsia" w:ascii="宋体" w:hAnsi="宋体"/>
          <w:color w:val="auto"/>
          <w:highlight w:val="none"/>
        </w:rPr>
        <w:t>1.10.2 供应商应在供应商须知前附表规定的时间，以书面形式将提出的问题送达采购人，以便采购人在会议期间澄清。</w:t>
      </w:r>
    </w:p>
    <w:p>
      <w:pPr>
        <w:spacing w:line="400" w:lineRule="exact"/>
        <w:ind w:firstLine="420" w:firstLineChars="200"/>
        <w:rPr>
          <w:rFonts w:ascii="宋体" w:hAnsi="宋体"/>
          <w:color w:val="auto"/>
          <w:highlight w:val="none"/>
        </w:rPr>
      </w:pPr>
      <w:r>
        <w:rPr>
          <w:rFonts w:hint="eastAsia" w:ascii="宋体" w:hAnsi="宋体"/>
          <w:color w:val="auto"/>
          <w:highlight w:val="none"/>
        </w:rPr>
        <w:t>1.10.3 投标预备会后，采购人在供应商须知前附表规定的时间内，将对供应商所提问题的澄清，以书面形式通知所有获取招标文件的供应商。该澄清内容为招标文件的组成部分。</w:t>
      </w:r>
    </w:p>
    <w:p>
      <w:pPr>
        <w:pStyle w:val="8"/>
        <w:rPr>
          <w:rFonts w:ascii="宋体" w:hAnsi="宋体"/>
          <w:color w:val="auto"/>
          <w:highlight w:val="none"/>
        </w:rPr>
      </w:pPr>
      <w:bookmarkStart w:id="151" w:name="_Toc338840198"/>
      <w:r>
        <w:rPr>
          <w:rFonts w:hint="eastAsia" w:ascii="宋体" w:hAnsi="宋体"/>
          <w:color w:val="auto"/>
          <w:highlight w:val="none"/>
        </w:rPr>
        <w:t>1.11 响应和偏差</w:t>
      </w:r>
      <w:bookmarkEnd w:id="151"/>
    </w:p>
    <w:p>
      <w:pPr>
        <w:spacing w:line="400" w:lineRule="exact"/>
        <w:ind w:firstLine="420" w:firstLineChars="200"/>
        <w:rPr>
          <w:rFonts w:ascii="宋体" w:hAnsi="宋体"/>
          <w:color w:val="auto"/>
          <w:highlight w:val="none"/>
        </w:rPr>
      </w:pPr>
      <w:r>
        <w:rPr>
          <w:rFonts w:hint="eastAsia" w:ascii="宋体" w:hAnsi="宋体"/>
          <w:color w:val="auto"/>
          <w:highlight w:val="none"/>
        </w:rPr>
        <w:t>1.11.1 投标文件应当对招标文件的实质性要求和条件做出实质性响应或更有利于采购人的响应，未实质性响应的投标为无效投标。实质性要求和条件见供应商须知前附表。</w:t>
      </w:r>
    </w:p>
    <w:p>
      <w:pPr>
        <w:spacing w:line="400" w:lineRule="exact"/>
        <w:ind w:firstLine="420" w:firstLineChars="200"/>
        <w:rPr>
          <w:rFonts w:ascii="宋体" w:hAnsi="宋体"/>
          <w:color w:val="auto"/>
          <w:highlight w:val="none"/>
        </w:rPr>
      </w:pPr>
      <w:r>
        <w:rPr>
          <w:rFonts w:hint="eastAsia" w:ascii="宋体" w:hAnsi="宋体"/>
          <w:color w:val="auto"/>
          <w:highlight w:val="none"/>
        </w:rPr>
        <w:t>1.11.2 供应商应详细写明投标设备的技术性能指标，详细写明服务计划和服务内容。针对投标设备的技术性能指标，提供生产企业关于该投标产品的相应技术支持资料。</w:t>
      </w:r>
    </w:p>
    <w:p>
      <w:pPr>
        <w:spacing w:line="400" w:lineRule="exact"/>
        <w:ind w:firstLine="420" w:firstLineChars="200"/>
        <w:rPr>
          <w:rFonts w:ascii="宋体" w:hAnsi="宋体"/>
          <w:color w:val="auto"/>
          <w:highlight w:val="none"/>
        </w:rPr>
      </w:pPr>
      <w:r>
        <w:rPr>
          <w:rFonts w:hint="eastAsia" w:ascii="宋体" w:hAnsi="宋体"/>
          <w:color w:val="auto"/>
          <w:highlight w:val="none"/>
        </w:rPr>
        <w:t>1.11.3</w:t>
      </w:r>
      <w:r>
        <w:rPr>
          <w:rFonts w:ascii="宋体" w:hAnsi="宋体"/>
          <w:color w:val="auto"/>
          <w:highlight w:val="none"/>
        </w:rPr>
        <w:t xml:space="preserve"> </w:t>
      </w:r>
      <w:r>
        <w:rPr>
          <w:rFonts w:hint="eastAsia" w:ascii="宋体" w:hAnsi="宋体"/>
          <w:color w:val="auto"/>
          <w:highlight w:val="none"/>
        </w:rPr>
        <w:t>投标文件</w:t>
      </w:r>
      <w:r>
        <w:rPr>
          <w:rFonts w:ascii="宋体" w:hAnsi="宋体"/>
          <w:color w:val="auto"/>
          <w:highlight w:val="none"/>
        </w:rPr>
        <w:t>对</w:t>
      </w:r>
      <w:r>
        <w:rPr>
          <w:rFonts w:hint="eastAsia" w:ascii="宋体" w:hAnsi="宋体"/>
          <w:color w:val="auto"/>
          <w:highlight w:val="none"/>
        </w:rPr>
        <w:t>招标文件的全部偏差，均应在投标文件的商务和技术偏差表中列明并做出详细说明。</w:t>
      </w:r>
    </w:p>
    <w:p>
      <w:pPr>
        <w:pStyle w:val="7"/>
        <w:rPr>
          <w:rFonts w:ascii="宋体" w:hAnsi="宋体" w:eastAsia="宋体"/>
          <w:color w:val="auto"/>
          <w:highlight w:val="none"/>
        </w:rPr>
      </w:pPr>
      <w:bookmarkStart w:id="152" w:name="_Toc28300"/>
      <w:bookmarkStart w:id="153" w:name="_Toc346523403"/>
      <w:bookmarkStart w:id="154" w:name="_Toc346523466"/>
      <w:bookmarkStart w:id="155" w:name="_Toc179632560"/>
      <w:bookmarkStart w:id="156" w:name="_Toc338840482"/>
      <w:bookmarkStart w:id="157" w:name="_Toc494526402"/>
      <w:bookmarkStart w:id="158" w:name="_Toc494093430"/>
      <w:bookmarkStart w:id="159" w:name="_Toc144974510"/>
      <w:bookmarkStart w:id="160" w:name="_Toc152045542"/>
      <w:bookmarkStart w:id="161" w:name="_Toc247085701"/>
      <w:bookmarkStart w:id="162" w:name="_Toc22322"/>
      <w:bookmarkStart w:id="163" w:name="_Toc25958"/>
      <w:bookmarkStart w:id="164" w:name="_Toc9338"/>
      <w:bookmarkStart w:id="165" w:name="_Toc152042318"/>
      <w:bookmarkStart w:id="166" w:name="_Toc338840199"/>
      <w:bookmarkStart w:id="167" w:name="_Toc246996930"/>
      <w:bookmarkStart w:id="168" w:name="_Toc338840443"/>
      <w:bookmarkStart w:id="169" w:name="_Toc246996187"/>
      <w:r>
        <w:rPr>
          <w:rFonts w:hint="eastAsia" w:ascii="宋体" w:hAnsi="宋体" w:eastAsia="宋体"/>
          <w:color w:val="auto"/>
          <w:highlight w:val="none"/>
        </w:rPr>
        <w:t>2. 招标文件</w:t>
      </w:r>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p>
    <w:p>
      <w:pPr>
        <w:pStyle w:val="8"/>
        <w:rPr>
          <w:rFonts w:ascii="宋体" w:hAnsi="宋体"/>
          <w:color w:val="auto"/>
          <w:highlight w:val="none"/>
        </w:rPr>
      </w:pPr>
      <w:bookmarkStart w:id="170" w:name="_Toc179632561"/>
      <w:bookmarkStart w:id="171" w:name="_Toc246996931"/>
      <w:bookmarkStart w:id="172" w:name="_Toc247085702"/>
      <w:bookmarkStart w:id="173" w:name="_Toc338840200"/>
      <w:bookmarkStart w:id="174" w:name="_Toc152042319"/>
      <w:bookmarkStart w:id="175" w:name="_Toc144974511"/>
      <w:bookmarkStart w:id="176" w:name="_Toc246996188"/>
      <w:bookmarkStart w:id="177" w:name="_Toc152045543"/>
      <w:r>
        <w:rPr>
          <w:rFonts w:hint="eastAsia" w:ascii="宋体" w:hAnsi="宋体"/>
          <w:color w:val="auto"/>
          <w:highlight w:val="none"/>
        </w:rPr>
        <w:t>2.1 招标文件的组成</w:t>
      </w:r>
      <w:bookmarkEnd w:id="170"/>
      <w:bookmarkEnd w:id="171"/>
      <w:bookmarkEnd w:id="172"/>
      <w:bookmarkEnd w:id="173"/>
      <w:bookmarkEnd w:id="174"/>
      <w:bookmarkEnd w:id="175"/>
      <w:bookmarkEnd w:id="176"/>
      <w:bookmarkEnd w:id="177"/>
    </w:p>
    <w:p>
      <w:pPr>
        <w:spacing w:line="400" w:lineRule="exact"/>
        <w:rPr>
          <w:rFonts w:ascii="宋体" w:hAnsi="宋体"/>
          <w:color w:val="auto"/>
          <w:highlight w:val="none"/>
        </w:rPr>
      </w:pPr>
      <w:r>
        <w:rPr>
          <w:rFonts w:hint="eastAsia" w:ascii="宋体" w:hAnsi="宋体"/>
          <w:color w:val="auto"/>
          <w:highlight w:val="none"/>
        </w:rPr>
        <w:t>　　2.1.1 本招标文件包括：</w:t>
      </w:r>
    </w:p>
    <w:p>
      <w:pPr>
        <w:spacing w:line="400" w:lineRule="exact"/>
        <w:ind w:firstLine="359" w:firstLineChars="171"/>
        <w:rPr>
          <w:rFonts w:ascii="宋体" w:hAnsi="宋体"/>
          <w:color w:val="auto"/>
          <w:highlight w:val="none"/>
        </w:rPr>
      </w:pPr>
      <w:r>
        <w:rPr>
          <w:rFonts w:hint="eastAsia" w:ascii="宋体" w:hAnsi="宋体"/>
          <w:color w:val="auto"/>
          <w:highlight w:val="none"/>
        </w:rPr>
        <w:t>（1）招标公告；</w:t>
      </w:r>
    </w:p>
    <w:p>
      <w:pPr>
        <w:spacing w:line="400" w:lineRule="exact"/>
        <w:ind w:firstLine="359" w:firstLineChars="171"/>
        <w:rPr>
          <w:rFonts w:ascii="宋体" w:hAnsi="宋体"/>
          <w:color w:val="auto"/>
          <w:highlight w:val="none"/>
        </w:rPr>
      </w:pPr>
      <w:r>
        <w:rPr>
          <w:rFonts w:hint="eastAsia" w:ascii="宋体" w:hAnsi="宋体"/>
          <w:color w:val="auto"/>
          <w:highlight w:val="none"/>
        </w:rPr>
        <w:t>（2）供应商须知；</w:t>
      </w:r>
    </w:p>
    <w:p>
      <w:pPr>
        <w:spacing w:line="400" w:lineRule="exact"/>
        <w:ind w:firstLine="359" w:firstLineChars="171"/>
        <w:rPr>
          <w:rFonts w:ascii="宋体" w:hAnsi="宋体"/>
          <w:color w:val="auto"/>
          <w:highlight w:val="none"/>
        </w:rPr>
      </w:pPr>
      <w:r>
        <w:rPr>
          <w:rFonts w:hint="eastAsia" w:ascii="宋体" w:hAnsi="宋体"/>
          <w:color w:val="auto"/>
          <w:highlight w:val="none"/>
        </w:rPr>
        <w:t>（3）评标办法；</w:t>
      </w:r>
    </w:p>
    <w:p>
      <w:pPr>
        <w:spacing w:line="400" w:lineRule="exact"/>
        <w:ind w:firstLine="359" w:firstLineChars="171"/>
        <w:rPr>
          <w:rFonts w:ascii="宋体" w:hAnsi="宋体"/>
          <w:color w:val="auto"/>
          <w:highlight w:val="none"/>
        </w:rPr>
      </w:pPr>
      <w:r>
        <w:rPr>
          <w:rFonts w:hint="eastAsia" w:ascii="宋体" w:hAnsi="宋体"/>
          <w:color w:val="auto"/>
          <w:highlight w:val="none"/>
        </w:rPr>
        <w:t>（4）合同条款及格式；</w:t>
      </w:r>
    </w:p>
    <w:p>
      <w:pPr>
        <w:spacing w:line="400" w:lineRule="exact"/>
        <w:ind w:firstLine="359" w:firstLineChars="171"/>
        <w:rPr>
          <w:rFonts w:ascii="宋体" w:hAnsi="宋体"/>
          <w:color w:val="auto"/>
          <w:highlight w:val="none"/>
        </w:rPr>
      </w:pPr>
      <w:r>
        <w:rPr>
          <w:rFonts w:hint="eastAsia" w:ascii="宋体" w:hAnsi="宋体"/>
          <w:color w:val="auto"/>
          <w:highlight w:val="none"/>
        </w:rPr>
        <w:t xml:space="preserve">（5）招标内容及商务技术要求； </w:t>
      </w:r>
    </w:p>
    <w:p>
      <w:pPr>
        <w:spacing w:line="400" w:lineRule="exact"/>
        <w:ind w:firstLine="359" w:firstLineChars="171"/>
        <w:rPr>
          <w:rFonts w:ascii="宋体" w:hAnsi="宋体"/>
          <w:color w:val="auto"/>
          <w:highlight w:val="none"/>
        </w:rPr>
      </w:pPr>
      <w:r>
        <w:rPr>
          <w:rFonts w:hint="eastAsia" w:ascii="宋体" w:hAnsi="宋体"/>
          <w:color w:val="auto"/>
          <w:highlight w:val="none"/>
        </w:rPr>
        <w:t>（6）投标文件格式；</w:t>
      </w:r>
    </w:p>
    <w:p>
      <w:pPr>
        <w:spacing w:line="400" w:lineRule="exact"/>
        <w:ind w:firstLine="359" w:firstLineChars="171"/>
        <w:rPr>
          <w:rFonts w:ascii="宋体" w:hAnsi="宋体"/>
          <w:color w:val="auto"/>
          <w:highlight w:val="none"/>
        </w:rPr>
      </w:pPr>
      <w:r>
        <w:rPr>
          <w:rFonts w:hint="eastAsia" w:ascii="宋体" w:hAnsi="宋体"/>
          <w:color w:val="auto"/>
          <w:highlight w:val="none"/>
        </w:rPr>
        <w:t>（7）供应商须知前附表规定的其他材料。</w:t>
      </w:r>
    </w:p>
    <w:p>
      <w:pPr>
        <w:spacing w:line="400" w:lineRule="exact"/>
        <w:ind w:firstLine="420" w:firstLineChars="200"/>
        <w:rPr>
          <w:rFonts w:ascii="宋体" w:hAnsi="宋体"/>
          <w:color w:val="auto"/>
          <w:highlight w:val="none"/>
        </w:rPr>
      </w:pPr>
      <w:r>
        <w:rPr>
          <w:rFonts w:hint="eastAsia" w:ascii="宋体" w:hAnsi="宋体"/>
          <w:color w:val="auto"/>
          <w:highlight w:val="none"/>
        </w:rPr>
        <w:t>2.1.2 根据本章第1.10款、第2.2款对招标文件所作的澄清、修改，构成招标文件的组成部分。</w:t>
      </w:r>
    </w:p>
    <w:p>
      <w:pPr>
        <w:pStyle w:val="8"/>
        <w:rPr>
          <w:rFonts w:ascii="宋体" w:hAnsi="宋体"/>
          <w:color w:val="auto"/>
          <w:highlight w:val="none"/>
        </w:rPr>
      </w:pPr>
      <w:bookmarkStart w:id="178" w:name="_Toc246996189"/>
      <w:bookmarkStart w:id="179" w:name="_Toc152045544"/>
      <w:bookmarkStart w:id="180" w:name="_Toc152042320"/>
      <w:bookmarkStart w:id="181" w:name="_Toc247085703"/>
      <w:bookmarkStart w:id="182" w:name="_Toc338840201"/>
      <w:bookmarkStart w:id="183" w:name="_Toc144974512"/>
      <w:bookmarkStart w:id="184" w:name="_Toc246996932"/>
      <w:bookmarkStart w:id="185" w:name="_Toc179632562"/>
      <w:r>
        <w:rPr>
          <w:rFonts w:hint="eastAsia" w:ascii="宋体" w:hAnsi="宋体"/>
          <w:color w:val="auto"/>
          <w:highlight w:val="none"/>
        </w:rPr>
        <w:t>2.2 招标文件的澄清</w:t>
      </w:r>
      <w:bookmarkEnd w:id="178"/>
      <w:bookmarkEnd w:id="179"/>
      <w:bookmarkEnd w:id="180"/>
      <w:bookmarkEnd w:id="181"/>
      <w:bookmarkEnd w:id="182"/>
      <w:bookmarkEnd w:id="183"/>
      <w:bookmarkEnd w:id="184"/>
      <w:bookmarkEnd w:id="185"/>
      <w:r>
        <w:rPr>
          <w:rFonts w:hint="eastAsia" w:ascii="宋体" w:hAnsi="宋体"/>
          <w:color w:val="auto"/>
          <w:highlight w:val="none"/>
        </w:rPr>
        <w:t xml:space="preserve">和修改 </w:t>
      </w:r>
    </w:p>
    <w:p>
      <w:pPr>
        <w:spacing w:line="400" w:lineRule="exact"/>
        <w:ind w:firstLine="420" w:firstLineChars="200"/>
        <w:rPr>
          <w:rFonts w:ascii="宋体" w:hAnsi="宋体"/>
          <w:color w:val="auto"/>
          <w:highlight w:val="none"/>
        </w:rPr>
      </w:pPr>
      <w:r>
        <w:rPr>
          <w:rFonts w:hint="eastAsia" w:ascii="宋体" w:hAnsi="宋体"/>
          <w:color w:val="auto"/>
          <w:highlight w:val="none"/>
        </w:rPr>
        <w:t>2.2.1 供应商应仔细阅读和检查招标文件的全部内容。</w:t>
      </w:r>
      <w:r>
        <w:rPr>
          <w:rFonts w:hint="eastAsia" w:ascii="宋体" w:hAnsi="宋体"/>
          <w:color w:val="auto"/>
          <w:szCs w:val="21"/>
          <w:highlight w:val="none"/>
        </w:rPr>
        <w:t>如发现缺页或附件不全，应及时向采购人提出，以便补齐。</w:t>
      </w:r>
      <w:r>
        <w:rPr>
          <w:rFonts w:hint="eastAsia" w:ascii="宋体" w:hAnsi="宋体"/>
          <w:color w:val="auto"/>
          <w:highlight w:val="none"/>
        </w:rPr>
        <w:t>如有疑问，应在供应商须知前附表规定的时间前以书面形式提出，要求采购人对招标文件予以澄清。</w:t>
      </w:r>
    </w:p>
    <w:p>
      <w:pPr>
        <w:spacing w:line="400" w:lineRule="exact"/>
        <w:ind w:firstLine="420" w:firstLineChars="200"/>
        <w:rPr>
          <w:rFonts w:ascii="宋体" w:hAnsi="宋体"/>
          <w:color w:val="auto"/>
          <w:highlight w:val="none"/>
        </w:rPr>
      </w:pPr>
      <w:r>
        <w:rPr>
          <w:rFonts w:hint="eastAsia" w:ascii="宋体" w:hAnsi="宋体"/>
          <w:color w:val="auto"/>
          <w:highlight w:val="none"/>
        </w:rPr>
        <w:t xml:space="preserve">2.2.2 招标文件的澄清将以公告形式发出不再以书面形式单独发给所有已获取招标文件的供应商。如果澄清发出的时间距供应商须知前附表规定的投标截止时间不足15天，并且澄清内容影响投标文件编制的，将相应延长投标截止时间。 </w:t>
      </w:r>
    </w:p>
    <w:p>
      <w:pPr>
        <w:spacing w:line="400" w:lineRule="exact"/>
        <w:ind w:firstLine="420" w:firstLineChars="200"/>
        <w:rPr>
          <w:rFonts w:ascii="宋体" w:hAnsi="宋体"/>
          <w:color w:val="auto"/>
          <w:highlight w:val="none"/>
        </w:rPr>
      </w:pPr>
      <w:r>
        <w:rPr>
          <w:rFonts w:hint="eastAsia" w:ascii="宋体" w:hAnsi="宋体"/>
          <w:color w:val="auto"/>
          <w:highlight w:val="none"/>
        </w:rPr>
        <w:t>2.2.3 供应商应及时关注相关媒体，查看澄清和修改公告后无需以书面形式回复通知采购人。</w:t>
      </w:r>
    </w:p>
    <w:p>
      <w:pPr>
        <w:spacing w:line="400" w:lineRule="exact"/>
        <w:ind w:firstLine="420" w:firstLineChars="200"/>
        <w:rPr>
          <w:rFonts w:ascii="宋体" w:hAnsi="宋体"/>
          <w:color w:val="auto"/>
          <w:highlight w:val="none"/>
        </w:rPr>
      </w:pPr>
      <w:r>
        <w:rPr>
          <w:rFonts w:hint="eastAsia" w:ascii="宋体" w:hAnsi="宋体"/>
          <w:color w:val="auto"/>
          <w:highlight w:val="none"/>
        </w:rPr>
        <w:t>2.2.4 除非采购人认为确有必要答复，否则，采购人有权拒绝回复供应商在本章第 2.2.1 项规定的时间后的任何澄清要求。</w:t>
      </w:r>
    </w:p>
    <w:p>
      <w:pPr>
        <w:pStyle w:val="7"/>
        <w:rPr>
          <w:rFonts w:ascii="宋体" w:hAnsi="宋体" w:eastAsia="宋体"/>
          <w:color w:val="auto"/>
          <w:highlight w:val="none"/>
        </w:rPr>
      </w:pPr>
      <w:bookmarkStart w:id="186" w:name="_Toc338840483"/>
      <w:bookmarkStart w:id="187" w:name="_Toc8262"/>
      <w:bookmarkStart w:id="188" w:name="_Toc247085705"/>
      <w:bookmarkStart w:id="189" w:name="_Toc152045546"/>
      <w:bookmarkStart w:id="190" w:name="_Toc144974514"/>
      <w:bookmarkStart w:id="191" w:name="_Toc10395"/>
      <w:bookmarkStart w:id="192" w:name="_Toc246996191"/>
      <w:bookmarkStart w:id="193" w:name="_Toc346523404"/>
      <w:bookmarkStart w:id="194" w:name="_Toc338840203"/>
      <w:bookmarkStart w:id="195" w:name="_Toc14285"/>
      <w:bookmarkStart w:id="196" w:name="_Toc9061"/>
      <w:bookmarkStart w:id="197" w:name="_Toc152042322"/>
      <w:bookmarkStart w:id="198" w:name="_Toc246996934"/>
      <w:bookmarkStart w:id="199" w:name="_Toc179632564"/>
      <w:bookmarkStart w:id="200" w:name="_Toc338840444"/>
      <w:bookmarkStart w:id="201" w:name="_Toc494093431"/>
      <w:bookmarkStart w:id="202" w:name="_Toc346523467"/>
      <w:bookmarkStart w:id="203" w:name="_Toc494526403"/>
      <w:r>
        <w:rPr>
          <w:rFonts w:hint="eastAsia" w:ascii="宋体" w:hAnsi="宋体" w:eastAsia="宋体"/>
          <w:color w:val="auto"/>
          <w:highlight w:val="none"/>
        </w:rPr>
        <w:t>3. 投标文件</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p>
    <w:p>
      <w:pPr>
        <w:pStyle w:val="8"/>
        <w:rPr>
          <w:rFonts w:ascii="宋体" w:hAnsi="宋体"/>
          <w:color w:val="auto"/>
          <w:highlight w:val="none"/>
        </w:rPr>
      </w:pPr>
      <w:bookmarkStart w:id="204" w:name="_Toc179632565"/>
      <w:bookmarkStart w:id="205" w:name="_Toc247085706"/>
      <w:bookmarkStart w:id="206" w:name="_Toc338840204"/>
      <w:bookmarkStart w:id="207" w:name="_Toc152042323"/>
      <w:bookmarkStart w:id="208" w:name="_Toc246996935"/>
      <w:bookmarkStart w:id="209" w:name="_Toc144974515"/>
      <w:bookmarkStart w:id="210" w:name="_Toc246996192"/>
      <w:bookmarkStart w:id="211" w:name="_Toc152045547"/>
      <w:r>
        <w:rPr>
          <w:rFonts w:hint="eastAsia" w:ascii="宋体" w:hAnsi="宋体"/>
          <w:color w:val="auto"/>
          <w:highlight w:val="none"/>
        </w:rPr>
        <w:t>3.1 投标文件的组成</w:t>
      </w:r>
      <w:bookmarkEnd w:id="204"/>
      <w:bookmarkEnd w:id="205"/>
      <w:bookmarkEnd w:id="206"/>
      <w:bookmarkEnd w:id="207"/>
      <w:bookmarkEnd w:id="208"/>
      <w:bookmarkEnd w:id="209"/>
      <w:bookmarkEnd w:id="210"/>
      <w:bookmarkEnd w:id="211"/>
    </w:p>
    <w:p>
      <w:pPr>
        <w:spacing w:line="400" w:lineRule="exact"/>
        <w:ind w:firstLine="420" w:firstLineChars="200"/>
        <w:rPr>
          <w:rFonts w:ascii="宋体" w:hAnsi="宋体"/>
          <w:color w:val="auto"/>
          <w:highlight w:val="none"/>
        </w:rPr>
      </w:pPr>
      <w:r>
        <w:rPr>
          <w:rFonts w:hint="eastAsia" w:ascii="宋体" w:hAnsi="宋体"/>
          <w:color w:val="auto"/>
          <w:highlight w:val="none"/>
        </w:rPr>
        <w:t>投标文件应包括的内容：见第六章投标文件格式。</w:t>
      </w:r>
    </w:p>
    <w:p>
      <w:pPr>
        <w:pStyle w:val="8"/>
        <w:rPr>
          <w:rFonts w:ascii="宋体" w:hAnsi="宋体"/>
          <w:color w:val="auto"/>
          <w:sz w:val="21"/>
          <w:szCs w:val="21"/>
          <w:highlight w:val="none"/>
        </w:rPr>
      </w:pPr>
      <w:bookmarkStart w:id="212" w:name="_Toc246996193"/>
      <w:bookmarkStart w:id="213" w:name="_Toc246996936"/>
      <w:bookmarkStart w:id="214" w:name="_Toc338840205"/>
      <w:bookmarkStart w:id="215" w:name="_Toc152042324"/>
      <w:bookmarkStart w:id="216" w:name="_Toc152045548"/>
      <w:bookmarkStart w:id="217" w:name="_Toc179632566"/>
      <w:bookmarkStart w:id="218" w:name="_Toc247085707"/>
      <w:bookmarkStart w:id="219" w:name="_Toc144974516"/>
      <w:r>
        <w:rPr>
          <w:rFonts w:hint="eastAsia" w:ascii="宋体" w:hAnsi="宋体"/>
          <w:color w:val="auto"/>
          <w:highlight w:val="none"/>
        </w:rPr>
        <w:t>3.2 投标报价</w:t>
      </w:r>
      <w:bookmarkEnd w:id="212"/>
      <w:bookmarkEnd w:id="213"/>
      <w:bookmarkEnd w:id="214"/>
      <w:bookmarkEnd w:id="215"/>
      <w:bookmarkEnd w:id="216"/>
      <w:bookmarkEnd w:id="217"/>
      <w:bookmarkEnd w:id="218"/>
      <w:bookmarkEnd w:id="219"/>
    </w:p>
    <w:p>
      <w:pPr>
        <w:spacing w:line="400" w:lineRule="exact"/>
        <w:ind w:firstLine="420" w:firstLineChars="200"/>
        <w:rPr>
          <w:rFonts w:ascii="宋体" w:hAnsi="宋体"/>
          <w:color w:val="auto"/>
          <w:highlight w:val="none"/>
        </w:rPr>
      </w:pPr>
      <w:r>
        <w:rPr>
          <w:rFonts w:hint="eastAsia" w:ascii="宋体" w:hAnsi="宋体"/>
          <w:color w:val="auto"/>
          <w:highlight w:val="none"/>
        </w:rPr>
        <w:t>3.2.1 报价范围：见供应商须知前附表。</w:t>
      </w:r>
    </w:p>
    <w:p>
      <w:pPr>
        <w:spacing w:line="400" w:lineRule="exact"/>
        <w:ind w:firstLine="420" w:firstLineChars="200"/>
        <w:rPr>
          <w:rFonts w:ascii="宋体" w:hAnsi="宋体"/>
          <w:color w:val="auto"/>
          <w:highlight w:val="none"/>
        </w:rPr>
      </w:pPr>
      <w:r>
        <w:rPr>
          <w:rFonts w:hint="eastAsia" w:ascii="宋体" w:hAnsi="宋体"/>
          <w:color w:val="auto"/>
          <w:highlight w:val="none"/>
        </w:rPr>
        <w:t xml:space="preserve">3.2.2 </w:t>
      </w:r>
      <w:r>
        <w:rPr>
          <w:rFonts w:hint="eastAsia" w:ascii="宋体" w:hAnsi="宋体"/>
          <w:color w:val="auto"/>
          <w:szCs w:val="21"/>
          <w:highlight w:val="none"/>
        </w:rPr>
        <w:t>报价应具有唯一性，即投标函中只能有一个有效投标报价（招标文件另有要求的除外）。本项目</w:t>
      </w:r>
      <w:r>
        <w:rPr>
          <w:rFonts w:hint="eastAsia" w:ascii="宋体" w:hAnsi="宋体"/>
          <w:color w:val="auto"/>
          <w:kern w:val="0"/>
          <w:szCs w:val="21"/>
          <w:highlight w:val="none"/>
        </w:rPr>
        <w:t>不接受任何有选择性的报价</w:t>
      </w:r>
      <w:bookmarkStart w:id="220" w:name="_Toc152045549"/>
      <w:bookmarkStart w:id="221" w:name="_Toc144974517"/>
      <w:bookmarkStart w:id="222" w:name="_Toc152042325"/>
      <w:bookmarkStart w:id="223" w:name="_Toc179632567"/>
      <w:r>
        <w:rPr>
          <w:rFonts w:hint="eastAsia" w:ascii="宋体" w:hAnsi="宋体"/>
          <w:color w:val="auto"/>
          <w:kern w:val="0"/>
          <w:szCs w:val="21"/>
          <w:highlight w:val="none"/>
        </w:rPr>
        <w:t>。</w:t>
      </w:r>
    </w:p>
    <w:p>
      <w:pPr>
        <w:spacing w:line="400" w:lineRule="exact"/>
        <w:ind w:firstLine="420" w:firstLineChars="200"/>
        <w:rPr>
          <w:rFonts w:ascii="宋体" w:hAnsi="宋体"/>
          <w:color w:val="auto"/>
          <w:highlight w:val="none"/>
        </w:rPr>
      </w:pPr>
      <w:r>
        <w:rPr>
          <w:rFonts w:hint="eastAsia" w:ascii="宋体" w:hAnsi="宋体"/>
          <w:color w:val="auto"/>
          <w:highlight w:val="none"/>
        </w:rPr>
        <w:t>3.2.3 采购人设有最高限价的，最高限价在供应商须知前附表中载明。</w:t>
      </w:r>
    </w:p>
    <w:p>
      <w:pPr>
        <w:spacing w:line="400" w:lineRule="exact"/>
        <w:ind w:firstLine="420" w:firstLineChars="200"/>
        <w:rPr>
          <w:rFonts w:ascii="宋体" w:hAnsi="宋体"/>
          <w:color w:val="auto"/>
          <w:highlight w:val="none"/>
        </w:rPr>
      </w:pPr>
      <w:r>
        <w:rPr>
          <w:rFonts w:hint="eastAsia" w:ascii="宋体" w:hAnsi="宋体"/>
          <w:color w:val="auto"/>
          <w:highlight w:val="none"/>
        </w:rPr>
        <w:t>3.2.4 报价币种：见供应商须知前附表。</w:t>
      </w:r>
    </w:p>
    <w:p>
      <w:pPr>
        <w:pStyle w:val="8"/>
        <w:rPr>
          <w:rFonts w:ascii="宋体" w:hAnsi="宋体"/>
          <w:color w:val="auto"/>
          <w:highlight w:val="none"/>
        </w:rPr>
      </w:pPr>
      <w:bookmarkStart w:id="224" w:name="_Toc246996937"/>
      <w:bookmarkStart w:id="225" w:name="_Toc247085708"/>
      <w:bookmarkStart w:id="226" w:name="_Toc246996194"/>
      <w:bookmarkStart w:id="227" w:name="_Toc338840206"/>
      <w:r>
        <w:rPr>
          <w:rFonts w:hint="eastAsia" w:ascii="宋体" w:hAnsi="宋体"/>
          <w:color w:val="auto"/>
          <w:highlight w:val="none"/>
        </w:rPr>
        <w:t>3.3 投标有效期</w:t>
      </w:r>
      <w:bookmarkEnd w:id="220"/>
      <w:bookmarkEnd w:id="221"/>
      <w:bookmarkEnd w:id="222"/>
      <w:bookmarkEnd w:id="223"/>
      <w:bookmarkEnd w:id="224"/>
      <w:bookmarkEnd w:id="225"/>
      <w:bookmarkEnd w:id="226"/>
      <w:bookmarkEnd w:id="227"/>
    </w:p>
    <w:p>
      <w:pPr>
        <w:spacing w:line="400" w:lineRule="exact"/>
        <w:ind w:firstLine="420" w:firstLineChars="200"/>
        <w:rPr>
          <w:rFonts w:ascii="宋体" w:hAnsi="宋体"/>
          <w:color w:val="auto"/>
          <w:highlight w:val="none"/>
        </w:rPr>
      </w:pPr>
      <w:r>
        <w:rPr>
          <w:rFonts w:hint="eastAsia" w:ascii="宋体" w:hAnsi="宋体"/>
          <w:color w:val="auto"/>
          <w:highlight w:val="none"/>
        </w:rPr>
        <w:t>3.3.1 除供应商须知前附表另有规定外，投标有效期为60天。</w:t>
      </w:r>
    </w:p>
    <w:p>
      <w:pPr>
        <w:spacing w:line="400" w:lineRule="exact"/>
        <w:ind w:firstLine="420" w:firstLineChars="200"/>
        <w:rPr>
          <w:rFonts w:ascii="宋体" w:hAnsi="宋体"/>
          <w:color w:val="auto"/>
          <w:highlight w:val="none"/>
        </w:rPr>
      </w:pPr>
      <w:r>
        <w:rPr>
          <w:rFonts w:hint="eastAsia" w:ascii="宋体" w:hAnsi="宋体"/>
          <w:color w:val="auto"/>
          <w:highlight w:val="none"/>
        </w:rPr>
        <w:t>3.3.2在投标有效期内，供应商撤销或修改其投标文件的，应承担招标文件和法律规定的责任。</w:t>
      </w:r>
    </w:p>
    <w:p>
      <w:pPr>
        <w:spacing w:line="400" w:lineRule="exact"/>
        <w:ind w:firstLine="420" w:firstLineChars="200"/>
        <w:rPr>
          <w:rFonts w:ascii="宋体" w:hAnsi="宋体"/>
          <w:color w:val="auto"/>
          <w:szCs w:val="21"/>
          <w:highlight w:val="none"/>
        </w:rPr>
      </w:pPr>
      <w:r>
        <w:rPr>
          <w:rFonts w:hint="eastAsia" w:ascii="宋体" w:hAnsi="宋体"/>
          <w:color w:val="auto"/>
          <w:highlight w:val="none"/>
        </w:rPr>
        <w:t>3.3.3出现特殊情况需要延长投标有效期的，采购人以书面形式通知所有供应商延长投标有效期。供应商同意延长的，应相应延长其投标保证金的有效期，但不得要求或被允许修改或撤销其投标文件；供应商拒绝延长的，其投标失效，但供应商有权收回其投标保证金。</w:t>
      </w:r>
    </w:p>
    <w:p>
      <w:pPr>
        <w:pStyle w:val="8"/>
        <w:rPr>
          <w:rFonts w:ascii="宋体" w:hAnsi="宋体"/>
          <w:color w:val="auto"/>
          <w:highlight w:val="none"/>
        </w:rPr>
      </w:pPr>
      <w:bookmarkStart w:id="228" w:name="_Toc338840207"/>
      <w:bookmarkStart w:id="229" w:name="_Toc246996195"/>
      <w:bookmarkStart w:id="230" w:name="_Toc247085709"/>
      <w:bookmarkStart w:id="231" w:name="_Toc152045550"/>
      <w:bookmarkStart w:id="232" w:name="_Toc144974518"/>
      <w:bookmarkStart w:id="233" w:name="_Toc246996938"/>
      <w:bookmarkStart w:id="234" w:name="_Toc152042326"/>
      <w:bookmarkStart w:id="235" w:name="_Toc179632568"/>
      <w:r>
        <w:rPr>
          <w:rFonts w:hint="eastAsia" w:ascii="宋体" w:hAnsi="宋体"/>
          <w:color w:val="auto"/>
          <w:highlight w:val="none"/>
        </w:rPr>
        <w:t xml:space="preserve"> </w:t>
      </w:r>
      <w:bookmarkEnd w:id="228"/>
      <w:bookmarkEnd w:id="229"/>
      <w:bookmarkEnd w:id="230"/>
      <w:bookmarkEnd w:id="231"/>
      <w:bookmarkEnd w:id="232"/>
      <w:bookmarkEnd w:id="233"/>
      <w:bookmarkEnd w:id="234"/>
      <w:bookmarkEnd w:id="235"/>
      <w:r>
        <w:rPr>
          <w:rFonts w:hint="eastAsia" w:ascii="宋体" w:hAnsi="宋体"/>
          <w:color w:val="auto"/>
          <w:highlight w:val="none"/>
        </w:rPr>
        <w:t>3.4 投标保证金</w:t>
      </w:r>
    </w:p>
    <w:p>
      <w:pPr>
        <w:spacing w:line="400" w:lineRule="exact"/>
        <w:ind w:firstLine="420" w:firstLineChars="200"/>
        <w:rPr>
          <w:rFonts w:ascii="宋体" w:hAnsi="宋体"/>
          <w:color w:val="auto"/>
          <w:highlight w:val="none"/>
        </w:rPr>
      </w:pPr>
      <w:r>
        <w:rPr>
          <w:rFonts w:hint="eastAsia" w:ascii="宋体" w:hAnsi="宋体"/>
          <w:color w:val="auto"/>
          <w:highlight w:val="none"/>
        </w:rPr>
        <w:t>3.4.1 供应商须知前附表规定递交投标保证金的，供应商在递交投标文件时，应按供应商须知前附表规定的金额、形式或者事先经过采购人认可的递交形式递交投标保证金，并将保证金转账凭据附在投标文件中作为投标文件的组成部分。</w:t>
      </w:r>
    </w:p>
    <w:p>
      <w:pPr>
        <w:spacing w:line="400" w:lineRule="exact"/>
        <w:ind w:firstLine="420" w:firstLineChars="200"/>
        <w:rPr>
          <w:rFonts w:ascii="宋体" w:hAnsi="宋体"/>
          <w:color w:val="auto"/>
          <w:highlight w:val="none"/>
        </w:rPr>
      </w:pPr>
      <w:r>
        <w:rPr>
          <w:rFonts w:hint="eastAsia" w:ascii="宋体" w:hAnsi="宋体"/>
          <w:color w:val="auto"/>
          <w:highlight w:val="none"/>
        </w:rPr>
        <w:t>3.4.2供应商不按本章第3.4.1项要求提交保证金的，评标委员会将否决其投标。</w:t>
      </w:r>
    </w:p>
    <w:p>
      <w:pPr>
        <w:spacing w:line="400" w:lineRule="exact"/>
        <w:ind w:firstLine="420" w:firstLineChars="200"/>
        <w:rPr>
          <w:rFonts w:ascii="宋体" w:hAnsi="宋体"/>
          <w:color w:val="auto"/>
          <w:highlight w:val="none"/>
        </w:rPr>
      </w:pPr>
      <w:r>
        <w:rPr>
          <w:rFonts w:hint="eastAsia" w:ascii="宋体" w:hAnsi="宋体"/>
          <w:color w:val="auto"/>
          <w:highlight w:val="none"/>
        </w:rPr>
        <w:t>3.4.3在中标人确定后5个工作日内退还未中标供应商的保证金；合同签订后5个工作日内退还中标人的保证金。</w:t>
      </w:r>
    </w:p>
    <w:p>
      <w:pPr>
        <w:spacing w:line="400" w:lineRule="exact"/>
        <w:ind w:firstLine="420" w:firstLineChars="200"/>
        <w:rPr>
          <w:rFonts w:ascii="宋体" w:hAnsi="宋体"/>
          <w:color w:val="auto"/>
          <w:highlight w:val="none"/>
        </w:rPr>
      </w:pPr>
      <w:r>
        <w:rPr>
          <w:rFonts w:hint="eastAsia" w:ascii="宋体" w:hAnsi="宋体"/>
          <w:color w:val="auto"/>
          <w:highlight w:val="none"/>
        </w:rPr>
        <w:t xml:space="preserve">3.4.4有下列情形之一的，投标保证金将不予退还： </w:t>
      </w:r>
    </w:p>
    <w:p>
      <w:pPr>
        <w:spacing w:line="400" w:lineRule="exact"/>
        <w:ind w:firstLine="718" w:firstLineChars="342"/>
        <w:rPr>
          <w:rFonts w:ascii="宋体" w:hAnsi="宋体"/>
          <w:color w:val="auto"/>
          <w:highlight w:val="none"/>
        </w:rPr>
      </w:pPr>
      <w:r>
        <w:rPr>
          <w:rFonts w:hint="eastAsia" w:ascii="宋体" w:hAnsi="宋体"/>
          <w:color w:val="auto"/>
          <w:highlight w:val="none"/>
        </w:rPr>
        <w:t>（1）供应商在规定的投标有效期内撤销或修改其投标文件；</w:t>
      </w:r>
    </w:p>
    <w:p>
      <w:pPr>
        <w:spacing w:line="400" w:lineRule="exact"/>
        <w:ind w:firstLine="718" w:firstLineChars="342"/>
        <w:rPr>
          <w:rFonts w:ascii="宋体" w:hAnsi="宋体"/>
          <w:color w:val="auto"/>
          <w:highlight w:val="none"/>
        </w:rPr>
      </w:pPr>
      <w:r>
        <w:rPr>
          <w:rFonts w:hint="eastAsia" w:ascii="宋体" w:hAnsi="宋体"/>
          <w:color w:val="auto"/>
          <w:highlight w:val="none"/>
        </w:rPr>
        <w:t>（2）中标人在收到中标通知书后，无正当理由拒签合同协议书或未按招标文件规定提交履约担保。</w:t>
      </w:r>
    </w:p>
    <w:p>
      <w:pPr>
        <w:spacing w:line="400" w:lineRule="exact"/>
        <w:ind w:firstLine="718" w:firstLineChars="342"/>
        <w:rPr>
          <w:rFonts w:ascii="宋体" w:hAnsi="宋体"/>
          <w:color w:val="auto"/>
          <w:highlight w:val="none"/>
        </w:rPr>
      </w:pPr>
      <w:r>
        <w:rPr>
          <w:rFonts w:hint="eastAsia" w:ascii="宋体" w:hAnsi="宋体"/>
          <w:color w:val="auto"/>
          <w:highlight w:val="none"/>
        </w:rPr>
        <w:t>（3）提供虚假资料或存在违法违规行为的。</w:t>
      </w:r>
    </w:p>
    <w:p>
      <w:pPr>
        <w:pStyle w:val="8"/>
        <w:rPr>
          <w:rFonts w:ascii="宋体" w:hAnsi="宋体"/>
          <w:color w:val="auto"/>
          <w:highlight w:val="none"/>
        </w:rPr>
      </w:pPr>
      <w:bookmarkStart w:id="236" w:name="_Toc247085710"/>
      <w:bookmarkStart w:id="237" w:name="_Toc246996196"/>
      <w:bookmarkStart w:id="238" w:name="_Toc179632570"/>
      <w:bookmarkStart w:id="239" w:name="_Toc152045552"/>
      <w:bookmarkStart w:id="240" w:name="_Toc246996939"/>
      <w:bookmarkStart w:id="241" w:name="_Toc152042328"/>
      <w:bookmarkStart w:id="242" w:name="_Toc144974520"/>
      <w:bookmarkStart w:id="243" w:name="_Toc338840208"/>
      <w:r>
        <w:rPr>
          <w:rFonts w:hint="eastAsia" w:ascii="宋体" w:hAnsi="宋体"/>
          <w:color w:val="auto"/>
          <w:highlight w:val="none"/>
        </w:rPr>
        <w:t>3.5 资格审查资料</w:t>
      </w:r>
      <w:bookmarkEnd w:id="236"/>
      <w:bookmarkEnd w:id="237"/>
      <w:bookmarkEnd w:id="238"/>
      <w:bookmarkEnd w:id="239"/>
      <w:bookmarkEnd w:id="240"/>
      <w:bookmarkEnd w:id="241"/>
      <w:bookmarkEnd w:id="242"/>
      <w:bookmarkEnd w:id="243"/>
    </w:p>
    <w:p>
      <w:pPr>
        <w:spacing w:line="400" w:lineRule="exact"/>
        <w:ind w:firstLine="420" w:firstLineChars="200"/>
        <w:rPr>
          <w:rFonts w:ascii="宋体" w:hAnsi="宋体"/>
          <w:color w:val="auto"/>
          <w:highlight w:val="none"/>
        </w:rPr>
      </w:pPr>
      <w:r>
        <w:rPr>
          <w:rFonts w:hint="eastAsia" w:ascii="宋体" w:hAnsi="宋体"/>
          <w:color w:val="auto"/>
          <w:highlight w:val="none"/>
        </w:rPr>
        <w:t>3.5.1 资格要求：见供应商须知前附表。</w:t>
      </w:r>
    </w:p>
    <w:p>
      <w:pPr>
        <w:spacing w:line="400" w:lineRule="exact"/>
        <w:ind w:firstLine="420" w:firstLineChars="200"/>
        <w:rPr>
          <w:rFonts w:ascii="宋体" w:hAnsi="宋体"/>
          <w:color w:val="auto"/>
          <w:highlight w:val="none"/>
        </w:rPr>
      </w:pPr>
      <w:r>
        <w:rPr>
          <w:rFonts w:hint="eastAsia" w:ascii="宋体" w:hAnsi="宋体"/>
          <w:color w:val="auto"/>
          <w:highlight w:val="none"/>
        </w:rPr>
        <w:t>供应商须知前附表中要求的供应商资格审查材料应将</w:t>
      </w:r>
      <w:r>
        <w:rPr>
          <w:rFonts w:ascii="宋体" w:hAnsi="宋体"/>
          <w:color w:val="auto"/>
          <w:highlight w:val="none"/>
        </w:rPr>
        <w:t>原件</w:t>
      </w:r>
      <w:r>
        <w:rPr>
          <w:rFonts w:hint="eastAsia" w:ascii="宋体" w:hAnsi="宋体"/>
          <w:color w:val="auto"/>
          <w:highlight w:val="none"/>
        </w:rPr>
        <w:t>扫描件附到投标文件中。</w:t>
      </w:r>
    </w:p>
    <w:p>
      <w:pPr>
        <w:pStyle w:val="8"/>
        <w:rPr>
          <w:rFonts w:ascii="宋体" w:hAnsi="宋体"/>
          <w:color w:val="auto"/>
          <w:highlight w:val="none"/>
        </w:rPr>
      </w:pPr>
      <w:bookmarkStart w:id="244" w:name="_Toc338840209"/>
      <w:bookmarkStart w:id="245" w:name="_Toc144974521"/>
      <w:bookmarkStart w:id="246" w:name="_Toc247085711"/>
      <w:bookmarkStart w:id="247" w:name="_Toc152045553"/>
      <w:bookmarkStart w:id="248" w:name="_Toc152042329"/>
      <w:bookmarkStart w:id="249" w:name="_Toc246996940"/>
      <w:bookmarkStart w:id="250" w:name="_Toc179632571"/>
      <w:bookmarkStart w:id="251" w:name="_Toc246996197"/>
      <w:r>
        <w:rPr>
          <w:rFonts w:hint="eastAsia" w:ascii="宋体" w:hAnsi="宋体"/>
          <w:color w:val="auto"/>
          <w:highlight w:val="none"/>
        </w:rPr>
        <w:t>3.6投标文件的编制</w:t>
      </w:r>
      <w:bookmarkEnd w:id="244"/>
    </w:p>
    <w:p>
      <w:pPr>
        <w:spacing w:line="400" w:lineRule="exact"/>
        <w:ind w:firstLine="420" w:firstLineChars="200"/>
        <w:rPr>
          <w:rFonts w:ascii="宋体" w:hAnsi="宋体"/>
          <w:color w:val="auto"/>
          <w:highlight w:val="none"/>
        </w:rPr>
      </w:pPr>
      <w:r>
        <w:rPr>
          <w:rFonts w:hint="eastAsia" w:ascii="宋体" w:hAnsi="宋体"/>
          <w:color w:val="auto"/>
          <w:highlight w:val="none"/>
        </w:rPr>
        <w:t>3.6.1投标文件应按第六章“投标文件格式”进行编写，如有必要，可以增加附页，作为投标文件的组成部分。在满足招标文件实质性要求的基础上，可以提出比招标文件要求更有利于采购人的承诺。</w:t>
      </w:r>
    </w:p>
    <w:p>
      <w:pPr>
        <w:spacing w:line="400" w:lineRule="exact"/>
        <w:ind w:firstLine="420" w:firstLineChars="200"/>
        <w:rPr>
          <w:rFonts w:ascii="宋体" w:hAnsi="宋体"/>
          <w:color w:val="auto"/>
          <w:szCs w:val="21"/>
          <w:highlight w:val="none"/>
        </w:rPr>
      </w:pPr>
      <w:r>
        <w:rPr>
          <w:rFonts w:hint="eastAsia" w:ascii="宋体" w:hAnsi="宋体"/>
          <w:color w:val="auto"/>
          <w:highlight w:val="none"/>
        </w:rPr>
        <w:t>3.6.2 投标文件应当对招标文件有关供应商资格要求、符合性审查要求</w:t>
      </w:r>
      <w:r>
        <w:rPr>
          <w:rFonts w:hint="eastAsia" w:ascii="宋体" w:hAnsi="宋体"/>
          <w:color w:val="auto"/>
          <w:szCs w:val="21"/>
          <w:highlight w:val="none"/>
        </w:rPr>
        <w:t>等实质性内容作出响应。</w:t>
      </w:r>
    </w:p>
    <w:p>
      <w:pPr>
        <w:spacing w:line="400" w:lineRule="exact"/>
        <w:ind w:firstLine="420" w:firstLineChars="200"/>
        <w:rPr>
          <w:rFonts w:ascii="宋体" w:hAnsi="宋体"/>
          <w:color w:val="auto"/>
          <w:highlight w:val="none"/>
        </w:rPr>
      </w:pPr>
      <w:r>
        <w:rPr>
          <w:rFonts w:ascii="宋体" w:hAnsi="宋体"/>
          <w:color w:val="auto"/>
          <w:highlight w:val="none"/>
        </w:rPr>
        <w:t>3.</w:t>
      </w:r>
      <w:r>
        <w:rPr>
          <w:rFonts w:hint="eastAsia" w:ascii="宋体" w:hAnsi="宋体"/>
          <w:color w:val="auto"/>
          <w:highlight w:val="none"/>
        </w:rPr>
        <w:t>6</w:t>
      </w:r>
      <w:r>
        <w:rPr>
          <w:rFonts w:ascii="宋体" w:hAnsi="宋体"/>
          <w:color w:val="auto"/>
          <w:highlight w:val="none"/>
        </w:rPr>
        <w:t>.3</w:t>
      </w:r>
      <w:r>
        <w:rPr>
          <w:rFonts w:hint="eastAsia" w:ascii="宋体" w:hAnsi="宋体"/>
          <w:color w:val="auto"/>
          <w:highlight w:val="none"/>
        </w:rPr>
        <w:t>实行电子招标投标时，</w:t>
      </w:r>
      <w:r>
        <w:rPr>
          <w:rFonts w:ascii="宋体" w:hAnsi="宋体"/>
          <w:color w:val="auto"/>
          <w:highlight w:val="none"/>
        </w:rPr>
        <w:t>投标文件全部采用电子文档，除供应商须知前附表另有规定外，投标文件所附证书证件均为原件扫描件，并采用</w:t>
      </w:r>
      <w:r>
        <w:rPr>
          <w:rFonts w:hint="eastAsia" w:ascii="宋体" w:hAnsi="宋体"/>
          <w:color w:val="auto"/>
          <w:szCs w:val="21"/>
          <w:highlight w:val="none"/>
          <w:lang w:val="zh-CN"/>
        </w:rPr>
        <w:t>CA密钥</w:t>
      </w:r>
      <w:r>
        <w:rPr>
          <w:rFonts w:ascii="宋体" w:hAnsi="宋体"/>
          <w:color w:val="auto"/>
          <w:highlight w:val="none"/>
        </w:rPr>
        <w:t>，按招标文件要求在相应位置加盖电子印章。签字或盖章的具体要求见供应商须知前附表。</w:t>
      </w:r>
    </w:p>
    <w:bookmarkEnd w:id="245"/>
    <w:bookmarkEnd w:id="246"/>
    <w:bookmarkEnd w:id="247"/>
    <w:bookmarkEnd w:id="248"/>
    <w:bookmarkEnd w:id="249"/>
    <w:bookmarkEnd w:id="250"/>
    <w:bookmarkEnd w:id="251"/>
    <w:p>
      <w:pPr>
        <w:pStyle w:val="7"/>
        <w:rPr>
          <w:rFonts w:ascii="宋体" w:hAnsi="宋体" w:eastAsia="宋体"/>
          <w:color w:val="auto"/>
          <w:highlight w:val="none"/>
        </w:rPr>
      </w:pPr>
      <w:bookmarkStart w:id="252" w:name="_Toc346523405"/>
      <w:bookmarkStart w:id="253" w:name="_Toc494093432"/>
      <w:bookmarkStart w:id="254" w:name="_Toc246996942"/>
      <w:bookmarkStart w:id="255" w:name="_Toc152045555"/>
      <w:bookmarkStart w:id="256" w:name="_Toc247085713"/>
      <w:bookmarkStart w:id="257" w:name="_Toc346523468"/>
      <w:bookmarkStart w:id="258" w:name="_Toc14743"/>
      <w:bookmarkStart w:id="259" w:name="_Toc179632573"/>
      <w:bookmarkStart w:id="260" w:name="_Toc152042331"/>
      <w:bookmarkStart w:id="261" w:name="_Toc338840484"/>
      <w:bookmarkStart w:id="262" w:name="_Toc246996199"/>
      <w:bookmarkStart w:id="263" w:name="_Toc2826"/>
      <w:bookmarkStart w:id="264" w:name="_Toc26446"/>
      <w:bookmarkStart w:id="265" w:name="_Toc144974523"/>
      <w:bookmarkStart w:id="266" w:name="_Toc338840445"/>
      <w:bookmarkStart w:id="267" w:name="_Toc494526404"/>
      <w:bookmarkStart w:id="268" w:name="_Toc8915"/>
      <w:bookmarkStart w:id="269" w:name="_Toc338840210"/>
      <w:r>
        <w:rPr>
          <w:rFonts w:hint="eastAsia" w:ascii="宋体" w:hAnsi="宋体" w:eastAsia="宋体"/>
          <w:color w:val="auto"/>
          <w:highlight w:val="none"/>
        </w:rPr>
        <w:t>4. 投标</w:t>
      </w:r>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p>
    <w:p>
      <w:pPr>
        <w:pStyle w:val="8"/>
        <w:rPr>
          <w:rFonts w:ascii="宋体" w:hAnsi="宋体"/>
          <w:color w:val="auto"/>
          <w:highlight w:val="none"/>
        </w:rPr>
      </w:pPr>
      <w:bookmarkStart w:id="270" w:name="_Toc246996943"/>
      <w:bookmarkStart w:id="271" w:name="_Toc338840211"/>
      <w:bookmarkStart w:id="272" w:name="_Toc246996200"/>
      <w:bookmarkStart w:id="273" w:name="_Toc152042332"/>
      <w:bookmarkStart w:id="274" w:name="_Toc247085714"/>
      <w:bookmarkStart w:id="275" w:name="_Toc179632574"/>
      <w:bookmarkStart w:id="276" w:name="_Toc152045556"/>
      <w:bookmarkStart w:id="277" w:name="_Toc144974524"/>
      <w:r>
        <w:rPr>
          <w:rFonts w:hint="eastAsia" w:ascii="宋体" w:hAnsi="宋体"/>
          <w:color w:val="auto"/>
          <w:highlight w:val="none"/>
        </w:rPr>
        <w:t>4.1 投标文件的加密</w:t>
      </w:r>
      <w:bookmarkEnd w:id="270"/>
      <w:bookmarkEnd w:id="271"/>
      <w:bookmarkEnd w:id="272"/>
      <w:bookmarkEnd w:id="273"/>
      <w:bookmarkEnd w:id="274"/>
      <w:bookmarkEnd w:id="275"/>
      <w:bookmarkEnd w:id="276"/>
      <w:bookmarkEnd w:id="277"/>
    </w:p>
    <w:p>
      <w:pPr>
        <w:spacing w:line="400" w:lineRule="exact"/>
        <w:ind w:firstLine="420" w:firstLineChars="200"/>
        <w:rPr>
          <w:rFonts w:ascii="宋体" w:hAnsi="宋体"/>
          <w:color w:val="auto"/>
          <w:highlight w:val="none"/>
        </w:rPr>
      </w:pPr>
      <w:bookmarkStart w:id="278" w:name="_Toc246996201"/>
      <w:bookmarkStart w:id="279" w:name="_Toc246996944"/>
      <w:bookmarkStart w:id="280" w:name="_Toc152042333"/>
      <w:bookmarkStart w:id="281" w:name="_Toc152045557"/>
      <w:bookmarkStart w:id="282" w:name="_Toc247085715"/>
      <w:bookmarkStart w:id="283" w:name="_Toc179632575"/>
      <w:bookmarkStart w:id="284" w:name="_Toc144974525"/>
      <w:r>
        <w:rPr>
          <w:rFonts w:hint="eastAsia" w:ascii="宋体" w:hAnsi="宋体"/>
          <w:color w:val="auto"/>
          <w:highlight w:val="none"/>
        </w:rPr>
        <w:t>4.1.1实行电子招标投标时，</w:t>
      </w:r>
      <w:r>
        <w:rPr>
          <w:rFonts w:ascii="宋体" w:hAnsi="宋体"/>
          <w:color w:val="auto"/>
          <w:highlight w:val="none"/>
        </w:rPr>
        <w:t>供应商应当按照招标文件和电子招标投标交易平台的要求加密投标文件，具体要求见供应商须知前附表。</w:t>
      </w:r>
    </w:p>
    <w:p>
      <w:pPr>
        <w:pStyle w:val="8"/>
        <w:rPr>
          <w:rFonts w:ascii="宋体" w:hAnsi="宋体"/>
          <w:color w:val="auto"/>
          <w:highlight w:val="none"/>
        </w:rPr>
      </w:pPr>
      <w:bookmarkStart w:id="285" w:name="_Toc338840212"/>
      <w:r>
        <w:rPr>
          <w:rFonts w:hint="eastAsia" w:ascii="宋体" w:hAnsi="宋体"/>
          <w:color w:val="auto"/>
          <w:highlight w:val="none"/>
        </w:rPr>
        <w:t>4.2 投标文件的递交</w:t>
      </w:r>
      <w:bookmarkEnd w:id="278"/>
      <w:bookmarkEnd w:id="279"/>
      <w:bookmarkEnd w:id="280"/>
      <w:bookmarkEnd w:id="281"/>
      <w:bookmarkEnd w:id="282"/>
      <w:bookmarkEnd w:id="283"/>
      <w:bookmarkEnd w:id="284"/>
      <w:bookmarkEnd w:id="285"/>
    </w:p>
    <w:p>
      <w:pPr>
        <w:spacing w:line="400" w:lineRule="exact"/>
        <w:ind w:firstLine="420" w:firstLineChars="200"/>
        <w:rPr>
          <w:rFonts w:ascii="宋体" w:hAnsi="宋体"/>
          <w:color w:val="auto"/>
          <w:highlight w:val="none"/>
        </w:rPr>
      </w:pPr>
      <w:r>
        <w:rPr>
          <w:rFonts w:hint="eastAsia" w:ascii="宋体" w:hAnsi="宋体"/>
          <w:color w:val="auto"/>
          <w:highlight w:val="none"/>
        </w:rPr>
        <w:t>4.2.1 供应商应在规定的投标截止时间前，通过下载招标文件的电子招标投标交易平台上传提交电子投标文件。</w:t>
      </w:r>
    </w:p>
    <w:p>
      <w:pPr>
        <w:spacing w:line="400" w:lineRule="exact"/>
        <w:ind w:firstLine="420" w:firstLineChars="200"/>
        <w:rPr>
          <w:rFonts w:ascii="宋体" w:hAnsi="宋体"/>
          <w:color w:val="auto"/>
          <w:highlight w:val="none"/>
        </w:rPr>
      </w:pPr>
      <w:r>
        <w:rPr>
          <w:rFonts w:hint="eastAsia" w:ascii="宋体" w:hAnsi="宋体"/>
          <w:color w:val="auto"/>
          <w:highlight w:val="none"/>
        </w:rPr>
        <w:t>4.2.2除供应商须知前附表另有规定外，供应商所递交的投标文件不予退还。</w:t>
      </w:r>
    </w:p>
    <w:p>
      <w:pPr>
        <w:spacing w:line="400" w:lineRule="exact"/>
        <w:ind w:firstLine="420" w:firstLineChars="200"/>
        <w:rPr>
          <w:rFonts w:ascii="宋体" w:hAnsi="宋体"/>
          <w:color w:val="auto"/>
          <w:highlight w:val="none"/>
        </w:rPr>
      </w:pPr>
      <w:r>
        <w:rPr>
          <w:rFonts w:hint="eastAsia" w:ascii="宋体" w:hAnsi="宋体"/>
          <w:color w:val="auto"/>
          <w:highlight w:val="none"/>
        </w:rPr>
        <w:t>4.2.3逾期送达的投标文件，电子招标投标交易平台将予以拒收。</w:t>
      </w:r>
    </w:p>
    <w:p>
      <w:pPr>
        <w:pStyle w:val="8"/>
        <w:rPr>
          <w:rFonts w:ascii="宋体" w:hAnsi="宋体"/>
          <w:color w:val="auto"/>
          <w:highlight w:val="none"/>
        </w:rPr>
      </w:pPr>
      <w:bookmarkStart w:id="286" w:name="_Toc246996202"/>
      <w:bookmarkStart w:id="287" w:name="_Toc338840213"/>
      <w:bookmarkStart w:id="288" w:name="_Toc179632576"/>
      <w:bookmarkStart w:id="289" w:name="_Toc152042334"/>
      <w:bookmarkStart w:id="290" w:name="_Toc152045558"/>
      <w:bookmarkStart w:id="291" w:name="_Toc247085716"/>
      <w:bookmarkStart w:id="292" w:name="_Toc246996945"/>
      <w:bookmarkStart w:id="293" w:name="_Toc144974526"/>
      <w:r>
        <w:rPr>
          <w:rFonts w:hint="eastAsia" w:ascii="宋体" w:hAnsi="宋体"/>
          <w:color w:val="auto"/>
          <w:highlight w:val="none"/>
        </w:rPr>
        <w:t>4.3 投标文件的修改与撤回</w:t>
      </w:r>
      <w:bookmarkEnd w:id="286"/>
      <w:bookmarkEnd w:id="287"/>
      <w:bookmarkEnd w:id="288"/>
      <w:bookmarkEnd w:id="289"/>
      <w:bookmarkEnd w:id="290"/>
      <w:bookmarkEnd w:id="291"/>
      <w:bookmarkEnd w:id="292"/>
      <w:bookmarkEnd w:id="293"/>
    </w:p>
    <w:p>
      <w:pPr>
        <w:spacing w:line="400" w:lineRule="exact"/>
        <w:ind w:firstLine="420" w:firstLineChars="200"/>
        <w:rPr>
          <w:rFonts w:ascii="宋体" w:hAnsi="宋体"/>
          <w:color w:val="auto"/>
          <w:highlight w:val="none"/>
        </w:rPr>
      </w:pPr>
      <w:r>
        <w:rPr>
          <w:rFonts w:hint="eastAsia" w:ascii="宋体" w:hAnsi="宋体"/>
          <w:color w:val="auto"/>
          <w:highlight w:val="none"/>
        </w:rPr>
        <w:t>4.3.1 在规定的投标截止及开标时间前，供应商可以修改或撤回已上传的投标文件。</w:t>
      </w:r>
    </w:p>
    <w:p>
      <w:pPr>
        <w:pStyle w:val="7"/>
        <w:rPr>
          <w:rFonts w:ascii="宋体" w:hAnsi="宋体" w:eastAsia="宋体"/>
          <w:color w:val="auto"/>
          <w:highlight w:val="none"/>
        </w:rPr>
      </w:pPr>
      <w:bookmarkStart w:id="294" w:name="_Toc246996203"/>
      <w:bookmarkStart w:id="295" w:name="_Toc11800"/>
      <w:bookmarkStart w:id="296" w:name="_Toc494093433"/>
      <w:bookmarkStart w:id="297" w:name="_Toc179632577"/>
      <w:bookmarkStart w:id="298" w:name="_Toc246996946"/>
      <w:bookmarkStart w:id="299" w:name="_Toc152042335"/>
      <w:bookmarkStart w:id="300" w:name="_Toc144974527"/>
      <w:bookmarkStart w:id="301" w:name="_Toc19059"/>
      <w:bookmarkStart w:id="302" w:name="_Toc338840485"/>
      <w:bookmarkStart w:id="303" w:name="_Toc152045559"/>
      <w:bookmarkStart w:id="304" w:name="_Toc20438"/>
      <w:bookmarkStart w:id="305" w:name="_Toc346523406"/>
      <w:bookmarkStart w:id="306" w:name="_Toc22635"/>
      <w:bookmarkStart w:id="307" w:name="_Toc338840214"/>
      <w:bookmarkStart w:id="308" w:name="_Toc338840446"/>
      <w:bookmarkStart w:id="309" w:name="_Toc346523469"/>
      <w:bookmarkStart w:id="310" w:name="_Toc247085717"/>
      <w:bookmarkStart w:id="311" w:name="_Toc494526405"/>
      <w:r>
        <w:rPr>
          <w:rFonts w:hint="eastAsia" w:ascii="宋体" w:hAnsi="宋体" w:eastAsia="宋体"/>
          <w:color w:val="auto"/>
          <w:highlight w:val="none"/>
        </w:rPr>
        <w:t>5. 开标</w:t>
      </w:r>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pPr>
        <w:pStyle w:val="8"/>
        <w:rPr>
          <w:rFonts w:ascii="宋体" w:hAnsi="宋体"/>
          <w:color w:val="auto"/>
          <w:highlight w:val="none"/>
        </w:rPr>
      </w:pPr>
      <w:r>
        <w:rPr>
          <w:rFonts w:hint="eastAsia" w:ascii="宋体" w:hAnsi="宋体"/>
          <w:color w:val="auto"/>
          <w:highlight w:val="none"/>
        </w:rPr>
        <w:t>5.1 投标截止及开标时间、地点</w:t>
      </w:r>
    </w:p>
    <w:p>
      <w:pPr>
        <w:spacing w:line="400" w:lineRule="exact"/>
        <w:ind w:firstLine="420" w:firstLineChars="200"/>
        <w:rPr>
          <w:rFonts w:ascii="宋体" w:hAnsi="宋体"/>
          <w:color w:val="auto"/>
          <w:highlight w:val="none"/>
        </w:rPr>
      </w:pPr>
      <w:r>
        <w:rPr>
          <w:rFonts w:hint="eastAsia" w:ascii="宋体" w:hAnsi="宋体"/>
          <w:color w:val="auto"/>
          <w:highlight w:val="none"/>
        </w:rPr>
        <w:t>采购人在规定的投标截止时间（开标时间）,通过电子招标投标交易平台公开开标，邀请所有供应商的法定代表人（单位负责人）或其委托代理人准时参加。</w:t>
      </w:r>
    </w:p>
    <w:p>
      <w:pPr>
        <w:pStyle w:val="8"/>
        <w:rPr>
          <w:rFonts w:ascii="宋体" w:hAnsi="宋体"/>
          <w:color w:val="auto"/>
          <w:highlight w:val="none"/>
        </w:rPr>
      </w:pPr>
      <w:bookmarkStart w:id="312" w:name="_Toc246996205"/>
      <w:bookmarkStart w:id="313" w:name="_Toc152045561"/>
      <w:bookmarkStart w:id="314" w:name="_Toc144974529"/>
      <w:bookmarkStart w:id="315" w:name="_Toc179632579"/>
      <w:bookmarkStart w:id="316" w:name="_Toc247085719"/>
      <w:bookmarkStart w:id="317" w:name="_Toc246996948"/>
      <w:bookmarkStart w:id="318" w:name="_Toc152042337"/>
      <w:bookmarkStart w:id="319" w:name="_Toc338840216"/>
      <w:r>
        <w:rPr>
          <w:rFonts w:hint="eastAsia" w:ascii="宋体" w:hAnsi="宋体"/>
          <w:color w:val="auto"/>
          <w:highlight w:val="none"/>
        </w:rPr>
        <w:t>5.2 开标程序</w:t>
      </w:r>
      <w:bookmarkEnd w:id="312"/>
      <w:bookmarkEnd w:id="313"/>
      <w:bookmarkEnd w:id="314"/>
      <w:bookmarkEnd w:id="315"/>
      <w:bookmarkEnd w:id="316"/>
      <w:bookmarkEnd w:id="317"/>
      <w:bookmarkEnd w:id="318"/>
      <w:bookmarkEnd w:id="319"/>
    </w:p>
    <w:p>
      <w:pPr>
        <w:spacing w:line="400" w:lineRule="exact"/>
        <w:ind w:firstLine="359" w:firstLineChars="171"/>
        <w:rPr>
          <w:rFonts w:ascii="宋体" w:hAnsi="宋体"/>
          <w:color w:val="auto"/>
          <w:highlight w:val="none"/>
        </w:rPr>
      </w:pPr>
      <w:r>
        <w:rPr>
          <w:rFonts w:hint="eastAsia" w:ascii="宋体" w:hAnsi="宋体"/>
          <w:color w:val="auto"/>
          <w:highlight w:val="none"/>
        </w:rPr>
        <w:t xml:space="preserve">详见供应商须知前附表 </w:t>
      </w:r>
    </w:p>
    <w:p>
      <w:pPr>
        <w:pStyle w:val="8"/>
        <w:rPr>
          <w:rFonts w:ascii="宋体" w:hAnsi="宋体"/>
          <w:color w:val="auto"/>
          <w:highlight w:val="none"/>
        </w:rPr>
      </w:pPr>
      <w:bookmarkStart w:id="320" w:name="_Toc338840217"/>
      <w:r>
        <w:rPr>
          <w:rFonts w:hint="eastAsia" w:ascii="宋体" w:hAnsi="宋体"/>
          <w:color w:val="auto"/>
          <w:highlight w:val="none"/>
        </w:rPr>
        <w:t>5.3 开标异议</w:t>
      </w:r>
      <w:bookmarkEnd w:id="320"/>
    </w:p>
    <w:p>
      <w:pPr>
        <w:spacing w:line="400" w:lineRule="exact"/>
        <w:ind w:firstLine="359" w:firstLineChars="171"/>
        <w:rPr>
          <w:rFonts w:ascii="宋体" w:hAnsi="宋体"/>
          <w:color w:val="auto"/>
          <w:highlight w:val="none"/>
        </w:rPr>
      </w:pPr>
      <w:r>
        <w:rPr>
          <w:rFonts w:hint="eastAsia" w:ascii="宋体" w:hAnsi="宋体"/>
          <w:color w:val="auto"/>
          <w:highlight w:val="none"/>
        </w:rPr>
        <w:t>供应商对开标有异议的，应当在开标现场提出，采购人当场作出答复，并记录。</w:t>
      </w:r>
    </w:p>
    <w:p>
      <w:pPr>
        <w:pStyle w:val="7"/>
        <w:rPr>
          <w:rFonts w:ascii="宋体" w:hAnsi="宋体" w:eastAsia="宋体"/>
          <w:color w:val="auto"/>
          <w:highlight w:val="none"/>
        </w:rPr>
      </w:pPr>
      <w:bookmarkStart w:id="321" w:name="_Toc246996206"/>
      <w:bookmarkStart w:id="322" w:name="_Toc179632580"/>
      <w:bookmarkStart w:id="323" w:name="_Toc338840486"/>
      <w:bookmarkStart w:id="324" w:name="_Toc23925"/>
      <w:bookmarkStart w:id="325" w:name="_Toc494093434"/>
      <w:bookmarkStart w:id="326" w:name="_Toc247085720"/>
      <w:bookmarkStart w:id="327" w:name="_Toc494526406"/>
      <w:bookmarkStart w:id="328" w:name="_Toc15053"/>
      <w:bookmarkStart w:id="329" w:name="_Toc152042338"/>
      <w:bookmarkStart w:id="330" w:name="_Toc144974530"/>
      <w:bookmarkStart w:id="331" w:name="_Toc152045562"/>
      <w:bookmarkStart w:id="332" w:name="_Toc246996949"/>
      <w:bookmarkStart w:id="333" w:name="_Toc346523407"/>
      <w:bookmarkStart w:id="334" w:name="_Toc346523470"/>
      <w:bookmarkStart w:id="335" w:name="_Toc23221"/>
      <w:bookmarkStart w:id="336" w:name="_Toc25260"/>
      <w:bookmarkStart w:id="337" w:name="_Toc338840218"/>
      <w:bookmarkStart w:id="338" w:name="_Toc338840447"/>
      <w:r>
        <w:rPr>
          <w:rFonts w:hint="eastAsia" w:ascii="宋体" w:hAnsi="宋体" w:eastAsia="宋体"/>
          <w:color w:val="auto"/>
          <w:highlight w:val="none"/>
        </w:rPr>
        <w:t>6. 评标</w:t>
      </w:r>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p>
    <w:p>
      <w:pPr>
        <w:pStyle w:val="8"/>
        <w:rPr>
          <w:rFonts w:ascii="宋体" w:hAnsi="宋体"/>
          <w:color w:val="auto"/>
          <w:highlight w:val="none"/>
        </w:rPr>
      </w:pPr>
      <w:bookmarkStart w:id="339" w:name="_Toc152042339"/>
      <w:bookmarkStart w:id="340" w:name="_Toc246996950"/>
      <w:bookmarkStart w:id="341" w:name="_Toc247085721"/>
      <w:bookmarkStart w:id="342" w:name="_Toc144974531"/>
      <w:bookmarkStart w:id="343" w:name="_Toc179632581"/>
      <w:bookmarkStart w:id="344" w:name="_Toc246996207"/>
      <w:bookmarkStart w:id="345" w:name="_Toc338840219"/>
      <w:bookmarkStart w:id="346" w:name="_Toc152045563"/>
      <w:r>
        <w:rPr>
          <w:rFonts w:hint="eastAsia" w:ascii="宋体" w:hAnsi="宋体"/>
          <w:color w:val="auto"/>
          <w:highlight w:val="none"/>
        </w:rPr>
        <w:t>6.1 评标委员会</w:t>
      </w:r>
      <w:bookmarkEnd w:id="339"/>
      <w:bookmarkEnd w:id="340"/>
      <w:bookmarkEnd w:id="341"/>
      <w:bookmarkEnd w:id="342"/>
      <w:bookmarkEnd w:id="343"/>
      <w:bookmarkEnd w:id="344"/>
      <w:bookmarkEnd w:id="345"/>
      <w:bookmarkEnd w:id="346"/>
    </w:p>
    <w:p>
      <w:pPr>
        <w:spacing w:line="400" w:lineRule="exact"/>
        <w:ind w:firstLine="420" w:firstLineChars="200"/>
        <w:rPr>
          <w:rFonts w:ascii="宋体" w:hAnsi="宋体"/>
          <w:color w:val="auto"/>
          <w:highlight w:val="none"/>
        </w:rPr>
      </w:pPr>
      <w:r>
        <w:rPr>
          <w:rFonts w:hint="eastAsia" w:ascii="宋体" w:hAnsi="宋体"/>
          <w:color w:val="auto"/>
          <w:highlight w:val="none"/>
        </w:rPr>
        <w:t>6.1.1 评标由采购人依法组建的评标委员会负责。评标委员会由采购人熟悉相关业务的代表以及评审专家组成。评标委员会成员人数以及评审专家的确定方式见供应商须知前附表。</w:t>
      </w:r>
    </w:p>
    <w:p>
      <w:pPr>
        <w:spacing w:line="400" w:lineRule="exact"/>
        <w:ind w:firstLine="420" w:firstLineChars="200"/>
        <w:rPr>
          <w:rFonts w:ascii="宋体" w:hAnsi="宋体"/>
          <w:color w:val="auto"/>
          <w:highlight w:val="none"/>
        </w:rPr>
      </w:pPr>
      <w:r>
        <w:rPr>
          <w:rFonts w:hint="eastAsia" w:ascii="宋体" w:hAnsi="宋体"/>
          <w:color w:val="auto"/>
          <w:highlight w:val="none"/>
        </w:rPr>
        <w:t>6.1.2 评标委员会成员有下列情形之一的，应当回避：</w:t>
      </w:r>
    </w:p>
    <w:p>
      <w:pPr>
        <w:spacing w:line="400" w:lineRule="exact"/>
        <w:ind w:left="420" w:firstLine="420" w:firstLineChars="200"/>
        <w:rPr>
          <w:rFonts w:ascii="宋体" w:hAnsi="宋体"/>
          <w:color w:val="auto"/>
          <w:highlight w:val="none"/>
        </w:rPr>
      </w:pPr>
      <w:r>
        <w:rPr>
          <w:rFonts w:hint="eastAsia" w:ascii="宋体" w:hAnsi="宋体"/>
          <w:color w:val="auto"/>
          <w:highlight w:val="none"/>
        </w:rPr>
        <w:t>（1）供应商或供应商主要负责人的近亲属；</w:t>
      </w:r>
    </w:p>
    <w:p>
      <w:pPr>
        <w:spacing w:line="400" w:lineRule="exact"/>
        <w:ind w:left="420" w:firstLine="420" w:firstLineChars="200"/>
        <w:rPr>
          <w:rFonts w:ascii="宋体" w:hAnsi="宋体"/>
          <w:color w:val="auto"/>
          <w:highlight w:val="none"/>
        </w:rPr>
      </w:pPr>
      <w:r>
        <w:rPr>
          <w:rFonts w:hint="eastAsia" w:ascii="宋体" w:hAnsi="宋体"/>
          <w:color w:val="auto"/>
          <w:highlight w:val="none"/>
        </w:rPr>
        <w:t>（2）项目主管部门或者行政监督部门的人员；</w:t>
      </w:r>
    </w:p>
    <w:p>
      <w:pPr>
        <w:spacing w:line="400" w:lineRule="exact"/>
        <w:ind w:left="420" w:firstLine="420" w:firstLineChars="200"/>
        <w:rPr>
          <w:rFonts w:ascii="宋体" w:hAnsi="宋体"/>
          <w:color w:val="auto"/>
          <w:highlight w:val="none"/>
        </w:rPr>
      </w:pPr>
      <w:r>
        <w:rPr>
          <w:rFonts w:hint="eastAsia" w:ascii="宋体" w:hAnsi="宋体"/>
          <w:color w:val="auto"/>
          <w:highlight w:val="none"/>
        </w:rPr>
        <w:t>（3）与供应商有经济利益关系，可能影响对投标公正评审的；</w:t>
      </w:r>
    </w:p>
    <w:p>
      <w:pPr>
        <w:spacing w:line="400" w:lineRule="exact"/>
        <w:ind w:left="420" w:firstLine="420" w:firstLineChars="200"/>
        <w:rPr>
          <w:rFonts w:ascii="宋体" w:hAnsi="宋体"/>
          <w:color w:val="auto"/>
          <w:highlight w:val="none"/>
        </w:rPr>
      </w:pPr>
      <w:r>
        <w:rPr>
          <w:rFonts w:hint="eastAsia" w:ascii="宋体" w:hAnsi="宋体"/>
          <w:color w:val="auto"/>
          <w:highlight w:val="none"/>
        </w:rPr>
        <w:t>（4）曾因在招标、评标以及其他与招标投标有关活动中从事违法行为而受过行政处罚或刑事处罚期限未满的；</w:t>
      </w:r>
    </w:p>
    <w:p>
      <w:pPr>
        <w:spacing w:line="400" w:lineRule="exact"/>
        <w:ind w:left="420" w:firstLine="420" w:firstLineChars="200"/>
        <w:rPr>
          <w:rFonts w:ascii="宋体" w:hAnsi="宋体"/>
          <w:color w:val="auto"/>
          <w:highlight w:val="none"/>
        </w:rPr>
      </w:pPr>
      <w:r>
        <w:rPr>
          <w:rFonts w:hint="eastAsia" w:ascii="宋体" w:hAnsi="宋体"/>
          <w:color w:val="auto"/>
          <w:highlight w:val="none"/>
        </w:rPr>
        <w:t>（5）与供应商有其他利害关系。</w:t>
      </w:r>
    </w:p>
    <w:p>
      <w:pPr>
        <w:spacing w:line="400" w:lineRule="exact"/>
        <w:ind w:firstLine="420" w:firstLineChars="200"/>
        <w:rPr>
          <w:rFonts w:ascii="宋体" w:hAnsi="宋体"/>
          <w:color w:val="auto"/>
          <w:highlight w:val="none"/>
        </w:rPr>
      </w:pPr>
      <w:r>
        <w:rPr>
          <w:rFonts w:hint="eastAsia" w:ascii="宋体" w:hAnsi="宋体"/>
          <w:color w:val="auto"/>
          <w:highlight w:val="none"/>
        </w:rPr>
        <w:t>6.1.3 评标过程中，评标委员会成员有回避事由、擅离职守或者因健康等原因不能继续评标的，采购人有权更换。被更换的评标委员会成员作出的评审结论无效，由更换后的评标委员会成员重新进行评审。</w:t>
      </w:r>
    </w:p>
    <w:p>
      <w:pPr>
        <w:pStyle w:val="8"/>
        <w:rPr>
          <w:rFonts w:ascii="宋体" w:hAnsi="宋体"/>
          <w:color w:val="auto"/>
          <w:highlight w:val="none"/>
        </w:rPr>
      </w:pPr>
      <w:bookmarkStart w:id="347" w:name="_Toc144974532"/>
      <w:bookmarkStart w:id="348" w:name="_Toc152042340"/>
      <w:bookmarkStart w:id="349" w:name="_Toc246996951"/>
      <w:bookmarkStart w:id="350" w:name="_Toc338840220"/>
      <w:bookmarkStart w:id="351" w:name="_Toc246996208"/>
      <w:bookmarkStart w:id="352" w:name="_Toc152045564"/>
      <w:bookmarkStart w:id="353" w:name="_Toc179632582"/>
      <w:bookmarkStart w:id="354" w:name="_Toc247085722"/>
      <w:r>
        <w:rPr>
          <w:rFonts w:hint="eastAsia" w:ascii="宋体" w:hAnsi="宋体"/>
          <w:color w:val="auto"/>
          <w:highlight w:val="none"/>
        </w:rPr>
        <w:t>6.2 评标原则</w:t>
      </w:r>
      <w:bookmarkEnd w:id="347"/>
      <w:bookmarkEnd w:id="348"/>
      <w:bookmarkEnd w:id="349"/>
      <w:bookmarkEnd w:id="350"/>
      <w:bookmarkEnd w:id="351"/>
      <w:bookmarkEnd w:id="352"/>
      <w:bookmarkEnd w:id="353"/>
      <w:bookmarkEnd w:id="354"/>
    </w:p>
    <w:p>
      <w:pPr>
        <w:spacing w:line="400" w:lineRule="exact"/>
        <w:ind w:firstLine="420" w:firstLineChars="200"/>
        <w:rPr>
          <w:rFonts w:ascii="宋体" w:hAnsi="宋体"/>
          <w:color w:val="auto"/>
          <w:highlight w:val="none"/>
        </w:rPr>
      </w:pPr>
      <w:r>
        <w:rPr>
          <w:rFonts w:hint="eastAsia" w:ascii="宋体" w:hAnsi="宋体"/>
          <w:color w:val="auto"/>
          <w:highlight w:val="none"/>
        </w:rPr>
        <w:t>评标活动遵循公平、公正、科学和择优的原则。</w:t>
      </w:r>
    </w:p>
    <w:p>
      <w:pPr>
        <w:pStyle w:val="8"/>
        <w:rPr>
          <w:rFonts w:ascii="宋体" w:hAnsi="宋体"/>
          <w:color w:val="auto"/>
          <w:highlight w:val="none"/>
        </w:rPr>
      </w:pPr>
      <w:bookmarkStart w:id="355" w:name="_Toc246996209"/>
      <w:bookmarkStart w:id="356" w:name="_Toc247085723"/>
      <w:bookmarkStart w:id="357" w:name="_Toc152042341"/>
      <w:bookmarkStart w:id="358" w:name="_Toc152045565"/>
      <w:bookmarkStart w:id="359" w:name="_Toc144974533"/>
      <w:bookmarkStart w:id="360" w:name="_Toc246996952"/>
      <w:bookmarkStart w:id="361" w:name="_Toc338840221"/>
      <w:bookmarkStart w:id="362" w:name="_Toc179632583"/>
      <w:r>
        <w:rPr>
          <w:rFonts w:hint="eastAsia" w:ascii="宋体" w:hAnsi="宋体"/>
          <w:color w:val="auto"/>
          <w:highlight w:val="none"/>
        </w:rPr>
        <w:t>6.3 评标</w:t>
      </w:r>
      <w:bookmarkEnd w:id="355"/>
      <w:bookmarkEnd w:id="356"/>
      <w:bookmarkEnd w:id="357"/>
      <w:bookmarkEnd w:id="358"/>
      <w:bookmarkEnd w:id="359"/>
      <w:bookmarkEnd w:id="360"/>
      <w:bookmarkEnd w:id="361"/>
      <w:bookmarkEnd w:id="362"/>
    </w:p>
    <w:p>
      <w:pPr>
        <w:spacing w:line="400" w:lineRule="exact"/>
        <w:ind w:firstLine="420" w:firstLineChars="200"/>
        <w:rPr>
          <w:rFonts w:ascii="宋体" w:hAnsi="宋体"/>
          <w:color w:val="auto"/>
          <w:highlight w:val="none"/>
        </w:rPr>
      </w:pPr>
      <w:r>
        <w:rPr>
          <w:rFonts w:hint="eastAsia" w:ascii="宋体" w:hAnsi="宋体"/>
          <w:color w:val="auto"/>
          <w:highlight w:val="none"/>
        </w:rPr>
        <w:t>6.3.1评标委员会按照第三章“评标办法”规定的方法、评审因素、标准和程序对投标文件进行评审。第三章“评标办法”没有规定的方法、评审因素和标准，不作为评标依据。</w:t>
      </w:r>
    </w:p>
    <w:p>
      <w:pPr>
        <w:spacing w:line="400" w:lineRule="exact"/>
        <w:ind w:firstLine="420" w:firstLineChars="200"/>
        <w:rPr>
          <w:rFonts w:ascii="宋体" w:hAnsi="宋体"/>
          <w:color w:val="auto"/>
          <w:highlight w:val="none"/>
        </w:rPr>
      </w:pPr>
      <w:r>
        <w:rPr>
          <w:rFonts w:hint="eastAsia" w:ascii="宋体" w:hAnsi="宋体"/>
          <w:color w:val="auto"/>
          <w:highlight w:val="none"/>
        </w:rPr>
        <w:t>6.3.2评标完成后，评标委员会应当向采购人提交书面评标报告和中标候选人名单。评标委员会推荐中标候选人的人数见供应商须知前附表。</w:t>
      </w:r>
    </w:p>
    <w:p>
      <w:pPr>
        <w:pStyle w:val="7"/>
        <w:rPr>
          <w:rFonts w:ascii="宋体" w:hAnsi="宋体" w:eastAsia="宋体"/>
          <w:color w:val="auto"/>
          <w:highlight w:val="none"/>
        </w:rPr>
      </w:pPr>
      <w:bookmarkStart w:id="363" w:name="_Toc144974534"/>
      <w:bookmarkStart w:id="364" w:name="_Toc346523408"/>
      <w:bookmarkStart w:id="365" w:name="_Toc179632584"/>
      <w:bookmarkStart w:id="366" w:name="_Toc494526407"/>
      <w:bookmarkStart w:id="367" w:name="_Toc30344"/>
      <w:bookmarkStart w:id="368" w:name="_Toc346523471"/>
      <w:bookmarkStart w:id="369" w:name="_Toc152042342"/>
      <w:bookmarkStart w:id="370" w:name="_Toc3710"/>
      <w:bookmarkStart w:id="371" w:name="_Toc247085724"/>
      <w:bookmarkStart w:id="372" w:name="_Toc338840448"/>
      <w:bookmarkStart w:id="373" w:name="_Toc494093435"/>
      <w:bookmarkStart w:id="374" w:name="_Toc152045566"/>
      <w:bookmarkStart w:id="375" w:name="_Toc338840487"/>
      <w:bookmarkStart w:id="376" w:name="_Toc246996210"/>
      <w:bookmarkStart w:id="377" w:name="_Toc338840222"/>
      <w:bookmarkStart w:id="378" w:name="_Toc7858"/>
      <w:bookmarkStart w:id="379" w:name="_Toc11962"/>
      <w:bookmarkStart w:id="380" w:name="_Toc246996953"/>
      <w:r>
        <w:rPr>
          <w:rFonts w:hint="eastAsia" w:ascii="宋体" w:hAnsi="宋体" w:eastAsia="宋体"/>
          <w:color w:val="auto"/>
          <w:highlight w:val="none"/>
        </w:rPr>
        <w:t>7. 合同授予</w:t>
      </w:r>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p>
    <w:p>
      <w:pPr>
        <w:pStyle w:val="8"/>
        <w:rPr>
          <w:rFonts w:ascii="宋体" w:hAnsi="宋体"/>
          <w:color w:val="auto"/>
          <w:highlight w:val="none"/>
        </w:rPr>
      </w:pPr>
      <w:bookmarkStart w:id="381" w:name="_Toc246996211"/>
      <w:bookmarkStart w:id="382" w:name="_Toc152042343"/>
      <w:bookmarkStart w:id="383" w:name="_Toc152045567"/>
      <w:bookmarkStart w:id="384" w:name="_Toc179632585"/>
      <w:bookmarkStart w:id="385" w:name="_Toc144974535"/>
      <w:bookmarkStart w:id="386" w:name="_Toc246996954"/>
      <w:bookmarkStart w:id="387" w:name="_Toc338840223"/>
      <w:bookmarkStart w:id="388" w:name="_Toc247085725"/>
      <w:r>
        <w:rPr>
          <w:rFonts w:hint="eastAsia" w:ascii="宋体" w:hAnsi="宋体"/>
          <w:color w:val="auto"/>
          <w:highlight w:val="none"/>
        </w:rPr>
        <w:t>7.1 定标方式</w:t>
      </w:r>
      <w:bookmarkEnd w:id="381"/>
      <w:bookmarkEnd w:id="382"/>
      <w:bookmarkEnd w:id="383"/>
      <w:bookmarkEnd w:id="384"/>
      <w:bookmarkEnd w:id="385"/>
      <w:bookmarkEnd w:id="386"/>
      <w:bookmarkEnd w:id="387"/>
      <w:bookmarkEnd w:id="388"/>
    </w:p>
    <w:p>
      <w:pPr>
        <w:spacing w:line="400" w:lineRule="exact"/>
        <w:ind w:firstLine="420" w:firstLineChars="200"/>
        <w:rPr>
          <w:rFonts w:ascii="宋体" w:hAnsi="宋体"/>
          <w:color w:val="auto"/>
          <w:highlight w:val="none"/>
        </w:rPr>
      </w:pPr>
      <w:r>
        <w:rPr>
          <w:rFonts w:hint="eastAsia" w:ascii="宋体" w:hAnsi="宋体"/>
          <w:color w:val="auto"/>
          <w:highlight w:val="none"/>
        </w:rPr>
        <w:t>除供应商须知前附表规定评标委员会直接确定中标人外，采购人依据评标委员会推荐的中标候选人名单，按排序确定中标人，评标委员会推荐中标候选人的人数见供应商须知前附表。</w:t>
      </w:r>
    </w:p>
    <w:p>
      <w:pPr>
        <w:pStyle w:val="8"/>
        <w:rPr>
          <w:rFonts w:ascii="宋体" w:hAnsi="宋体"/>
          <w:color w:val="auto"/>
          <w:highlight w:val="none"/>
        </w:rPr>
      </w:pPr>
      <w:bookmarkStart w:id="389" w:name="_Toc338840224"/>
      <w:r>
        <w:rPr>
          <w:rFonts w:hint="eastAsia" w:ascii="宋体" w:hAnsi="宋体"/>
          <w:color w:val="auto"/>
          <w:highlight w:val="none"/>
        </w:rPr>
        <w:t>7.2 中标人公布</w:t>
      </w:r>
      <w:bookmarkEnd w:id="389"/>
      <w:r>
        <w:rPr>
          <w:rFonts w:hint="eastAsia" w:ascii="宋体" w:hAnsi="宋体"/>
          <w:color w:val="auto"/>
          <w:highlight w:val="none"/>
        </w:rPr>
        <w:t>媒介</w:t>
      </w:r>
    </w:p>
    <w:p>
      <w:pPr>
        <w:spacing w:line="400" w:lineRule="exact"/>
        <w:ind w:firstLine="420" w:firstLineChars="200"/>
        <w:rPr>
          <w:rFonts w:ascii="宋体" w:hAnsi="宋体"/>
          <w:color w:val="auto"/>
          <w:highlight w:val="none"/>
        </w:rPr>
      </w:pPr>
      <w:r>
        <w:rPr>
          <w:rFonts w:hint="eastAsia" w:ascii="宋体" w:hAnsi="宋体"/>
          <w:color w:val="auto"/>
          <w:highlight w:val="none"/>
        </w:rPr>
        <w:t>采购人在供应商须知前附表规定的媒介公布中标人。</w:t>
      </w:r>
    </w:p>
    <w:p>
      <w:pPr>
        <w:pStyle w:val="8"/>
        <w:rPr>
          <w:rFonts w:ascii="宋体" w:hAnsi="宋体"/>
          <w:color w:val="auto"/>
          <w:highlight w:val="none"/>
        </w:rPr>
      </w:pPr>
      <w:bookmarkStart w:id="390" w:name="_Toc246996212"/>
      <w:bookmarkStart w:id="391" w:name="_Toc179632586"/>
      <w:bookmarkStart w:id="392" w:name="_Toc144974536"/>
      <w:bookmarkStart w:id="393" w:name="_Toc246996955"/>
      <w:bookmarkStart w:id="394" w:name="_Toc338840225"/>
      <w:bookmarkStart w:id="395" w:name="_Toc152042344"/>
      <w:bookmarkStart w:id="396" w:name="_Toc152045568"/>
      <w:bookmarkStart w:id="397" w:name="_Toc247085726"/>
      <w:r>
        <w:rPr>
          <w:rFonts w:hint="eastAsia" w:ascii="宋体" w:hAnsi="宋体"/>
          <w:color w:val="auto"/>
          <w:highlight w:val="none"/>
        </w:rPr>
        <w:t>7.3 中标通知</w:t>
      </w:r>
      <w:bookmarkEnd w:id="390"/>
      <w:bookmarkEnd w:id="391"/>
      <w:bookmarkEnd w:id="392"/>
      <w:bookmarkEnd w:id="393"/>
      <w:bookmarkEnd w:id="394"/>
      <w:bookmarkEnd w:id="395"/>
      <w:bookmarkEnd w:id="396"/>
      <w:bookmarkEnd w:id="397"/>
    </w:p>
    <w:p>
      <w:pPr>
        <w:spacing w:line="400" w:lineRule="exact"/>
        <w:ind w:firstLine="420" w:firstLineChars="200"/>
        <w:rPr>
          <w:rFonts w:ascii="宋体" w:hAnsi="宋体"/>
          <w:color w:val="auto"/>
          <w:highlight w:val="none"/>
        </w:rPr>
      </w:pPr>
      <w:r>
        <w:rPr>
          <w:rFonts w:hint="eastAsia" w:ascii="宋体" w:hAnsi="宋体"/>
          <w:color w:val="auto"/>
          <w:highlight w:val="none"/>
        </w:rPr>
        <w:t>采购人确定中标人后，在规定的中标人公布媒介公布，以书面形式向中标人发出中标通知书，其他未中标的供应商自行查看结果，不再另行通知。详见供应商须知前附表。</w:t>
      </w:r>
    </w:p>
    <w:p>
      <w:pPr>
        <w:pStyle w:val="8"/>
        <w:rPr>
          <w:rFonts w:ascii="宋体" w:hAnsi="宋体"/>
          <w:color w:val="auto"/>
          <w:highlight w:val="none"/>
        </w:rPr>
      </w:pPr>
      <w:bookmarkStart w:id="398" w:name="_Toc247085727"/>
      <w:bookmarkStart w:id="399" w:name="_Toc246996213"/>
      <w:bookmarkStart w:id="400" w:name="_Toc152045569"/>
      <w:bookmarkStart w:id="401" w:name="_Toc246996956"/>
      <w:bookmarkStart w:id="402" w:name="_Toc179632587"/>
      <w:bookmarkStart w:id="403" w:name="_Toc338840226"/>
      <w:bookmarkStart w:id="404" w:name="_Toc144974537"/>
      <w:bookmarkStart w:id="405" w:name="_Toc152042345"/>
      <w:r>
        <w:rPr>
          <w:rFonts w:hint="eastAsia" w:ascii="宋体" w:hAnsi="宋体"/>
          <w:color w:val="auto"/>
          <w:highlight w:val="none"/>
        </w:rPr>
        <w:t>7.4 履约担保</w:t>
      </w:r>
      <w:bookmarkEnd w:id="398"/>
      <w:bookmarkEnd w:id="399"/>
      <w:bookmarkEnd w:id="400"/>
      <w:bookmarkEnd w:id="401"/>
      <w:bookmarkEnd w:id="402"/>
      <w:bookmarkEnd w:id="403"/>
      <w:bookmarkEnd w:id="404"/>
      <w:bookmarkEnd w:id="405"/>
    </w:p>
    <w:p>
      <w:pPr>
        <w:spacing w:line="400" w:lineRule="exact"/>
        <w:ind w:firstLine="420" w:firstLineChars="200"/>
        <w:rPr>
          <w:rFonts w:ascii="宋体" w:hAnsi="宋体"/>
          <w:color w:val="auto"/>
          <w:highlight w:val="none"/>
        </w:rPr>
      </w:pPr>
      <w:r>
        <w:rPr>
          <w:rFonts w:hint="eastAsia" w:ascii="宋体" w:hAnsi="宋体"/>
          <w:color w:val="auto"/>
          <w:highlight w:val="none"/>
        </w:rPr>
        <w:t>7.4.1在签订合同前，中标人应按供应商须知前附表规定的担保形式和招标文件第四章“合同条款及格式”规定的或者事先经过采购人书面认可的履约担保方式向采购人提交履约担保。</w:t>
      </w:r>
    </w:p>
    <w:p>
      <w:pPr>
        <w:spacing w:line="400" w:lineRule="exact"/>
        <w:ind w:firstLine="420" w:firstLineChars="200"/>
        <w:rPr>
          <w:rFonts w:ascii="宋体" w:hAnsi="宋体"/>
          <w:color w:val="auto"/>
          <w:highlight w:val="none"/>
        </w:rPr>
      </w:pPr>
      <w:r>
        <w:rPr>
          <w:rFonts w:hint="eastAsia" w:ascii="宋体" w:hAnsi="宋体"/>
          <w:color w:val="auto"/>
          <w:highlight w:val="none"/>
        </w:rPr>
        <w:t>7.4.2 中标人不能按本章第7.4.1项要求提交履约担保的，视为放弃中标，其投标保证金不予退还，给采购人造成的损失超过投标保证金数额的，中标人还应当对超过部分予以赔偿。</w:t>
      </w:r>
    </w:p>
    <w:p>
      <w:pPr>
        <w:pStyle w:val="8"/>
        <w:rPr>
          <w:rFonts w:ascii="宋体" w:hAnsi="宋体"/>
          <w:color w:val="auto"/>
          <w:highlight w:val="none"/>
        </w:rPr>
      </w:pPr>
      <w:bookmarkStart w:id="406" w:name="_Toc144974538"/>
      <w:bookmarkStart w:id="407" w:name="_Toc152045570"/>
      <w:bookmarkStart w:id="408" w:name="_Toc246996957"/>
      <w:bookmarkStart w:id="409" w:name="_Toc179632588"/>
      <w:bookmarkStart w:id="410" w:name="_Toc247085728"/>
      <w:bookmarkStart w:id="411" w:name="_Toc338840227"/>
      <w:bookmarkStart w:id="412" w:name="_Toc152042346"/>
      <w:bookmarkStart w:id="413" w:name="_Toc246996214"/>
      <w:r>
        <w:rPr>
          <w:rFonts w:hint="eastAsia" w:ascii="宋体" w:hAnsi="宋体"/>
          <w:color w:val="auto"/>
          <w:highlight w:val="none"/>
        </w:rPr>
        <w:t>7.5 签订合同</w:t>
      </w:r>
      <w:bookmarkEnd w:id="406"/>
      <w:bookmarkEnd w:id="407"/>
      <w:bookmarkEnd w:id="408"/>
      <w:bookmarkEnd w:id="409"/>
      <w:bookmarkEnd w:id="410"/>
      <w:bookmarkEnd w:id="411"/>
      <w:bookmarkEnd w:id="412"/>
      <w:bookmarkEnd w:id="413"/>
    </w:p>
    <w:p>
      <w:pPr>
        <w:spacing w:line="400" w:lineRule="exact"/>
        <w:ind w:firstLine="420" w:firstLineChars="200"/>
        <w:rPr>
          <w:rFonts w:ascii="宋体" w:hAnsi="宋体"/>
          <w:color w:val="auto"/>
          <w:highlight w:val="none"/>
        </w:rPr>
      </w:pPr>
      <w:r>
        <w:rPr>
          <w:rFonts w:hint="eastAsia" w:ascii="宋体" w:hAnsi="宋体"/>
          <w:color w:val="auto"/>
          <w:highlight w:val="none"/>
        </w:rPr>
        <w:t>7.5.1采购人和中标人应当自中标通知书发出之日起30天内（供应商须知前附表另有规定者从其规定），根据招标文件和中标人的投标文件订立书面合同。中标人无正当理由拒签合同的，采购人取消其中标资格，其投标保证金不予退还；给采购人造成的损失超过投标保证金数额的，中标人还应当对超过部分予以赔偿。</w:t>
      </w:r>
    </w:p>
    <w:p>
      <w:pPr>
        <w:spacing w:line="400" w:lineRule="exact"/>
        <w:ind w:firstLine="420" w:firstLineChars="200"/>
        <w:rPr>
          <w:rFonts w:ascii="宋体" w:hAnsi="宋体"/>
          <w:color w:val="auto"/>
          <w:highlight w:val="none"/>
        </w:rPr>
      </w:pPr>
      <w:r>
        <w:rPr>
          <w:rFonts w:hint="eastAsia" w:ascii="宋体" w:hAnsi="宋体"/>
          <w:color w:val="auto"/>
          <w:highlight w:val="none"/>
        </w:rPr>
        <w:t>7.5.2 发出中标通知书后，采购人无正当理由拒签合同的，采购人向中标人退还投标保证金；给中标人造成损失的，还应当赔偿损失。</w:t>
      </w:r>
    </w:p>
    <w:p>
      <w:pPr>
        <w:spacing w:line="400" w:lineRule="exact"/>
        <w:ind w:firstLine="420" w:firstLineChars="200"/>
        <w:rPr>
          <w:rFonts w:ascii="宋体" w:hAnsi="宋体"/>
          <w:color w:val="auto"/>
          <w:highlight w:val="none"/>
        </w:rPr>
      </w:pPr>
      <w:r>
        <w:rPr>
          <w:rFonts w:hint="eastAsia" w:ascii="宋体" w:hAnsi="宋体"/>
          <w:color w:val="auto"/>
          <w:highlight w:val="none"/>
        </w:rPr>
        <w:t>7.5.3联合体中标的，联合体各方应当共同与采购人签订合同，就中标项目向采购人承担连带责任。</w:t>
      </w:r>
    </w:p>
    <w:p>
      <w:pPr>
        <w:pStyle w:val="7"/>
        <w:rPr>
          <w:rFonts w:ascii="宋体" w:hAnsi="宋体" w:eastAsia="宋体"/>
          <w:color w:val="auto"/>
          <w:highlight w:val="none"/>
        </w:rPr>
      </w:pPr>
      <w:bookmarkStart w:id="414" w:name="_Toc346523409"/>
      <w:bookmarkStart w:id="415" w:name="_Toc338840488"/>
      <w:bookmarkStart w:id="416" w:name="_Toc1612"/>
      <w:bookmarkStart w:id="417" w:name="_Toc494093436"/>
      <w:bookmarkStart w:id="418" w:name="_Toc21421"/>
      <w:bookmarkStart w:id="419" w:name="_Toc338840449"/>
      <w:bookmarkStart w:id="420" w:name="_Toc19232"/>
      <w:bookmarkStart w:id="421" w:name="_Toc494526408"/>
      <w:bookmarkStart w:id="422" w:name="_Toc338840228"/>
      <w:bookmarkStart w:id="423" w:name="_Toc4153"/>
      <w:bookmarkStart w:id="424" w:name="_Toc346523472"/>
      <w:r>
        <w:rPr>
          <w:rFonts w:hint="eastAsia" w:ascii="宋体" w:hAnsi="宋体" w:eastAsia="宋体"/>
          <w:color w:val="auto"/>
          <w:highlight w:val="none"/>
        </w:rPr>
        <w:t>8. 纪律和监督</w:t>
      </w:r>
      <w:bookmarkEnd w:id="414"/>
      <w:bookmarkEnd w:id="415"/>
      <w:bookmarkEnd w:id="416"/>
      <w:bookmarkEnd w:id="417"/>
      <w:bookmarkEnd w:id="418"/>
      <w:bookmarkEnd w:id="419"/>
      <w:bookmarkEnd w:id="420"/>
      <w:bookmarkEnd w:id="421"/>
      <w:bookmarkEnd w:id="422"/>
      <w:bookmarkEnd w:id="423"/>
      <w:bookmarkEnd w:id="424"/>
    </w:p>
    <w:p>
      <w:pPr>
        <w:pStyle w:val="8"/>
        <w:rPr>
          <w:rFonts w:ascii="宋体" w:hAnsi="宋体"/>
          <w:color w:val="auto"/>
          <w:highlight w:val="none"/>
        </w:rPr>
      </w:pPr>
      <w:bookmarkStart w:id="425" w:name="_Toc152045575"/>
      <w:bookmarkStart w:id="426" w:name="_Toc338840229"/>
      <w:bookmarkStart w:id="427" w:name="_Toc144974543"/>
      <w:bookmarkStart w:id="428" w:name="_Toc296590983"/>
      <w:bookmarkStart w:id="429" w:name="_Toc152042351"/>
      <w:bookmarkStart w:id="430" w:name="_Toc246996962"/>
      <w:bookmarkStart w:id="431" w:name="_Toc179632593"/>
      <w:bookmarkStart w:id="432" w:name="_Toc247085733"/>
      <w:bookmarkStart w:id="433" w:name="_Toc246996219"/>
      <w:r>
        <w:rPr>
          <w:rFonts w:hint="eastAsia" w:ascii="宋体" w:hAnsi="宋体"/>
          <w:color w:val="auto"/>
          <w:highlight w:val="none"/>
        </w:rPr>
        <w:t>8.1 对采购人的纪律要求</w:t>
      </w:r>
      <w:bookmarkEnd w:id="425"/>
      <w:bookmarkEnd w:id="426"/>
      <w:bookmarkEnd w:id="427"/>
      <w:bookmarkEnd w:id="428"/>
      <w:bookmarkEnd w:id="429"/>
      <w:bookmarkEnd w:id="430"/>
      <w:bookmarkEnd w:id="431"/>
      <w:bookmarkEnd w:id="432"/>
      <w:bookmarkEnd w:id="433"/>
    </w:p>
    <w:p>
      <w:pPr>
        <w:spacing w:line="400" w:lineRule="exact"/>
        <w:ind w:firstLine="420" w:firstLineChars="200"/>
        <w:rPr>
          <w:rFonts w:ascii="宋体" w:hAnsi="宋体"/>
          <w:color w:val="auto"/>
          <w:highlight w:val="none"/>
        </w:rPr>
      </w:pPr>
      <w:r>
        <w:rPr>
          <w:rFonts w:hint="eastAsia" w:ascii="宋体" w:hAnsi="宋体"/>
          <w:color w:val="auto"/>
          <w:highlight w:val="none"/>
        </w:rPr>
        <w:t>采购人不得泄漏招标投标活动中应当保密的情况和资料，不得与供应商串通损害国家利益、社会公共利益或者他人合法权益。</w:t>
      </w:r>
    </w:p>
    <w:p>
      <w:pPr>
        <w:pStyle w:val="8"/>
        <w:rPr>
          <w:rFonts w:ascii="宋体" w:hAnsi="宋体"/>
          <w:color w:val="auto"/>
          <w:highlight w:val="none"/>
        </w:rPr>
      </w:pPr>
      <w:bookmarkStart w:id="434" w:name="_Toc179632594"/>
      <w:bookmarkStart w:id="435" w:name="_Toc338840230"/>
      <w:bookmarkStart w:id="436" w:name="_Toc247085734"/>
      <w:bookmarkStart w:id="437" w:name="_Toc144974544"/>
      <w:bookmarkStart w:id="438" w:name="_Toc246996963"/>
      <w:bookmarkStart w:id="439" w:name="_Toc152045576"/>
      <w:bookmarkStart w:id="440" w:name="_Toc246996220"/>
      <w:bookmarkStart w:id="441" w:name="_Toc152042352"/>
      <w:r>
        <w:rPr>
          <w:rFonts w:hint="eastAsia" w:ascii="宋体" w:hAnsi="宋体"/>
          <w:color w:val="auto"/>
          <w:highlight w:val="none"/>
        </w:rPr>
        <w:t>8.2 对供应商的纪律要求</w:t>
      </w:r>
      <w:bookmarkEnd w:id="434"/>
      <w:bookmarkEnd w:id="435"/>
      <w:bookmarkEnd w:id="436"/>
      <w:bookmarkEnd w:id="437"/>
      <w:bookmarkEnd w:id="438"/>
      <w:bookmarkEnd w:id="439"/>
      <w:bookmarkEnd w:id="440"/>
      <w:bookmarkEnd w:id="441"/>
    </w:p>
    <w:p>
      <w:pPr>
        <w:spacing w:line="400" w:lineRule="exact"/>
        <w:ind w:firstLine="420" w:firstLineChars="200"/>
        <w:rPr>
          <w:rFonts w:ascii="宋体" w:hAnsi="宋体"/>
          <w:color w:val="auto"/>
          <w:highlight w:val="none"/>
        </w:rPr>
      </w:pPr>
      <w:r>
        <w:rPr>
          <w:rFonts w:hint="eastAsia" w:ascii="宋体" w:hAnsi="宋体"/>
          <w:color w:val="auto"/>
          <w:highlight w:val="none"/>
        </w:rPr>
        <w:t>供应商不得相互串通投标或者与采购人串通投标，不得向采购人或者评标委员会成员行贿谋取中标，不得以他人名义投标或者以其他方式弄虚作假骗取中标；供应商不得以任何方式干扰、影响评标工作。</w:t>
      </w:r>
    </w:p>
    <w:p>
      <w:pPr>
        <w:pStyle w:val="8"/>
        <w:rPr>
          <w:rFonts w:ascii="宋体" w:hAnsi="宋体"/>
          <w:color w:val="auto"/>
          <w:highlight w:val="none"/>
        </w:rPr>
      </w:pPr>
      <w:bookmarkStart w:id="442" w:name="_Toc144974545"/>
      <w:bookmarkStart w:id="443" w:name="_Toc152045577"/>
      <w:bookmarkStart w:id="444" w:name="_Toc338840231"/>
      <w:bookmarkStart w:id="445" w:name="_Toc246996221"/>
      <w:bookmarkStart w:id="446" w:name="_Toc179632595"/>
      <w:bookmarkStart w:id="447" w:name="_Toc246996964"/>
      <w:bookmarkStart w:id="448" w:name="_Toc247085735"/>
      <w:bookmarkStart w:id="449" w:name="_Toc152042353"/>
      <w:r>
        <w:rPr>
          <w:rFonts w:hint="eastAsia" w:ascii="宋体" w:hAnsi="宋体"/>
          <w:color w:val="auto"/>
          <w:highlight w:val="none"/>
        </w:rPr>
        <w:t>8.3 对评标委员会成员的纪律要求</w:t>
      </w:r>
      <w:bookmarkEnd w:id="442"/>
      <w:bookmarkEnd w:id="443"/>
      <w:bookmarkEnd w:id="444"/>
      <w:bookmarkEnd w:id="445"/>
      <w:bookmarkEnd w:id="446"/>
      <w:bookmarkEnd w:id="447"/>
      <w:bookmarkEnd w:id="448"/>
      <w:bookmarkEnd w:id="449"/>
    </w:p>
    <w:p>
      <w:pPr>
        <w:spacing w:line="400" w:lineRule="exact"/>
        <w:ind w:firstLine="420" w:firstLineChars="200"/>
        <w:rPr>
          <w:rFonts w:ascii="宋体" w:hAnsi="宋体"/>
          <w:color w:val="auto"/>
          <w:highlight w:val="none"/>
        </w:rPr>
      </w:pPr>
      <w:r>
        <w:rPr>
          <w:rFonts w:hint="eastAsia" w:ascii="宋体" w:hAnsi="宋体"/>
          <w:color w:val="auto"/>
          <w:highlight w:val="none"/>
        </w:rPr>
        <w:t>评标委员会成员不得收受他人的财物或者其他好处，不得向他人透漏对投标文件的评审和比较、中标候选人的推荐情况以及评标有关的其他情况。在评标活动中，评标委员会成员应当客观、公正地履行职责，遵守职业道德，不得擅离职守，不得干扰评标程序正常进行，不得使用第三章“评标办法”规定以外的评审因素和标准进行评标。</w:t>
      </w:r>
    </w:p>
    <w:p>
      <w:pPr>
        <w:pStyle w:val="8"/>
        <w:rPr>
          <w:rFonts w:ascii="宋体" w:hAnsi="宋体"/>
          <w:color w:val="auto"/>
          <w:highlight w:val="none"/>
        </w:rPr>
      </w:pPr>
      <w:bookmarkStart w:id="450" w:name="_Toc152045578"/>
      <w:bookmarkStart w:id="451" w:name="_Toc152042354"/>
      <w:bookmarkStart w:id="452" w:name="_Toc246996965"/>
      <w:bookmarkStart w:id="453" w:name="_Toc247085736"/>
      <w:bookmarkStart w:id="454" w:name="_Toc179632596"/>
      <w:bookmarkStart w:id="455" w:name="_Toc246996222"/>
      <w:bookmarkStart w:id="456" w:name="_Toc338840232"/>
      <w:bookmarkStart w:id="457" w:name="_Toc144974546"/>
      <w:r>
        <w:rPr>
          <w:rFonts w:hint="eastAsia" w:ascii="宋体" w:hAnsi="宋体"/>
          <w:color w:val="auto"/>
          <w:highlight w:val="none"/>
        </w:rPr>
        <w:t>8.4 对有关招投标工作人员的纪律要求</w:t>
      </w:r>
      <w:bookmarkEnd w:id="450"/>
      <w:bookmarkEnd w:id="451"/>
      <w:bookmarkEnd w:id="452"/>
      <w:bookmarkEnd w:id="453"/>
      <w:bookmarkEnd w:id="454"/>
      <w:bookmarkEnd w:id="455"/>
      <w:bookmarkEnd w:id="456"/>
    </w:p>
    <w:p>
      <w:pPr>
        <w:spacing w:line="400" w:lineRule="exact"/>
        <w:ind w:firstLine="420" w:firstLineChars="200"/>
        <w:rPr>
          <w:rFonts w:ascii="宋体" w:hAnsi="宋体"/>
          <w:color w:val="auto"/>
          <w:highlight w:val="none"/>
        </w:rPr>
      </w:pPr>
      <w:bookmarkStart w:id="458" w:name="_Toc152042355"/>
      <w:r>
        <w:rPr>
          <w:rFonts w:hint="eastAsia" w:ascii="宋体" w:hAnsi="宋体"/>
          <w:color w:val="auto"/>
          <w:highlight w:val="none"/>
        </w:rPr>
        <w:t>与评标活动有关的工作人员不得收受他人的财物或者其他好处，不得向他人透漏对投标文件的评审和比较、中标候选人的推荐情况以及评标有关的其他情况。在评标活动中，与评标活动有关的工作人员不得擅离职守，不得影响评标程序正常进行。</w:t>
      </w:r>
      <w:bookmarkEnd w:id="458"/>
    </w:p>
    <w:p>
      <w:pPr>
        <w:pStyle w:val="8"/>
        <w:rPr>
          <w:rFonts w:ascii="宋体" w:hAnsi="宋体"/>
          <w:color w:val="auto"/>
          <w:highlight w:val="none"/>
        </w:rPr>
      </w:pPr>
      <w:bookmarkStart w:id="459" w:name="_Toc338840233"/>
      <w:bookmarkStart w:id="460" w:name="_Toc152045579"/>
      <w:bookmarkStart w:id="461" w:name="_Toc247085737"/>
      <w:bookmarkStart w:id="462" w:name="_Toc246996223"/>
      <w:bookmarkStart w:id="463" w:name="_Toc152042356"/>
      <w:bookmarkStart w:id="464" w:name="_Toc246996966"/>
      <w:bookmarkStart w:id="465" w:name="_Toc179632597"/>
      <w:r>
        <w:rPr>
          <w:rFonts w:hint="eastAsia" w:ascii="宋体" w:hAnsi="宋体"/>
          <w:color w:val="auto"/>
          <w:highlight w:val="none"/>
        </w:rPr>
        <w:t>8.5 质疑</w:t>
      </w:r>
      <w:bookmarkEnd w:id="459"/>
    </w:p>
    <w:p>
      <w:pPr>
        <w:spacing w:line="400" w:lineRule="exact"/>
        <w:ind w:firstLine="420" w:firstLineChars="200"/>
        <w:rPr>
          <w:rFonts w:ascii="宋体" w:hAnsi="宋体"/>
          <w:color w:val="auto"/>
          <w:highlight w:val="none"/>
        </w:rPr>
      </w:pPr>
      <w:r>
        <w:rPr>
          <w:rFonts w:hint="eastAsia" w:ascii="宋体" w:hAnsi="宋体"/>
          <w:color w:val="auto"/>
          <w:highlight w:val="none"/>
        </w:rPr>
        <w:t>供应商认为采购文件、采购过程和中标、成交结果使自己的权益受到损害，可以规定时间内向采购人或代理机构提出质疑。详见供应商须知前附表。</w:t>
      </w:r>
    </w:p>
    <w:p>
      <w:pPr>
        <w:spacing w:line="400" w:lineRule="exact"/>
        <w:ind w:firstLine="420" w:firstLineChars="200"/>
        <w:rPr>
          <w:rFonts w:ascii="宋体" w:hAnsi="宋体"/>
          <w:color w:val="auto"/>
          <w:highlight w:val="none"/>
        </w:rPr>
      </w:pPr>
      <w:r>
        <w:rPr>
          <w:rFonts w:hint="eastAsia" w:ascii="宋体" w:hAnsi="宋体"/>
          <w:color w:val="auto"/>
          <w:highlight w:val="none"/>
        </w:rPr>
        <w:t>供应商在法定质疑期内一次性提出针对同一采购程序环节的质疑。</w:t>
      </w:r>
    </w:p>
    <w:p>
      <w:pPr>
        <w:spacing w:line="400" w:lineRule="exact"/>
        <w:ind w:firstLine="420" w:firstLineChars="200"/>
        <w:rPr>
          <w:rFonts w:ascii="宋体" w:hAnsi="宋体"/>
          <w:color w:val="auto"/>
          <w:highlight w:val="none"/>
        </w:rPr>
      </w:pPr>
      <w:r>
        <w:rPr>
          <w:rFonts w:hint="eastAsia" w:ascii="宋体" w:hAnsi="宋体"/>
          <w:color w:val="auto"/>
          <w:highlight w:val="none"/>
        </w:rPr>
        <w:t>提出质疑的供应商（以下简称质疑供应商）应当是参与所质疑项目采购活动的供应商。</w:t>
      </w:r>
    </w:p>
    <w:p>
      <w:pPr>
        <w:spacing w:line="400" w:lineRule="exact"/>
        <w:ind w:firstLine="420" w:firstLineChars="200"/>
        <w:rPr>
          <w:rFonts w:ascii="宋体" w:hAnsi="宋体"/>
          <w:color w:val="auto"/>
          <w:highlight w:val="none"/>
        </w:rPr>
      </w:pPr>
      <w:r>
        <w:rPr>
          <w:rFonts w:hint="eastAsia" w:ascii="宋体" w:hAnsi="宋体"/>
          <w:color w:val="auto"/>
          <w:highlight w:val="none"/>
        </w:rPr>
        <w:t>供应商提出质疑应当提交质疑函和必要的证明材料。质疑函应当包括下列内容：（一）供应商的姓名或者名称、地址、邮编、联系人及联系电话；（二）质疑项目的名称、编号；（三）具体、明确的质疑事项和与质疑事项相关的请求；（四）事实依据；（五）必要的法律依据；（六）提出质疑的日期。供应商为自然人的，应当由本人签字；供应商为法人或者其他组织的，应当由法定代表人、主要负责人，或者其授权代表签字或者盖章，并加盖公章。</w:t>
      </w:r>
    </w:p>
    <w:p>
      <w:pPr>
        <w:spacing w:line="400" w:lineRule="exact"/>
        <w:ind w:firstLine="420" w:firstLineChars="200"/>
        <w:rPr>
          <w:rFonts w:ascii="宋体" w:hAnsi="宋体"/>
          <w:color w:val="auto"/>
          <w:highlight w:val="none"/>
        </w:rPr>
      </w:pPr>
      <w:r>
        <w:rPr>
          <w:rFonts w:hint="eastAsia" w:ascii="宋体" w:hAnsi="宋体"/>
          <w:color w:val="auto"/>
          <w:highlight w:val="none"/>
        </w:rPr>
        <w:t>代理人提出质疑和投诉，应当提交供应商签署的授权委托书。</w:t>
      </w:r>
    </w:p>
    <w:p>
      <w:pPr>
        <w:pStyle w:val="8"/>
        <w:rPr>
          <w:rFonts w:ascii="宋体" w:hAnsi="宋体"/>
          <w:color w:val="auto"/>
          <w:highlight w:val="none"/>
        </w:rPr>
      </w:pPr>
      <w:bookmarkStart w:id="466" w:name="_Toc338840234"/>
      <w:r>
        <w:rPr>
          <w:rFonts w:hint="eastAsia" w:ascii="宋体" w:hAnsi="宋体"/>
          <w:color w:val="auto"/>
          <w:highlight w:val="none"/>
        </w:rPr>
        <w:t>8.6 投诉</w:t>
      </w:r>
      <w:bookmarkEnd w:id="457"/>
      <w:bookmarkEnd w:id="460"/>
      <w:bookmarkEnd w:id="461"/>
      <w:bookmarkEnd w:id="462"/>
      <w:bookmarkEnd w:id="463"/>
      <w:bookmarkEnd w:id="464"/>
      <w:bookmarkEnd w:id="465"/>
      <w:bookmarkEnd w:id="466"/>
    </w:p>
    <w:p>
      <w:pPr>
        <w:spacing w:line="400" w:lineRule="exact"/>
        <w:ind w:firstLine="420" w:firstLineChars="200"/>
        <w:rPr>
          <w:rFonts w:ascii="宋体" w:hAnsi="宋体"/>
          <w:color w:val="auto"/>
          <w:highlight w:val="none"/>
        </w:rPr>
      </w:pPr>
      <w:r>
        <w:rPr>
          <w:rFonts w:hint="eastAsia" w:ascii="宋体" w:hAnsi="宋体"/>
          <w:color w:val="auto"/>
          <w:highlight w:val="none"/>
        </w:rPr>
        <w:t xml:space="preserve">供应商提出投诉的，应当先向采购人、采购代理机构提出质疑。质疑供应商对采购人、采购代理机构的答复不满意或者采购人、采购代理机构未在规定的时间内作出答复的，可以在答复期满后15个工作日内向同级政府采购监督管理部门投诉。 </w:t>
      </w:r>
      <w:bookmarkStart w:id="467" w:name="_Toc419645322"/>
    </w:p>
    <w:p>
      <w:pPr>
        <w:pStyle w:val="7"/>
        <w:rPr>
          <w:rFonts w:ascii="宋体" w:hAnsi="宋体" w:eastAsia="宋体"/>
          <w:color w:val="auto"/>
          <w:highlight w:val="none"/>
        </w:rPr>
      </w:pPr>
      <w:bookmarkStart w:id="468" w:name="_Toc10773"/>
      <w:bookmarkStart w:id="469" w:name="_Toc6099"/>
      <w:bookmarkStart w:id="470" w:name="_Toc17117"/>
      <w:bookmarkStart w:id="471" w:name="_Toc31310"/>
      <w:r>
        <w:rPr>
          <w:rFonts w:hint="eastAsia" w:ascii="宋体" w:hAnsi="宋体" w:eastAsia="宋体"/>
          <w:color w:val="auto"/>
          <w:highlight w:val="none"/>
        </w:rPr>
        <w:t>9. 关于中小企业、监狱企业、残疾人福利性单位投标的</w:t>
      </w:r>
      <w:bookmarkEnd w:id="467"/>
      <w:bookmarkStart w:id="472" w:name="_Toc419645323"/>
      <w:r>
        <w:rPr>
          <w:rFonts w:hint="eastAsia" w:ascii="宋体" w:hAnsi="宋体" w:eastAsia="宋体"/>
          <w:color w:val="auto"/>
          <w:highlight w:val="none"/>
        </w:rPr>
        <w:t>说明</w:t>
      </w:r>
      <w:bookmarkEnd w:id="468"/>
      <w:bookmarkEnd w:id="469"/>
      <w:bookmarkEnd w:id="470"/>
      <w:bookmarkEnd w:id="471"/>
    </w:p>
    <w:p>
      <w:pPr>
        <w:pStyle w:val="8"/>
        <w:rPr>
          <w:rFonts w:ascii="宋体" w:hAnsi="宋体"/>
          <w:color w:val="auto"/>
          <w:highlight w:val="none"/>
        </w:rPr>
      </w:pPr>
      <w:r>
        <w:rPr>
          <w:rFonts w:hint="eastAsia" w:ascii="宋体" w:hAnsi="宋体"/>
          <w:color w:val="auto"/>
          <w:highlight w:val="none"/>
        </w:rPr>
        <w:t xml:space="preserve">9.1 </w:t>
      </w:r>
      <w:bookmarkEnd w:id="472"/>
      <w:r>
        <w:rPr>
          <w:rFonts w:hint="eastAsia" w:ascii="宋体" w:hAnsi="宋体"/>
          <w:color w:val="auto"/>
          <w:highlight w:val="none"/>
        </w:rPr>
        <w:t>含义</w:t>
      </w:r>
    </w:p>
    <w:p>
      <w:pPr>
        <w:spacing w:line="400" w:lineRule="exact"/>
        <w:ind w:firstLine="420" w:firstLineChars="200"/>
        <w:rPr>
          <w:rFonts w:ascii="宋体" w:hAnsi="宋体"/>
          <w:color w:val="auto"/>
          <w:highlight w:val="none"/>
        </w:rPr>
      </w:pPr>
      <w:r>
        <w:rPr>
          <w:rFonts w:hint="eastAsia" w:ascii="宋体" w:hAnsi="宋体"/>
          <w:color w:val="auto"/>
          <w:highlight w:val="none"/>
        </w:rPr>
        <w:t>9.1.1中小企业。符合国务院有关部门制定的中小企业划型标准</w:t>
      </w:r>
      <w:bookmarkStart w:id="473" w:name="_Toc419645324"/>
      <w:r>
        <w:rPr>
          <w:rFonts w:hint="eastAsia" w:ascii="宋体" w:hAnsi="宋体"/>
          <w:color w:val="auto"/>
          <w:highlight w:val="none"/>
        </w:rPr>
        <w:t>，提供本企业制造的货物、承担的工程或者服务，或者提供其他中小企业制造的货物。</w:t>
      </w:r>
    </w:p>
    <w:p>
      <w:pPr>
        <w:spacing w:line="400" w:lineRule="exact"/>
        <w:ind w:firstLine="420" w:firstLineChars="200"/>
        <w:rPr>
          <w:rFonts w:ascii="宋体" w:hAnsi="宋体"/>
          <w:color w:val="auto"/>
          <w:highlight w:val="none"/>
        </w:rPr>
      </w:pPr>
      <w:r>
        <w:rPr>
          <w:rFonts w:hint="eastAsia" w:ascii="宋体" w:hAnsi="宋体"/>
          <w:color w:val="auto"/>
          <w:highlight w:val="none"/>
        </w:rPr>
        <w:t>9.1.2监狱企业。监狱企业参加政府采购活动时，应当提供由省级以上监狱管理局、戒毒管理局（含新疆生产建设兵团）出具的属于监狱企业的证明文件，才可享受相关政策。</w:t>
      </w:r>
      <w:r>
        <w:rPr>
          <w:rFonts w:hint="eastAsia" w:ascii="宋体" w:hAnsi="宋体"/>
          <w:color w:val="auto"/>
          <w:highlight w:val="none"/>
        </w:rPr>
        <w:br w:type="textWrapping"/>
      </w:r>
      <w:r>
        <w:rPr>
          <w:rFonts w:hint="eastAsia" w:ascii="宋体" w:hAnsi="宋体"/>
          <w:color w:val="auto"/>
          <w:highlight w:val="none"/>
        </w:rPr>
        <w:t>　　在政府采购活动中监狱企业视同小型、微型企业并适用其相关规定，提供本企业制造的货物、承担的工程或服务，享受预留份额、评审中价格扣除等政府采购促进中小企业发展的政府采购政策。</w:t>
      </w:r>
    </w:p>
    <w:p>
      <w:pPr>
        <w:spacing w:line="400" w:lineRule="exact"/>
        <w:ind w:firstLine="420" w:firstLineChars="200"/>
        <w:rPr>
          <w:rFonts w:ascii="宋体" w:hAnsi="宋体"/>
          <w:color w:val="auto"/>
          <w:highlight w:val="none"/>
        </w:rPr>
      </w:pPr>
      <w:r>
        <w:rPr>
          <w:rFonts w:hint="eastAsia" w:ascii="宋体" w:hAnsi="宋体"/>
          <w:color w:val="auto"/>
          <w:highlight w:val="none"/>
        </w:rPr>
        <w:t>9.1.3残疾人福利性单位。</w:t>
      </w:r>
    </w:p>
    <w:p>
      <w:pPr>
        <w:spacing w:line="400" w:lineRule="exact"/>
        <w:ind w:firstLine="420" w:firstLineChars="200"/>
        <w:rPr>
          <w:rFonts w:ascii="宋体" w:hAnsi="宋体"/>
          <w:color w:val="auto"/>
          <w:highlight w:val="none"/>
        </w:rPr>
      </w:pPr>
      <w:r>
        <w:rPr>
          <w:rFonts w:hint="eastAsia" w:ascii="宋体" w:hAnsi="宋体"/>
          <w:color w:val="auto"/>
          <w:highlight w:val="none"/>
        </w:rPr>
        <w:t>9.1.3.1享受政府采购支持政策的残疾人福利性单位应当同时满足以下条件：</w:t>
      </w:r>
    </w:p>
    <w:p>
      <w:pPr>
        <w:spacing w:line="400" w:lineRule="exact"/>
        <w:ind w:firstLine="420" w:firstLineChars="200"/>
        <w:rPr>
          <w:rFonts w:ascii="宋体" w:hAnsi="宋体"/>
          <w:color w:val="auto"/>
          <w:highlight w:val="none"/>
        </w:rPr>
      </w:pPr>
      <w:r>
        <w:rPr>
          <w:rFonts w:hint="eastAsia" w:ascii="宋体" w:hAnsi="宋体"/>
          <w:color w:val="auto"/>
          <w:highlight w:val="none"/>
        </w:rPr>
        <w:t>　　（一）安置的残疾人占本单位在职职工人数的比例不低于25%（含25%），并且安置的残疾人人数不少于10人（含10人）；</w:t>
      </w:r>
    </w:p>
    <w:p>
      <w:pPr>
        <w:spacing w:line="400" w:lineRule="exact"/>
        <w:ind w:firstLine="420" w:firstLineChars="200"/>
        <w:rPr>
          <w:rFonts w:ascii="宋体" w:hAnsi="宋体"/>
          <w:color w:val="auto"/>
          <w:highlight w:val="none"/>
        </w:rPr>
      </w:pPr>
      <w:r>
        <w:rPr>
          <w:rFonts w:hint="eastAsia" w:ascii="宋体" w:hAnsi="宋体"/>
          <w:color w:val="auto"/>
          <w:highlight w:val="none"/>
        </w:rPr>
        <w:t>　　（二）依法与安置的每位残疾人签订了一年以上（含一年）的劳动合同或服务协议；</w:t>
      </w:r>
    </w:p>
    <w:p>
      <w:pPr>
        <w:spacing w:line="400" w:lineRule="exact"/>
        <w:ind w:firstLine="420" w:firstLineChars="200"/>
        <w:rPr>
          <w:rFonts w:ascii="宋体" w:hAnsi="宋体"/>
          <w:color w:val="auto"/>
          <w:highlight w:val="none"/>
        </w:rPr>
      </w:pPr>
      <w:r>
        <w:rPr>
          <w:rFonts w:hint="eastAsia" w:ascii="宋体" w:hAnsi="宋体"/>
          <w:color w:val="auto"/>
          <w:highlight w:val="none"/>
        </w:rPr>
        <w:t>　　（三）为安置的每位残疾人按月足额缴纳了基本养老保险、基本医疗保险、失业保险、工伤保险和生育保险等社会保险费；</w:t>
      </w:r>
    </w:p>
    <w:p>
      <w:pPr>
        <w:spacing w:line="400" w:lineRule="exact"/>
        <w:ind w:firstLine="420" w:firstLineChars="200"/>
        <w:rPr>
          <w:rFonts w:ascii="宋体" w:hAnsi="宋体"/>
          <w:color w:val="auto"/>
          <w:highlight w:val="none"/>
        </w:rPr>
      </w:pPr>
      <w:r>
        <w:rPr>
          <w:rFonts w:hint="eastAsia" w:ascii="宋体" w:hAnsi="宋体"/>
          <w:color w:val="auto"/>
          <w:highlight w:val="none"/>
        </w:rPr>
        <w:t>　　（四）通过银行等金融机构向安置的每位残疾人，按月支付了不低于单位所在区县适用的经省级人民政府批准的月最低工资标准的工资；</w:t>
      </w:r>
    </w:p>
    <w:p>
      <w:pPr>
        <w:spacing w:line="400" w:lineRule="exact"/>
        <w:ind w:firstLine="420" w:firstLineChars="200"/>
        <w:rPr>
          <w:rFonts w:ascii="宋体" w:hAnsi="宋体"/>
          <w:color w:val="auto"/>
          <w:highlight w:val="none"/>
        </w:rPr>
      </w:pPr>
      <w:r>
        <w:rPr>
          <w:rFonts w:hint="eastAsia" w:ascii="宋体" w:hAnsi="宋体"/>
          <w:color w:val="auto"/>
          <w:highlight w:val="none"/>
        </w:rPr>
        <w:t>　　（五）提供本单位制造的货物、承担的工程或者服务（以下简称产品），或者提供其他残疾人福利性单位制造的货物（不包括使用非残疾人福利性单位注册商标的货物）。</w:t>
      </w:r>
    </w:p>
    <w:p>
      <w:pPr>
        <w:spacing w:line="400" w:lineRule="exact"/>
        <w:ind w:firstLine="420" w:firstLineChars="200"/>
        <w:rPr>
          <w:rFonts w:ascii="宋体" w:hAnsi="宋体"/>
          <w:color w:val="auto"/>
          <w:highlight w:val="none"/>
        </w:rPr>
      </w:pPr>
      <w:r>
        <w:rPr>
          <w:rFonts w:hint="eastAsia" w:ascii="宋体" w:hAnsi="宋体"/>
          <w:color w:val="auto"/>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spacing w:line="400" w:lineRule="exact"/>
        <w:ind w:firstLine="420" w:firstLineChars="200"/>
        <w:rPr>
          <w:rFonts w:ascii="宋体" w:hAnsi="宋体"/>
          <w:color w:val="auto"/>
          <w:highlight w:val="none"/>
        </w:rPr>
      </w:pPr>
      <w:r>
        <w:rPr>
          <w:rFonts w:hint="eastAsia" w:ascii="宋体" w:hAnsi="宋体"/>
          <w:color w:val="auto"/>
          <w:highlight w:val="none"/>
        </w:rPr>
        <w:t>9.1.3.2、符合条件的残疾人福利性单位在参加政府采购活动时，应当提供规定的《残疾人福利性单位声明函》（见附件），并对声明的真实性负责。</w:t>
      </w:r>
    </w:p>
    <w:p>
      <w:pPr>
        <w:spacing w:line="400" w:lineRule="exact"/>
        <w:ind w:firstLine="420" w:firstLineChars="200"/>
        <w:rPr>
          <w:rFonts w:ascii="宋体" w:hAnsi="宋体"/>
          <w:color w:val="auto"/>
          <w:highlight w:val="none"/>
        </w:rPr>
      </w:pPr>
      <w:r>
        <w:rPr>
          <w:rFonts w:hint="eastAsia" w:ascii="宋体" w:hAnsi="宋体"/>
          <w:color w:val="auto"/>
          <w:highlight w:val="none"/>
        </w:rPr>
        <w:t>供应商提供的《残疾人福利性单位声明函》与事实不符的，依照《政府采购法》第七十七条第一款和招标文件规定追究法律责任。</w:t>
      </w:r>
    </w:p>
    <w:p>
      <w:pPr>
        <w:spacing w:line="400" w:lineRule="exact"/>
        <w:ind w:firstLine="420" w:firstLineChars="200"/>
        <w:rPr>
          <w:rFonts w:ascii="宋体" w:hAnsi="宋体"/>
          <w:color w:val="auto"/>
          <w:highlight w:val="none"/>
        </w:rPr>
      </w:pPr>
      <w:r>
        <w:rPr>
          <w:rFonts w:hint="eastAsia" w:ascii="宋体" w:hAnsi="宋体"/>
          <w:color w:val="auto"/>
          <w:highlight w:val="none"/>
        </w:rPr>
        <w:t>9.1.3.3、在政府采购活动中残疾人福利性单位视同小型、微型企业并适用其相关规定，提供本企业制造的货物、承担的工程或服务，享受预留份额、评审中价格扣除等促进中小企业发展的政府采购政策。</w:t>
      </w:r>
    </w:p>
    <w:p>
      <w:pPr>
        <w:rPr>
          <w:rFonts w:ascii="宋体" w:hAnsi="宋体"/>
          <w:color w:val="auto"/>
          <w:highlight w:val="none"/>
        </w:rPr>
      </w:pPr>
      <w:r>
        <w:rPr>
          <w:rFonts w:hint="eastAsia" w:ascii="宋体" w:hAnsi="宋体"/>
          <w:color w:val="auto"/>
          <w:highlight w:val="none"/>
        </w:rPr>
        <w:t>　　9.1.4 中标、成交结果公告同时公告其小微企业、监狱企业、残疾人福利性单位的证明材料及相关资料，接受社会监督。</w:t>
      </w:r>
    </w:p>
    <w:p>
      <w:pPr>
        <w:pStyle w:val="8"/>
        <w:rPr>
          <w:rFonts w:ascii="宋体" w:hAnsi="宋体"/>
          <w:color w:val="auto"/>
          <w:highlight w:val="none"/>
        </w:rPr>
      </w:pPr>
      <w:r>
        <w:rPr>
          <w:rFonts w:hint="eastAsia" w:ascii="宋体" w:hAnsi="宋体"/>
          <w:color w:val="auto"/>
          <w:highlight w:val="none"/>
        </w:rPr>
        <w:t>9.2价格扣除</w:t>
      </w:r>
    </w:p>
    <w:p>
      <w:pPr>
        <w:spacing w:line="400" w:lineRule="exact"/>
        <w:ind w:firstLine="420" w:firstLineChars="200"/>
        <w:rPr>
          <w:rFonts w:ascii="宋体" w:hAnsi="宋体"/>
          <w:color w:val="auto"/>
          <w:highlight w:val="none"/>
        </w:rPr>
      </w:pPr>
      <w:r>
        <w:rPr>
          <w:rFonts w:hint="eastAsia" w:ascii="宋体" w:hAnsi="宋体"/>
          <w:color w:val="auto"/>
          <w:highlight w:val="none"/>
        </w:rPr>
        <w:t xml:space="preserve">9.2.1供应商按要求出具《中小企业声明函》，符合下列情形的，可享受中小企业扶持政策：（一）在货物采购项目中，货物由中小企业制造，即货物由中小企业生产且使用该中小企业商号或者注册商标； （二）在工程采购项目中，工程由中小企业承建，即工程施工单位为中小企业； （三）在服务采购项目中，服务由中小企业承接，即提供服务的人员为中小企业依照《中华人民共和国劳动合同法》 订立劳动合同的从业人员。 </w:t>
      </w:r>
    </w:p>
    <w:p>
      <w:pPr>
        <w:spacing w:line="400" w:lineRule="exact"/>
        <w:ind w:firstLine="420" w:firstLineChars="200"/>
        <w:rPr>
          <w:rFonts w:ascii="宋体" w:hAnsi="宋体"/>
          <w:color w:val="auto"/>
          <w:highlight w:val="none"/>
        </w:rPr>
      </w:pPr>
      <w:r>
        <w:rPr>
          <w:rFonts w:hint="eastAsia" w:ascii="宋体" w:hAnsi="宋体"/>
          <w:color w:val="auto"/>
          <w:highlight w:val="none"/>
        </w:rPr>
        <w:t>在货物采购项目中，供应商提供的货物既有中小企业制造货物，也有大型企业制造货物的，不享受本办法规定的中小企业扶持政策。</w:t>
      </w:r>
    </w:p>
    <w:p>
      <w:pPr>
        <w:spacing w:line="400" w:lineRule="exact"/>
        <w:ind w:firstLine="420" w:firstLineChars="200"/>
        <w:rPr>
          <w:rFonts w:ascii="宋体" w:hAnsi="宋体"/>
          <w:color w:val="auto"/>
          <w:highlight w:val="none"/>
        </w:rPr>
      </w:pPr>
      <w:r>
        <w:rPr>
          <w:rFonts w:hint="eastAsia" w:ascii="宋体" w:hAnsi="宋体"/>
          <w:color w:val="auto"/>
          <w:highlight w:val="none"/>
        </w:rPr>
        <w:t>以联合体形式参加政府采购活动，联合体各方均为中小企业的，联合体视同中小企业。其中，联合体各方均为小微企业的，联合体视同小微企业。</w:t>
      </w:r>
    </w:p>
    <w:p>
      <w:pPr>
        <w:spacing w:line="400" w:lineRule="exact"/>
        <w:ind w:firstLine="420" w:firstLineChars="200"/>
        <w:rPr>
          <w:rFonts w:ascii="宋体" w:hAnsi="宋体"/>
          <w:color w:val="auto"/>
          <w:highlight w:val="none"/>
        </w:rPr>
      </w:pPr>
      <w:r>
        <w:rPr>
          <w:rFonts w:hint="eastAsia" w:ascii="宋体" w:hAnsi="宋体"/>
          <w:color w:val="auto"/>
          <w:highlight w:val="none"/>
        </w:rPr>
        <w:t>9.2.2供应商属于监狱企业并以该身份投标，按要求提供《监狱企业证明》，视同小型、微型企业，对该企业生产的货物、提供的工程或服务在评审时给予价格扣除。</w:t>
      </w:r>
    </w:p>
    <w:p>
      <w:pPr>
        <w:spacing w:line="400" w:lineRule="exact"/>
        <w:ind w:firstLine="420" w:firstLineChars="200"/>
        <w:rPr>
          <w:rFonts w:ascii="宋体" w:hAnsi="宋体"/>
          <w:color w:val="auto"/>
          <w:highlight w:val="none"/>
        </w:rPr>
      </w:pPr>
      <w:r>
        <w:rPr>
          <w:rFonts w:hint="eastAsia" w:ascii="宋体" w:hAnsi="宋体"/>
          <w:color w:val="auto"/>
          <w:highlight w:val="none"/>
        </w:rPr>
        <w:t>9.2.3、供应商属于残疾人福利性单位并以该身份投标，按要求提供《残疾人福利性单位声明函》，提供本单位制造的货物、承担的工程或者服务，或者提供其他残疾人福利性单位制造的货物（不包括使用非残疾人福利性单位注册商标的货物），视同小型、微型企业，在评审时给予价格扣除。</w:t>
      </w:r>
    </w:p>
    <w:p>
      <w:pPr>
        <w:spacing w:line="400" w:lineRule="exact"/>
        <w:ind w:firstLine="420" w:firstLineChars="200"/>
        <w:rPr>
          <w:rFonts w:ascii="宋体" w:hAnsi="宋体"/>
          <w:color w:val="auto"/>
          <w:highlight w:val="none"/>
        </w:rPr>
      </w:pPr>
      <w:r>
        <w:rPr>
          <w:rFonts w:hint="eastAsia" w:ascii="宋体" w:hAnsi="宋体"/>
          <w:color w:val="auto"/>
          <w:highlight w:val="none"/>
        </w:rPr>
        <w:t>供应商对其提供的资料真实性自行负责，如有虚假，列入财政部“政府采购严重违法失信行为信息记录”，若为中标人者其中标资格将被取消。</w:t>
      </w:r>
    </w:p>
    <w:p>
      <w:pPr>
        <w:pStyle w:val="8"/>
        <w:rPr>
          <w:rFonts w:ascii="宋体" w:hAnsi="宋体"/>
          <w:color w:val="auto"/>
          <w:highlight w:val="none"/>
        </w:rPr>
      </w:pPr>
      <w:r>
        <w:rPr>
          <w:rFonts w:hint="eastAsia" w:ascii="宋体" w:hAnsi="宋体"/>
          <w:color w:val="auto"/>
          <w:highlight w:val="none"/>
        </w:rPr>
        <w:t>9.3</w:t>
      </w:r>
      <w:bookmarkEnd w:id="473"/>
      <w:r>
        <w:rPr>
          <w:rFonts w:hint="eastAsia" w:ascii="宋体" w:hAnsi="宋体"/>
          <w:color w:val="auto"/>
          <w:highlight w:val="none"/>
        </w:rPr>
        <w:t>中小企业划型标准（国家政策和标准如有调整时以最新为准）</w:t>
      </w:r>
    </w:p>
    <w:p>
      <w:pPr>
        <w:spacing w:line="400" w:lineRule="exact"/>
        <w:rPr>
          <w:rFonts w:ascii="宋体" w:hAnsi="宋体" w:cs="宋体"/>
          <w:color w:val="auto"/>
          <w:highlight w:val="none"/>
        </w:rPr>
      </w:pPr>
      <w:bookmarkStart w:id="474" w:name="_Toc6557"/>
      <w:bookmarkStart w:id="475" w:name="_Hlk161150004"/>
      <w:bookmarkStart w:id="476" w:name="_Toc247085738"/>
      <w:bookmarkStart w:id="477" w:name="_Toc346523410"/>
      <w:bookmarkStart w:id="478" w:name="_Toc338840235"/>
      <w:bookmarkStart w:id="479" w:name="_Toc338840450"/>
      <w:bookmarkStart w:id="480" w:name="_Toc246996967"/>
      <w:bookmarkStart w:id="481" w:name="_Toc30779"/>
      <w:bookmarkStart w:id="482" w:name="_Toc152042357"/>
      <w:bookmarkStart w:id="483" w:name="_Toc179632598"/>
      <w:bookmarkStart w:id="484" w:name="_Toc144974547"/>
      <w:bookmarkStart w:id="485" w:name="_Toc346523473"/>
      <w:bookmarkStart w:id="486" w:name="_Toc5690"/>
      <w:bookmarkStart w:id="487" w:name="_Toc338840489"/>
      <w:bookmarkStart w:id="488" w:name="_Toc16148"/>
      <w:bookmarkStart w:id="489" w:name="_Toc152045580"/>
      <w:bookmarkStart w:id="490" w:name="_Toc246996224"/>
      <w:r>
        <w:rPr>
          <w:rFonts w:hint="eastAsia" w:ascii="宋体" w:hAnsi="宋体" w:cs="宋体"/>
          <w:color w:val="auto"/>
          <w:highlight w:val="none"/>
        </w:rPr>
        <w:t>中小企业划型标准规定</w:t>
      </w:r>
      <w:bookmarkEnd w:id="474"/>
      <w:r>
        <w:rPr>
          <w:rFonts w:hint="eastAsia" w:ascii="宋体" w:hAnsi="宋体" w:cs="宋体"/>
          <w:color w:val="auto"/>
          <w:highlight w:val="none"/>
        </w:rPr>
        <w:t>（工信部联企业〔2011〕300号）</w:t>
      </w:r>
      <w:bookmarkEnd w:id="475"/>
      <w:r>
        <w:rPr>
          <w:rFonts w:hint="eastAsia" w:ascii="宋体" w:hAnsi="宋体" w:cs="宋体"/>
          <w:color w:val="auto"/>
          <w:highlight w:val="none"/>
        </w:rPr>
        <w:t>： </w:t>
      </w:r>
    </w:p>
    <w:p>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一、根据《中华人民共和国中小企业促进法》和《国务院关于进一步促进中小企业发展的若干意见》(国发〔2009〕36号)，制定本规定。</w:t>
      </w:r>
    </w:p>
    <w:p>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二、中小企业划分为中型、小型、微型三种类型，具体标准根据企业从业人员、营业收入、资产总额等指标，结合行业特点制定。</w:t>
      </w:r>
    </w:p>
    <w:p>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四、各行业划型标准为：</w:t>
      </w:r>
    </w:p>
    <w:p>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（一）农、林、牧、渔业。营业收入20000万元以下的为中小微型企业。其中，营业收入500万元及以上的为中型企业，营业收入50万元及以上的为小型企业，营业收入50万元以下的为微型企业。</w:t>
      </w:r>
    </w:p>
    <w:p>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（十六）其他未列明行业。从业人员300人以下的为中小微型企业。其中，从业人员100人及以上的为中型企业；从业人员10人及以上的为小型企业；从业人员10人以下的为微型企业。</w:t>
      </w:r>
    </w:p>
    <w:p>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五、企业类型的划分以统计部门的统计数据为依据。</w:t>
      </w:r>
    </w:p>
    <w:p>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六、本规定适用于在中华人民共和国境内依法设立的各类所有制和各种组织形式的企业。个体工商户和本规定以外的行业，参照本规定进行划型。</w:t>
      </w:r>
    </w:p>
    <w:p>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七、本规定的中型企业标准上限即为大型企业标准的下限，国家统计部门据此制定大中小微型企业的统计分类。国务院有关部门据此进行相关数据分析，不得制定与本规定不一致的企业划型标准。</w:t>
      </w:r>
    </w:p>
    <w:p>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八、本规定由工业和信息化部、国家统计局会同有关部门根据《国民经济行业分类》修订情况和企业发展变化情况适时修订。</w:t>
      </w:r>
    </w:p>
    <w:p>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九、本规定由工业和信息化部、国家统计局会同有关部门负责解释。</w:t>
      </w:r>
    </w:p>
    <w:p>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十、本规定自发布之日起执行，原国家经贸委、原国家计委、财政部和国家统计局2003年颁布的《中小企业标准暂行规定》同时废止。</w:t>
      </w:r>
    </w:p>
    <w:p>
      <w:pPr>
        <w:pStyle w:val="7"/>
        <w:rPr>
          <w:rFonts w:ascii="宋体" w:hAnsi="宋体" w:eastAsia="宋体"/>
          <w:color w:val="auto"/>
          <w:highlight w:val="none"/>
        </w:rPr>
      </w:pPr>
      <w:bookmarkStart w:id="491" w:name="_Toc615"/>
      <w:r>
        <w:rPr>
          <w:rFonts w:hint="eastAsia" w:ascii="宋体" w:hAnsi="宋体" w:eastAsia="宋体"/>
          <w:color w:val="auto"/>
          <w:highlight w:val="none"/>
        </w:rPr>
        <w:t>10. 需要补充的其他内容</w:t>
      </w:r>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p>
    <w:p>
      <w:pPr>
        <w:spacing w:line="400" w:lineRule="exact"/>
        <w:ind w:firstLine="420" w:firstLineChars="200"/>
        <w:rPr>
          <w:rFonts w:ascii="宋体" w:hAnsi="宋体"/>
          <w:color w:val="auto"/>
          <w:highlight w:val="none"/>
        </w:rPr>
      </w:pPr>
      <w:r>
        <w:rPr>
          <w:rFonts w:hint="eastAsia" w:ascii="宋体" w:hAnsi="宋体"/>
          <w:color w:val="auto"/>
          <w:highlight w:val="none"/>
        </w:rPr>
        <w:t>需要补充的其他内容：见供应商须知前附表。</w:t>
      </w:r>
    </w:p>
    <w:p>
      <w:pPr>
        <w:pStyle w:val="7"/>
        <w:rPr>
          <w:rFonts w:ascii="宋体" w:hAnsi="宋体" w:eastAsia="宋体"/>
          <w:color w:val="auto"/>
          <w:highlight w:val="none"/>
        </w:rPr>
      </w:pPr>
      <w:bookmarkStart w:id="492" w:name="_Toc23287"/>
      <w:bookmarkStart w:id="493" w:name="_Toc338840236"/>
      <w:bookmarkStart w:id="494" w:name="_Toc29712"/>
      <w:bookmarkStart w:id="495" w:name="_Toc16122"/>
      <w:bookmarkStart w:id="496" w:name="_Toc494526409"/>
      <w:bookmarkStart w:id="497" w:name="_Toc346523474"/>
      <w:bookmarkStart w:id="498" w:name="_Toc13623"/>
      <w:bookmarkStart w:id="499" w:name="_Toc494093437"/>
      <w:bookmarkStart w:id="500" w:name="_Toc346523411"/>
      <w:bookmarkStart w:id="501" w:name="_Toc338840451"/>
      <w:bookmarkStart w:id="502" w:name="_Toc338840490"/>
      <w:r>
        <w:rPr>
          <w:rFonts w:hint="eastAsia" w:ascii="宋体" w:hAnsi="宋体" w:eastAsia="宋体"/>
          <w:color w:val="auto"/>
          <w:highlight w:val="none"/>
        </w:rPr>
        <w:t>11．电子招标投标</w:t>
      </w:r>
      <w:bookmarkEnd w:id="492"/>
      <w:bookmarkEnd w:id="493"/>
      <w:bookmarkEnd w:id="494"/>
      <w:bookmarkEnd w:id="495"/>
      <w:bookmarkEnd w:id="496"/>
      <w:bookmarkEnd w:id="497"/>
      <w:bookmarkEnd w:id="498"/>
      <w:bookmarkEnd w:id="499"/>
      <w:bookmarkEnd w:id="500"/>
      <w:bookmarkEnd w:id="501"/>
      <w:bookmarkEnd w:id="502"/>
    </w:p>
    <w:p>
      <w:pPr>
        <w:spacing w:line="400" w:lineRule="exact"/>
        <w:ind w:firstLine="420" w:firstLineChars="200"/>
        <w:rPr>
          <w:rFonts w:ascii="宋体" w:hAnsi="宋体"/>
          <w:color w:val="auto"/>
          <w:highlight w:val="none"/>
        </w:rPr>
      </w:pPr>
      <w:r>
        <w:rPr>
          <w:rFonts w:hint="eastAsia" w:ascii="宋体" w:hAnsi="宋体"/>
          <w:color w:val="auto"/>
          <w:highlight w:val="none"/>
        </w:rPr>
        <w:t xml:space="preserve">采用电子招标投标，对投标文件的编制、密封和标记、递交、开标、评标等的具体要求，见供应商须知前附表。 </w:t>
      </w:r>
    </w:p>
    <w:p>
      <w:pPr>
        <w:pStyle w:val="6"/>
        <w:jc w:val="center"/>
        <w:rPr>
          <w:rFonts w:ascii="宋体" w:hAnsi="宋体"/>
          <w:b w:val="0"/>
          <w:bCs w:val="0"/>
          <w:color w:val="auto"/>
          <w:highlight w:val="none"/>
        </w:rPr>
      </w:pPr>
      <w:bookmarkStart w:id="503" w:name="_Toc152045598"/>
      <w:bookmarkStart w:id="504" w:name="_Toc144974565"/>
      <w:bookmarkStart w:id="505" w:name="_Toc152042375"/>
      <w:bookmarkStart w:id="506" w:name="_Toc494093438"/>
      <w:bookmarkStart w:id="507" w:name="_Toc246996241"/>
      <w:bookmarkStart w:id="508" w:name="_Toc338840237"/>
      <w:bookmarkStart w:id="509" w:name="_Toc247085756"/>
      <w:bookmarkStart w:id="510" w:name="_Toc338840452"/>
      <w:bookmarkStart w:id="511" w:name="_Toc338840491"/>
      <w:bookmarkStart w:id="512" w:name="_Toc246996984"/>
      <w:bookmarkStart w:id="513" w:name="_Toc179632616"/>
      <w:bookmarkStart w:id="514" w:name="_Toc494526410"/>
      <w:bookmarkStart w:id="515" w:name="_Toc346523412"/>
      <w:bookmarkStart w:id="516" w:name="_Toc346523475"/>
      <w:r>
        <w:rPr>
          <w:rFonts w:hint="eastAsia" w:ascii="宋体" w:hAnsi="宋体"/>
          <w:color w:val="auto"/>
          <w:highlight w:val="none"/>
        </w:rPr>
        <w:br w:type="page"/>
      </w:r>
      <w:bookmarkStart w:id="517" w:name="_Toc24747"/>
      <w:r>
        <w:rPr>
          <w:rFonts w:hint="eastAsia" w:ascii="宋体" w:hAnsi="宋体"/>
          <w:b w:val="0"/>
          <w:bCs w:val="0"/>
          <w:color w:val="auto"/>
          <w:highlight w:val="none"/>
        </w:rPr>
        <w:t>第三章 评标办法</w:t>
      </w:r>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Start w:id="518" w:name="_Toc152042376"/>
      <w:bookmarkStart w:id="519" w:name="_Toc247085757"/>
      <w:bookmarkStart w:id="520" w:name="_Toc152045599"/>
      <w:bookmarkStart w:id="521" w:name="_Toc246996985"/>
      <w:bookmarkStart w:id="522" w:name="_Toc246996242"/>
      <w:bookmarkStart w:id="523" w:name="_Toc179632617"/>
      <w:bookmarkStart w:id="524" w:name="_Toc144974566"/>
    </w:p>
    <w:bookmarkEnd w:id="517"/>
    <w:p>
      <w:pPr>
        <w:pStyle w:val="7"/>
        <w:rPr>
          <w:rFonts w:ascii="宋体" w:hAnsi="宋体" w:eastAsia="宋体"/>
          <w:color w:val="auto"/>
          <w:highlight w:val="none"/>
        </w:rPr>
      </w:pPr>
      <w:bookmarkStart w:id="525" w:name="_Toc338840238"/>
      <w:bookmarkStart w:id="526" w:name="_Toc346523476"/>
      <w:bookmarkStart w:id="527" w:name="_Toc338840492"/>
      <w:bookmarkStart w:id="528" w:name="_Toc31260"/>
      <w:bookmarkStart w:id="529" w:name="_Toc32258"/>
      <w:bookmarkStart w:id="530" w:name="_Toc494526411"/>
      <w:bookmarkStart w:id="531" w:name="_Toc346523413"/>
      <w:bookmarkStart w:id="532" w:name="_Toc452"/>
      <w:bookmarkStart w:id="533" w:name="_Toc494093439"/>
      <w:bookmarkStart w:id="534" w:name="_Toc3628"/>
      <w:bookmarkStart w:id="535" w:name="_Toc338840453"/>
      <w:r>
        <w:rPr>
          <w:rFonts w:hint="eastAsia" w:ascii="宋体" w:hAnsi="宋体" w:eastAsia="宋体"/>
          <w:color w:val="auto"/>
          <w:highlight w:val="none"/>
        </w:rPr>
        <w:t>评标办法前附表</w:t>
      </w:r>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p>
    <w:p>
      <w:pPr>
        <w:ind w:left="826" w:hanging="826" w:hangingChars="343"/>
        <w:rPr>
          <w:rFonts w:ascii="宋体" w:hAnsi="宋体"/>
          <w:b/>
          <w:color w:val="auto"/>
          <w:sz w:val="24"/>
          <w:highlight w:val="none"/>
        </w:rPr>
      </w:pPr>
      <w:r>
        <w:rPr>
          <w:rFonts w:hint="eastAsia" w:ascii="宋体" w:hAnsi="宋体"/>
          <w:b/>
          <w:color w:val="auto"/>
          <w:sz w:val="24"/>
          <w:highlight w:val="none"/>
        </w:rPr>
        <w:t>注：1、评标办法前附表内容与评标办法正文内容不一致时以本表内容为准。</w:t>
      </w:r>
    </w:p>
    <w:p>
      <w:pPr>
        <w:ind w:left="833" w:leftChars="228" w:hanging="354" w:hangingChars="147"/>
        <w:rPr>
          <w:rFonts w:ascii="宋体" w:hAnsi="宋体"/>
          <w:b/>
          <w:color w:val="auto"/>
          <w:sz w:val="24"/>
          <w:highlight w:val="none"/>
        </w:rPr>
      </w:pPr>
      <w:r>
        <w:rPr>
          <w:rFonts w:hint="eastAsia" w:ascii="宋体" w:hAnsi="宋体"/>
          <w:b/>
          <w:color w:val="auto"/>
          <w:sz w:val="24"/>
          <w:highlight w:val="none"/>
        </w:rPr>
        <w:t>2、评标办法前附表中涉及到的有关内容均应体现在投标文件中。</w:t>
      </w:r>
    </w:p>
    <w:p>
      <w:pPr>
        <w:ind w:left="787" w:leftChars="228" w:hanging="308" w:hangingChars="147"/>
        <w:rPr>
          <w:rFonts w:ascii="宋体" w:hAnsi="宋体"/>
          <w:color w:val="auto"/>
          <w:highlight w:val="none"/>
        </w:rPr>
      </w:pPr>
    </w:p>
    <w:tbl>
      <w:tblPr>
        <w:tblStyle w:val="34"/>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20"/>
        <w:gridCol w:w="540"/>
        <w:gridCol w:w="1440"/>
        <w:gridCol w:w="558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71" w:hRule="atLeast"/>
        </w:trPr>
        <w:tc>
          <w:tcPr>
            <w:tcW w:w="720" w:type="dxa"/>
            <w:vMerge w:val="restart"/>
            <w:tcBorders>
              <w:top w:val="single" w:color="auto" w:sz="4" w:space="0"/>
              <w:right w:val="single" w:color="auto" w:sz="4" w:space="0"/>
            </w:tcBorders>
            <w:vAlign w:val="center"/>
          </w:tcPr>
          <w:p>
            <w:pPr>
              <w:spacing w:line="440" w:lineRule="exact"/>
              <w:jc w:val="center"/>
              <w:rPr>
                <w:rFonts w:ascii="宋体" w:hAnsi="宋体"/>
                <w:b/>
                <w:color w:val="auto"/>
                <w:szCs w:val="21"/>
                <w:highlight w:val="none"/>
              </w:rPr>
            </w:pPr>
            <w:r>
              <w:rPr>
                <w:rFonts w:hint="eastAsia" w:ascii="宋体" w:hAnsi="宋体"/>
                <w:b/>
                <w:color w:val="auto"/>
                <w:szCs w:val="21"/>
                <w:highlight w:val="none"/>
              </w:rPr>
              <w:t>1</w:t>
            </w:r>
          </w:p>
        </w:tc>
        <w:tc>
          <w:tcPr>
            <w:tcW w:w="540"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b/>
                <w:color w:val="auto"/>
                <w:szCs w:val="21"/>
                <w:highlight w:val="none"/>
              </w:rPr>
            </w:pPr>
            <w:r>
              <w:rPr>
                <w:rFonts w:hint="eastAsia" w:ascii="宋体" w:hAnsi="宋体"/>
                <w:b/>
                <w:color w:val="auto"/>
                <w:szCs w:val="21"/>
                <w:highlight w:val="none"/>
              </w:rPr>
              <w:t>评标方法</w:t>
            </w:r>
          </w:p>
        </w:tc>
        <w:tc>
          <w:tcPr>
            <w:tcW w:w="7020" w:type="dxa"/>
            <w:gridSpan w:val="2"/>
            <w:tcBorders>
              <w:top w:val="single" w:color="auto" w:sz="4" w:space="0"/>
              <w:left w:val="single" w:color="auto" w:sz="4" w:space="0"/>
              <w:bottom w:val="single" w:color="auto" w:sz="4" w:space="0"/>
              <w:right w:val="single" w:color="auto" w:sz="4" w:space="0"/>
            </w:tcBorders>
            <w:vAlign w:val="center"/>
          </w:tcPr>
          <w:p>
            <w:pPr>
              <w:tabs>
                <w:tab w:val="left" w:pos="72"/>
              </w:tabs>
              <w:spacing w:line="400" w:lineRule="exact"/>
              <w:ind w:firstLine="422" w:firstLineChars="200"/>
              <w:rPr>
                <w:rFonts w:ascii="宋体" w:hAnsi="宋体"/>
                <w:b/>
                <w:color w:val="auto"/>
                <w:szCs w:val="21"/>
                <w:highlight w:val="none"/>
              </w:rPr>
            </w:pPr>
            <w:r>
              <w:rPr>
                <w:rFonts w:hint="eastAsia" w:ascii="宋体" w:hAnsi="宋体"/>
                <w:b/>
                <w:color w:val="auto"/>
                <w:szCs w:val="21"/>
                <w:highlight w:val="none"/>
              </w:rPr>
              <w:t>1、评标方法：综合评分法。评标委员会成员根据招标文件规定进行独立评审，对需要共同认定的客观分存在争议的，应当按照少数服从多数的原则作出结论。持不同意见的评标委员会成员应当在评标报告上签署不同意见及理由，否则视为同意评标报告。</w:t>
            </w:r>
          </w:p>
          <w:p>
            <w:pPr>
              <w:tabs>
                <w:tab w:val="left" w:pos="72"/>
              </w:tabs>
              <w:spacing w:line="400" w:lineRule="exact"/>
              <w:ind w:firstLine="422" w:firstLineChars="200"/>
              <w:rPr>
                <w:rFonts w:ascii="宋体" w:hAnsi="宋体"/>
                <w:b/>
                <w:color w:val="auto"/>
                <w:szCs w:val="21"/>
                <w:highlight w:val="none"/>
              </w:rPr>
            </w:pPr>
            <w:r>
              <w:rPr>
                <w:rFonts w:hint="eastAsia" w:ascii="宋体" w:hAnsi="宋体"/>
                <w:b/>
                <w:color w:val="auto"/>
                <w:szCs w:val="21"/>
                <w:highlight w:val="none"/>
              </w:rPr>
              <w:t>2、</w:t>
            </w:r>
            <w:r>
              <w:rPr>
                <w:rFonts w:hint="eastAsia" w:ascii="宋体" w:hAnsi="宋体"/>
                <w:b/>
                <w:color w:val="auto"/>
                <w:szCs w:val="21"/>
                <w:highlight w:val="none"/>
                <w:u w:val="single"/>
              </w:rPr>
              <w:t>评审。采购人负责资格审查；评标委员会负责符合性审查、商务和技术评审。</w:t>
            </w:r>
            <w:r>
              <w:rPr>
                <w:rFonts w:hint="eastAsia" w:ascii="宋体" w:hAnsi="宋体"/>
                <w:b/>
                <w:color w:val="auto"/>
                <w:szCs w:val="21"/>
                <w:highlight w:val="none"/>
              </w:rPr>
              <w:t>（资格审查、符合性审查未通过者为无效投标）</w:t>
            </w:r>
          </w:p>
          <w:p>
            <w:pPr>
              <w:tabs>
                <w:tab w:val="left" w:pos="252"/>
              </w:tabs>
              <w:spacing w:line="400" w:lineRule="exact"/>
              <w:ind w:firstLine="422" w:firstLineChars="200"/>
              <w:jc w:val="left"/>
              <w:rPr>
                <w:rFonts w:ascii="宋体" w:hAnsi="宋体"/>
                <w:b/>
                <w:strike/>
                <w:color w:val="auto"/>
                <w:szCs w:val="21"/>
                <w:highlight w:val="none"/>
              </w:rPr>
            </w:pPr>
            <w:r>
              <w:rPr>
                <w:rFonts w:hint="eastAsia" w:ascii="宋体" w:hAnsi="宋体" w:cs="宋体"/>
                <w:b/>
                <w:color w:val="auto"/>
                <w:szCs w:val="21"/>
                <w:highlight w:val="none"/>
              </w:rPr>
              <w:t>3、</w:t>
            </w:r>
            <w:r>
              <w:rPr>
                <w:rFonts w:hint="eastAsia" w:ascii="宋体" w:hAnsi="宋体"/>
                <w:b/>
                <w:color w:val="auto"/>
                <w:szCs w:val="21"/>
                <w:highlight w:val="none"/>
              </w:rPr>
              <w:t>推荐中标候选人。按得分由高到低顺序推荐中标候选人。得分相同者按投标报价由低到高排序。报价也相同者用随机抽取法确定排序。</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51" w:hRule="atLeast"/>
        </w:trPr>
        <w:tc>
          <w:tcPr>
            <w:tcW w:w="720" w:type="dxa"/>
            <w:vMerge w:val="continue"/>
            <w:tcBorders>
              <w:right w:val="single" w:color="auto" w:sz="4" w:space="0"/>
            </w:tcBorders>
            <w:vAlign w:val="center"/>
          </w:tcPr>
          <w:p>
            <w:pPr>
              <w:spacing w:line="440" w:lineRule="exact"/>
              <w:jc w:val="center"/>
              <w:rPr>
                <w:rFonts w:ascii="宋体" w:hAnsi="宋体"/>
                <w:b/>
                <w:color w:val="auto"/>
                <w:szCs w:val="21"/>
                <w:highlight w:val="none"/>
              </w:rPr>
            </w:pPr>
          </w:p>
        </w:tc>
        <w:tc>
          <w:tcPr>
            <w:tcW w:w="54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color w:val="auto"/>
                <w:szCs w:val="21"/>
                <w:highlight w:val="none"/>
              </w:rPr>
            </w:pPr>
            <w:r>
              <w:rPr>
                <w:rFonts w:hint="eastAsia" w:ascii="宋体" w:hAnsi="宋体" w:cs="宋体"/>
                <w:b/>
                <w:color w:val="auto"/>
                <w:szCs w:val="21"/>
                <w:highlight w:val="none"/>
              </w:rPr>
              <w:t>评标问题澄清</w:t>
            </w:r>
          </w:p>
        </w:tc>
        <w:tc>
          <w:tcPr>
            <w:tcW w:w="7020" w:type="dxa"/>
            <w:gridSpan w:val="2"/>
            <w:tcBorders>
              <w:top w:val="single" w:color="auto" w:sz="4" w:space="0"/>
              <w:left w:val="single" w:color="auto" w:sz="4" w:space="0"/>
              <w:bottom w:val="single" w:color="auto" w:sz="4" w:space="0"/>
              <w:right w:val="single" w:color="auto" w:sz="4" w:space="0"/>
            </w:tcBorders>
            <w:vAlign w:val="center"/>
          </w:tcPr>
          <w:p>
            <w:pPr>
              <w:tabs>
                <w:tab w:val="left" w:pos="252"/>
              </w:tabs>
              <w:spacing w:line="400" w:lineRule="exact"/>
              <w:jc w:val="left"/>
              <w:rPr>
                <w:rFonts w:ascii="宋体" w:hAnsi="宋体" w:cs="宋体"/>
                <w:b/>
                <w:color w:val="auto"/>
                <w:szCs w:val="21"/>
                <w:highlight w:val="none"/>
              </w:rPr>
            </w:pPr>
            <w:r>
              <w:rPr>
                <w:rFonts w:hint="eastAsia" w:ascii="宋体" w:hAnsi="宋体" w:cs="宋体"/>
                <w:b/>
                <w:color w:val="auto"/>
                <w:szCs w:val="21"/>
                <w:highlight w:val="none"/>
              </w:rPr>
              <w:t>　　评标委员会可以通过</w:t>
            </w:r>
            <w:r>
              <w:rPr>
                <w:rFonts w:hint="eastAsia" w:ascii="宋体" w:hAnsi="宋体"/>
                <w:b/>
                <w:color w:val="auto"/>
                <w:szCs w:val="21"/>
                <w:highlight w:val="none"/>
              </w:rPr>
              <w:t>电子交易系统</w:t>
            </w:r>
            <w:r>
              <w:rPr>
                <w:rFonts w:hint="eastAsia" w:ascii="宋体" w:hAnsi="宋体" w:cs="宋体"/>
                <w:b/>
                <w:color w:val="auto"/>
                <w:szCs w:val="21"/>
                <w:highlight w:val="none"/>
              </w:rPr>
              <w:t>要求供应商对投标文件中有关问题做出答复，但答复内容不得超出投标文件范围或者改变投标文件的实质性内容。</w:t>
            </w:r>
          </w:p>
          <w:p>
            <w:pPr>
              <w:tabs>
                <w:tab w:val="left" w:pos="252"/>
              </w:tabs>
              <w:spacing w:line="400" w:lineRule="exact"/>
              <w:ind w:firstLine="421"/>
              <w:jc w:val="left"/>
              <w:rPr>
                <w:rFonts w:ascii="宋体" w:hAnsi="宋体"/>
                <w:b/>
                <w:color w:val="auto"/>
                <w:szCs w:val="21"/>
                <w:highlight w:val="none"/>
              </w:rPr>
            </w:pPr>
            <w:r>
              <w:rPr>
                <w:rFonts w:hint="eastAsia" w:ascii="宋体" w:hAnsi="宋体" w:cs="宋体"/>
                <w:b/>
                <w:color w:val="auto"/>
                <w:szCs w:val="21"/>
                <w:highlight w:val="none"/>
              </w:rPr>
              <w:t>供应商应时刻通过电子交易系统关注项目情况，评标委员会向供应商提出的澄清要求等，供应商应自系统发出30分钟（另有约定的从其约定）内回复，否则供应商自行承担责任。</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75" w:hRule="atLeast"/>
        </w:trPr>
        <w:tc>
          <w:tcPr>
            <w:tcW w:w="720" w:type="dxa"/>
            <w:tcBorders>
              <w:top w:val="single" w:color="auto" w:sz="4" w:space="0"/>
              <w:bottom w:val="single" w:color="auto" w:sz="4" w:space="0"/>
              <w:right w:val="single" w:color="auto" w:sz="4" w:space="0"/>
            </w:tcBorders>
            <w:vAlign w:val="center"/>
          </w:tcPr>
          <w:p>
            <w:pPr>
              <w:spacing w:line="440" w:lineRule="exact"/>
              <w:jc w:val="center"/>
              <w:rPr>
                <w:rFonts w:ascii="宋体" w:hAnsi="宋体"/>
                <w:b/>
                <w:color w:val="auto"/>
                <w:szCs w:val="21"/>
                <w:highlight w:val="none"/>
              </w:rPr>
            </w:pPr>
            <w:r>
              <w:rPr>
                <w:rFonts w:ascii="宋体" w:hAnsi="宋体"/>
                <w:b/>
                <w:color w:val="auto"/>
                <w:szCs w:val="21"/>
                <w:highlight w:val="none"/>
              </w:rPr>
              <w:t>条款号</w:t>
            </w:r>
          </w:p>
        </w:tc>
        <w:tc>
          <w:tcPr>
            <w:tcW w:w="540" w:type="dxa"/>
            <w:tcBorders>
              <w:top w:val="single" w:color="auto" w:sz="4" w:space="0"/>
              <w:bottom w:val="single" w:color="auto" w:sz="4" w:space="0"/>
              <w:right w:val="single" w:color="auto" w:sz="4" w:space="0"/>
            </w:tcBorders>
            <w:vAlign w:val="center"/>
          </w:tcPr>
          <w:p>
            <w:pPr>
              <w:jc w:val="center"/>
              <w:rPr>
                <w:rFonts w:ascii="宋体" w:hAnsi="宋体"/>
                <w:b/>
                <w:color w:val="auto"/>
                <w:szCs w:val="21"/>
                <w:highlight w:val="none"/>
              </w:rPr>
            </w:pPr>
            <w:r>
              <w:rPr>
                <w:rFonts w:hint="eastAsia" w:ascii="宋体" w:hAnsi="宋体"/>
                <w:b/>
                <w:color w:val="auto"/>
                <w:szCs w:val="21"/>
                <w:highlight w:val="none"/>
              </w:rPr>
              <w:t>审查　内容</w:t>
            </w:r>
          </w:p>
        </w:tc>
        <w:tc>
          <w:tcPr>
            <w:tcW w:w="1440"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b/>
                <w:color w:val="auto"/>
                <w:szCs w:val="21"/>
                <w:highlight w:val="none"/>
              </w:rPr>
            </w:pPr>
            <w:r>
              <w:rPr>
                <w:rFonts w:ascii="宋体" w:hAnsi="宋体"/>
                <w:b/>
                <w:color w:val="auto"/>
                <w:szCs w:val="21"/>
                <w:highlight w:val="none"/>
              </w:rPr>
              <w:t>评审因素</w:t>
            </w:r>
          </w:p>
        </w:tc>
        <w:tc>
          <w:tcPr>
            <w:tcW w:w="5580"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b/>
                <w:color w:val="auto"/>
                <w:szCs w:val="21"/>
                <w:highlight w:val="none"/>
              </w:rPr>
            </w:pPr>
            <w:r>
              <w:rPr>
                <w:rFonts w:ascii="宋体" w:hAnsi="宋体"/>
                <w:b/>
                <w:color w:val="auto"/>
                <w:szCs w:val="21"/>
                <w:highlight w:val="none"/>
              </w:rPr>
              <w:t>评审标准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580" w:hRule="atLeast"/>
        </w:trPr>
        <w:tc>
          <w:tcPr>
            <w:tcW w:w="720" w:type="dxa"/>
            <w:tcBorders>
              <w:top w:val="single" w:color="auto" w:sz="4" w:space="0"/>
              <w:bottom w:val="single" w:color="auto" w:sz="4" w:space="0"/>
              <w:right w:val="single" w:color="auto" w:sz="4" w:space="0"/>
            </w:tcBorders>
            <w:vAlign w:val="center"/>
          </w:tcPr>
          <w:p>
            <w:pPr>
              <w:spacing w:line="440" w:lineRule="exact"/>
              <w:jc w:val="center"/>
              <w:rPr>
                <w:rFonts w:ascii="宋体" w:hAnsi="宋体"/>
                <w:color w:val="auto"/>
                <w:szCs w:val="21"/>
                <w:highlight w:val="none"/>
              </w:rPr>
            </w:pPr>
            <w:r>
              <w:rPr>
                <w:rFonts w:hint="eastAsia" w:ascii="宋体" w:hAnsi="宋体"/>
                <w:color w:val="auto"/>
                <w:szCs w:val="21"/>
                <w:highlight w:val="none"/>
              </w:rPr>
              <w:t>2.1.1</w:t>
            </w:r>
          </w:p>
        </w:tc>
        <w:tc>
          <w:tcPr>
            <w:tcW w:w="540" w:type="dxa"/>
            <w:tcBorders>
              <w:top w:val="single" w:color="auto" w:sz="4" w:space="0"/>
              <w:bottom w:val="single" w:color="auto" w:sz="4" w:space="0"/>
              <w:right w:val="single" w:color="auto" w:sz="4" w:space="0"/>
            </w:tcBorders>
            <w:vAlign w:val="center"/>
          </w:tcPr>
          <w:p>
            <w:pPr>
              <w:spacing w:line="360" w:lineRule="exact"/>
              <w:jc w:val="center"/>
              <w:rPr>
                <w:rFonts w:ascii="宋体" w:hAnsi="宋体"/>
                <w:color w:val="auto"/>
                <w:szCs w:val="21"/>
                <w:highlight w:val="none"/>
              </w:rPr>
            </w:pPr>
            <w:r>
              <w:rPr>
                <w:rFonts w:ascii="宋体" w:hAnsi="宋体"/>
                <w:color w:val="auto"/>
                <w:szCs w:val="21"/>
                <w:highlight w:val="none"/>
              </w:rPr>
              <w:t>资格</w:t>
            </w:r>
            <w:r>
              <w:rPr>
                <w:rFonts w:hint="eastAsia" w:ascii="宋体" w:hAnsi="宋体"/>
                <w:color w:val="auto"/>
                <w:szCs w:val="21"/>
                <w:highlight w:val="none"/>
              </w:rPr>
              <w:t>　</w:t>
            </w:r>
            <w:r>
              <w:rPr>
                <w:rFonts w:ascii="宋体" w:hAnsi="宋体"/>
                <w:color w:val="auto"/>
                <w:szCs w:val="21"/>
                <w:highlight w:val="none"/>
              </w:rPr>
              <w:t>审查</w:t>
            </w:r>
          </w:p>
        </w:tc>
        <w:tc>
          <w:tcPr>
            <w:tcW w:w="1440"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color w:val="auto"/>
                <w:szCs w:val="21"/>
                <w:highlight w:val="none"/>
              </w:rPr>
            </w:pPr>
            <w:r>
              <w:rPr>
                <w:rFonts w:hint="eastAsia" w:ascii="宋体" w:hAnsi="宋体"/>
                <w:color w:val="auto"/>
                <w:szCs w:val="21"/>
                <w:highlight w:val="none"/>
              </w:rPr>
              <w:t>供应商资格</w:t>
            </w:r>
          </w:p>
        </w:tc>
        <w:tc>
          <w:tcPr>
            <w:tcW w:w="5580" w:type="dxa"/>
            <w:tcBorders>
              <w:top w:val="single" w:color="auto" w:sz="4" w:space="0"/>
              <w:left w:val="single" w:color="auto" w:sz="4" w:space="0"/>
              <w:bottom w:val="single" w:color="auto" w:sz="4" w:space="0"/>
              <w:right w:val="single" w:color="auto" w:sz="4" w:space="0"/>
            </w:tcBorders>
            <w:vAlign w:val="center"/>
          </w:tcPr>
          <w:p>
            <w:pPr>
              <w:spacing w:line="440" w:lineRule="atLeast"/>
              <w:ind w:firstLine="422" w:firstLineChars="200"/>
              <w:rPr>
                <w:rFonts w:ascii="宋体" w:hAnsi="宋体"/>
                <w:color w:val="auto"/>
                <w:szCs w:val="21"/>
                <w:highlight w:val="none"/>
              </w:rPr>
            </w:pPr>
            <w:r>
              <w:rPr>
                <w:rFonts w:hint="eastAsia" w:ascii="宋体" w:hAnsi="宋体" w:cs="宋体"/>
                <w:b/>
                <w:bCs/>
                <w:color w:val="auto"/>
                <w:szCs w:val="21"/>
                <w:highlight w:val="none"/>
              </w:rPr>
              <w:t>由采购人于开标后进行资格审查，</w:t>
            </w:r>
            <w:r>
              <w:rPr>
                <w:rFonts w:hint="eastAsia" w:ascii="宋体" w:hAnsi="宋体" w:cs="宋体"/>
                <w:b/>
                <w:bCs/>
                <w:color w:val="auto"/>
                <w:szCs w:val="32"/>
                <w:highlight w:val="none"/>
              </w:rPr>
              <w:t>未通过者注明原因</w:t>
            </w:r>
            <w:r>
              <w:rPr>
                <w:rFonts w:hint="eastAsia" w:ascii="宋体" w:hAnsi="宋体" w:cs="宋体"/>
                <w:b/>
                <w:bCs/>
                <w:color w:val="auto"/>
                <w:szCs w:val="21"/>
                <w:highlight w:val="none"/>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restart"/>
            <w:tcBorders>
              <w:top w:val="single" w:color="auto" w:sz="4" w:space="0"/>
              <w:right w:val="single" w:color="auto" w:sz="4" w:space="0"/>
            </w:tcBorders>
            <w:vAlign w:val="center"/>
          </w:tcPr>
          <w:p>
            <w:pPr>
              <w:spacing w:line="440" w:lineRule="exact"/>
              <w:jc w:val="center"/>
              <w:rPr>
                <w:rFonts w:ascii="宋体" w:hAnsi="宋体"/>
                <w:color w:val="auto"/>
                <w:szCs w:val="21"/>
                <w:highlight w:val="none"/>
              </w:rPr>
            </w:pPr>
          </w:p>
          <w:p>
            <w:pPr>
              <w:spacing w:line="440" w:lineRule="exact"/>
              <w:jc w:val="center"/>
              <w:rPr>
                <w:rFonts w:ascii="宋体" w:hAnsi="宋体"/>
                <w:color w:val="auto"/>
                <w:szCs w:val="21"/>
                <w:highlight w:val="none"/>
              </w:rPr>
            </w:pPr>
          </w:p>
          <w:p>
            <w:pPr>
              <w:spacing w:line="440" w:lineRule="exact"/>
              <w:jc w:val="center"/>
              <w:rPr>
                <w:rFonts w:ascii="宋体" w:hAnsi="宋体"/>
                <w:color w:val="auto"/>
                <w:szCs w:val="21"/>
                <w:highlight w:val="none"/>
              </w:rPr>
            </w:pPr>
          </w:p>
          <w:p>
            <w:pPr>
              <w:spacing w:line="440" w:lineRule="exact"/>
              <w:jc w:val="center"/>
              <w:rPr>
                <w:rFonts w:ascii="宋体" w:hAnsi="宋体"/>
                <w:color w:val="auto"/>
                <w:szCs w:val="21"/>
                <w:highlight w:val="none"/>
              </w:rPr>
            </w:pPr>
            <w:r>
              <w:rPr>
                <w:rFonts w:hint="eastAsia" w:ascii="宋体" w:hAnsi="宋体"/>
                <w:color w:val="auto"/>
                <w:szCs w:val="21"/>
                <w:highlight w:val="none"/>
              </w:rPr>
              <w:t>2.1.2</w:t>
            </w:r>
          </w:p>
          <w:p>
            <w:pPr>
              <w:spacing w:line="440" w:lineRule="exact"/>
              <w:jc w:val="center"/>
              <w:rPr>
                <w:rFonts w:ascii="宋体" w:hAnsi="宋体"/>
                <w:color w:val="auto"/>
                <w:szCs w:val="21"/>
                <w:highlight w:val="none"/>
              </w:rPr>
            </w:pPr>
          </w:p>
          <w:p>
            <w:pPr>
              <w:spacing w:line="440" w:lineRule="exact"/>
              <w:jc w:val="center"/>
              <w:rPr>
                <w:rFonts w:ascii="宋体" w:hAnsi="宋体"/>
                <w:color w:val="auto"/>
                <w:szCs w:val="21"/>
                <w:highlight w:val="none"/>
              </w:rPr>
            </w:pPr>
          </w:p>
          <w:p>
            <w:pPr>
              <w:spacing w:line="440" w:lineRule="exact"/>
              <w:jc w:val="center"/>
              <w:rPr>
                <w:rFonts w:ascii="宋体" w:hAnsi="宋体"/>
                <w:color w:val="auto"/>
                <w:szCs w:val="21"/>
                <w:highlight w:val="none"/>
              </w:rPr>
            </w:pPr>
          </w:p>
        </w:tc>
        <w:tc>
          <w:tcPr>
            <w:tcW w:w="540" w:type="dxa"/>
            <w:vMerge w:val="restart"/>
            <w:tcBorders>
              <w:top w:val="single" w:color="auto" w:sz="4" w:space="0"/>
              <w:right w:val="single" w:color="auto" w:sz="4" w:space="0"/>
            </w:tcBorders>
            <w:vAlign w:val="center"/>
          </w:tcPr>
          <w:p>
            <w:pPr>
              <w:spacing w:line="440" w:lineRule="exact"/>
              <w:jc w:val="center"/>
              <w:rPr>
                <w:rFonts w:ascii="宋体" w:hAnsi="宋体"/>
                <w:color w:val="auto"/>
                <w:szCs w:val="21"/>
                <w:highlight w:val="none"/>
              </w:rPr>
            </w:pPr>
          </w:p>
          <w:p>
            <w:pPr>
              <w:spacing w:line="440" w:lineRule="exact"/>
              <w:jc w:val="center"/>
              <w:rPr>
                <w:rFonts w:ascii="宋体" w:hAnsi="宋体"/>
                <w:color w:val="auto"/>
                <w:szCs w:val="21"/>
                <w:highlight w:val="none"/>
              </w:rPr>
            </w:pPr>
          </w:p>
          <w:p>
            <w:pPr>
              <w:spacing w:line="440" w:lineRule="exact"/>
              <w:jc w:val="center"/>
              <w:rPr>
                <w:rFonts w:ascii="宋体" w:hAnsi="宋体"/>
                <w:color w:val="auto"/>
                <w:szCs w:val="21"/>
                <w:highlight w:val="none"/>
              </w:rPr>
            </w:pPr>
            <w:r>
              <w:rPr>
                <w:rFonts w:hint="eastAsia" w:ascii="宋体" w:hAnsi="宋体"/>
                <w:color w:val="auto"/>
                <w:szCs w:val="21"/>
                <w:highlight w:val="none"/>
              </w:rPr>
              <w:t>符合性审查</w:t>
            </w:r>
          </w:p>
          <w:p>
            <w:pPr>
              <w:spacing w:line="440" w:lineRule="exact"/>
              <w:jc w:val="center"/>
              <w:rPr>
                <w:rFonts w:ascii="宋体" w:hAnsi="宋体"/>
                <w:color w:val="auto"/>
                <w:szCs w:val="21"/>
                <w:highlight w:val="none"/>
              </w:rPr>
            </w:pPr>
          </w:p>
          <w:p>
            <w:pPr>
              <w:spacing w:line="440" w:lineRule="exact"/>
              <w:jc w:val="center"/>
              <w:rPr>
                <w:rFonts w:ascii="宋体" w:hAnsi="宋体"/>
                <w:color w:val="auto"/>
                <w:szCs w:val="21"/>
                <w:highlight w:val="none"/>
              </w:rPr>
            </w:pPr>
          </w:p>
          <w:p>
            <w:pPr>
              <w:spacing w:line="440" w:lineRule="exact"/>
              <w:jc w:val="center"/>
              <w:rPr>
                <w:rFonts w:ascii="宋体" w:hAnsi="宋体"/>
                <w:color w:val="auto"/>
                <w:szCs w:val="21"/>
                <w:highlight w:val="none"/>
              </w:rPr>
            </w:pPr>
          </w:p>
          <w:p>
            <w:pPr>
              <w:spacing w:line="440" w:lineRule="exact"/>
              <w:jc w:val="center"/>
              <w:rPr>
                <w:rFonts w:ascii="宋体" w:hAnsi="宋体"/>
                <w:color w:val="auto"/>
                <w:szCs w:val="21"/>
                <w:highlight w:val="none"/>
              </w:rPr>
            </w:pPr>
          </w:p>
          <w:p>
            <w:pPr>
              <w:spacing w:line="440" w:lineRule="exact"/>
              <w:jc w:val="center"/>
              <w:rPr>
                <w:rFonts w:ascii="宋体" w:hAnsi="宋体"/>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color w:val="auto"/>
                <w:szCs w:val="21"/>
                <w:highlight w:val="none"/>
              </w:rPr>
            </w:pPr>
            <w:r>
              <w:rPr>
                <w:rFonts w:hint="eastAsia" w:ascii="宋体" w:hAnsi="宋体" w:cs="宋体"/>
                <w:color w:val="auto"/>
                <w:szCs w:val="21"/>
                <w:highlight w:val="none"/>
              </w:rPr>
              <w:t>供应商名称</w:t>
            </w:r>
          </w:p>
        </w:tc>
        <w:tc>
          <w:tcPr>
            <w:tcW w:w="5580"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ascii="宋体" w:hAnsi="宋体"/>
                <w:color w:val="auto"/>
                <w:szCs w:val="21"/>
                <w:highlight w:val="none"/>
              </w:rPr>
            </w:pPr>
            <w:r>
              <w:rPr>
                <w:rFonts w:hint="eastAsia" w:ascii="宋体" w:hAnsi="宋体" w:cs="宋体"/>
                <w:color w:val="auto"/>
                <w:szCs w:val="21"/>
                <w:highlight w:val="none"/>
              </w:rPr>
              <w:t>供应商名称与单位盖章、资格证明材料相一致。</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0" w:hRule="atLeast"/>
        </w:trPr>
        <w:tc>
          <w:tcPr>
            <w:tcW w:w="720" w:type="dxa"/>
            <w:vMerge w:val="continue"/>
            <w:tcBorders>
              <w:right w:val="single" w:color="auto" w:sz="4" w:space="0"/>
            </w:tcBorders>
            <w:vAlign w:val="center"/>
          </w:tcPr>
          <w:p>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pPr>
              <w:spacing w:line="440" w:lineRule="exact"/>
              <w:jc w:val="center"/>
              <w:rPr>
                <w:rFonts w:ascii="宋体" w:hAnsi="宋体"/>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color w:val="auto"/>
                <w:szCs w:val="21"/>
                <w:highlight w:val="none"/>
              </w:rPr>
            </w:pPr>
            <w:r>
              <w:rPr>
                <w:rFonts w:ascii="宋体" w:hAnsi="宋体"/>
                <w:color w:val="auto"/>
                <w:szCs w:val="21"/>
                <w:highlight w:val="none"/>
              </w:rPr>
              <w:t>签字盖章</w:t>
            </w:r>
          </w:p>
        </w:tc>
        <w:tc>
          <w:tcPr>
            <w:tcW w:w="5580"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ascii="宋体" w:hAnsi="宋体"/>
                <w:color w:val="auto"/>
                <w:szCs w:val="21"/>
                <w:highlight w:val="none"/>
              </w:rPr>
            </w:pPr>
            <w:r>
              <w:rPr>
                <w:rFonts w:hint="eastAsia" w:ascii="宋体" w:hAnsi="宋体"/>
                <w:color w:val="auto"/>
                <w:szCs w:val="21"/>
                <w:highlight w:val="none"/>
              </w:rPr>
              <w:t>投标函、法定代表人资格证明（或授权委托书）按投标文件格式要求签字、盖章</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5" w:hRule="atLeast"/>
        </w:trPr>
        <w:tc>
          <w:tcPr>
            <w:tcW w:w="720" w:type="dxa"/>
            <w:vMerge w:val="continue"/>
            <w:tcBorders>
              <w:right w:val="single" w:color="auto" w:sz="4" w:space="0"/>
            </w:tcBorders>
            <w:vAlign w:val="center"/>
          </w:tcPr>
          <w:p>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pPr>
              <w:spacing w:line="440" w:lineRule="exact"/>
              <w:jc w:val="center"/>
              <w:rPr>
                <w:rFonts w:ascii="宋体" w:hAnsi="宋体"/>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color w:val="auto"/>
                <w:szCs w:val="21"/>
                <w:highlight w:val="none"/>
              </w:rPr>
            </w:pPr>
            <w:r>
              <w:rPr>
                <w:rFonts w:hint="eastAsia" w:ascii="宋体" w:hAnsi="宋体"/>
                <w:color w:val="auto"/>
                <w:szCs w:val="21"/>
                <w:highlight w:val="none"/>
              </w:rPr>
              <w:t>投标报价</w:t>
            </w:r>
          </w:p>
        </w:tc>
        <w:tc>
          <w:tcPr>
            <w:tcW w:w="5580" w:type="dxa"/>
            <w:tcBorders>
              <w:top w:val="single" w:color="auto" w:sz="4" w:space="0"/>
              <w:left w:val="single" w:color="auto" w:sz="4" w:space="0"/>
              <w:bottom w:val="single" w:color="auto" w:sz="4" w:space="0"/>
              <w:right w:val="single" w:color="auto" w:sz="4" w:space="0"/>
            </w:tcBorders>
            <w:vAlign w:val="center"/>
          </w:tcPr>
          <w:p>
            <w:pPr>
              <w:spacing w:line="440" w:lineRule="atLeast"/>
              <w:rPr>
                <w:color w:val="auto"/>
                <w:highlight w:val="none"/>
              </w:rPr>
            </w:pPr>
            <w:r>
              <w:rPr>
                <w:rFonts w:hint="eastAsia"/>
                <w:color w:val="auto"/>
                <w:highlight w:val="none"/>
              </w:rPr>
              <w:t>1、投标函中只能有一个有效投标报价（招标文件另有要求者除外）。</w:t>
            </w:r>
          </w:p>
          <w:p>
            <w:pPr>
              <w:spacing w:line="440" w:lineRule="atLeast"/>
              <w:rPr>
                <w:color w:val="auto"/>
                <w:highlight w:val="none"/>
              </w:rPr>
            </w:pPr>
            <w:r>
              <w:rPr>
                <w:rFonts w:hint="eastAsia"/>
                <w:color w:val="auto"/>
                <w:highlight w:val="none"/>
              </w:rPr>
              <w:t>2、设有最高限价者不得高于最高限价。</w:t>
            </w:r>
          </w:p>
          <w:p>
            <w:pPr>
              <w:spacing w:line="440" w:lineRule="atLeast"/>
              <w:rPr>
                <w:color w:val="auto"/>
                <w:highlight w:val="none"/>
              </w:rPr>
            </w:pPr>
            <w:r>
              <w:rPr>
                <w:rFonts w:hint="eastAsia"/>
                <w:color w:val="auto"/>
                <w:highlight w:val="none"/>
              </w:rPr>
              <w:t>3、明显低价。评标委员会认为供应商的报价明显低于其他通过符合性审查供应商的报价，有可能影响产品质量或者不能诚信履约的，应当通过电子交易系统向该供应商提出，供应商在30分钟内（另有约定者按约定）通过该系统提供书面说明，必要时提交相关证明材料；供应商不能证明其报价合理性的，评标委员会应当将其作为无效投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7" w:hRule="atLeast"/>
        </w:trPr>
        <w:tc>
          <w:tcPr>
            <w:tcW w:w="720" w:type="dxa"/>
            <w:vMerge w:val="continue"/>
            <w:tcBorders>
              <w:right w:val="single" w:color="auto" w:sz="4" w:space="0"/>
            </w:tcBorders>
            <w:vAlign w:val="center"/>
          </w:tcPr>
          <w:p>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pPr>
              <w:spacing w:line="440" w:lineRule="exact"/>
              <w:jc w:val="center"/>
              <w:rPr>
                <w:rFonts w:ascii="宋体" w:hAnsi="宋体"/>
                <w:color w:val="auto"/>
                <w:szCs w:val="21"/>
                <w:highlight w:val="none"/>
              </w:rPr>
            </w:pPr>
          </w:p>
        </w:tc>
        <w:tc>
          <w:tcPr>
            <w:tcW w:w="1440" w:type="dxa"/>
            <w:tcBorders>
              <w:top w:val="single" w:color="auto" w:sz="4" w:space="0"/>
              <w:left w:val="single" w:color="auto" w:sz="4" w:space="0"/>
              <w:right w:val="single" w:color="auto" w:sz="4" w:space="0"/>
            </w:tcBorders>
            <w:vAlign w:val="center"/>
          </w:tcPr>
          <w:p>
            <w:pPr>
              <w:spacing w:line="440" w:lineRule="exact"/>
              <w:jc w:val="center"/>
              <w:rPr>
                <w:rFonts w:ascii="宋体" w:hAnsi="宋体"/>
                <w:color w:val="auto"/>
                <w:szCs w:val="21"/>
                <w:highlight w:val="none"/>
              </w:rPr>
            </w:pPr>
            <w:r>
              <w:rPr>
                <w:rFonts w:hint="eastAsia" w:ascii="宋体" w:hAnsi="宋体"/>
                <w:color w:val="auto"/>
                <w:szCs w:val="21"/>
                <w:highlight w:val="none"/>
              </w:rPr>
              <w:t>合同履行期限</w:t>
            </w:r>
          </w:p>
        </w:tc>
        <w:tc>
          <w:tcPr>
            <w:tcW w:w="5580" w:type="dxa"/>
            <w:tcBorders>
              <w:top w:val="single" w:color="auto" w:sz="4" w:space="0"/>
              <w:left w:val="single" w:color="auto" w:sz="4" w:space="0"/>
              <w:right w:val="single" w:color="auto" w:sz="4" w:space="0"/>
            </w:tcBorders>
            <w:vAlign w:val="center"/>
          </w:tcPr>
          <w:p>
            <w:pPr>
              <w:spacing w:line="440" w:lineRule="atLeast"/>
              <w:rPr>
                <w:rFonts w:ascii="宋体" w:hAnsi="宋体"/>
                <w:color w:val="auto"/>
                <w:szCs w:val="21"/>
                <w:highlight w:val="none"/>
              </w:rPr>
            </w:pPr>
            <w:r>
              <w:rPr>
                <w:rFonts w:hint="eastAsia" w:ascii="宋体" w:hAnsi="宋体"/>
                <w:color w:val="auto"/>
                <w:szCs w:val="21"/>
                <w:highlight w:val="none"/>
              </w:rPr>
              <w:t>不多于"供应商须知前附表"规定的时间。(查看投标函)</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7" w:hRule="atLeast"/>
        </w:trPr>
        <w:tc>
          <w:tcPr>
            <w:tcW w:w="720" w:type="dxa"/>
            <w:vMerge w:val="continue"/>
            <w:tcBorders>
              <w:right w:val="single" w:color="auto" w:sz="4" w:space="0"/>
            </w:tcBorders>
            <w:vAlign w:val="center"/>
          </w:tcPr>
          <w:p>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pPr>
              <w:spacing w:line="440" w:lineRule="exact"/>
              <w:jc w:val="center"/>
              <w:rPr>
                <w:rFonts w:ascii="宋体" w:hAnsi="宋体"/>
                <w:color w:val="auto"/>
                <w:szCs w:val="21"/>
                <w:highlight w:val="none"/>
              </w:rPr>
            </w:pPr>
          </w:p>
        </w:tc>
        <w:tc>
          <w:tcPr>
            <w:tcW w:w="1440" w:type="dxa"/>
            <w:tcBorders>
              <w:top w:val="single" w:color="auto" w:sz="4" w:space="0"/>
              <w:left w:val="single" w:color="auto" w:sz="4" w:space="0"/>
              <w:right w:val="single" w:color="auto" w:sz="4" w:space="0"/>
            </w:tcBorders>
            <w:vAlign w:val="center"/>
          </w:tcPr>
          <w:p>
            <w:pPr>
              <w:spacing w:line="440" w:lineRule="exact"/>
              <w:jc w:val="center"/>
              <w:rPr>
                <w:rFonts w:ascii="宋体" w:hAnsi="宋体"/>
                <w:color w:val="auto"/>
                <w:szCs w:val="21"/>
                <w:highlight w:val="none"/>
              </w:rPr>
            </w:pPr>
            <w:r>
              <w:rPr>
                <w:rFonts w:ascii="宋体" w:hAnsi="宋体"/>
                <w:color w:val="auto"/>
                <w:szCs w:val="21"/>
                <w:highlight w:val="none"/>
              </w:rPr>
              <w:t>质量要求</w:t>
            </w:r>
          </w:p>
        </w:tc>
        <w:tc>
          <w:tcPr>
            <w:tcW w:w="5580" w:type="dxa"/>
            <w:tcBorders>
              <w:top w:val="single" w:color="auto" w:sz="4" w:space="0"/>
              <w:left w:val="single" w:color="auto" w:sz="4" w:space="0"/>
              <w:right w:val="single" w:color="auto" w:sz="4" w:space="0"/>
            </w:tcBorders>
            <w:vAlign w:val="center"/>
          </w:tcPr>
          <w:p>
            <w:pPr>
              <w:spacing w:line="440" w:lineRule="atLeast"/>
              <w:rPr>
                <w:rFonts w:ascii="宋体" w:hAnsi="宋体"/>
                <w:color w:val="auto"/>
                <w:szCs w:val="21"/>
                <w:highlight w:val="none"/>
              </w:rPr>
            </w:pPr>
            <w:r>
              <w:rPr>
                <w:rFonts w:hint="eastAsia" w:ascii="宋体" w:hAnsi="宋体"/>
                <w:color w:val="auto"/>
                <w:szCs w:val="21"/>
                <w:highlight w:val="none"/>
              </w:rPr>
              <w:t>响应“供应商须知前附表”要求。(查看投标函)</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continue"/>
            <w:tcBorders>
              <w:right w:val="single" w:color="auto" w:sz="4" w:space="0"/>
            </w:tcBorders>
            <w:vAlign w:val="center"/>
          </w:tcPr>
          <w:p>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pPr>
              <w:spacing w:line="440" w:lineRule="exact"/>
              <w:jc w:val="center"/>
              <w:rPr>
                <w:rFonts w:ascii="宋体" w:hAnsi="宋体"/>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color w:val="auto"/>
                <w:szCs w:val="21"/>
                <w:highlight w:val="none"/>
              </w:rPr>
            </w:pPr>
            <w:r>
              <w:rPr>
                <w:rFonts w:hint="eastAsia" w:ascii="宋体" w:hAnsi="宋体"/>
                <w:color w:val="auto"/>
                <w:szCs w:val="21"/>
                <w:highlight w:val="none"/>
              </w:rPr>
              <w:t>投标有效期</w:t>
            </w:r>
          </w:p>
        </w:tc>
        <w:tc>
          <w:tcPr>
            <w:tcW w:w="5580"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ascii="宋体" w:hAnsi="宋体"/>
                <w:color w:val="auto"/>
                <w:szCs w:val="21"/>
                <w:highlight w:val="none"/>
              </w:rPr>
            </w:pPr>
            <w:r>
              <w:rPr>
                <w:rFonts w:hint="eastAsia" w:ascii="宋体" w:hAnsi="宋体"/>
                <w:color w:val="auto"/>
                <w:szCs w:val="21"/>
                <w:highlight w:val="none"/>
              </w:rPr>
              <w:t>不得少于“供应商须知前附表”规定的时间。(查看投标函)</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continue"/>
            <w:tcBorders>
              <w:right w:val="single" w:color="auto" w:sz="4" w:space="0"/>
            </w:tcBorders>
            <w:vAlign w:val="center"/>
          </w:tcPr>
          <w:p>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pPr>
              <w:spacing w:line="440" w:lineRule="exact"/>
              <w:jc w:val="center"/>
              <w:rPr>
                <w:rFonts w:ascii="宋体" w:hAnsi="宋体"/>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color w:val="auto"/>
                <w:szCs w:val="21"/>
                <w:highlight w:val="none"/>
              </w:rPr>
            </w:pPr>
            <w:r>
              <w:rPr>
                <w:rFonts w:hint="eastAsia" w:ascii="宋体" w:hAnsi="宋体"/>
                <w:color w:val="auto"/>
                <w:szCs w:val="21"/>
                <w:highlight w:val="none"/>
              </w:rPr>
              <w:t>付款方式</w:t>
            </w:r>
          </w:p>
        </w:tc>
        <w:tc>
          <w:tcPr>
            <w:tcW w:w="5580"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ascii="宋体" w:hAnsi="宋体"/>
                <w:color w:val="auto"/>
                <w:szCs w:val="21"/>
                <w:highlight w:val="none"/>
              </w:rPr>
            </w:pPr>
            <w:r>
              <w:rPr>
                <w:rFonts w:hint="eastAsia" w:ascii="宋体" w:hAnsi="宋体"/>
                <w:color w:val="auto"/>
                <w:szCs w:val="21"/>
                <w:highlight w:val="none"/>
              </w:rPr>
              <w:t>响应“供应商须知前附表”要求(查看投标函)</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continue"/>
            <w:tcBorders>
              <w:right w:val="single" w:color="auto" w:sz="4" w:space="0"/>
            </w:tcBorders>
            <w:vAlign w:val="center"/>
          </w:tcPr>
          <w:p>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pPr>
              <w:spacing w:line="440" w:lineRule="exact"/>
              <w:jc w:val="center"/>
              <w:rPr>
                <w:rFonts w:ascii="宋体" w:hAnsi="宋体"/>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color w:val="auto"/>
                <w:szCs w:val="21"/>
                <w:highlight w:val="none"/>
              </w:rPr>
            </w:pPr>
            <w:r>
              <w:rPr>
                <w:rFonts w:hint="eastAsia" w:ascii="宋体" w:hAnsi="宋体"/>
                <w:color w:val="auto"/>
                <w:szCs w:val="21"/>
                <w:highlight w:val="none"/>
              </w:rPr>
              <w:t>硬件特征码</w:t>
            </w:r>
          </w:p>
        </w:tc>
        <w:tc>
          <w:tcPr>
            <w:tcW w:w="5580" w:type="dxa"/>
            <w:tcBorders>
              <w:top w:val="single" w:color="auto" w:sz="4" w:space="0"/>
              <w:left w:val="single" w:color="auto" w:sz="4" w:space="0"/>
              <w:bottom w:val="single" w:color="auto" w:sz="4" w:space="0"/>
              <w:right w:val="single" w:color="auto" w:sz="4" w:space="0"/>
            </w:tcBorders>
            <w:vAlign w:val="center"/>
          </w:tcPr>
          <w:p>
            <w:pPr>
              <w:spacing w:line="440" w:lineRule="atLeast"/>
              <w:rPr>
                <w:rFonts w:ascii="宋体" w:hAnsi="宋体" w:cs="宋体"/>
                <w:color w:val="auto"/>
                <w:szCs w:val="21"/>
                <w:highlight w:val="none"/>
              </w:rPr>
            </w:pPr>
            <w:r>
              <w:rPr>
                <w:rFonts w:hint="eastAsia" w:ascii="宋体" w:hAnsi="宋体" w:cs="宋体"/>
                <w:color w:val="auto"/>
                <w:szCs w:val="21"/>
                <w:highlight w:val="none"/>
              </w:rPr>
              <w:t>供应商上传投标文件的计算机“硬件特征码”不得与本项目其他供应商相同。</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continue"/>
            <w:tcBorders>
              <w:right w:val="single" w:color="auto" w:sz="4" w:space="0"/>
            </w:tcBorders>
            <w:vAlign w:val="center"/>
          </w:tcPr>
          <w:p>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pPr>
              <w:spacing w:line="440" w:lineRule="exact"/>
              <w:jc w:val="center"/>
              <w:rPr>
                <w:rFonts w:ascii="宋体" w:hAnsi="宋体"/>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color w:val="auto"/>
                <w:szCs w:val="21"/>
                <w:highlight w:val="none"/>
              </w:rPr>
            </w:pPr>
            <w:r>
              <w:rPr>
                <w:rFonts w:hint="eastAsia" w:ascii="宋体" w:hAnsi="宋体"/>
                <w:color w:val="auto"/>
                <w:szCs w:val="21"/>
                <w:highlight w:val="none"/>
              </w:rPr>
              <w:t>其他无效投标情形</w:t>
            </w:r>
          </w:p>
        </w:tc>
        <w:tc>
          <w:tcPr>
            <w:tcW w:w="5580" w:type="dxa"/>
            <w:tcBorders>
              <w:top w:val="single" w:color="auto" w:sz="4" w:space="0"/>
              <w:left w:val="single" w:color="auto" w:sz="4" w:space="0"/>
              <w:bottom w:val="single" w:color="auto" w:sz="4" w:space="0"/>
              <w:right w:val="single" w:color="auto" w:sz="4" w:space="0"/>
            </w:tcBorders>
            <w:vAlign w:val="center"/>
          </w:tcPr>
          <w:p>
            <w:pPr>
              <w:spacing w:line="440" w:lineRule="exact"/>
              <w:jc w:val="left"/>
              <w:rPr>
                <w:color w:val="auto"/>
                <w:highlight w:val="none"/>
              </w:rPr>
            </w:pPr>
            <w:r>
              <w:rPr>
                <w:rFonts w:hint="eastAsia"/>
                <w:color w:val="auto"/>
                <w:highlight w:val="none"/>
              </w:rPr>
              <w:t>不存在本章“附件Ａ　无效投标条件”所列情形。</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45" w:hRule="atLeast"/>
        </w:trPr>
        <w:tc>
          <w:tcPr>
            <w:tcW w:w="8280" w:type="dxa"/>
            <w:gridSpan w:val="4"/>
            <w:tcBorders>
              <w:top w:val="single" w:color="auto" w:sz="4" w:space="0"/>
              <w:right w:val="single" w:color="auto" w:sz="4" w:space="0"/>
            </w:tcBorders>
            <w:vAlign w:val="center"/>
          </w:tcPr>
          <w:p>
            <w:pPr>
              <w:spacing w:line="440" w:lineRule="exact"/>
              <w:ind w:firstLine="420" w:firstLineChars="200"/>
              <w:jc w:val="left"/>
              <w:rPr>
                <w:color w:val="auto"/>
                <w:highlight w:val="none"/>
              </w:rPr>
            </w:pPr>
            <w:r>
              <w:rPr>
                <w:rFonts w:hint="eastAsia"/>
                <w:color w:val="auto"/>
                <w:highlight w:val="none"/>
              </w:rPr>
              <w:t>对于无效投标，评标委员会应详细写明具体原因以及采购文件或法律依据，并写入评标报告。</w:t>
            </w:r>
          </w:p>
        </w:tc>
      </w:tr>
    </w:tbl>
    <w:p>
      <w:pPr>
        <w:spacing w:line="440" w:lineRule="exact"/>
        <w:rPr>
          <w:rFonts w:ascii="宋体" w:hAnsi="宋体"/>
          <w:b/>
          <w:bCs/>
          <w:color w:val="auto"/>
          <w:highlight w:val="none"/>
        </w:rPr>
      </w:pPr>
    </w:p>
    <w:p>
      <w:pPr>
        <w:spacing w:line="440" w:lineRule="exact"/>
        <w:rPr>
          <w:rFonts w:ascii="宋体" w:hAnsi="宋体"/>
          <w:b/>
          <w:bCs/>
          <w:color w:val="auto"/>
          <w:highlight w:val="none"/>
        </w:rPr>
      </w:pPr>
      <w:r>
        <w:rPr>
          <w:rFonts w:hint="eastAsia" w:ascii="宋体" w:hAnsi="宋体"/>
          <w:b/>
          <w:bCs/>
          <w:color w:val="auto"/>
          <w:highlight w:val="none"/>
        </w:rPr>
        <w:t>商务和技术评审内容如下：</w:t>
      </w:r>
    </w:p>
    <w:tbl>
      <w:tblPr>
        <w:tblStyle w:val="34"/>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18"/>
        <w:gridCol w:w="642"/>
        <w:gridCol w:w="1583"/>
        <w:gridCol w:w="701"/>
        <w:gridCol w:w="473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1260" w:type="dxa"/>
            <w:gridSpan w:val="2"/>
            <w:tcBorders>
              <w:top w:val="single" w:color="auto" w:sz="4" w:space="0"/>
              <w:bottom w:val="single" w:color="auto" w:sz="4" w:space="0"/>
              <w:right w:val="single" w:color="auto" w:sz="4" w:space="0"/>
            </w:tcBorders>
            <w:vAlign w:val="center"/>
          </w:tcPr>
          <w:p>
            <w:pPr>
              <w:spacing w:line="440" w:lineRule="exact"/>
              <w:jc w:val="center"/>
              <w:rPr>
                <w:rFonts w:ascii="宋体" w:hAnsi="宋体"/>
                <w:b/>
                <w:bCs/>
                <w:color w:val="auto"/>
                <w:szCs w:val="21"/>
                <w:highlight w:val="none"/>
              </w:rPr>
            </w:pPr>
            <w:r>
              <w:rPr>
                <w:rFonts w:hint="eastAsia" w:ascii="宋体" w:hAnsi="宋体"/>
                <w:b/>
                <w:bCs/>
                <w:color w:val="auto"/>
                <w:highlight w:val="none"/>
              </w:rPr>
              <w:t>条款号</w:t>
            </w:r>
          </w:p>
        </w:tc>
        <w:tc>
          <w:tcPr>
            <w:tcW w:w="1583" w:type="dxa"/>
            <w:tcBorders>
              <w:top w:val="single" w:color="auto" w:sz="4" w:space="0"/>
              <w:left w:val="single" w:color="auto" w:sz="4" w:space="0"/>
              <w:right w:val="single" w:color="auto" w:sz="4" w:space="0"/>
            </w:tcBorders>
            <w:vAlign w:val="center"/>
          </w:tcPr>
          <w:p>
            <w:pPr>
              <w:spacing w:line="440" w:lineRule="exact"/>
              <w:jc w:val="center"/>
              <w:rPr>
                <w:rFonts w:ascii="宋体" w:hAnsi="宋体"/>
                <w:b/>
                <w:bCs/>
                <w:color w:val="auto"/>
                <w:szCs w:val="21"/>
                <w:highlight w:val="none"/>
              </w:rPr>
            </w:pPr>
            <w:r>
              <w:rPr>
                <w:rFonts w:hint="eastAsia" w:ascii="宋体" w:hAnsi="宋体"/>
                <w:b/>
                <w:bCs/>
                <w:color w:val="auto"/>
                <w:highlight w:val="none"/>
              </w:rPr>
              <w:t>条款内容</w:t>
            </w:r>
          </w:p>
        </w:tc>
        <w:tc>
          <w:tcPr>
            <w:tcW w:w="5437" w:type="dxa"/>
            <w:gridSpan w:val="2"/>
            <w:tcBorders>
              <w:top w:val="single" w:color="auto" w:sz="4" w:space="0"/>
              <w:left w:val="single" w:color="auto" w:sz="4" w:space="0"/>
              <w:right w:val="single" w:color="auto" w:sz="4" w:space="0"/>
            </w:tcBorders>
            <w:vAlign w:val="center"/>
          </w:tcPr>
          <w:p>
            <w:pPr>
              <w:spacing w:line="440" w:lineRule="exact"/>
              <w:jc w:val="center"/>
              <w:rPr>
                <w:rFonts w:ascii="宋体" w:hAnsi="宋体"/>
                <w:b/>
                <w:bCs/>
                <w:color w:val="auto"/>
                <w:szCs w:val="21"/>
                <w:highlight w:val="none"/>
              </w:rPr>
            </w:pPr>
            <w:r>
              <w:rPr>
                <w:rFonts w:hint="eastAsia" w:ascii="宋体" w:hAnsi="宋体"/>
                <w:b/>
                <w:bCs/>
                <w:color w:val="auto"/>
                <w:highlight w:val="none"/>
              </w:rPr>
              <w:t>编列内容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1260" w:type="dxa"/>
            <w:gridSpan w:val="2"/>
            <w:tcBorders>
              <w:top w:val="single" w:color="auto" w:sz="4" w:space="0"/>
              <w:bottom w:val="single" w:color="auto" w:sz="4" w:space="0"/>
              <w:right w:val="single" w:color="auto" w:sz="4" w:space="0"/>
            </w:tcBorders>
            <w:vAlign w:val="center"/>
          </w:tcPr>
          <w:p>
            <w:pPr>
              <w:spacing w:line="440" w:lineRule="exact"/>
              <w:jc w:val="center"/>
              <w:rPr>
                <w:rFonts w:ascii="宋体" w:hAnsi="宋体"/>
                <w:color w:val="auto"/>
                <w:szCs w:val="21"/>
                <w:highlight w:val="none"/>
              </w:rPr>
            </w:pPr>
            <w:r>
              <w:rPr>
                <w:rFonts w:hint="eastAsia" w:ascii="宋体" w:hAnsi="宋体"/>
                <w:color w:val="auto"/>
                <w:szCs w:val="21"/>
                <w:highlight w:val="none"/>
              </w:rPr>
              <w:t>2.2.1</w:t>
            </w:r>
          </w:p>
        </w:tc>
        <w:tc>
          <w:tcPr>
            <w:tcW w:w="1583" w:type="dxa"/>
            <w:tcBorders>
              <w:top w:val="single" w:color="auto" w:sz="4" w:space="0"/>
              <w:left w:val="single" w:color="auto" w:sz="4" w:space="0"/>
              <w:right w:val="single" w:color="auto" w:sz="4" w:space="0"/>
            </w:tcBorders>
            <w:vAlign w:val="center"/>
          </w:tcPr>
          <w:p>
            <w:pPr>
              <w:spacing w:line="440" w:lineRule="exact"/>
              <w:jc w:val="center"/>
              <w:rPr>
                <w:rFonts w:ascii="宋体" w:hAnsi="宋体"/>
                <w:color w:val="auto"/>
                <w:szCs w:val="21"/>
                <w:highlight w:val="none"/>
              </w:rPr>
            </w:pPr>
            <w:r>
              <w:rPr>
                <w:rFonts w:hint="eastAsia" w:ascii="宋体" w:hAnsi="宋体"/>
                <w:color w:val="auto"/>
                <w:szCs w:val="21"/>
                <w:highlight w:val="none"/>
              </w:rPr>
              <w:t>分值构成</w:t>
            </w:r>
          </w:p>
          <w:p>
            <w:pPr>
              <w:spacing w:line="440" w:lineRule="exact"/>
              <w:jc w:val="center"/>
              <w:rPr>
                <w:rFonts w:ascii="宋体" w:hAnsi="宋体"/>
                <w:color w:val="auto"/>
                <w:szCs w:val="21"/>
                <w:highlight w:val="none"/>
              </w:rPr>
            </w:pPr>
            <w:r>
              <w:rPr>
                <w:rFonts w:hint="eastAsia" w:ascii="宋体" w:hAnsi="宋体"/>
                <w:color w:val="auto"/>
                <w:szCs w:val="21"/>
                <w:highlight w:val="none"/>
              </w:rPr>
              <w:t>(总分 100 分)</w:t>
            </w:r>
          </w:p>
        </w:tc>
        <w:tc>
          <w:tcPr>
            <w:tcW w:w="5437" w:type="dxa"/>
            <w:gridSpan w:val="2"/>
            <w:tcBorders>
              <w:top w:val="single" w:color="auto" w:sz="4" w:space="0"/>
              <w:left w:val="single" w:color="auto" w:sz="4" w:space="0"/>
              <w:right w:val="single" w:color="auto" w:sz="4" w:space="0"/>
            </w:tcBorders>
            <w:vAlign w:val="center"/>
          </w:tcPr>
          <w:p>
            <w:pPr>
              <w:spacing w:line="440" w:lineRule="exact"/>
              <w:jc w:val="left"/>
              <w:rPr>
                <w:rFonts w:ascii="宋体" w:hAnsi="宋体"/>
                <w:color w:val="auto"/>
                <w:highlight w:val="none"/>
              </w:rPr>
            </w:pPr>
            <w:r>
              <w:rPr>
                <w:rFonts w:hint="eastAsia" w:ascii="宋体" w:hAnsi="宋体"/>
                <w:color w:val="auto"/>
                <w:highlight w:val="none"/>
              </w:rPr>
              <w:t>投标报价：</w:t>
            </w:r>
            <w:r>
              <w:rPr>
                <w:rFonts w:hint="eastAsia" w:ascii="宋体" w:hAnsi="宋体"/>
                <w:color w:val="auto"/>
                <w:highlight w:val="none"/>
                <w:u w:val="single"/>
              </w:rPr>
              <w:t xml:space="preserve"> </w:t>
            </w:r>
            <w:r>
              <w:rPr>
                <w:rFonts w:hint="eastAsia" w:ascii="宋体" w:hAnsi="宋体"/>
                <w:color w:val="auto"/>
                <w:highlight w:val="none"/>
                <w:u w:val="single"/>
                <w:lang w:val="en-US" w:eastAsia="zh-CN"/>
              </w:rPr>
              <w:t>30</w:t>
            </w:r>
            <w:r>
              <w:rPr>
                <w:rFonts w:hint="eastAsia" w:ascii="宋体" w:hAnsi="宋体"/>
                <w:color w:val="auto"/>
                <w:highlight w:val="none"/>
                <w:u w:val="single"/>
              </w:rPr>
              <w:t xml:space="preserve"> </w:t>
            </w:r>
            <w:r>
              <w:rPr>
                <w:rFonts w:hint="eastAsia" w:ascii="宋体" w:hAnsi="宋体"/>
                <w:color w:val="auto"/>
                <w:highlight w:val="none"/>
              </w:rPr>
              <w:t>分</w:t>
            </w:r>
          </w:p>
          <w:p>
            <w:pPr>
              <w:spacing w:line="440" w:lineRule="exact"/>
              <w:jc w:val="left"/>
              <w:rPr>
                <w:rFonts w:ascii="宋体" w:hAnsi="宋体"/>
                <w:color w:val="auto"/>
                <w:highlight w:val="none"/>
              </w:rPr>
            </w:pPr>
            <w:r>
              <w:rPr>
                <w:rFonts w:hint="eastAsia" w:ascii="宋体" w:hAnsi="宋体"/>
                <w:color w:val="auto"/>
                <w:highlight w:val="none"/>
              </w:rPr>
              <w:t>商务部分：</w:t>
            </w:r>
            <w:r>
              <w:rPr>
                <w:rFonts w:hint="eastAsia" w:ascii="宋体" w:hAnsi="宋体"/>
                <w:color w:val="auto"/>
                <w:highlight w:val="none"/>
                <w:u w:val="single"/>
              </w:rPr>
              <w:t xml:space="preserve"> </w:t>
            </w:r>
            <w:r>
              <w:rPr>
                <w:rFonts w:hint="eastAsia" w:ascii="宋体" w:hAnsi="宋体"/>
                <w:color w:val="auto"/>
                <w:highlight w:val="none"/>
                <w:u w:val="single"/>
                <w:lang w:val="en-US" w:eastAsia="zh-CN"/>
              </w:rPr>
              <w:t>25</w:t>
            </w:r>
            <w:r>
              <w:rPr>
                <w:rFonts w:hint="eastAsia" w:ascii="宋体" w:hAnsi="宋体"/>
                <w:color w:val="auto"/>
                <w:highlight w:val="none"/>
                <w:u w:val="single"/>
              </w:rPr>
              <w:t xml:space="preserve"> </w:t>
            </w:r>
            <w:r>
              <w:rPr>
                <w:rFonts w:hint="eastAsia" w:ascii="宋体" w:hAnsi="宋体"/>
                <w:color w:val="auto"/>
                <w:highlight w:val="none"/>
              </w:rPr>
              <w:t>分</w:t>
            </w:r>
          </w:p>
          <w:p>
            <w:pPr>
              <w:spacing w:line="440" w:lineRule="exact"/>
              <w:jc w:val="left"/>
              <w:rPr>
                <w:rFonts w:ascii="宋体" w:hAnsi="宋体"/>
                <w:color w:val="auto"/>
                <w:highlight w:val="none"/>
              </w:rPr>
            </w:pPr>
            <w:r>
              <w:rPr>
                <w:rFonts w:hint="eastAsia" w:ascii="宋体" w:hAnsi="宋体"/>
                <w:color w:val="auto"/>
                <w:highlight w:val="none"/>
              </w:rPr>
              <w:t>技术部分：</w:t>
            </w:r>
            <w:r>
              <w:rPr>
                <w:rFonts w:hint="eastAsia" w:ascii="宋体" w:hAnsi="宋体"/>
                <w:color w:val="auto"/>
                <w:highlight w:val="none"/>
                <w:u w:val="single"/>
              </w:rPr>
              <w:t xml:space="preserve"> </w:t>
            </w:r>
            <w:r>
              <w:rPr>
                <w:rFonts w:hint="eastAsia" w:ascii="宋体" w:hAnsi="宋体"/>
                <w:color w:val="auto"/>
                <w:highlight w:val="none"/>
                <w:u w:val="single"/>
                <w:lang w:val="en-US" w:eastAsia="zh-CN"/>
              </w:rPr>
              <w:t>45</w:t>
            </w:r>
            <w:r>
              <w:rPr>
                <w:rFonts w:hint="eastAsia" w:ascii="宋体" w:hAnsi="宋体"/>
                <w:color w:val="auto"/>
                <w:highlight w:val="none"/>
                <w:u w:val="single"/>
              </w:rPr>
              <w:t xml:space="preserve"> </w:t>
            </w:r>
            <w:r>
              <w:rPr>
                <w:rFonts w:hint="eastAsia" w:ascii="宋体" w:hAnsi="宋体"/>
                <w:color w:val="auto"/>
                <w:highlight w:val="none"/>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60" w:hRule="atLeast"/>
        </w:trPr>
        <w:tc>
          <w:tcPr>
            <w:tcW w:w="1260" w:type="dxa"/>
            <w:gridSpan w:val="2"/>
            <w:tcBorders>
              <w:top w:val="single" w:color="auto" w:sz="4" w:space="0"/>
              <w:bottom w:val="single" w:color="auto" w:sz="4" w:space="0"/>
              <w:right w:val="single" w:color="auto" w:sz="4" w:space="0"/>
            </w:tcBorders>
            <w:vAlign w:val="center"/>
          </w:tcPr>
          <w:p>
            <w:pPr>
              <w:spacing w:line="440" w:lineRule="exact"/>
              <w:jc w:val="center"/>
              <w:rPr>
                <w:rFonts w:ascii="宋体" w:hAnsi="宋体"/>
                <w:color w:val="auto"/>
                <w:highlight w:val="none"/>
              </w:rPr>
            </w:pPr>
            <w:r>
              <w:rPr>
                <w:rFonts w:ascii="宋体" w:hAnsi="宋体"/>
                <w:color w:val="auto"/>
                <w:szCs w:val="21"/>
                <w:highlight w:val="none"/>
              </w:rPr>
              <w:t>2.2.</w:t>
            </w:r>
            <w:r>
              <w:rPr>
                <w:rFonts w:hint="eastAsia" w:ascii="宋体" w:hAnsi="宋体"/>
                <w:color w:val="auto"/>
                <w:szCs w:val="21"/>
                <w:highlight w:val="none"/>
              </w:rPr>
              <w:t>2</w:t>
            </w:r>
          </w:p>
        </w:tc>
        <w:tc>
          <w:tcPr>
            <w:tcW w:w="1583" w:type="dxa"/>
            <w:tcBorders>
              <w:top w:val="single" w:color="auto" w:sz="4" w:space="0"/>
              <w:left w:val="single" w:color="auto" w:sz="4" w:space="0"/>
              <w:right w:val="single" w:color="auto" w:sz="4" w:space="0"/>
            </w:tcBorders>
            <w:vAlign w:val="center"/>
          </w:tcPr>
          <w:p>
            <w:pPr>
              <w:spacing w:line="440" w:lineRule="exact"/>
              <w:jc w:val="center"/>
              <w:rPr>
                <w:rFonts w:ascii="宋体" w:hAnsi="宋体"/>
                <w:color w:val="auto"/>
                <w:highlight w:val="none"/>
              </w:rPr>
            </w:pPr>
            <w:r>
              <w:rPr>
                <w:rFonts w:ascii="宋体" w:hAnsi="宋体"/>
                <w:color w:val="auto"/>
                <w:szCs w:val="21"/>
                <w:highlight w:val="none"/>
              </w:rPr>
              <w:t>投标报价</w:t>
            </w:r>
          </w:p>
        </w:tc>
        <w:tc>
          <w:tcPr>
            <w:tcW w:w="5437" w:type="dxa"/>
            <w:gridSpan w:val="2"/>
            <w:tcBorders>
              <w:top w:val="single" w:color="auto" w:sz="4" w:space="0"/>
              <w:left w:val="single" w:color="auto" w:sz="4" w:space="0"/>
              <w:right w:val="single" w:color="auto" w:sz="4" w:space="0"/>
            </w:tcBorders>
            <w:vAlign w:val="center"/>
          </w:tcPr>
          <w:p>
            <w:pPr>
              <w:numPr>
                <w:ilvl w:val="0"/>
                <w:numId w:val="5"/>
              </w:numPr>
              <w:ind w:firstLine="420" w:firstLineChars="200"/>
              <w:rPr>
                <w:color w:val="auto"/>
                <w:highlight w:val="none"/>
              </w:rPr>
            </w:pPr>
            <w:r>
              <w:rPr>
                <w:rFonts w:hint="eastAsia"/>
                <w:color w:val="auto"/>
                <w:highlight w:val="none"/>
              </w:rPr>
              <w:t>价格分采用低价优先法计算，即满足项目需求且投标报价最低的有效投标报价为评标基准价，其价格分为满分。</w:t>
            </w:r>
          </w:p>
          <w:p>
            <w:pPr>
              <w:spacing w:line="440" w:lineRule="exact"/>
              <w:rPr>
                <w:color w:val="auto"/>
                <w:highlight w:val="none"/>
              </w:rPr>
            </w:pPr>
            <w:r>
              <w:rPr>
                <w:rFonts w:hint="eastAsia"/>
                <w:color w:val="auto"/>
                <w:highlight w:val="none"/>
              </w:rPr>
              <w:t>投标报价得分＝（评标基准价/投标报价）×价格分值</w:t>
            </w:r>
          </w:p>
          <w:p>
            <w:pPr>
              <w:ind w:firstLine="210" w:firstLineChars="100"/>
              <w:rPr>
                <w:rFonts w:hint="eastAsia"/>
                <w:color w:val="auto"/>
                <w:highlight w:val="none"/>
              </w:rPr>
            </w:pPr>
            <w:r>
              <w:rPr>
                <w:rFonts w:hint="eastAsia"/>
                <w:color w:val="auto"/>
                <w:highlight w:val="none"/>
              </w:rPr>
              <w:t>（公式中的评标基准价、投标报价，涉及价格扣除时指扣除后价格）</w:t>
            </w:r>
          </w:p>
          <w:p>
            <w:pPr>
              <w:pStyle w:val="2"/>
              <w:ind w:left="0" w:leftChars="0" w:firstLine="420" w:firstLineChars="200"/>
              <w:rPr>
                <w:color w:val="auto"/>
                <w:highlight w:val="none"/>
              </w:rPr>
            </w:pPr>
            <w:r>
              <w:rPr>
                <w:rFonts w:hint="eastAsia" w:ascii="Times New Roman" w:hAnsi="Times New Roman" w:eastAsia="宋体" w:cs="Times New Roman"/>
                <w:color w:val="auto"/>
                <w:kern w:val="2"/>
                <w:sz w:val="21"/>
                <w:szCs w:val="24"/>
                <w:highlight w:val="none"/>
                <w:lang w:val="en-US" w:eastAsia="zh-CN" w:bidi="ar-SA"/>
              </w:rPr>
              <w:t>2、非专门面向中小企业采购项目，小型、微型企业按要求提供《中小企业声明函》[若为货物类采购项目，其全部标的(产品)应均为小型、微型企业生产，并在声明函中分别列明与“投标内容及报价明细表”中对应的每一标的(产品)及其生产制造商情况]，符合要求者在评标时给予20%价格扣除，符合要求的监狱企业、残疾人福利性单位视同小型、微型企业，多重身份者不重复计算。</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1260" w:type="dxa"/>
            <w:gridSpan w:val="2"/>
            <w:tcBorders>
              <w:top w:val="single" w:color="auto" w:sz="4" w:space="0"/>
              <w:bottom w:val="single" w:color="auto" w:sz="4" w:space="0"/>
              <w:right w:val="single" w:color="auto" w:sz="4" w:space="0"/>
            </w:tcBorders>
            <w:vAlign w:val="center"/>
          </w:tcPr>
          <w:p>
            <w:pPr>
              <w:spacing w:line="440" w:lineRule="exact"/>
              <w:jc w:val="center"/>
              <w:rPr>
                <w:rFonts w:ascii="宋体" w:hAnsi="宋体"/>
                <w:color w:val="auto"/>
                <w:szCs w:val="21"/>
                <w:highlight w:val="none"/>
              </w:rPr>
            </w:pPr>
            <w:r>
              <w:rPr>
                <w:rFonts w:hint="eastAsia" w:ascii="宋体" w:hAnsi="宋体"/>
                <w:b/>
                <w:bCs/>
                <w:color w:val="auto"/>
                <w:highlight w:val="none"/>
              </w:rPr>
              <w:t>条款号</w:t>
            </w:r>
          </w:p>
        </w:tc>
        <w:tc>
          <w:tcPr>
            <w:tcW w:w="1583" w:type="dxa"/>
            <w:tcBorders>
              <w:top w:val="single" w:color="auto" w:sz="4" w:space="0"/>
              <w:left w:val="single" w:color="auto" w:sz="4" w:space="0"/>
              <w:right w:val="single" w:color="auto" w:sz="4" w:space="0"/>
            </w:tcBorders>
            <w:vAlign w:val="center"/>
          </w:tcPr>
          <w:p>
            <w:pPr>
              <w:spacing w:line="440" w:lineRule="exact"/>
              <w:jc w:val="center"/>
              <w:rPr>
                <w:rFonts w:ascii="宋体" w:hAnsi="宋体"/>
                <w:b/>
                <w:bCs/>
                <w:color w:val="auto"/>
                <w:sz w:val="32"/>
                <w:szCs w:val="32"/>
                <w:highlight w:val="none"/>
              </w:rPr>
            </w:pPr>
            <w:r>
              <w:rPr>
                <w:rFonts w:hint="eastAsia" w:ascii="宋体" w:hAnsi="宋体"/>
                <w:b/>
                <w:bCs/>
                <w:color w:val="auto"/>
                <w:highlight w:val="none"/>
              </w:rPr>
              <w:t>评审因素</w:t>
            </w:r>
          </w:p>
        </w:tc>
        <w:tc>
          <w:tcPr>
            <w:tcW w:w="701" w:type="dxa"/>
            <w:tcBorders>
              <w:top w:val="single" w:color="auto" w:sz="4" w:space="0"/>
              <w:left w:val="single" w:color="auto" w:sz="4" w:space="0"/>
              <w:right w:val="single" w:color="auto" w:sz="4" w:space="0"/>
            </w:tcBorders>
            <w:vAlign w:val="center"/>
          </w:tcPr>
          <w:p>
            <w:pPr>
              <w:spacing w:line="440" w:lineRule="exact"/>
              <w:jc w:val="center"/>
              <w:rPr>
                <w:rFonts w:ascii="宋体" w:hAnsi="宋体"/>
                <w:b/>
                <w:bCs/>
                <w:color w:val="auto"/>
                <w:highlight w:val="none"/>
              </w:rPr>
            </w:pPr>
            <w:r>
              <w:rPr>
                <w:rFonts w:hint="eastAsia" w:ascii="宋体" w:hAnsi="宋体"/>
                <w:b/>
                <w:bCs/>
                <w:color w:val="auto"/>
                <w:highlight w:val="none"/>
              </w:rPr>
              <w:t>分值</w:t>
            </w:r>
          </w:p>
        </w:tc>
        <w:tc>
          <w:tcPr>
            <w:tcW w:w="4736" w:type="dxa"/>
            <w:tcBorders>
              <w:top w:val="single" w:color="auto" w:sz="4" w:space="0"/>
              <w:left w:val="single" w:color="auto" w:sz="4" w:space="0"/>
              <w:right w:val="single" w:color="auto" w:sz="4" w:space="0"/>
            </w:tcBorders>
            <w:vAlign w:val="center"/>
          </w:tcPr>
          <w:p>
            <w:pPr>
              <w:spacing w:line="440" w:lineRule="exact"/>
              <w:jc w:val="center"/>
              <w:rPr>
                <w:rFonts w:ascii="宋体" w:hAnsi="宋体"/>
                <w:b/>
                <w:bCs/>
                <w:color w:val="auto"/>
                <w:highlight w:val="none"/>
              </w:rPr>
            </w:pPr>
            <w:r>
              <w:rPr>
                <w:rFonts w:hint="eastAsia" w:ascii="宋体" w:hAnsi="宋体"/>
                <w:b/>
                <w:bCs/>
                <w:color w:val="auto"/>
                <w:highlight w:val="none"/>
              </w:rPr>
              <w:t>细化、量化评审标准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7" w:hRule="atLeast"/>
        </w:trPr>
        <w:tc>
          <w:tcPr>
            <w:tcW w:w="618" w:type="dxa"/>
            <w:vMerge w:val="restart"/>
            <w:tcBorders>
              <w:top w:val="single" w:color="auto" w:sz="4" w:space="0"/>
              <w:right w:val="single" w:color="auto" w:sz="4" w:space="0"/>
            </w:tcBorders>
            <w:vAlign w:val="center"/>
          </w:tcPr>
          <w:p>
            <w:pPr>
              <w:spacing w:line="440" w:lineRule="exact"/>
              <w:jc w:val="center"/>
              <w:rPr>
                <w:rFonts w:ascii="宋体" w:hAnsi="宋体"/>
                <w:color w:val="auto"/>
                <w:highlight w:val="none"/>
              </w:rPr>
            </w:pPr>
            <w:r>
              <w:rPr>
                <w:rFonts w:hint="eastAsia" w:ascii="宋体" w:hAnsi="宋体"/>
                <w:color w:val="auto"/>
                <w:highlight w:val="none"/>
              </w:rPr>
              <w:t>2.2.4</w:t>
            </w:r>
          </w:p>
        </w:tc>
        <w:tc>
          <w:tcPr>
            <w:tcW w:w="642" w:type="dxa"/>
            <w:vMerge w:val="restart"/>
            <w:tcBorders>
              <w:top w:val="single" w:color="auto" w:sz="4" w:space="0"/>
              <w:left w:val="single" w:color="auto" w:sz="4" w:space="0"/>
              <w:right w:val="single" w:color="auto" w:sz="4" w:space="0"/>
            </w:tcBorders>
            <w:vAlign w:val="center"/>
          </w:tcPr>
          <w:p>
            <w:pPr>
              <w:spacing w:line="440" w:lineRule="exact"/>
              <w:jc w:val="center"/>
              <w:rPr>
                <w:rFonts w:ascii="宋体" w:hAnsi="宋体"/>
                <w:color w:val="auto"/>
                <w:highlight w:val="none"/>
              </w:rPr>
            </w:pPr>
            <w:r>
              <w:rPr>
                <w:rFonts w:hint="eastAsia" w:ascii="宋体" w:hAnsi="宋体"/>
                <w:color w:val="auto"/>
                <w:highlight w:val="none"/>
              </w:rPr>
              <w:t>商务评审内容</w:t>
            </w:r>
          </w:p>
        </w:tc>
        <w:tc>
          <w:tcPr>
            <w:tcW w:w="1583"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color w:val="auto"/>
                <w:highlight w:val="none"/>
              </w:rPr>
            </w:pPr>
            <w:r>
              <w:rPr>
                <w:rFonts w:hint="eastAsia" w:ascii="宋体" w:hAnsi="宋体"/>
                <w:color w:val="auto"/>
                <w:highlight w:val="none"/>
              </w:rPr>
              <w:t>业绩合同</w:t>
            </w:r>
          </w:p>
        </w:tc>
        <w:tc>
          <w:tcPr>
            <w:tcW w:w="701"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宋体" w:hAnsi="宋体" w:eastAsia="宋体"/>
                <w:color w:val="auto"/>
                <w:highlight w:val="none"/>
                <w:lang w:eastAsia="zh-CN"/>
              </w:rPr>
            </w:pPr>
            <w:r>
              <w:rPr>
                <w:rFonts w:hint="eastAsia" w:ascii="宋体" w:hAnsi="宋体"/>
                <w:color w:val="auto"/>
                <w:highlight w:val="none"/>
                <w:lang w:val="en-US" w:eastAsia="zh-CN"/>
              </w:rPr>
              <w:t>6</w:t>
            </w:r>
          </w:p>
        </w:tc>
        <w:tc>
          <w:tcPr>
            <w:tcW w:w="4736" w:type="dxa"/>
            <w:tcBorders>
              <w:top w:val="single" w:color="auto" w:sz="4" w:space="0"/>
              <w:left w:val="single" w:color="auto" w:sz="4" w:space="0"/>
              <w:bottom w:val="single" w:color="auto" w:sz="4" w:space="0"/>
              <w:right w:val="single" w:color="auto" w:sz="4" w:space="0"/>
            </w:tcBorders>
            <w:vAlign w:val="center"/>
          </w:tcPr>
          <w:p>
            <w:pPr>
              <w:spacing w:line="440" w:lineRule="exact"/>
              <w:jc w:val="left"/>
              <w:rPr>
                <w:rFonts w:hint="eastAsia" w:ascii="宋体" w:hAnsi="宋体"/>
                <w:color w:val="auto"/>
                <w:szCs w:val="21"/>
                <w:highlight w:val="none"/>
              </w:rPr>
            </w:pPr>
            <w:r>
              <w:rPr>
                <w:rFonts w:hint="eastAsia" w:ascii="宋体" w:hAnsi="宋体"/>
                <w:color w:val="auto"/>
                <w:szCs w:val="21"/>
                <w:highlight w:val="none"/>
              </w:rPr>
              <w:t xml:space="preserve">    </w:t>
            </w:r>
            <w:r>
              <w:rPr>
                <w:rFonts w:hint="eastAsia" w:ascii="宋体" w:hAnsi="宋体"/>
                <w:color w:val="auto"/>
                <w:szCs w:val="21"/>
                <w:highlight w:val="none"/>
                <w:u w:val="single"/>
                <w:lang w:val="en-US" w:eastAsia="zh-CN"/>
              </w:rPr>
              <w:t>2022</w:t>
            </w:r>
            <w:r>
              <w:rPr>
                <w:rFonts w:hint="eastAsia" w:ascii="宋体" w:hAnsi="宋体"/>
                <w:color w:val="auto"/>
                <w:szCs w:val="21"/>
                <w:highlight w:val="none"/>
              </w:rPr>
              <w:t>年1月1日以来签订日期）相同或类似项目业绩合同</w:t>
            </w:r>
            <w:r>
              <w:rPr>
                <w:rFonts w:hint="eastAsia" w:ascii="宋体" w:hAnsi="宋体"/>
                <w:color w:val="auto"/>
                <w:szCs w:val="21"/>
                <w:highlight w:val="none"/>
                <w:lang w:val="en-US" w:eastAsia="zh-CN"/>
              </w:rPr>
              <w:t>及</w:t>
            </w:r>
            <w:r>
              <w:rPr>
                <w:rFonts w:hint="eastAsia" w:ascii="宋体" w:hAnsi="宋体"/>
                <w:color w:val="auto"/>
                <w:szCs w:val="21"/>
                <w:highlight w:val="none"/>
              </w:rPr>
              <w:t>中标通知书（附原件扫描件）。</w:t>
            </w:r>
          </w:p>
          <w:p>
            <w:pPr>
              <w:spacing w:line="440" w:lineRule="exact"/>
              <w:ind w:firstLine="420" w:firstLineChars="200"/>
              <w:rPr>
                <w:rFonts w:ascii="宋体" w:hAnsi="宋体"/>
                <w:color w:val="auto"/>
                <w:highlight w:val="none"/>
              </w:rPr>
            </w:pPr>
            <w:r>
              <w:rPr>
                <w:rFonts w:hint="eastAsia" w:ascii="宋体" w:hAnsi="宋体"/>
                <w:color w:val="auto"/>
                <w:szCs w:val="21"/>
                <w:highlight w:val="none"/>
              </w:rPr>
              <w:t>评审标准：一份合同得</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2</w:t>
            </w:r>
            <w:r>
              <w:rPr>
                <w:rFonts w:hint="eastAsia" w:ascii="宋体" w:hAnsi="宋体"/>
                <w:color w:val="auto"/>
                <w:szCs w:val="21"/>
                <w:highlight w:val="none"/>
                <w:u w:val="single"/>
              </w:rPr>
              <w:t xml:space="preserve"> </w:t>
            </w:r>
            <w:r>
              <w:rPr>
                <w:rFonts w:hint="eastAsia" w:ascii="宋体" w:hAnsi="宋体"/>
                <w:color w:val="auto"/>
                <w:szCs w:val="21"/>
                <w:highlight w:val="none"/>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618" w:type="dxa"/>
            <w:vMerge w:val="continue"/>
            <w:tcBorders>
              <w:bottom w:val="single" w:color="auto" w:sz="4" w:space="0"/>
              <w:right w:val="single" w:color="auto" w:sz="4" w:space="0"/>
            </w:tcBorders>
            <w:vAlign w:val="center"/>
          </w:tcPr>
          <w:p>
            <w:pPr>
              <w:spacing w:line="440" w:lineRule="exact"/>
              <w:jc w:val="center"/>
              <w:rPr>
                <w:rFonts w:ascii="宋体" w:hAnsi="宋体"/>
                <w:color w:val="auto"/>
                <w:highlight w:val="none"/>
              </w:rPr>
            </w:pPr>
          </w:p>
        </w:tc>
        <w:tc>
          <w:tcPr>
            <w:tcW w:w="642" w:type="dxa"/>
            <w:vMerge w:val="continue"/>
            <w:tcBorders>
              <w:left w:val="single" w:color="auto" w:sz="4" w:space="0"/>
              <w:bottom w:val="single" w:color="auto" w:sz="4" w:space="0"/>
              <w:right w:val="single" w:color="auto" w:sz="4" w:space="0"/>
            </w:tcBorders>
            <w:vAlign w:val="center"/>
          </w:tcPr>
          <w:p>
            <w:pPr>
              <w:spacing w:line="440" w:lineRule="exact"/>
              <w:jc w:val="center"/>
              <w:rPr>
                <w:rFonts w:ascii="宋体" w:hAnsi="宋体"/>
                <w:color w:val="auto"/>
                <w:highlight w:val="none"/>
              </w:rPr>
            </w:pPr>
          </w:p>
        </w:tc>
        <w:tc>
          <w:tcPr>
            <w:tcW w:w="1583" w:type="dxa"/>
            <w:vMerge w:val="restart"/>
            <w:tcBorders>
              <w:top w:val="single" w:color="auto" w:sz="4" w:space="0"/>
              <w:left w:val="single" w:color="auto" w:sz="4" w:space="0"/>
              <w:right w:val="single" w:color="auto" w:sz="4" w:space="0"/>
            </w:tcBorders>
            <w:vAlign w:val="center"/>
          </w:tcPr>
          <w:p>
            <w:pPr>
              <w:spacing w:line="440" w:lineRule="exact"/>
              <w:jc w:val="center"/>
              <w:rPr>
                <w:rFonts w:ascii="宋体" w:hAnsi="宋体"/>
                <w:color w:val="auto"/>
                <w:highlight w:val="none"/>
              </w:rPr>
            </w:pPr>
            <w:r>
              <w:rPr>
                <w:rFonts w:hint="eastAsia" w:ascii="宋体" w:hAnsi="宋体" w:eastAsia="宋体" w:cs="Times New Roman"/>
                <w:color w:val="auto"/>
                <w:highlight w:val="none"/>
              </w:rPr>
              <w:t>企业实力</w:t>
            </w:r>
          </w:p>
        </w:tc>
        <w:tc>
          <w:tcPr>
            <w:tcW w:w="701" w:type="dxa"/>
            <w:tcBorders>
              <w:top w:val="single" w:color="auto" w:sz="4" w:space="0"/>
              <w:left w:val="single" w:color="auto" w:sz="4" w:space="0"/>
              <w:bottom w:val="single" w:color="auto" w:sz="4" w:space="0"/>
              <w:right w:val="single" w:color="auto" w:sz="4" w:space="0"/>
            </w:tcBorders>
            <w:vAlign w:val="center"/>
          </w:tcPr>
          <w:p>
            <w:pPr>
              <w:bidi w:val="0"/>
              <w:ind w:firstLine="241" w:firstLineChars="0"/>
              <w:jc w:val="left"/>
              <w:rPr>
                <w:rFonts w:ascii="宋体" w:hAnsi="宋体"/>
                <w:color w:val="auto"/>
                <w:highlight w:val="none"/>
              </w:rPr>
            </w:pPr>
            <w:r>
              <w:rPr>
                <w:rFonts w:hint="eastAsia"/>
                <w:color w:val="auto"/>
                <w:highlight w:val="none"/>
                <w:lang w:val="en-US" w:eastAsia="zh-CN"/>
              </w:rPr>
              <w:t>4</w:t>
            </w:r>
          </w:p>
        </w:tc>
        <w:tc>
          <w:tcPr>
            <w:tcW w:w="4736" w:type="dxa"/>
            <w:tcBorders>
              <w:top w:val="single" w:color="auto" w:sz="4" w:space="0"/>
              <w:left w:val="single" w:color="auto" w:sz="4" w:space="0"/>
              <w:bottom w:val="single" w:color="auto" w:sz="4" w:space="0"/>
              <w:right w:val="single" w:color="auto" w:sz="4" w:space="0"/>
            </w:tcBorders>
            <w:vAlign w:val="center"/>
          </w:tcPr>
          <w:p>
            <w:pPr>
              <w:spacing w:line="440" w:lineRule="exact"/>
              <w:ind w:firstLine="420" w:firstLineChars="200"/>
              <w:jc w:val="left"/>
              <w:rPr>
                <w:rFonts w:ascii="宋体" w:hAnsi="宋体"/>
                <w:color w:val="auto"/>
                <w:szCs w:val="21"/>
                <w:highlight w:val="none"/>
              </w:rPr>
            </w:pPr>
            <w:r>
              <w:rPr>
                <w:rFonts w:hint="eastAsia" w:ascii="宋体" w:hAnsi="宋体"/>
                <w:b w:val="0"/>
                <w:bCs w:val="0"/>
                <w:color w:val="auto"/>
                <w:szCs w:val="21"/>
                <w:highlight w:val="none"/>
                <w:u w:val="single"/>
                <w:lang w:val="en-US" w:eastAsia="zh-CN"/>
              </w:rPr>
              <w:t>2022</w:t>
            </w:r>
            <w:r>
              <w:rPr>
                <w:rFonts w:hint="eastAsia" w:ascii="宋体" w:hAnsi="宋体"/>
                <w:b w:val="0"/>
                <w:bCs w:val="0"/>
                <w:color w:val="auto"/>
                <w:szCs w:val="21"/>
                <w:highlight w:val="none"/>
              </w:rPr>
              <w:t>年1月1日以来（以落款日期为准）获市（含）以上人民政府及行政主管部门颁发的荣誉证书</w:t>
            </w:r>
            <w:r>
              <w:rPr>
                <w:rFonts w:hint="eastAsia"/>
                <w:b w:val="0"/>
                <w:bCs w:val="0"/>
                <w:color w:val="auto"/>
                <w:highlight w:val="none"/>
                <w:u w:val="single"/>
              </w:rPr>
              <w:t>得</w:t>
            </w:r>
            <w:r>
              <w:rPr>
                <w:rFonts w:hint="eastAsia"/>
                <w:b w:val="0"/>
                <w:bCs w:val="0"/>
                <w:color w:val="auto"/>
                <w:highlight w:val="none"/>
                <w:u w:val="single"/>
                <w:lang w:val="en-US" w:eastAsia="zh-CN"/>
              </w:rPr>
              <w:t>2</w:t>
            </w:r>
            <w:r>
              <w:rPr>
                <w:rFonts w:hint="eastAsia"/>
                <w:b w:val="0"/>
                <w:bCs w:val="0"/>
                <w:color w:val="auto"/>
                <w:highlight w:val="none"/>
                <w:u w:val="single"/>
              </w:rPr>
              <w:t>分</w:t>
            </w:r>
            <w:r>
              <w:rPr>
                <w:rFonts w:hint="eastAsia"/>
                <w:b w:val="0"/>
                <w:bCs w:val="0"/>
                <w:color w:val="auto"/>
                <w:highlight w:val="none"/>
                <w:u w:val="none"/>
              </w:rPr>
              <w:t>，省</w:t>
            </w:r>
            <w:r>
              <w:rPr>
                <w:rFonts w:hint="eastAsia" w:ascii="宋体" w:hAnsi="宋体"/>
                <w:b w:val="0"/>
                <w:bCs w:val="0"/>
                <w:color w:val="auto"/>
                <w:szCs w:val="21"/>
                <w:highlight w:val="none"/>
                <w:u w:val="none"/>
              </w:rPr>
              <w:t>（含）</w:t>
            </w:r>
            <w:r>
              <w:rPr>
                <w:rFonts w:hint="eastAsia"/>
                <w:b w:val="0"/>
                <w:bCs w:val="0"/>
                <w:color w:val="auto"/>
                <w:highlight w:val="none"/>
                <w:u w:val="none"/>
              </w:rPr>
              <w:t>以上荣誉</w:t>
            </w:r>
            <w:r>
              <w:rPr>
                <w:rFonts w:hint="eastAsia" w:ascii="宋体" w:hAnsi="宋体"/>
                <w:b w:val="0"/>
                <w:bCs w:val="0"/>
                <w:color w:val="auto"/>
                <w:szCs w:val="21"/>
                <w:highlight w:val="none"/>
                <w:u w:val="none"/>
              </w:rPr>
              <w:t>证</w:t>
            </w:r>
            <w:r>
              <w:rPr>
                <w:rFonts w:hint="eastAsia" w:ascii="宋体" w:hAnsi="宋体"/>
                <w:b w:val="0"/>
                <w:bCs w:val="0"/>
                <w:color w:val="auto"/>
                <w:szCs w:val="21"/>
                <w:highlight w:val="none"/>
              </w:rPr>
              <w:t>书</w:t>
            </w:r>
            <w:r>
              <w:rPr>
                <w:rFonts w:hint="eastAsia"/>
                <w:b w:val="0"/>
                <w:bCs w:val="0"/>
                <w:color w:val="auto"/>
                <w:highlight w:val="none"/>
                <w:u w:val="single"/>
              </w:rPr>
              <w:t>得</w:t>
            </w:r>
            <w:r>
              <w:rPr>
                <w:rFonts w:hint="eastAsia"/>
                <w:b w:val="0"/>
                <w:bCs w:val="0"/>
                <w:color w:val="auto"/>
                <w:highlight w:val="none"/>
                <w:u w:val="single"/>
                <w:lang w:val="en-US" w:eastAsia="zh-CN"/>
              </w:rPr>
              <w:t>4</w:t>
            </w:r>
            <w:r>
              <w:rPr>
                <w:rFonts w:hint="eastAsia"/>
                <w:b w:val="0"/>
                <w:bCs w:val="0"/>
                <w:color w:val="auto"/>
                <w:highlight w:val="none"/>
                <w:u w:val="single"/>
              </w:rPr>
              <w:t>分。</w:t>
            </w:r>
            <w:r>
              <w:rPr>
                <w:rFonts w:hint="eastAsia" w:ascii="宋体" w:hAnsi="宋体"/>
                <w:b w:val="0"/>
                <w:bCs w:val="0"/>
                <w:color w:val="auto"/>
                <w:szCs w:val="21"/>
                <w:highlight w:val="none"/>
              </w:rPr>
              <w:t>（附</w:t>
            </w:r>
            <w:r>
              <w:rPr>
                <w:rFonts w:hint="eastAsia" w:ascii="宋体" w:hAnsi="宋体"/>
                <w:b w:val="0"/>
                <w:bCs w:val="0"/>
                <w:color w:val="auto"/>
                <w:szCs w:val="21"/>
                <w:highlight w:val="none"/>
                <w:lang w:val="en-US" w:eastAsia="zh-CN"/>
              </w:rPr>
              <w:t>原件</w:t>
            </w:r>
            <w:r>
              <w:rPr>
                <w:rFonts w:hint="eastAsia" w:ascii="宋体" w:hAnsi="宋体"/>
                <w:b w:val="0"/>
                <w:bCs w:val="0"/>
                <w:color w:val="auto"/>
                <w:szCs w:val="21"/>
                <w:highlight w:val="none"/>
              </w:rPr>
              <w:t>扫描件）。</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618" w:type="dxa"/>
            <w:vMerge w:val="continue"/>
            <w:tcBorders>
              <w:bottom w:val="single" w:color="auto" w:sz="4" w:space="0"/>
              <w:right w:val="single" w:color="auto" w:sz="4" w:space="0"/>
            </w:tcBorders>
            <w:vAlign w:val="center"/>
          </w:tcPr>
          <w:p>
            <w:pPr>
              <w:spacing w:line="440" w:lineRule="exact"/>
              <w:jc w:val="center"/>
              <w:rPr>
                <w:rFonts w:ascii="宋体" w:hAnsi="宋体"/>
                <w:color w:val="auto"/>
                <w:highlight w:val="none"/>
              </w:rPr>
            </w:pPr>
          </w:p>
        </w:tc>
        <w:tc>
          <w:tcPr>
            <w:tcW w:w="642" w:type="dxa"/>
            <w:vMerge w:val="continue"/>
            <w:tcBorders>
              <w:left w:val="single" w:color="auto" w:sz="4" w:space="0"/>
              <w:bottom w:val="single" w:color="auto" w:sz="4" w:space="0"/>
              <w:right w:val="single" w:color="auto" w:sz="4" w:space="0"/>
            </w:tcBorders>
            <w:vAlign w:val="center"/>
          </w:tcPr>
          <w:p>
            <w:pPr>
              <w:spacing w:line="440" w:lineRule="exact"/>
              <w:jc w:val="center"/>
              <w:rPr>
                <w:rFonts w:ascii="宋体" w:hAnsi="宋体"/>
                <w:color w:val="auto"/>
                <w:highlight w:val="none"/>
              </w:rPr>
            </w:pPr>
          </w:p>
        </w:tc>
        <w:tc>
          <w:tcPr>
            <w:tcW w:w="1583" w:type="dxa"/>
            <w:vMerge w:val="continue"/>
            <w:tcBorders>
              <w:left w:val="single" w:color="auto" w:sz="4" w:space="0"/>
              <w:right w:val="single" w:color="auto" w:sz="4" w:space="0"/>
            </w:tcBorders>
            <w:vAlign w:val="center"/>
          </w:tcPr>
          <w:p>
            <w:pPr>
              <w:spacing w:line="440" w:lineRule="exact"/>
              <w:jc w:val="center"/>
              <w:rPr>
                <w:rFonts w:hint="eastAsia" w:ascii="宋体" w:hAnsi="宋体" w:eastAsia="宋体" w:cs="Times New Roman"/>
                <w:color w:val="auto"/>
                <w:highlight w:val="none"/>
              </w:rPr>
            </w:pPr>
          </w:p>
        </w:tc>
        <w:tc>
          <w:tcPr>
            <w:tcW w:w="701"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color w:val="auto"/>
                <w:highlight w:val="none"/>
              </w:rPr>
            </w:pPr>
            <w:r>
              <w:rPr>
                <w:rFonts w:hint="eastAsia" w:ascii="宋体" w:hAnsi="宋体"/>
                <w:color w:val="auto"/>
                <w:highlight w:val="none"/>
                <w:lang w:val="en-US" w:eastAsia="zh-CN"/>
              </w:rPr>
              <w:t>4</w:t>
            </w:r>
          </w:p>
        </w:tc>
        <w:tc>
          <w:tcPr>
            <w:tcW w:w="4736" w:type="dxa"/>
            <w:tcBorders>
              <w:top w:val="single" w:color="auto" w:sz="4" w:space="0"/>
              <w:left w:val="single" w:color="auto" w:sz="4" w:space="0"/>
              <w:bottom w:val="single" w:color="auto" w:sz="4" w:space="0"/>
              <w:right w:val="single" w:color="auto" w:sz="4" w:space="0"/>
            </w:tcBorders>
            <w:vAlign w:val="center"/>
          </w:tcPr>
          <w:p>
            <w:pPr>
              <w:spacing w:line="440" w:lineRule="exact"/>
              <w:ind w:firstLine="420" w:firstLineChars="200"/>
              <w:jc w:val="left"/>
              <w:rPr>
                <w:rFonts w:ascii="宋体" w:hAnsi="宋体"/>
                <w:color w:val="auto"/>
                <w:szCs w:val="21"/>
                <w:highlight w:val="none"/>
              </w:rPr>
            </w:pPr>
            <w:r>
              <w:rPr>
                <w:rFonts w:hint="eastAsia" w:ascii="宋体" w:hAnsi="宋体" w:eastAsia="宋体" w:cs="Times New Roman"/>
                <w:color w:val="auto"/>
                <w:szCs w:val="21"/>
                <w:highlight w:val="none"/>
                <w:lang w:val="zh-CN" w:eastAsia="zh-CN"/>
              </w:rPr>
              <w:t>具有信用评级机构颁发的 AAA 级信用证书得 4分，AA 级的得 2分，没有不得分。(在有效期内，</w:t>
            </w:r>
            <w:r>
              <w:rPr>
                <w:rFonts w:hint="eastAsia" w:ascii="宋体" w:hAnsi="宋体" w:eastAsia="宋体" w:cs="Times New Roman"/>
                <w:color w:val="auto"/>
                <w:szCs w:val="21"/>
                <w:highlight w:val="none"/>
                <w:lang w:val="en-US" w:eastAsia="zh-CN"/>
              </w:rPr>
              <w:t>提供证书原件扫描件。</w:t>
            </w:r>
            <w:r>
              <w:rPr>
                <w:rFonts w:hint="eastAsia" w:ascii="宋体" w:hAnsi="宋体" w:eastAsia="宋体" w:cs="Times New Roman"/>
                <w:color w:val="auto"/>
                <w:szCs w:val="21"/>
                <w:highlight w:val="none"/>
                <w:lang w:val="zh-CN" w:eastAsia="zh-CN"/>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618" w:type="dxa"/>
            <w:vMerge w:val="continue"/>
            <w:tcBorders>
              <w:bottom w:val="single" w:color="auto" w:sz="4" w:space="0"/>
              <w:right w:val="single" w:color="auto" w:sz="4" w:space="0"/>
            </w:tcBorders>
            <w:vAlign w:val="center"/>
          </w:tcPr>
          <w:p>
            <w:pPr>
              <w:spacing w:line="440" w:lineRule="exact"/>
              <w:jc w:val="center"/>
              <w:rPr>
                <w:rFonts w:ascii="宋体" w:hAnsi="宋体"/>
                <w:color w:val="auto"/>
                <w:highlight w:val="none"/>
              </w:rPr>
            </w:pPr>
          </w:p>
        </w:tc>
        <w:tc>
          <w:tcPr>
            <w:tcW w:w="642" w:type="dxa"/>
            <w:vMerge w:val="continue"/>
            <w:tcBorders>
              <w:left w:val="single" w:color="auto" w:sz="4" w:space="0"/>
              <w:bottom w:val="single" w:color="auto" w:sz="4" w:space="0"/>
              <w:right w:val="single" w:color="auto" w:sz="4" w:space="0"/>
            </w:tcBorders>
            <w:vAlign w:val="center"/>
          </w:tcPr>
          <w:p>
            <w:pPr>
              <w:spacing w:line="440" w:lineRule="exact"/>
              <w:jc w:val="center"/>
              <w:rPr>
                <w:rFonts w:ascii="宋体" w:hAnsi="宋体"/>
                <w:color w:val="auto"/>
                <w:highlight w:val="none"/>
              </w:rPr>
            </w:pPr>
          </w:p>
        </w:tc>
        <w:tc>
          <w:tcPr>
            <w:tcW w:w="1583" w:type="dxa"/>
            <w:vMerge w:val="continue"/>
            <w:tcBorders>
              <w:left w:val="single" w:color="auto" w:sz="4" w:space="0"/>
              <w:right w:val="single" w:color="auto" w:sz="4" w:space="0"/>
            </w:tcBorders>
            <w:vAlign w:val="center"/>
          </w:tcPr>
          <w:p>
            <w:pPr>
              <w:spacing w:line="440" w:lineRule="exact"/>
              <w:jc w:val="center"/>
              <w:rPr>
                <w:rFonts w:hint="eastAsia" w:ascii="宋体" w:hAnsi="宋体" w:eastAsia="宋体" w:cs="Times New Roman"/>
                <w:color w:val="auto"/>
                <w:highlight w:val="none"/>
              </w:rPr>
            </w:pPr>
          </w:p>
        </w:tc>
        <w:tc>
          <w:tcPr>
            <w:tcW w:w="701"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宋体" w:hAnsi="宋体" w:eastAsia="宋体" w:cs="Times New Roman"/>
                <w:color w:val="auto"/>
                <w:kern w:val="2"/>
                <w:sz w:val="21"/>
                <w:szCs w:val="24"/>
                <w:highlight w:val="none"/>
                <w:lang w:val="en-US" w:eastAsia="zh-CN" w:bidi="ar-SA"/>
              </w:rPr>
            </w:pPr>
            <w:r>
              <w:rPr>
                <w:rFonts w:hint="eastAsia" w:ascii="宋体" w:hAnsi="宋体"/>
                <w:color w:val="auto"/>
                <w:highlight w:val="none"/>
                <w:lang w:val="en-US" w:eastAsia="zh-CN"/>
              </w:rPr>
              <w:t>6</w:t>
            </w:r>
          </w:p>
        </w:tc>
        <w:tc>
          <w:tcPr>
            <w:tcW w:w="4736" w:type="dxa"/>
            <w:tcBorders>
              <w:top w:val="single" w:color="auto" w:sz="4" w:space="0"/>
              <w:left w:val="single" w:color="auto" w:sz="4" w:space="0"/>
              <w:bottom w:val="single" w:color="auto" w:sz="4" w:space="0"/>
              <w:right w:val="single" w:color="auto" w:sz="4" w:space="0"/>
            </w:tcBorders>
            <w:vAlign w:val="center"/>
          </w:tcPr>
          <w:p>
            <w:pPr>
              <w:numPr>
                <w:ilvl w:val="0"/>
                <w:numId w:val="6"/>
              </w:numPr>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质量管理体系认证证书；</w:t>
            </w:r>
          </w:p>
          <w:p>
            <w:pPr>
              <w:numPr>
                <w:ilvl w:val="0"/>
                <w:numId w:val="6"/>
              </w:numPr>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环境管理体系认证证书；</w:t>
            </w:r>
          </w:p>
          <w:p>
            <w:pPr>
              <w:numPr>
                <w:ilvl w:val="0"/>
                <w:numId w:val="6"/>
              </w:numPr>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职业健康安全管理体系认证证书；</w:t>
            </w:r>
          </w:p>
          <w:p>
            <w:pPr>
              <w:spacing w:line="440" w:lineRule="exact"/>
              <w:rPr>
                <w:rFonts w:hint="eastAsia" w:ascii="宋体" w:hAnsi="宋体" w:eastAsia="宋体" w:cs="Times New Roman"/>
                <w:color w:val="auto"/>
                <w:kern w:val="2"/>
                <w:sz w:val="21"/>
                <w:szCs w:val="21"/>
                <w:highlight w:val="none"/>
                <w:lang w:val="zh-CN" w:eastAsia="zh-CN" w:bidi="ar-SA"/>
              </w:rPr>
            </w:pPr>
            <w:r>
              <w:rPr>
                <w:rFonts w:hint="eastAsia" w:ascii="宋体" w:hAnsi="宋体"/>
                <w:color w:val="auto"/>
                <w:szCs w:val="21"/>
                <w:highlight w:val="none"/>
              </w:rPr>
              <w:t>提供证书原件扫描件，一项证书得2分。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618" w:type="dxa"/>
            <w:vMerge w:val="continue"/>
            <w:tcBorders>
              <w:bottom w:val="single" w:color="auto" w:sz="4" w:space="0"/>
              <w:right w:val="single" w:color="auto" w:sz="4" w:space="0"/>
            </w:tcBorders>
            <w:vAlign w:val="center"/>
          </w:tcPr>
          <w:p>
            <w:pPr>
              <w:spacing w:line="440" w:lineRule="exact"/>
              <w:jc w:val="center"/>
              <w:rPr>
                <w:rFonts w:ascii="宋体" w:hAnsi="宋体"/>
                <w:color w:val="auto"/>
                <w:highlight w:val="none"/>
              </w:rPr>
            </w:pPr>
          </w:p>
        </w:tc>
        <w:tc>
          <w:tcPr>
            <w:tcW w:w="642" w:type="dxa"/>
            <w:vMerge w:val="continue"/>
            <w:tcBorders>
              <w:left w:val="single" w:color="auto" w:sz="4" w:space="0"/>
              <w:bottom w:val="single" w:color="auto" w:sz="4" w:space="0"/>
              <w:right w:val="single" w:color="auto" w:sz="4" w:space="0"/>
            </w:tcBorders>
            <w:vAlign w:val="center"/>
          </w:tcPr>
          <w:p>
            <w:pPr>
              <w:spacing w:line="440" w:lineRule="exact"/>
              <w:jc w:val="center"/>
              <w:rPr>
                <w:rFonts w:ascii="宋体" w:hAnsi="宋体"/>
                <w:color w:val="auto"/>
                <w:highlight w:val="none"/>
              </w:rPr>
            </w:pPr>
          </w:p>
        </w:tc>
        <w:tc>
          <w:tcPr>
            <w:tcW w:w="1583" w:type="dxa"/>
            <w:vMerge w:val="continue"/>
            <w:tcBorders>
              <w:left w:val="single" w:color="auto" w:sz="4" w:space="0"/>
              <w:right w:val="single" w:color="auto" w:sz="4" w:space="0"/>
            </w:tcBorders>
            <w:vAlign w:val="center"/>
          </w:tcPr>
          <w:p>
            <w:pPr>
              <w:spacing w:line="440" w:lineRule="exact"/>
              <w:jc w:val="center"/>
              <w:rPr>
                <w:rFonts w:hint="eastAsia" w:ascii="宋体" w:hAnsi="宋体" w:eastAsia="宋体" w:cs="Times New Roman"/>
                <w:color w:val="auto"/>
                <w:highlight w:val="none"/>
              </w:rPr>
            </w:pPr>
          </w:p>
        </w:tc>
        <w:tc>
          <w:tcPr>
            <w:tcW w:w="701"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default" w:ascii="宋体" w:hAnsi="宋体" w:eastAsia="宋体" w:cs="Times New Roman"/>
                <w:color w:val="auto"/>
                <w:kern w:val="2"/>
                <w:sz w:val="21"/>
                <w:szCs w:val="24"/>
                <w:highlight w:val="none"/>
                <w:lang w:val="en-US" w:eastAsia="zh-CN" w:bidi="ar-SA"/>
              </w:rPr>
            </w:pPr>
            <w:r>
              <w:rPr>
                <w:rFonts w:hint="eastAsia" w:ascii="宋体" w:hAnsi="宋体"/>
                <w:color w:val="auto"/>
                <w:highlight w:val="none"/>
                <w:lang w:val="en-US" w:eastAsia="zh-CN"/>
              </w:rPr>
              <w:t>5</w:t>
            </w:r>
          </w:p>
        </w:tc>
        <w:tc>
          <w:tcPr>
            <w:tcW w:w="4736" w:type="dxa"/>
            <w:tcBorders>
              <w:top w:val="single" w:color="auto" w:sz="4" w:space="0"/>
              <w:left w:val="single" w:color="auto" w:sz="4" w:space="0"/>
              <w:bottom w:val="single" w:color="auto" w:sz="4" w:space="0"/>
              <w:right w:val="single" w:color="auto" w:sz="4" w:space="0"/>
            </w:tcBorders>
            <w:vAlign w:val="center"/>
          </w:tcPr>
          <w:p>
            <w:pPr>
              <w:numPr>
                <w:ilvl w:val="0"/>
                <w:numId w:val="0"/>
              </w:numPr>
              <w:spacing w:line="440" w:lineRule="exact"/>
              <w:ind w:left="0" w:leftChars="0" w:firstLine="420" w:firstLineChars="200"/>
              <w:rPr>
                <w:rFonts w:hint="default" w:ascii="Times New Roman" w:hAnsi="Times New Roman" w:eastAsia="宋体" w:cs="Times New Roman"/>
                <w:color w:val="auto"/>
                <w:kern w:val="2"/>
                <w:sz w:val="21"/>
                <w:szCs w:val="20"/>
                <w:highlight w:val="none"/>
                <w:u w:val="single"/>
                <w:lang w:val="en-US" w:eastAsia="zh-CN" w:bidi="ar-SA"/>
              </w:rPr>
            </w:pPr>
            <w:r>
              <w:rPr>
                <w:rFonts w:hint="eastAsia" w:ascii="Times New Roman" w:hAnsi="Times New Roman" w:eastAsia="宋体" w:cs="Times New Roman"/>
                <w:color w:val="auto"/>
                <w:kern w:val="2"/>
                <w:sz w:val="21"/>
                <w:szCs w:val="20"/>
                <w:highlight w:val="none"/>
                <w:u w:val="none"/>
                <w:lang w:val="en-US" w:eastAsia="zh-CN" w:bidi="ar-SA"/>
              </w:rPr>
              <w:t>社会消防技术服务信息系统注册登记企业，提供网站截图</w:t>
            </w:r>
            <w:r>
              <w:rPr>
                <w:rFonts w:hint="eastAsia" w:cs="Times New Roman"/>
                <w:color w:val="auto"/>
                <w:kern w:val="2"/>
                <w:sz w:val="21"/>
                <w:szCs w:val="20"/>
                <w:highlight w:val="none"/>
                <w:u w:val="none"/>
                <w:lang w:val="en-US" w:eastAsia="zh-CN" w:bidi="ar-SA"/>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5" w:hRule="atLeast"/>
        </w:trPr>
        <w:tc>
          <w:tcPr>
            <w:tcW w:w="618" w:type="dxa"/>
            <w:vMerge w:val="restart"/>
            <w:tcBorders>
              <w:right w:val="single" w:color="auto" w:sz="4" w:space="0"/>
            </w:tcBorders>
            <w:vAlign w:val="center"/>
          </w:tcPr>
          <w:p>
            <w:pPr>
              <w:spacing w:line="440" w:lineRule="exact"/>
              <w:jc w:val="center"/>
              <w:rPr>
                <w:rFonts w:ascii="宋体" w:hAnsi="宋体"/>
                <w:color w:val="auto"/>
                <w:highlight w:val="none"/>
              </w:rPr>
            </w:pPr>
            <w:r>
              <w:rPr>
                <w:rFonts w:hint="eastAsia" w:ascii="宋体" w:hAnsi="宋体"/>
                <w:color w:val="auto"/>
                <w:highlight w:val="none"/>
              </w:rPr>
              <w:t>2.2.5</w:t>
            </w:r>
          </w:p>
        </w:tc>
        <w:tc>
          <w:tcPr>
            <w:tcW w:w="642" w:type="dxa"/>
            <w:vMerge w:val="restart"/>
            <w:tcBorders>
              <w:left w:val="single" w:color="auto" w:sz="4" w:space="0"/>
              <w:right w:val="single" w:color="auto" w:sz="4" w:space="0"/>
            </w:tcBorders>
            <w:vAlign w:val="center"/>
          </w:tcPr>
          <w:p>
            <w:pPr>
              <w:spacing w:line="440" w:lineRule="exact"/>
              <w:jc w:val="center"/>
              <w:rPr>
                <w:rFonts w:ascii="宋体" w:hAnsi="宋体"/>
                <w:color w:val="auto"/>
                <w:highlight w:val="none"/>
              </w:rPr>
            </w:pPr>
            <w:r>
              <w:rPr>
                <w:rFonts w:hint="eastAsia" w:ascii="宋体" w:hAnsi="宋体"/>
                <w:color w:val="auto"/>
                <w:highlight w:val="none"/>
              </w:rPr>
              <w:t>技术评审内容</w:t>
            </w:r>
          </w:p>
        </w:tc>
        <w:tc>
          <w:tcPr>
            <w:tcW w:w="1583" w:type="dxa"/>
            <w:tcBorders>
              <w:top w:val="single" w:color="auto" w:sz="4" w:space="0"/>
              <w:left w:val="single" w:color="auto" w:sz="4" w:space="0"/>
              <w:right w:val="single" w:color="auto" w:sz="4" w:space="0"/>
            </w:tcBorders>
            <w:vAlign w:val="center"/>
          </w:tcPr>
          <w:p>
            <w:pPr>
              <w:spacing w:line="440" w:lineRule="exact"/>
              <w:jc w:val="center"/>
              <w:rPr>
                <w:rFonts w:ascii="宋体" w:hAnsi="宋体"/>
                <w:color w:val="auto"/>
                <w:highlight w:val="none"/>
              </w:rPr>
            </w:pPr>
            <w:r>
              <w:rPr>
                <w:rFonts w:hint="eastAsia" w:ascii="宋体" w:hAnsi="宋体"/>
                <w:color w:val="auto"/>
                <w:highlight w:val="none"/>
              </w:rPr>
              <w:t>服务方案</w:t>
            </w:r>
          </w:p>
        </w:tc>
        <w:tc>
          <w:tcPr>
            <w:tcW w:w="701"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default" w:ascii="宋体" w:hAnsi="宋体" w:eastAsia="宋体"/>
                <w:color w:val="auto"/>
                <w:highlight w:val="none"/>
                <w:lang w:val="en-US" w:eastAsia="zh-CN"/>
              </w:rPr>
            </w:pPr>
            <w:r>
              <w:rPr>
                <w:rFonts w:hint="eastAsia" w:ascii="宋体" w:hAnsi="宋体"/>
                <w:color w:val="auto"/>
                <w:highlight w:val="none"/>
                <w:lang w:val="en-US" w:eastAsia="zh-CN"/>
              </w:rPr>
              <w:t>40</w:t>
            </w:r>
          </w:p>
        </w:tc>
        <w:tc>
          <w:tcPr>
            <w:tcW w:w="4736" w:type="dxa"/>
            <w:tcBorders>
              <w:top w:val="single" w:color="auto" w:sz="4" w:space="0"/>
              <w:left w:val="single" w:color="auto" w:sz="4" w:space="0"/>
              <w:bottom w:val="single" w:color="auto" w:sz="4" w:space="0"/>
              <w:right w:val="single" w:color="auto" w:sz="4" w:space="0"/>
            </w:tcBorders>
            <w:vAlign w:val="center"/>
          </w:tcPr>
          <w:p>
            <w:pPr>
              <w:spacing w:line="440" w:lineRule="exact"/>
              <w:ind w:firstLine="420" w:firstLineChars="200"/>
              <w:rPr>
                <w:rFonts w:hint="eastAsia" w:ascii="宋体" w:hAnsi="宋体" w:eastAsia="宋体" w:cs="Times New Roman"/>
                <w:color w:val="auto"/>
                <w:szCs w:val="21"/>
                <w:highlight w:val="none"/>
                <w:lang w:val="en-US" w:eastAsia="zh-CN"/>
              </w:rPr>
            </w:pPr>
            <w:r>
              <w:rPr>
                <w:rFonts w:hint="eastAsia" w:ascii="宋体" w:hAnsi="宋体"/>
                <w:color w:val="auto"/>
                <w:szCs w:val="21"/>
                <w:highlight w:val="none"/>
              </w:rPr>
              <w:t>根据</w:t>
            </w:r>
            <w:r>
              <w:rPr>
                <w:rFonts w:hint="eastAsia" w:ascii="宋体" w:hAnsi="宋体"/>
                <w:color w:val="auto"/>
                <w:szCs w:val="21"/>
                <w:highlight w:val="none"/>
                <w:lang w:val="en-US" w:eastAsia="zh-CN"/>
              </w:rPr>
              <w:t>招标文件“第五章 三、招标内容及技术要求 消防系统维保”内容各条明细要求，</w:t>
            </w:r>
            <w:r>
              <w:rPr>
                <w:rFonts w:hint="eastAsia" w:ascii="宋体" w:hAnsi="宋体" w:cs="Times New Roman"/>
                <w:color w:val="auto"/>
                <w:szCs w:val="21"/>
                <w:highlight w:val="none"/>
                <w:lang w:val="en-US" w:eastAsia="zh-CN"/>
              </w:rPr>
              <w:t>结合项目整体要求</w:t>
            </w:r>
            <w:r>
              <w:rPr>
                <w:rFonts w:hint="eastAsia" w:ascii="宋体" w:hAnsi="宋体" w:eastAsia="宋体" w:cs="Times New Roman"/>
                <w:color w:val="auto"/>
                <w:szCs w:val="21"/>
                <w:highlight w:val="none"/>
                <w:lang w:val="en-US" w:eastAsia="zh-CN"/>
              </w:rPr>
              <w:t>逐项制订详细可行的项目实施方案，并在响应项目要求的基础上补充更有利于提高项目质量的内容。</w:t>
            </w:r>
          </w:p>
          <w:p>
            <w:pPr>
              <w:spacing w:line="440" w:lineRule="exact"/>
              <w:ind w:firstLine="420" w:firstLineChars="200"/>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方案中要明确1、日常维保计划；2、服务保证措施及设备运行故障排除措施；3、</w:t>
            </w:r>
            <w:r>
              <w:rPr>
                <w:rFonts w:hint="eastAsia" w:ascii="Times New Roman" w:hAnsi="Times New Roman" w:eastAsia="宋体" w:cs="Times New Roman"/>
                <w:color w:val="auto"/>
                <w:highlight w:val="none"/>
                <w:lang w:val="zh-CN" w:eastAsia="zh-CN"/>
              </w:rPr>
              <w:t>人员配置方案；</w:t>
            </w:r>
            <w:r>
              <w:rPr>
                <w:rFonts w:hint="eastAsia" w:ascii="Times New Roman" w:hAnsi="Times New Roman" w:eastAsia="宋体" w:cs="Times New Roman"/>
                <w:color w:val="auto"/>
                <w:highlight w:val="none"/>
                <w:lang w:val="en-US" w:eastAsia="zh-CN"/>
              </w:rPr>
              <w:t>4、人员培训</w:t>
            </w:r>
            <w:r>
              <w:rPr>
                <w:rFonts w:hint="eastAsia" w:ascii="Times New Roman" w:hAnsi="Times New Roman" w:eastAsia="宋体" w:cs="Times New Roman"/>
                <w:color w:val="auto"/>
                <w:highlight w:val="none"/>
                <w:lang w:val="zh-CN" w:eastAsia="zh-CN"/>
              </w:rPr>
              <w:t>方案；</w:t>
            </w:r>
            <w:r>
              <w:rPr>
                <w:rFonts w:hint="eastAsia" w:ascii="Times New Roman" w:hAnsi="Times New Roman" w:eastAsia="宋体" w:cs="Times New Roman"/>
                <w:color w:val="auto"/>
                <w:highlight w:val="none"/>
                <w:lang w:val="en-US" w:eastAsia="zh-CN"/>
              </w:rPr>
              <w:t>5、应急处理方案等内容。</w:t>
            </w:r>
          </w:p>
          <w:p>
            <w:pPr>
              <w:spacing w:line="440" w:lineRule="exact"/>
              <w:ind w:firstLine="420" w:firstLineChars="200"/>
              <w:rPr>
                <w:rFonts w:ascii="宋体" w:hAnsi="宋体"/>
                <w:color w:val="auto"/>
                <w:szCs w:val="21"/>
                <w:highlight w:val="none"/>
              </w:rPr>
            </w:pPr>
            <w:r>
              <w:rPr>
                <w:rFonts w:hint="eastAsia" w:ascii="Times New Roman" w:hAnsi="Times New Roman" w:eastAsia="宋体" w:cs="Times New Roman"/>
                <w:color w:val="auto"/>
                <w:highlight w:val="none"/>
                <w:lang w:val="en-US" w:eastAsia="zh-CN"/>
              </w:rPr>
              <w:t>评审依据：</w:t>
            </w:r>
          </w:p>
          <w:p>
            <w:pPr>
              <w:spacing w:line="440" w:lineRule="exact"/>
              <w:ind w:firstLine="420" w:firstLineChars="200"/>
              <w:rPr>
                <w:rFonts w:ascii="宋体" w:hAnsi="宋体"/>
                <w:color w:val="auto"/>
                <w:szCs w:val="21"/>
                <w:highlight w:val="none"/>
              </w:rPr>
            </w:pPr>
            <w:r>
              <w:rPr>
                <w:rFonts w:hint="eastAsia" w:ascii="Calibri" w:hAnsi="Calibri" w:cs="Calibri"/>
                <w:color w:val="auto"/>
                <w:szCs w:val="21"/>
                <w:highlight w:val="none"/>
              </w:rPr>
              <w:t>1、</w:t>
            </w:r>
            <w:r>
              <w:rPr>
                <w:rFonts w:hint="eastAsia" w:ascii="宋体" w:hAnsi="宋体"/>
                <w:color w:val="auto"/>
                <w:szCs w:val="21"/>
                <w:highlight w:val="none"/>
              </w:rPr>
              <w:t>服务指标均满足项目要求，得满分。</w:t>
            </w:r>
          </w:p>
          <w:p>
            <w:pPr>
              <w:tabs>
                <w:tab w:val="left" w:pos="417"/>
              </w:tabs>
              <w:spacing w:line="440" w:lineRule="exact"/>
              <w:ind w:firstLine="420" w:firstLineChars="200"/>
              <w:rPr>
                <w:rFonts w:hint="eastAsia" w:ascii="宋体" w:hAnsi="宋体"/>
                <w:color w:val="auto"/>
                <w:szCs w:val="21"/>
                <w:highlight w:val="none"/>
              </w:rPr>
            </w:pPr>
            <w:r>
              <w:rPr>
                <w:rFonts w:hint="eastAsia" w:ascii="Calibri" w:hAnsi="Calibri" w:cs="Calibri"/>
                <w:color w:val="auto"/>
                <w:szCs w:val="21"/>
                <w:highlight w:val="none"/>
              </w:rPr>
              <w:t>2、</w:t>
            </w:r>
            <w:r>
              <w:rPr>
                <w:rFonts w:hint="eastAsia" w:ascii="宋体" w:hAnsi="宋体"/>
                <w:color w:val="auto"/>
                <w:szCs w:val="21"/>
                <w:highlight w:val="none"/>
              </w:rPr>
              <w:t>服务指标有一项不满足要求，每出现一项扣</w:t>
            </w:r>
            <w:r>
              <w:rPr>
                <w:rFonts w:hint="eastAsia" w:ascii="宋体" w:hAnsi="宋体"/>
                <w:color w:val="auto"/>
                <w:szCs w:val="21"/>
                <w:highlight w:val="none"/>
                <w:u w:val="single"/>
                <w:lang w:val="en-US" w:eastAsia="zh-CN"/>
              </w:rPr>
              <w:t>1</w:t>
            </w:r>
            <w:r>
              <w:rPr>
                <w:rFonts w:hint="eastAsia" w:ascii="宋体" w:hAnsi="宋体"/>
                <w:color w:val="auto"/>
                <w:szCs w:val="21"/>
                <w:highlight w:val="none"/>
              </w:rPr>
              <w:t>分，扣完为止。</w:t>
            </w:r>
          </w:p>
          <w:p>
            <w:pPr>
              <w:tabs>
                <w:tab w:val="left" w:pos="417"/>
              </w:tabs>
              <w:spacing w:line="440" w:lineRule="exact"/>
              <w:ind w:firstLine="420" w:firstLineChars="200"/>
              <w:rPr>
                <w:rFonts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3、服务总人数不</w:t>
            </w:r>
            <w:r>
              <w:rPr>
                <w:rFonts w:hint="eastAsia" w:ascii="宋体" w:hAnsi="宋体" w:eastAsia="宋体"/>
                <w:color w:val="auto"/>
                <w:szCs w:val="21"/>
                <w:highlight w:val="none"/>
                <w:lang w:val="en-US" w:eastAsia="zh-CN"/>
              </w:rPr>
              <w:t>足</w:t>
            </w:r>
            <w:r>
              <w:rPr>
                <w:rFonts w:hint="eastAsia" w:ascii="宋体" w:hAnsi="宋体"/>
                <w:color w:val="auto"/>
                <w:szCs w:val="21"/>
                <w:highlight w:val="none"/>
                <w:lang w:val="en-US" w:eastAsia="zh-CN"/>
              </w:rPr>
              <w:t>5</w:t>
            </w:r>
            <w:r>
              <w:rPr>
                <w:rFonts w:hint="eastAsia" w:ascii="宋体" w:hAnsi="宋体" w:eastAsia="宋体"/>
                <w:color w:val="auto"/>
                <w:szCs w:val="21"/>
                <w:highlight w:val="none"/>
                <w:lang w:val="en-US" w:eastAsia="zh-CN"/>
              </w:rPr>
              <w:t>人，该项的0</w:t>
            </w:r>
            <w:r>
              <w:rPr>
                <w:rFonts w:hint="eastAsia" w:ascii="宋体" w:hAnsi="宋体"/>
                <w:color w:val="auto"/>
                <w:szCs w:val="21"/>
                <w:highlight w:val="none"/>
                <w:lang w:val="en-US" w:eastAsia="zh-CN"/>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15" w:hRule="atLeast"/>
        </w:trPr>
        <w:tc>
          <w:tcPr>
            <w:tcW w:w="618" w:type="dxa"/>
            <w:vMerge w:val="continue"/>
            <w:tcBorders>
              <w:right w:val="single" w:color="auto" w:sz="4" w:space="0"/>
            </w:tcBorders>
            <w:vAlign w:val="center"/>
          </w:tcPr>
          <w:p>
            <w:pPr>
              <w:spacing w:line="440" w:lineRule="exact"/>
              <w:jc w:val="center"/>
              <w:rPr>
                <w:rFonts w:ascii="宋体" w:hAnsi="宋体"/>
                <w:color w:val="auto"/>
                <w:highlight w:val="none"/>
              </w:rPr>
            </w:pPr>
          </w:p>
        </w:tc>
        <w:tc>
          <w:tcPr>
            <w:tcW w:w="642" w:type="dxa"/>
            <w:vMerge w:val="continue"/>
            <w:tcBorders>
              <w:left w:val="single" w:color="auto" w:sz="4" w:space="0"/>
              <w:right w:val="single" w:color="auto" w:sz="4" w:space="0"/>
            </w:tcBorders>
            <w:vAlign w:val="center"/>
          </w:tcPr>
          <w:p>
            <w:pPr>
              <w:spacing w:line="440" w:lineRule="exact"/>
              <w:jc w:val="center"/>
              <w:rPr>
                <w:rFonts w:ascii="宋体" w:hAnsi="宋体"/>
                <w:color w:val="auto"/>
                <w:highlight w:val="none"/>
              </w:rPr>
            </w:pPr>
          </w:p>
        </w:tc>
        <w:tc>
          <w:tcPr>
            <w:tcW w:w="1583" w:type="dxa"/>
            <w:tcBorders>
              <w:top w:val="single" w:color="auto" w:sz="4" w:space="0"/>
              <w:left w:val="single" w:color="auto" w:sz="4" w:space="0"/>
              <w:right w:val="single" w:color="auto" w:sz="4" w:space="0"/>
            </w:tcBorders>
            <w:vAlign w:val="center"/>
          </w:tcPr>
          <w:p>
            <w:pPr>
              <w:spacing w:line="440" w:lineRule="exact"/>
              <w:jc w:val="center"/>
              <w:rPr>
                <w:rFonts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u w:val="none"/>
              </w:rPr>
              <w:t>拟投入人员</w:t>
            </w:r>
          </w:p>
        </w:tc>
        <w:tc>
          <w:tcPr>
            <w:tcW w:w="701"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eastAsia="宋体" w:cs="Times New Roman"/>
                <w:color w:val="auto"/>
                <w:kern w:val="2"/>
                <w:sz w:val="21"/>
                <w:szCs w:val="21"/>
                <w:highlight w:val="none"/>
                <w:lang w:val="en-US" w:eastAsia="zh-CN" w:bidi="ar-SA"/>
              </w:rPr>
            </w:pPr>
            <w:r>
              <w:rPr>
                <w:rFonts w:hint="eastAsia" w:ascii="宋体" w:hAnsi="宋体"/>
                <w:color w:val="auto"/>
                <w:highlight w:val="none"/>
                <w:u w:val="none"/>
                <w:lang w:val="en-US" w:eastAsia="zh-CN"/>
              </w:rPr>
              <w:t>5</w:t>
            </w:r>
          </w:p>
        </w:tc>
        <w:tc>
          <w:tcPr>
            <w:tcW w:w="4736" w:type="dxa"/>
            <w:tcBorders>
              <w:top w:val="single" w:color="auto" w:sz="4" w:space="0"/>
              <w:left w:val="single" w:color="auto" w:sz="4" w:space="0"/>
              <w:bottom w:val="single" w:color="auto" w:sz="4" w:space="0"/>
              <w:right w:val="single" w:color="auto" w:sz="4" w:space="0"/>
            </w:tcBorders>
            <w:vAlign w:val="top"/>
          </w:tcPr>
          <w:p>
            <w:pPr>
              <w:numPr>
                <w:ilvl w:val="0"/>
                <w:numId w:val="0"/>
              </w:numPr>
              <w:spacing w:line="440" w:lineRule="exact"/>
              <w:ind w:leftChars="0" w:firstLine="420" w:firstLineChars="200"/>
              <w:rPr>
                <w:color w:val="auto"/>
                <w:highlight w:val="none"/>
                <w:u w:val="none"/>
              </w:rPr>
            </w:pPr>
            <w:r>
              <w:rPr>
                <w:color w:val="auto"/>
                <w:highlight w:val="none"/>
                <w:u w:val="none"/>
              </w:rPr>
              <w:t>本项目拟派的技术负责人1人、项目负责人1人</w:t>
            </w:r>
            <w:r>
              <w:rPr>
                <w:rFonts w:hint="eastAsia"/>
                <w:color w:val="auto"/>
                <w:highlight w:val="none"/>
                <w:u w:val="none"/>
                <w:lang w:eastAsia="zh-CN"/>
              </w:rPr>
              <w:t>。</w:t>
            </w:r>
            <w:r>
              <w:rPr>
                <w:color w:val="auto"/>
                <w:highlight w:val="none"/>
                <w:u w:val="none"/>
              </w:rPr>
              <w:t>提供拟派人员一级注册消防工程师资格证书</w:t>
            </w:r>
            <w:r>
              <w:rPr>
                <w:rFonts w:hint="eastAsia"/>
                <w:color w:val="auto"/>
                <w:highlight w:val="none"/>
                <w:u w:val="none"/>
                <w:lang w:val="en-US" w:eastAsia="zh-CN"/>
              </w:rPr>
              <w:t>或</w:t>
            </w:r>
            <w:r>
              <w:rPr>
                <w:rFonts w:hint="eastAsia"/>
                <w:color w:val="auto"/>
                <w:highlight w:val="none"/>
                <w:u w:val="none"/>
              </w:rPr>
              <w:t>消防维保</w:t>
            </w:r>
            <w:r>
              <w:rPr>
                <w:color w:val="auto"/>
                <w:highlight w:val="none"/>
                <w:u w:val="none"/>
              </w:rPr>
              <w:t>资格证书中级</w:t>
            </w:r>
            <w:r>
              <w:rPr>
                <w:rFonts w:hint="eastAsia" w:ascii="宋体" w:hAnsi="宋体"/>
                <w:b w:val="0"/>
                <w:bCs w:val="0"/>
                <w:color w:val="auto"/>
                <w:szCs w:val="21"/>
                <w:highlight w:val="none"/>
                <w:u w:val="none"/>
              </w:rPr>
              <w:t>（含）</w:t>
            </w:r>
            <w:r>
              <w:rPr>
                <w:color w:val="auto"/>
                <w:highlight w:val="none"/>
                <w:u w:val="none"/>
              </w:rPr>
              <w:t>以上</w:t>
            </w:r>
            <w:r>
              <w:rPr>
                <w:rFonts w:hint="eastAsia"/>
                <w:color w:val="auto"/>
                <w:highlight w:val="none"/>
                <w:u w:val="none"/>
                <w:lang w:eastAsia="zh-CN"/>
              </w:rPr>
              <w:t>，</w:t>
            </w:r>
            <w:r>
              <w:rPr>
                <w:rFonts w:hint="eastAsia"/>
                <w:color w:val="auto"/>
                <w:highlight w:val="none"/>
                <w:u w:val="none"/>
                <w:lang w:val="en-US" w:eastAsia="zh-CN"/>
              </w:rPr>
              <w:t>每有一个得1分。</w:t>
            </w:r>
          </w:p>
          <w:p>
            <w:pPr>
              <w:numPr>
                <w:ilvl w:val="0"/>
                <w:numId w:val="0"/>
              </w:numPr>
              <w:spacing w:line="440" w:lineRule="exact"/>
              <w:ind w:left="0" w:leftChars="0" w:firstLine="0" w:firstLineChars="0"/>
              <w:rPr>
                <w:rFonts w:ascii="宋体" w:hAnsi="宋体" w:eastAsia="宋体" w:cs="Times New Roman"/>
                <w:color w:val="auto"/>
                <w:kern w:val="2"/>
                <w:sz w:val="21"/>
                <w:szCs w:val="21"/>
                <w:highlight w:val="none"/>
                <w:lang w:val="en-US" w:eastAsia="zh-CN" w:bidi="ar-SA"/>
              </w:rPr>
            </w:pPr>
            <w:r>
              <w:rPr>
                <w:color w:val="auto"/>
                <w:highlight w:val="none"/>
                <w:u w:val="none"/>
              </w:rPr>
              <w:t>须提供“</w:t>
            </w:r>
            <w:r>
              <w:rPr>
                <w:rFonts w:hint="eastAsia"/>
                <w:color w:val="auto"/>
                <w:highlight w:val="none"/>
                <w:u w:val="none"/>
              </w:rPr>
              <w:t>社会消防技术服务信息系统</w:t>
            </w:r>
            <w:r>
              <w:rPr>
                <w:rFonts w:hint="eastAsia"/>
                <w:color w:val="auto"/>
                <w:highlight w:val="none"/>
                <w:u w:val="none"/>
                <w:lang w:eastAsia="zh-CN"/>
              </w:rPr>
              <w:t>”</w:t>
            </w:r>
            <w:r>
              <w:rPr>
                <w:color w:val="auto"/>
                <w:highlight w:val="none"/>
                <w:u w:val="none"/>
              </w:rPr>
              <w:t>备案的截图</w:t>
            </w:r>
            <w:r>
              <w:rPr>
                <w:rFonts w:hint="eastAsia"/>
                <w:color w:val="auto"/>
                <w:highlight w:val="none"/>
                <w:u w:val="none"/>
                <w:lang w:eastAsia="zh-CN"/>
              </w:rPr>
              <w:t>（</w:t>
            </w:r>
            <w:r>
              <w:rPr>
                <w:rFonts w:hint="eastAsia"/>
                <w:color w:val="auto"/>
                <w:highlight w:val="none"/>
                <w:u w:val="none"/>
                <w:lang w:val="en-US" w:eastAsia="zh-CN"/>
              </w:rPr>
              <w:t>包含</w:t>
            </w:r>
            <w:r>
              <w:rPr>
                <w:color w:val="auto"/>
                <w:highlight w:val="none"/>
                <w:u w:val="none"/>
              </w:rPr>
              <w:t>单位名称及人员</w:t>
            </w:r>
            <w:r>
              <w:rPr>
                <w:rFonts w:hint="eastAsia"/>
                <w:color w:val="auto"/>
                <w:highlight w:val="none"/>
                <w:u w:val="none"/>
                <w:lang w:eastAsia="zh-CN"/>
              </w:rPr>
              <w:t>）</w:t>
            </w:r>
            <w:r>
              <w:rPr>
                <w:color w:val="auto"/>
                <w:highlight w:val="none"/>
                <w:u w:val="none"/>
              </w:rPr>
              <w:t>，人员提供</w:t>
            </w:r>
            <w:r>
              <w:rPr>
                <w:b w:val="0"/>
                <w:bCs w:val="0"/>
                <w:color w:val="auto"/>
                <w:highlight w:val="none"/>
                <w:u w:val="none"/>
              </w:rPr>
              <w:t>近</w:t>
            </w:r>
            <w:r>
              <w:rPr>
                <w:rFonts w:hint="eastAsia"/>
                <w:b w:val="0"/>
                <w:bCs w:val="0"/>
                <w:color w:val="auto"/>
                <w:highlight w:val="none"/>
                <w:u w:val="none"/>
                <w:lang w:val="en-US" w:eastAsia="zh-CN"/>
              </w:rPr>
              <w:t>三</w:t>
            </w:r>
            <w:r>
              <w:rPr>
                <w:b w:val="0"/>
                <w:bCs w:val="0"/>
                <w:color w:val="auto"/>
                <w:highlight w:val="none"/>
                <w:u w:val="none"/>
              </w:rPr>
              <w:t>个月</w:t>
            </w:r>
            <w:r>
              <w:rPr>
                <w:color w:val="auto"/>
                <w:highlight w:val="none"/>
                <w:u w:val="none"/>
              </w:rPr>
              <w:t>（截至</w:t>
            </w:r>
            <w:r>
              <w:rPr>
                <w:rFonts w:hint="eastAsia"/>
                <w:color w:val="auto"/>
                <w:highlight w:val="none"/>
                <w:u w:val="none"/>
              </w:rPr>
              <w:t>投标</w:t>
            </w:r>
            <w:r>
              <w:rPr>
                <w:color w:val="auto"/>
                <w:highlight w:val="none"/>
                <w:u w:val="none"/>
              </w:rPr>
              <w:t>之日）</w:t>
            </w:r>
            <w:r>
              <w:rPr>
                <w:rFonts w:hint="eastAsia"/>
                <w:color w:val="auto"/>
                <w:highlight w:val="none"/>
                <w:u w:val="none"/>
              </w:rPr>
              <w:t>连续</w:t>
            </w:r>
            <w:r>
              <w:rPr>
                <w:rFonts w:ascii="宋体" w:hAnsi="宋体" w:cs="宋体"/>
                <w:color w:val="auto"/>
                <w:spacing w:val="-7"/>
                <w:szCs w:val="22"/>
                <w:highlight w:val="none"/>
                <w:u w:val="none"/>
                <w:lang w:val="zh-CN" w:bidi="zh-CN"/>
              </w:rPr>
              <w:t>社保缴纳证明</w:t>
            </w:r>
            <w:r>
              <w:rPr>
                <w:rFonts w:hint="eastAsia" w:ascii="宋体" w:hAnsi="宋体" w:cs="宋体"/>
                <w:color w:val="auto"/>
                <w:spacing w:val="-7"/>
                <w:szCs w:val="22"/>
                <w:highlight w:val="none"/>
                <w:u w:val="none"/>
                <w:lang w:val="zh-CN" w:bidi="zh-CN"/>
              </w:rPr>
              <w:t>，</w:t>
            </w:r>
            <w:r>
              <w:rPr>
                <w:rFonts w:hint="eastAsia"/>
                <w:color w:val="auto"/>
                <w:highlight w:val="none"/>
                <w:u w:val="none"/>
              </w:rPr>
              <w:t>否则不得分。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7" w:hRule="atLeast"/>
        </w:trPr>
        <w:tc>
          <w:tcPr>
            <w:tcW w:w="1260" w:type="dxa"/>
            <w:gridSpan w:val="2"/>
            <w:tcBorders>
              <w:top w:val="single" w:color="auto" w:sz="4" w:space="0"/>
              <w:left w:val="single" w:color="auto" w:sz="4" w:space="0"/>
              <w:bottom w:val="single" w:color="auto" w:sz="4" w:space="0"/>
              <w:right w:val="single" w:color="auto" w:sz="4" w:space="0"/>
            </w:tcBorders>
          </w:tcPr>
          <w:p>
            <w:pPr>
              <w:spacing w:line="440" w:lineRule="exact"/>
              <w:ind w:right="-134" w:rightChars="-64"/>
              <w:jc w:val="center"/>
              <w:rPr>
                <w:rFonts w:ascii="宋体" w:hAnsi="宋体"/>
                <w:b/>
                <w:color w:val="auto"/>
                <w:szCs w:val="21"/>
                <w:highlight w:val="none"/>
              </w:rPr>
            </w:pPr>
            <w:r>
              <w:rPr>
                <w:rFonts w:hint="eastAsia" w:ascii="宋体" w:hAnsi="宋体"/>
                <w:b/>
                <w:color w:val="auto"/>
                <w:sz w:val="20"/>
                <w:szCs w:val="20"/>
                <w:highlight w:val="none"/>
              </w:rPr>
              <w:t>条款号</w:t>
            </w:r>
          </w:p>
        </w:tc>
        <w:tc>
          <w:tcPr>
            <w:tcW w:w="1583"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b/>
                <w:color w:val="auto"/>
                <w:szCs w:val="21"/>
                <w:highlight w:val="none"/>
              </w:rPr>
            </w:pPr>
            <w:r>
              <w:rPr>
                <w:rFonts w:hint="eastAsia" w:ascii="宋体" w:hAnsi="宋体"/>
                <w:b/>
                <w:color w:val="auto"/>
                <w:szCs w:val="21"/>
                <w:highlight w:val="none"/>
              </w:rPr>
              <w:t>条款内容</w:t>
            </w:r>
          </w:p>
        </w:tc>
        <w:tc>
          <w:tcPr>
            <w:tcW w:w="5437" w:type="dxa"/>
            <w:gridSpan w:val="2"/>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b/>
                <w:color w:val="auto"/>
                <w:szCs w:val="21"/>
                <w:highlight w:val="none"/>
              </w:rPr>
            </w:pPr>
            <w:r>
              <w:rPr>
                <w:rFonts w:hint="eastAsia" w:ascii="宋体" w:hAnsi="宋体"/>
                <w:b/>
                <w:color w:val="auto"/>
                <w:szCs w:val="21"/>
                <w:highlight w:val="none"/>
              </w:rPr>
              <w:t>编列内容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9" w:hRule="atLeast"/>
        </w:trPr>
        <w:tc>
          <w:tcPr>
            <w:tcW w:w="1260" w:type="dxa"/>
            <w:gridSpan w:val="2"/>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color w:val="auto"/>
                <w:szCs w:val="21"/>
                <w:highlight w:val="none"/>
              </w:rPr>
            </w:pPr>
            <w:r>
              <w:rPr>
                <w:rFonts w:hint="eastAsia" w:ascii="宋体" w:hAnsi="宋体"/>
                <w:color w:val="auto"/>
                <w:szCs w:val="21"/>
                <w:highlight w:val="none"/>
              </w:rPr>
              <w:t>3.4.2</w:t>
            </w:r>
          </w:p>
        </w:tc>
        <w:tc>
          <w:tcPr>
            <w:tcW w:w="1583"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color w:val="auto"/>
                <w:szCs w:val="21"/>
                <w:highlight w:val="none"/>
              </w:rPr>
            </w:pPr>
            <w:r>
              <w:rPr>
                <w:rFonts w:hint="eastAsia" w:ascii="宋体" w:hAnsi="宋体"/>
                <w:color w:val="auto"/>
                <w:szCs w:val="21"/>
                <w:highlight w:val="none"/>
              </w:rPr>
              <w:t>评标报告</w:t>
            </w:r>
          </w:p>
          <w:p>
            <w:pPr>
              <w:spacing w:line="440" w:lineRule="exact"/>
              <w:jc w:val="center"/>
              <w:rPr>
                <w:rFonts w:ascii="宋体" w:hAnsi="宋体"/>
                <w:color w:val="auto"/>
                <w:szCs w:val="21"/>
                <w:highlight w:val="none"/>
              </w:rPr>
            </w:pPr>
            <w:r>
              <w:rPr>
                <w:rFonts w:hint="eastAsia" w:ascii="宋体" w:hAnsi="宋体"/>
                <w:color w:val="auto"/>
                <w:szCs w:val="21"/>
                <w:highlight w:val="none"/>
              </w:rPr>
              <w:t>（样本）</w:t>
            </w:r>
          </w:p>
        </w:tc>
        <w:tc>
          <w:tcPr>
            <w:tcW w:w="5437" w:type="dxa"/>
            <w:gridSpan w:val="2"/>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color w:val="auto"/>
                <w:szCs w:val="21"/>
                <w:highlight w:val="none"/>
              </w:rPr>
            </w:pPr>
            <w:r>
              <w:rPr>
                <w:rFonts w:hint="eastAsia" w:ascii="宋体" w:hAnsi="宋体"/>
                <w:color w:val="auto"/>
                <w:szCs w:val="21"/>
                <w:highlight w:val="none"/>
              </w:rPr>
              <w:t>评标委员会应参照评标报告样本编制评标报告。</w:t>
            </w:r>
          </w:p>
          <w:p>
            <w:pPr>
              <w:spacing w:line="440" w:lineRule="exact"/>
              <w:jc w:val="center"/>
              <w:rPr>
                <w:rFonts w:ascii="宋体" w:hAnsi="宋体"/>
                <w:color w:val="auto"/>
                <w:szCs w:val="21"/>
                <w:highlight w:val="none"/>
              </w:rPr>
            </w:pPr>
            <w:r>
              <w:rPr>
                <w:rFonts w:hint="eastAsia" w:ascii="宋体" w:hAnsi="宋体"/>
                <w:color w:val="auto"/>
                <w:szCs w:val="21"/>
                <w:highlight w:val="none"/>
              </w:rPr>
              <w:t>内容详见本章附件B：评标报告（样本）</w:t>
            </w:r>
          </w:p>
        </w:tc>
      </w:tr>
    </w:tbl>
    <w:p>
      <w:pPr>
        <w:spacing w:line="400" w:lineRule="exact"/>
        <w:rPr>
          <w:rFonts w:ascii="宋体" w:hAnsi="宋体"/>
          <w:color w:val="auto"/>
          <w:highlight w:val="none"/>
        </w:rPr>
      </w:pPr>
    </w:p>
    <w:p>
      <w:pPr>
        <w:spacing w:line="400" w:lineRule="exact"/>
        <w:rPr>
          <w:rFonts w:ascii="宋体" w:hAnsi="宋体"/>
          <w:color w:val="auto"/>
          <w:highlight w:val="none"/>
        </w:rPr>
      </w:pPr>
    </w:p>
    <w:p>
      <w:pPr>
        <w:pStyle w:val="7"/>
        <w:rPr>
          <w:rFonts w:ascii="宋体" w:hAnsi="宋体" w:eastAsia="宋体"/>
          <w:color w:val="auto"/>
          <w:highlight w:val="none"/>
        </w:rPr>
      </w:pPr>
      <w:bookmarkStart w:id="536" w:name="_Toc346523414"/>
      <w:bookmarkStart w:id="537" w:name="_Toc247085758"/>
      <w:bookmarkStart w:id="538" w:name="_Toc338840239"/>
      <w:bookmarkStart w:id="539" w:name="_Toc494526412"/>
      <w:bookmarkStart w:id="540" w:name="_Toc152045600"/>
      <w:bookmarkStart w:id="541" w:name="_Toc246996243"/>
      <w:bookmarkStart w:id="542" w:name="_Toc338840493"/>
      <w:bookmarkStart w:id="543" w:name="_Toc346523477"/>
      <w:bookmarkStart w:id="544" w:name="_Toc152042377"/>
      <w:bookmarkStart w:id="545" w:name="_Toc246996986"/>
      <w:bookmarkStart w:id="546" w:name="_Toc338840454"/>
      <w:bookmarkStart w:id="547" w:name="_Toc179632618"/>
      <w:bookmarkStart w:id="548" w:name="_Toc144974567"/>
      <w:bookmarkStart w:id="549" w:name="_Toc494093440"/>
      <w:r>
        <w:rPr>
          <w:rFonts w:hint="eastAsia" w:ascii="宋体" w:hAnsi="宋体" w:eastAsia="宋体"/>
          <w:color w:val="auto"/>
          <w:highlight w:val="none"/>
        </w:rPr>
        <w:br w:type="page"/>
      </w:r>
      <w:bookmarkStart w:id="550" w:name="_Toc25996"/>
      <w:bookmarkStart w:id="551" w:name="_Toc9899"/>
      <w:bookmarkStart w:id="552" w:name="_Toc30330"/>
      <w:bookmarkStart w:id="553" w:name="_Toc5999"/>
      <w:r>
        <w:rPr>
          <w:rFonts w:hint="eastAsia" w:ascii="宋体" w:hAnsi="宋体" w:eastAsia="宋体"/>
          <w:color w:val="auto"/>
          <w:highlight w:val="none"/>
        </w:rPr>
        <w:t>1. 评标方法</w:t>
      </w:r>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p>
    <w:p>
      <w:pPr>
        <w:spacing w:line="400" w:lineRule="exact"/>
        <w:ind w:firstLine="420" w:firstLineChars="200"/>
        <w:rPr>
          <w:rFonts w:ascii="宋体" w:hAnsi="宋体"/>
          <w:color w:val="auto"/>
          <w:highlight w:val="none"/>
        </w:rPr>
      </w:pPr>
      <w:r>
        <w:rPr>
          <w:rFonts w:hint="eastAsia" w:ascii="宋体" w:hAnsi="宋体"/>
          <w:color w:val="auto"/>
          <w:highlight w:val="none"/>
        </w:rPr>
        <w:t>本次评标采用的评标方法见评标办法前附表。投标文件是评委评审的直接依据，评标委员会按照公平、公正、科学、择优的评标原则，对满足招标文件实质性要求的投标文件，按照本章有关规定进行评审，并推荐中标候选人，或根据采购人授权直接确定中标人，但投标报价低于其成本的除外。</w:t>
      </w:r>
    </w:p>
    <w:p>
      <w:pPr>
        <w:pStyle w:val="7"/>
        <w:rPr>
          <w:rFonts w:ascii="宋体" w:hAnsi="宋体" w:eastAsia="宋体"/>
          <w:color w:val="auto"/>
          <w:highlight w:val="none"/>
        </w:rPr>
      </w:pPr>
      <w:bookmarkStart w:id="554" w:name="_Toc346523415"/>
      <w:bookmarkStart w:id="555" w:name="_Toc26043"/>
      <w:bookmarkStart w:id="556" w:name="_Toc144974568"/>
      <w:bookmarkStart w:id="557" w:name="_Toc246996987"/>
      <w:bookmarkStart w:id="558" w:name="_Toc338840494"/>
      <w:bookmarkStart w:id="559" w:name="_Toc246996244"/>
      <w:bookmarkStart w:id="560" w:name="_Toc494093441"/>
      <w:bookmarkStart w:id="561" w:name="_Toc10387"/>
      <w:bookmarkStart w:id="562" w:name="_Toc179632619"/>
      <w:bookmarkStart w:id="563" w:name="_Toc25915"/>
      <w:bookmarkStart w:id="564" w:name="_Toc338840240"/>
      <w:bookmarkStart w:id="565" w:name="_Toc5539"/>
      <w:bookmarkStart w:id="566" w:name="_Toc152045601"/>
      <w:bookmarkStart w:id="567" w:name="_Toc346523478"/>
      <w:bookmarkStart w:id="568" w:name="_Toc152042378"/>
      <w:bookmarkStart w:id="569" w:name="_Toc338840455"/>
      <w:bookmarkStart w:id="570" w:name="_Toc247085759"/>
      <w:bookmarkStart w:id="571" w:name="_Toc494526413"/>
      <w:r>
        <w:rPr>
          <w:rFonts w:hint="eastAsia" w:ascii="宋体" w:hAnsi="宋体" w:eastAsia="宋体"/>
          <w:color w:val="auto"/>
          <w:highlight w:val="none"/>
        </w:rPr>
        <w:t>2. 评审标准</w:t>
      </w:r>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p>
    <w:p>
      <w:pPr>
        <w:pStyle w:val="8"/>
        <w:rPr>
          <w:rFonts w:ascii="宋体" w:hAnsi="宋体"/>
          <w:color w:val="auto"/>
          <w:highlight w:val="none"/>
        </w:rPr>
      </w:pPr>
      <w:bookmarkStart w:id="572" w:name="_Toc144974569"/>
      <w:bookmarkStart w:id="573" w:name="_Toc179632620"/>
      <w:bookmarkStart w:id="574" w:name="_Toc338840241"/>
      <w:bookmarkStart w:id="575" w:name="_Toc152042379"/>
      <w:bookmarkStart w:id="576" w:name="_Toc246996988"/>
      <w:bookmarkStart w:id="577" w:name="_Toc246996245"/>
      <w:bookmarkStart w:id="578" w:name="_Toc247085760"/>
      <w:bookmarkStart w:id="579" w:name="_Toc152045602"/>
      <w:r>
        <w:rPr>
          <w:rFonts w:hint="eastAsia" w:ascii="宋体" w:hAnsi="宋体"/>
          <w:color w:val="auto"/>
          <w:highlight w:val="none"/>
        </w:rPr>
        <w:t>2.1 初步评审标准</w:t>
      </w:r>
      <w:bookmarkEnd w:id="572"/>
      <w:bookmarkEnd w:id="573"/>
      <w:bookmarkEnd w:id="574"/>
      <w:bookmarkEnd w:id="575"/>
      <w:bookmarkEnd w:id="576"/>
      <w:bookmarkEnd w:id="577"/>
      <w:bookmarkEnd w:id="578"/>
      <w:bookmarkEnd w:id="579"/>
    </w:p>
    <w:p>
      <w:pPr>
        <w:spacing w:line="400" w:lineRule="exact"/>
        <w:ind w:firstLine="420" w:firstLineChars="200"/>
        <w:rPr>
          <w:rFonts w:ascii="宋体" w:hAnsi="宋体"/>
          <w:color w:val="auto"/>
          <w:highlight w:val="none"/>
        </w:rPr>
      </w:pPr>
      <w:r>
        <w:rPr>
          <w:rFonts w:hint="eastAsia" w:ascii="宋体" w:hAnsi="宋体"/>
          <w:color w:val="auto"/>
          <w:highlight w:val="none"/>
        </w:rPr>
        <w:t>2.1.1资格审查：见评标办法前附表。</w:t>
      </w:r>
    </w:p>
    <w:p>
      <w:pPr>
        <w:spacing w:line="400" w:lineRule="exact"/>
        <w:ind w:firstLine="420" w:firstLineChars="200"/>
        <w:rPr>
          <w:rFonts w:ascii="宋体" w:hAnsi="宋体"/>
          <w:color w:val="auto"/>
          <w:highlight w:val="none"/>
        </w:rPr>
      </w:pPr>
      <w:r>
        <w:rPr>
          <w:rFonts w:hint="eastAsia" w:ascii="宋体" w:hAnsi="宋体"/>
          <w:color w:val="auto"/>
          <w:highlight w:val="none"/>
        </w:rPr>
        <w:t>2.1.2符合性审查：见评标办法前附表。</w:t>
      </w:r>
    </w:p>
    <w:p>
      <w:pPr>
        <w:pStyle w:val="8"/>
        <w:rPr>
          <w:rFonts w:ascii="宋体" w:hAnsi="宋体"/>
          <w:color w:val="auto"/>
          <w:highlight w:val="none"/>
        </w:rPr>
      </w:pPr>
      <w:r>
        <w:rPr>
          <w:rFonts w:hint="eastAsia" w:ascii="宋体" w:hAnsi="宋体"/>
          <w:color w:val="auto"/>
          <w:highlight w:val="none"/>
        </w:rPr>
        <w:t>2.2 详细评审标准（分值构成和评分标准）</w:t>
      </w:r>
    </w:p>
    <w:p>
      <w:pPr>
        <w:spacing w:line="400" w:lineRule="exact"/>
        <w:ind w:firstLine="420" w:firstLineChars="200"/>
        <w:rPr>
          <w:rFonts w:ascii="宋体" w:hAnsi="宋体"/>
          <w:color w:val="auto"/>
          <w:highlight w:val="none"/>
        </w:rPr>
      </w:pPr>
      <w:r>
        <w:rPr>
          <w:rFonts w:hint="eastAsia" w:ascii="宋体" w:hAnsi="宋体"/>
          <w:color w:val="auto"/>
          <w:highlight w:val="none"/>
        </w:rPr>
        <w:t>2.2.1分值构成：见评标办法前附表。</w:t>
      </w:r>
    </w:p>
    <w:p>
      <w:pPr>
        <w:spacing w:line="400" w:lineRule="exact"/>
        <w:ind w:firstLine="420" w:firstLineChars="200"/>
        <w:rPr>
          <w:rFonts w:ascii="宋体" w:hAnsi="宋体"/>
          <w:color w:val="auto"/>
          <w:highlight w:val="none"/>
        </w:rPr>
      </w:pPr>
      <w:r>
        <w:rPr>
          <w:rFonts w:hint="eastAsia" w:ascii="宋体" w:hAnsi="宋体"/>
          <w:color w:val="auto"/>
          <w:highlight w:val="none"/>
        </w:rPr>
        <w:t>2.2.2</w:t>
      </w:r>
      <w:r>
        <w:rPr>
          <w:rFonts w:hint="eastAsia" w:ascii="宋体" w:hAnsi="宋体" w:cs="宋体"/>
          <w:color w:val="auto"/>
          <w:szCs w:val="21"/>
          <w:highlight w:val="none"/>
        </w:rPr>
        <w:t>小型微型企业、监狱企业、残疾人福利性单位</w:t>
      </w:r>
      <w:r>
        <w:rPr>
          <w:rFonts w:hint="eastAsia" w:ascii="宋体" w:hAnsi="宋体"/>
          <w:color w:val="auto"/>
          <w:highlight w:val="none"/>
        </w:rPr>
        <w:t>：见评标办法前附表。</w:t>
      </w:r>
    </w:p>
    <w:p>
      <w:pPr>
        <w:spacing w:line="400" w:lineRule="exact"/>
        <w:ind w:firstLine="420" w:firstLineChars="200"/>
        <w:rPr>
          <w:rFonts w:ascii="宋体" w:hAnsi="宋体"/>
          <w:color w:val="auto"/>
          <w:highlight w:val="none"/>
        </w:rPr>
      </w:pPr>
      <w:r>
        <w:rPr>
          <w:rFonts w:hint="eastAsia" w:ascii="宋体" w:hAnsi="宋体"/>
          <w:color w:val="auto"/>
          <w:highlight w:val="none"/>
        </w:rPr>
        <w:t>2.2.3投标报价：见评标办法前附表。</w:t>
      </w:r>
    </w:p>
    <w:p>
      <w:pPr>
        <w:spacing w:line="400" w:lineRule="exact"/>
        <w:ind w:firstLine="420" w:firstLineChars="200"/>
        <w:rPr>
          <w:rFonts w:ascii="宋体" w:hAnsi="宋体"/>
          <w:color w:val="auto"/>
          <w:highlight w:val="none"/>
        </w:rPr>
      </w:pPr>
      <w:r>
        <w:rPr>
          <w:rFonts w:hint="eastAsia" w:ascii="宋体" w:hAnsi="宋体"/>
          <w:color w:val="auto"/>
          <w:highlight w:val="none"/>
        </w:rPr>
        <w:t>2.2.4商务评审内容：见评标办法前附表。</w:t>
      </w:r>
    </w:p>
    <w:p>
      <w:pPr>
        <w:spacing w:line="400" w:lineRule="exact"/>
        <w:ind w:firstLine="420" w:firstLineChars="200"/>
        <w:rPr>
          <w:rFonts w:ascii="宋体" w:hAnsi="宋体"/>
          <w:color w:val="auto"/>
          <w:highlight w:val="none"/>
        </w:rPr>
      </w:pPr>
      <w:r>
        <w:rPr>
          <w:rFonts w:hint="eastAsia" w:ascii="宋体" w:hAnsi="宋体"/>
          <w:color w:val="auto"/>
          <w:highlight w:val="none"/>
        </w:rPr>
        <w:t>2.2.5技术评审内容：见评标办法前附表。</w:t>
      </w:r>
    </w:p>
    <w:p>
      <w:pPr>
        <w:spacing w:line="400" w:lineRule="exact"/>
        <w:ind w:firstLine="420" w:firstLineChars="200"/>
        <w:rPr>
          <w:rFonts w:ascii="宋体" w:hAnsi="宋体"/>
          <w:color w:val="auto"/>
          <w:highlight w:val="none"/>
        </w:rPr>
      </w:pPr>
      <w:r>
        <w:rPr>
          <w:rFonts w:hint="eastAsia" w:ascii="宋体" w:hAnsi="宋体"/>
          <w:color w:val="auto"/>
          <w:highlight w:val="none"/>
        </w:rPr>
        <w:t>2.2.6其他评审内容：见评标办法前附表。</w:t>
      </w:r>
    </w:p>
    <w:p>
      <w:pPr>
        <w:pStyle w:val="7"/>
        <w:rPr>
          <w:rFonts w:ascii="宋体" w:hAnsi="宋体" w:eastAsia="宋体"/>
          <w:color w:val="auto"/>
          <w:highlight w:val="none"/>
        </w:rPr>
      </w:pPr>
      <w:bookmarkStart w:id="580" w:name="_Toc152045604"/>
      <w:bookmarkStart w:id="581" w:name="_Toc338840495"/>
      <w:bookmarkStart w:id="582" w:name="_Toc338840243"/>
      <w:bookmarkStart w:id="583" w:name="_Toc179632622"/>
      <w:bookmarkStart w:id="584" w:name="_Toc346523416"/>
      <w:bookmarkStart w:id="585" w:name="_Toc494526414"/>
      <w:bookmarkStart w:id="586" w:name="_Toc346523479"/>
      <w:bookmarkStart w:id="587" w:name="_Toc247085762"/>
      <w:bookmarkStart w:id="588" w:name="_Toc144974571"/>
      <w:bookmarkStart w:id="589" w:name="_Toc338840456"/>
      <w:bookmarkStart w:id="590" w:name="_Toc152042381"/>
      <w:bookmarkStart w:id="591" w:name="_Toc246996990"/>
      <w:bookmarkStart w:id="592" w:name="_Toc30064"/>
      <w:bookmarkStart w:id="593" w:name="_Toc22953"/>
      <w:bookmarkStart w:id="594" w:name="_Toc494093442"/>
      <w:bookmarkStart w:id="595" w:name="_Toc4794"/>
      <w:bookmarkStart w:id="596" w:name="_Toc2541"/>
      <w:bookmarkStart w:id="597" w:name="_Toc246996247"/>
      <w:r>
        <w:rPr>
          <w:rFonts w:hint="eastAsia" w:ascii="宋体" w:hAnsi="宋体" w:eastAsia="宋体"/>
          <w:color w:val="auto"/>
          <w:highlight w:val="none"/>
        </w:rPr>
        <w:t>3. 评标程序</w:t>
      </w:r>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p>
    <w:p>
      <w:pPr>
        <w:pStyle w:val="8"/>
        <w:rPr>
          <w:rFonts w:ascii="宋体" w:hAnsi="宋体"/>
          <w:color w:val="auto"/>
          <w:highlight w:val="none"/>
        </w:rPr>
      </w:pPr>
      <w:bookmarkStart w:id="598" w:name="_Toc247085763"/>
      <w:bookmarkStart w:id="599" w:name="_Toc338840244"/>
      <w:bookmarkStart w:id="600" w:name="_Toc246996991"/>
      <w:bookmarkStart w:id="601" w:name="_Toc246996248"/>
      <w:bookmarkStart w:id="602" w:name="_Toc152042382"/>
      <w:bookmarkStart w:id="603" w:name="_Toc152045605"/>
      <w:bookmarkStart w:id="604" w:name="_Toc144974572"/>
      <w:bookmarkStart w:id="605" w:name="_Toc179632623"/>
      <w:r>
        <w:rPr>
          <w:rFonts w:hint="eastAsia" w:ascii="宋体" w:hAnsi="宋体"/>
          <w:color w:val="auto"/>
          <w:highlight w:val="none"/>
        </w:rPr>
        <w:t>3.1 初步评审</w:t>
      </w:r>
      <w:bookmarkEnd w:id="598"/>
      <w:bookmarkEnd w:id="599"/>
      <w:bookmarkEnd w:id="600"/>
      <w:bookmarkEnd w:id="601"/>
      <w:bookmarkEnd w:id="602"/>
      <w:bookmarkEnd w:id="603"/>
      <w:bookmarkEnd w:id="604"/>
      <w:bookmarkEnd w:id="605"/>
    </w:p>
    <w:p>
      <w:pPr>
        <w:spacing w:line="400" w:lineRule="exact"/>
        <w:ind w:firstLine="420" w:firstLineChars="200"/>
        <w:rPr>
          <w:rFonts w:ascii="宋体" w:hAnsi="宋体"/>
          <w:color w:val="auto"/>
          <w:highlight w:val="none"/>
        </w:rPr>
      </w:pPr>
      <w:r>
        <w:rPr>
          <w:rFonts w:hint="eastAsia" w:ascii="宋体" w:hAnsi="宋体"/>
          <w:color w:val="auto"/>
          <w:highlight w:val="none"/>
        </w:rPr>
        <w:t>3.1.1依据本章第2.1款规定的标准对投标文件进行初步评审。有一项不符合资格审查和符合性审查要求的，为无效投标。</w:t>
      </w:r>
    </w:p>
    <w:p>
      <w:pPr>
        <w:spacing w:line="400" w:lineRule="exact"/>
        <w:ind w:firstLine="420" w:firstLineChars="200"/>
        <w:rPr>
          <w:rFonts w:ascii="宋体" w:hAnsi="宋体"/>
          <w:color w:val="auto"/>
          <w:highlight w:val="none"/>
        </w:rPr>
      </w:pPr>
      <w:r>
        <w:rPr>
          <w:rFonts w:hint="eastAsia" w:ascii="宋体" w:hAnsi="宋体"/>
          <w:color w:val="auto"/>
          <w:highlight w:val="none"/>
        </w:rPr>
        <w:t>3.1.2 供应商符合“无效投标条件”的，评标委员会应当否决其投标；</w:t>
      </w:r>
    </w:p>
    <w:p>
      <w:pPr>
        <w:spacing w:line="400" w:lineRule="exact"/>
        <w:ind w:firstLine="420" w:firstLineChars="200"/>
        <w:rPr>
          <w:rFonts w:ascii="宋体" w:hAnsi="宋体"/>
          <w:color w:val="auto"/>
          <w:highlight w:val="none"/>
        </w:rPr>
      </w:pPr>
      <w:r>
        <w:rPr>
          <w:rFonts w:hint="eastAsia" w:ascii="宋体" w:hAnsi="宋体"/>
          <w:color w:val="auto"/>
          <w:highlight w:val="none"/>
        </w:rPr>
        <w:t>3.1.3投标文件报价出现前后不一致的，按照下列规定修正：</w:t>
      </w:r>
    </w:p>
    <w:p>
      <w:pPr>
        <w:spacing w:line="400" w:lineRule="exact"/>
        <w:ind w:firstLine="420" w:firstLineChars="200"/>
        <w:rPr>
          <w:rFonts w:ascii="宋体" w:hAnsi="宋体"/>
          <w:color w:val="auto"/>
          <w:highlight w:val="none"/>
        </w:rPr>
      </w:pPr>
      <w:r>
        <w:rPr>
          <w:rFonts w:hint="eastAsia" w:ascii="宋体" w:hAnsi="宋体"/>
          <w:color w:val="auto"/>
          <w:highlight w:val="none"/>
        </w:rPr>
        <w:t>　　（1）投标文件中投标函内容与投标文件中相应内容不一致的，以投标函为准；</w:t>
      </w:r>
    </w:p>
    <w:p>
      <w:pPr>
        <w:spacing w:line="400" w:lineRule="exact"/>
        <w:ind w:firstLine="420" w:firstLineChars="200"/>
        <w:rPr>
          <w:rFonts w:ascii="宋体" w:hAnsi="宋体"/>
          <w:color w:val="auto"/>
          <w:highlight w:val="none"/>
        </w:rPr>
      </w:pPr>
      <w:r>
        <w:rPr>
          <w:rFonts w:hint="eastAsia" w:ascii="宋体" w:hAnsi="宋体"/>
          <w:color w:val="auto"/>
          <w:highlight w:val="none"/>
        </w:rPr>
        <w:t>　　（2）大写金额和小写金额不一致的，以大写金额为准；</w:t>
      </w:r>
    </w:p>
    <w:p>
      <w:pPr>
        <w:spacing w:line="400" w:lineRule="exact"/>
        <w:ind w:firstLine="420" w:firstLineChars="200"/>
        <w:rPr>
          <w:rFonts w:ascii="宋体" w:hAnsi="宋体"/>
          <w:color w:val="auto"/>
          <w:highlight w:val="none"/>
        </w:rPr>
      </w:pPr>
      <w:r>
        <w:rPr>
          <w:rFonts w:hint="eastAsia" w:ascii="宋体" w:hAnsi="宋体"/>
          <w:color w:val="auto"/>
          <w:highlight w:val="none"/>
        </w:rPr>
        <w:t>　　（3）单价金额小数点或者百分比有明显错位的，以投标函的总价为准，并修改单价；</w:t>
      </w:r>
    </w:p>
    <w:p>
      <w:pPr>
        <w:spacing w:line="400" w:lineRule="exact"/>
        <w:ind w:firstLine="420" w:firstLineChars="200"/>
        <w:rPr>
          <w:rFonts w:ascii="宋体" w:hAnsi="宋体"/>
          <w:color w:val="auto"/>
          <w:highlight w:val="none"/>
        </w:rPr>
      </w:pPr>
      <w:r>
        <w:rPr>
          <w:rFonts w:hint="eastAsia" w:ascii="宋体" w:hAnsi="宋体"/>
          <w:color w:val="auto"/>
          <w:highlight w:val="none"/>
        </w:rPr>
        <w:t>　　（4）总价金额与按单价汇总金额不一致的，以单价金额计算结果为准。</w:t>
      </w:r>
    </w:p>
    <w:p>
      <w:pPr>
        <w:spacing w:line="400" w:lineRule="exact"/>
        <w:ind w:firstLine="420" w:firstLineChars="200"/>
        <w:rPr>
          <w:rFonts w:ascii="宋体" w:hAnsi="宋体"/>
          <w:color w:val="auto"/>
          <w:highlight w:val="none"/>
        </w:rPr>
      </w:pPr>
      <w:r>
        <w:rPr>
          <w:rFonts w:hint="eastAsia" w:ascii="宋体" w:hAnsi="宋体"/>
          <w:color w:val="auto"/>
          <w:highlight w:val="none"/>
        </w:rPr>
        <w:t>同时出现两种以上不一致的，按照前款规定的顺序修正。修正后的报价经供应商确认后产生约束力，供应商不确认的，其投标无效。</w:t>
      </w:r>
    </w:p>
    <w:p>
      <w:pPr>
        <w:pStyle w:val="8"/>
        <w:rPr>
          <w:rFonts w:ascii="宋体" w:hAnsi="宋体"/>
          <w:color w:val="auto"/>
          <w:highlight w:val="none"/>
        </w:rPr>
      </w:pPr>
      <w:bookmarkStart w:id="606" w:name="_Toc247085764"/>
      <w:bookmarkStart w:id="607" w:name="_Toc179632624"/>
      <w:bookmarkStart w:id="608" w:name="_Toc152045606"/>
      <w:bookmarkStart w:id="609" w:name="_Toc144974573"/>
      <w:bookmarkStart w:id="610" w:name="_Toc246996992"/>
      <w:bookmarkStart w:id="611" w:name="_Toc246996249"/>
      <w:bookmarkStart w:id="612" w:name="_Toc338840245"/>
      <w:bookmarkStart w:id="613" w:name="_Toc152042384"/>
      <w:r>
        <w:rPr>
          <w:rFonts w:hint="eastAsia" w:ascii="宋体" w:hAnsi="宋体"/>
          <w:color w:val="auto"/>
          <w:highlight w:val="none"/>
        </w:rPr>
        <w:t>3.2 详细评审</w:t>
      </w:r>
      <w:bookmarkEnd w:id="606"/>
      <w:bookmarkEnd w:id="607"/>
      <w:bookmarkEnd w:id="608"/>
      <w:bookmarkEnd w:id="609"/>
      <w:bookmarkEnd w:id="610"/>
      <w:bookmarkEnd w:id="611"/>
      <w:bookmarkEnd w:id="612"/>
      <w:bookmarkEnd w:id="613"/>
    </w:p>
    <w:p>
      <w:pPr>
        <w:spacing w:line="400" w:lineRule="exact"/>
        <w:ind w:firstLine="420" w:firstLineChars="200"/>
        <w:rPr>
          <w:rFonts w:ascii="宋体" w:hAnsi="宋体"/>
          <w:color w:val="auto"/>
          <w:highlight w:val="none"/>
        </w:rPr>
      </w:pPr>
      <w:r>
        <w:rPr>
          <w:rFonts w:hint="eastAsia" w:ascii="宋体" w:hAnsi="宋体"/>
          <w:color w:val="auto"/>
          <w:highlight w:val="none"/>
        </w:rPr>
        <w:t>3.2.1评标委员会按照规定的量化因素和分值进行评审打分，详见评标办法前附表。</w:t>
      </w:r>
    </w:p>
    <w:p>
      <w:pPr>
        <w:spacing w:line="400" w:lineRule="exact"/>
        <w:ind w:firstLine="420" w:firstLineChars="200"/>
        <w:rPr>
          <w:rFonts w:ascii="宋体" w:hAnsi="宋体"/>
          <w:color w:val="auto"/>
          <w:highlight w:val="none"/>
        </w:rPr>
      </w:pPr>
      <w:r>
        <w:rPr>
          <w:rFonts w:hint="eastAsia" w:ascii="宋体" w:hAnsi="宋体"/>
          <w:color w:val="auto"/>
          <w:highlight w:val="none"/>
        </w:rPr>
        <w:t>3.2.2评标委员会发现供应商的报价明显低于其他投标报价，</w:t>
      </w:r>
      <w:r>
        <w:rPr>
          <w:rFonts w:hint="eastAsia" w:ascii="宋体" w:hAnsi="宋体"/>
          <w:color w:val="auto"/>
          <w:szCs w:val="21"/>
          <w:highlight w:val="none"/>
        </w:rPr>
        <w:t>影响产品质量或者不能诚信履约的，</w:t>
      </w:r>
      <w:r>
        <w:rPr>
          <w:rFonts w:hint="eastAsia" w:ascii="宋体" w:hAnsi="宋体"/>
          <w:color w:val="auto"/>
          <w:highlight w:val="none"/>
        </w:rPr>
        <w:t>应当要求该供应商在合理的时间内作出书面说明，必要时提供相应的证明材料。供应商不能合理说明或者不能提供相应证明材料的，为无效投标。</w:t>
      </w:r>
    </w:p>
    <w:p>
      <w:pPr>
        <w:pStyle w:val="8"/>
        <w:rPr>
          <w:rFonts w:ascii="宋体" w:hAnsi="宋体"/>
          <w:color w:val="auto"/>
          <w:highlight w:val="none"/>
        </w:rPr>
      </w:pPr>
      <w:bookmarkStart w:id="614" w:name="_Toc144974575"/>
      <w:bookmarkStart w:id="615" w:name="_Toc246996250"/>
      <w:bookmarkStart w:id="616" w:name="_Toc247085765"/>
      <w:bookmarkStart w:id="617" w:name="_Toc152045607"/>
      <w:bookmarkStart w:id="618" w:name="_Toc152042385"/>
      <w:bookmarkStart w:id="619" w:name="_Toc338840246"/>
      <w:bookmarkStart w:id="620" w:name="_Toc246996993"/>
      <w:bookmarkStart w:id="621" w:name="_Toc179632625"/>
      <w:r>
        <w:rPr>
          <w:rFonts w:hint="eastAsia" w:ascii="宋体" w:hAnsi="宋体"/>
          <w:color w:val="auto"/>
          <w:highlight w:val="none"/>
        </w:rPr>
        <w:t>3.3 投标文件的澄清</w:t>
      </w:r>
      <w:bookmarkEnd w:id="614"/>
      <w:r>
        <w:rPr>
          <w:rFonts w:hint="eastAsia" w:ascii="宋体" w:hAnsi="宋体"/>
          <w:color w:val="auto"/>
          <w:highlight w:val="none"/>
        </w:rPr>
        <w:t>和补正</w:t>
      </w:r>
      <w:bookmarkEnd w:id="615"/>
      <w:bookmarkEnd w:id="616"/>
      <w:bookmarkEnd w:id="617"/>
      <w:bookmarkEnd w:id="618"/>
      <w:bookmarkEnd w:id="619"/>
      <w:bookmarkEnd w:id="620"/>
      <w:bookmarkEnd w:id="621"/>
    </w:p>
    <w:p>
      <w:pPr>
        <w:spacing w:line="400" w:lineRule="exact"/>
        <w:ind w:firstLine="420" w:firstLineChars="200"/>
        <w:rPr>
          <w:rFonts w:ascii="宋体" w:hAnsi="宋体"/>
          <w:color w:val="auto"/>
          <w:highlight w:val="none"/>
        </w:rPr>
      </w:pPr>
      <w:r>
        <w:rPr>
          <w:rFonts w:hint="eastAsia" w:ascii="宋体" w:hAnsi="宋体"/>
          <w:color w:val="auto"/>
          <w:highlight w:val="none"/>
        </w:rPr>
        <w:t>3.3.1在评标过程中，评标委员会可以书面形式要求供应商对所提交投标文件中不明确的内容进行书面澄清或说明，或者对细微偏差进行补正。评标委员会不接受供应商主动提出的澄清、说明或补正。评标委员会拒绝供应商通过修正或撤消不符合要求的偏差，使之成为具有响应性的投标。</w:t>
      </w:r>
    </w:p>
    <w:p>
      <w:pPr>
        <w:spacing w:line="400" w:lineRule="exact"/>
        <w:ind w:firstLine="420" w:firstLineChars="200"/>
        <w:rPr>
          <w:rFonts w:ascii="宋体" w:hAnsi="宋体"/>
          <w:color w:val="auto"/>
          <w:highlight w:val="none"/>
        </w:rPr>
      </w:pPr>
      <w:r>
        <w:rPr>
          <w:rFonts w:hint="eastAsia" w:ascii="宋体" w:hAnsi="宋体"/>
          <w:color w:val="auto"/>
          <w:highlight w:val="none"/>
        </w:rPr>
        <w:t>3.3.2 澄清、说明和补正不得改变投标文件的实质性内容。供应商的书面澄清、说明和补正属于投标文件的组成部分。</w:t>
      </w:r>
    </w:p>
    <w:p>
      <w:pPr>
        <w:spacing w:line="400" w:lineRule="exact"/>
        <w:ind w:firstLine="420" w:firstLineChars="200"/>
        <w:rPr>
          <w:rFonts w:ascii="宋体" w:hAnsi="宋体"/>
          <w:color w:val="auto"/>
          <w:highlight w:val="none"/>
        </w:rPr>
      </w:pPr>
      <w:r>
        <w:rPr>
          <w:rFonts w:hint="eastAsia" w:ascii="宋体" w:hAnsi="宋体"/>
          <w:color w:val="auto"/>
          <w:highlight w:val="none"/>
        </w:rPr>
        <w:t>3.3.3 评标委员会对供应商提交的澄清、说明或补正有疑问的，可以要求供应商进一步澄清、说明或补正，直至满足评标委员会的要求。</w:t>
      </w:r>
    </w:p>
    <w:p>
      <w:pPr>
        <w:pStyle w:val="8"/>
        <w:rPr>
          <w:rFonts w:ascii="宋体" w:hAnsi="宋体"/>
          <w:color w:val="auto"/>
          <w:highlight w:val="none"/>
        </w:rPr>
      </w:pPr>
      <w:bookmarkStart w:id="622" w:name="_Toc152042386"/>
      <w:bookmarkStart w:id="623" w:name="_Toc152045608"/>
      <w:bookmarkStart w:id="624" w:name="_Toc246996994"/>
      <w:bookmarkStart w:id="625" w:name="_Toc338840247"/>
      <w:bookmarkStart w:id="626" w:name="_Toc144974576"/>
      <w:bookmarkStart w:id="627" w:name="_Toc246996251"/>
      <w:bookmarkStart w:id="628" w:name="_Toc247085766"/>
      <w:bookmarkStart w:id="629" w:name="_Toc179632626"/>
      <w:r>
        <w:rPr>
          <w:rFonts w:hint="eastAsia" w:ascii="宋体" w:hAnsi="宋体"/>
          <w:color w:val="auto"/>
          <w:highlight w:val="none"/>
        </w:rPr>
        <w:t>3.4 评标结果</w:t>
      </w:r>
      <w:bookmarkEnd w:id="622"/>
      <w:bookmarkEnd w:id="623"/>
      <w:bookmarkEnd w:id="624"/>
      <w:bookmarkEnd w:id="625"/>
      <w:bookmarkEnd w:id="626"/>
      <w:bookmarkEnd w:id="627"/>
      <w:bookmarkEnd w:id="628"/>
      <w:bookmarkEnd w:id="629"/>
    </w:p>
    <w:p>
      <w:pPr>
        <w:spacing w:line="400" w:lineRule="exact"/>
        <w:ind w:firstLine="420" w:firstLineChars="200"/>
        <w:rPr>
          <w:rFonts w:ascii="宋体" w:hAnsi="宋体"/>
          <w:color w:val="auto"/>
          <w:highlight w:val="none"/>
        </w:rPr>
      </w:pPr>
      <w:r>
        <w:rPr>
          <w:rFonts w:hint="eastAsia" w:ascii="宋体" w:hAnsi="宋体"/>
          <w:color w:val="auto"/>
          <w:highlight w:val="none"/>
        </w:rPr>
        <w:t>3.4.1除第二章“供应商须知”前附表授权直接确定中标人外，评标委员会按照规定推荐中标候选人。</w:t>
      </w:r>
    </w:p>
    <w:p>
      <w:pPr>
        <w:spacing w:line="400" w:lineRule="exact"/>
        <w:ind w:firstLine="420" w:firstLineChars="200"/>
        <w:rPr>
          <w:rFonts w:ascii="宋体" w:hAnsi="宋体"/>
          <w:color w:val="auto"/>
          <w:highlight w:val="none"/>
        </w:rPr>
      </w:pPr>
      <w:r>
        <w:rPr>
          <w:rFonts w:hint="eastAsia" w:ascii="宋体" w:hAnsi="宋体"/>
          <w:color w:val="auto"/>
          <w:highlight w:val="none"/>
        </w:rPr>
        <w:t>3.4.2 评标委员会完成评标后，应当向采购人提交书面评标报告。</w:t>
      </w:r>
    </w:p>
    <w:p>
      <w:pPr>
        <w:spacing w:line="400" w:lineRule="exact"/>
        <w:rPr>
          <w:rFonts w:ascii="宋体" w:hAnsi="宋体"/>
          <w:color w:val="auto"/>
          <w:highlight w:val="none"/>
        </w:rPr>
      </w:pPr>
    </w:p>
    <w:p>
      <w:pPr>
        <w:adjustRightInd w:val="0"/>
        <w:snapToGrid w:val="0"/>
        <w:spacing w:line="440" w:lineRule="exact"/>
        <w:outlineLvl w:val="1"/>
        <w:rPr>
          <w:rFonts w:ascii="宋体" w:hAnsi="宋体"/>
          <w:color w:val="auto"/>
          <w:sz w:val="24"/>
          <w:highlight w:val="none"/>
        </w:rPr>
      </w:pPr>
      <w:r>
        <w:rPr>
          <w:rFonts w:ascii="宋体" w:hAnsi="宋体"/>
          <w:color w:val="auto"/>
          <w:highlight w:val="none"/>
        </w:rPr>
        <w:br w:type="page"/>
      </w:r>
      <w:bookmarkStart w:id="630" w:name="_Toc19784"/>
      <w:bookmarkStart w:id="631" w:name="_Toc346523481"/>
      <w:bookmarkStart w:id="632" w:name="_Toc338840497"/>
      <w:bookmarkStart w:id="633" w:name="_Toc19465"/>
      <w:bookmarkStart w:id="634" w:name="_Toc346523418"/>
      <w:bookmarkStart w:id="635" w:name="_Toc494526415"/>
      <w:bookmarkStart w:id="636" w:name="_Toc338840458"/>
      <w:bookmarkStart w:id="637" w:name="_Toc21307"/>
      <w:bookmarkStart w:id="638" w:name="_Toc494093443"/>
      <w:bookmarkStart w:id="639" w:name="_Toc338840249"/>
      <w:bookmarkStart w:id="640" w:name="_Toc27082"/>
      <w:r>
        <w:rPr>
          <w:rFonts w:hint="eastAsia" w:ascii="宋体" w:hAnsi="宋体"/>
          <w:color w:val="auto"/>
          <w:sz w:val="24"/>
          <w:highlight w:val="none"/>
        </w:rPr>
        <w:t>附件</w:t>
      </w:r>
      <w:r>
        <w:rPr>
          <w:rFonts w:hint="eastAsia" w:ascii="宋体" w:hAnsi="宋体"/>
          <w:b/>
          <w:color w:val="auto"/>
          <w:sz w:val="24"/>
          <w:highlight w:val="none"/>
        </w:rPr>
        <w:t>Ａ</w:t>
      </w:r>
      <w:r>
        <w:rPr>
          <w:rFonts w:hint="eastAsia" w:ascii="宋体" w:hAnsi="宋体"/>
          <w:color w:val="auto"/>
          <w:sz w:val="24"/>
          <w:highlight w:val="none"/>
        </w:rPr>
        <w:t>：</w:t>
      </w:r>
      <w:bookmarkEnd w:id="630"/>
      <w:bookmarkEnd w:id="631"/>
      <w:bookmarkEnd w:id="632"/>
      <w:bookmarkEnd w:id="633"/>
      <w:bookmarkEnd w:id="634"/>
      <w:bookmarkEnd w:id="635"/>
      <w:bookmarkEnd w:id="636"/>
      <w:bookmarkEnd w:id="637"/>
      <w:bookmarkEnd w:id="638"/>
      <w:bookmarkEnd w:id="639"/>
      <w:bookmarkEnd w:id="640"/>
      <w:r>
        <w:rPr>
          <w:rFonts w:hint="eastAsia" w:ascii="宋体" w:hAnsi="宋体"/>
          <w:color w:val="auto"/>
          <w:sz w:val="24"/>
          <w:highlight w:val="none"/>
        </w:rPr>
        <w:t xml:space="preserve"> </w:t>
      </w:r>
    </w:p>
    <w:p>
      <w:pPr>
        <w:adjustRightInd w:val="0"/>
        <w:snapToGrid w:val="0"/>
        <w:spacing w:before="312" w:beforeLines="100" w:after="312" w:afterLines="100" w:line="160" w:lineRule="exact"/>
        <w:ind w:firstLine="560" w:firstLineChars="200"/>
        <w:jc w:val="center"/>
        <w:rPr>
          <w:rFonts w:ascii="宋体" w:hAnsi="宋体"/>
          <w:b/>
          <w:color w:val="auto"/>
          <w:szCs w:val="21"/>
          <w:highlight w:val="none"/>
        </w:rPr>
      </w:pPr>
      <w:r>
        <w:rPr>
          <w:rFonts w:hint="eastAsia" w:ascii="宋体" w:hAnsi="宋体"/>
          <w:color w:val="auto"/>
          <w:sz w:val="28"/>
          <w:szCs w:val="28"/>
          <w:highlight w:val="none"/>
        </w:rPr>
        <w:t>无效投标条件</w:t>
      </w:r>
      <w:r>
        <w:rPr>
          <w:rFonts w:hint="eastAsia" w:ascii="宋体" w:hAnsi="宋体"/>
          <w:b/>
          <w:color w:val="auto"/>
          <w:szCs w:val="21"/>
          <w:highlight w:val="none"/>
        </w:rPr>
        <w:t>　</w:t>
      </w:r>
    </w:p>
    <w:p>
      <w:pPr>
        <w:adjustRightInd w:val="0"/>
        <w:snapToGrid w:val="0"/>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有下列情形之一的，其投标为无效投标：</w:t>
      </w:r>
    </w:p>
    <w:p>
      <w:pPr>
        <w:adjustRightInd w:val="0"/>
        <w:snapToGrid w:val="0"/>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1 、有第二章“供应商须知”第1.4.2项规定的任何一种情形的。</w:t>
      </w:r>
    </w:p>
    <w:p>
      <w:pPr>
        <w:adjustRightInd w:val="0"/>
        <w:snapToGrid w:val="0"/>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2 、有下列情形之一，视为供应商串通投标，其投标无效：</w:t>
      </w:r>
    </w:p>
    <w:p>
      <w:pPr>
        <w:adjustRightInd w:val="0"/>
        <w:snapToGrid w:val="0"/>
        <w:spacing w:line="440" w:lineRule="exact"/>
        <w:rPr>
          <w:rFonts w:ascii="宋体" w:hAnsi="宋体"/>
          <w:color w:val="auto"/>
          <w:szCs w:val="21"/>
          <w:highlight w:val="none"/>
        </w:rPr>
      </w:pPr>
      <w:r>
        <w:rPr>
          <w:rFonts w:hint="eastAsia" w:ascii="宋体" w:hAnsi="宋体"/>
          <w:color w:val="auto"/>
          <w:szCs w:val="21"/>
          <w:highlight w:val="none"/>
        </w:rPr>
        <w:t>　　（一）不同供应商的投标文件由同一单位或者个人编制；</w:t>
      </w:r>
    </w:p>
    <w:p>
      <w:pPr>
        <w:adjustRightInd w:val="0"/>
        <w:snapToGrid w:val="0"/>
        <w:spacing w:line="440" w:lineRule="exact"/>
        <w:rPr>
          <w:rFonts w:ascii="宋体" w:hAnsi="宋体"/>
          <w:color w:val="auto"/>
          <w:szCs w:val="21"/>
          <w:highlight w:val="none"/>
        </w:rPr>
      </w:pPr>
      <w:r>
        <w:rPr>
          <w:rFonts w:hint="eastAsia" w:ascii="宋体" w:hAnsi="宋体"/>
          <w:color w:val="auto"/>
          <w:szCs w:val="21"/>
          <w:highlight w:val="none"/>
        </w:rPr>
        <w:t>　　（二）不同供应商委托同一单位或者个人办理投标事宜；</w:t>
      </w:r>
    </w:p>
    <w:p>
      <w:pPr>
        <w:adjustRightInd w:val="0"/>
        <w:snapToGrid w:val="0"/>
        <w:spacing w:line="440" w:lineRule="exact"/>
        <w:rPr>
          <w:rFonts w:ascii="宋体" w:hAnsi="宋体"/>
          <w:color w:val="auto"/>
          <w:szCs w:val="21"/>
          <w:highlight w:val="none"/>
        </w:rPr>
      </w:pPr>
      <w:r>
        <w:rPr>
          <w:rFonts w:hint="eastAsia" w:ascii="宋体" w:hAnsi="宋体"/>
          <w:color w:val="auto"/>
          <w:szCs w:val="21"/>
          <w:highlight w:val="none"/>
        </w:rPr>
        <w:t>　　（三）不同供应商的投标文件载明的项目管理成员或者联系人员为同一人；</w:t>
      </w:r>
    </w:p>
    <w:p>
      <w:pPr>
        <w:adjustRightInd w:val="0"/>
        <w:snapToGrid w:val="0"/>
        <w:spacing w:line="440" w:lineRule="exact"/>
        <w:rPr>
          <w:rFonts w:ascii="宋体" w:hAnsi="宋体"/>
          <w:color w:val="auto"/>
          <w:szCs w:val="21"/>
          <w:highlight w:val="none"/>
        </w:rPr>
      </w:pPr>
      <w:r>
        <w:rPr>
          <w:rFonts w:hint="eastAsia" w:ascii="宋体" w:hAnsi="宋体"/>
          <w:color w:val="auto"/>
          <w:szCs w:val="21"/>
          <w:highlight w:val="none"/>
        </w:rPr>
        <w:t>　　（四）不同供应商的投标文件异常一致或者投标报价呈规律性差异；</w:t>
      </w:r>
    </w:p>
    <w:p>
      <w:pPr>
        <w:adjustRightInd w:val="0"/>
        <w:snapToGrid w:val="0"/>
        <w:spacing w:line="440" w:lineRule="exact"/>
        <w:rPr>
          <w:rFonts w:ascii="宋体" w:hAnsi="宋体"/>
          <w:color w:val="auto"/>
          <w:szCs w:val="21"/>
          <w:highlight w:val="none"/>
        </w:rPr>
      </w:pPr>
      <w:r>
        <w:rPr>
          <w:rFonts w:hint="eastAsia" w:ascii="宋体" w:hAnsi="宋体"/>
          <w:color w:val="auto"/>
          <w:szCs w:val="21"/>
          <w:highlight w:val="none"/>
        </w:rPr>
        <w:t>　　（五）不同供应商的投标文件相互混装；</w:t>
      </w:r>
    </w:p>
    <w:p>
      <w:pPr>
        <w:adjustRightInd w:val="0"/>
        <w:snapToGrid w:val="0"/>
        <w:spacing w:line="440" w:lineRule="exact"/>
        <w:rPr>
          <w:rFonts w:ascii="宋体" w:hAnsi="宋体"/>
          <w:color w:val="auto"/>
          <w:szCs w:val="21"/>
          <w:highlight w:val="none"/>
        </w:rPr>
      </w:pPr>
      <w:r>
        <w:rPr>
          <w:rFonts w:hint="eastAsia" w:ascii="宋体" w:hAnsi="宋体"/>
          <w:color w:val="auto"/>
          <w:szCs w:val="21"/>
          <w:highlight w:val="none"/>
        </w:rPr>
        <w:t>　　（六）不同供应商的投标保证金从同一单位或者个人的账户转出。</w:t>
      </w:r>
    </w:p>
    <w:p>
      <w:pPr>
        <w:adjustRightInd w:val="0"/>
        <w:snapToGrid w:val="0"/>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3 、单位负责人为同一人或者存在直接控股、管理关系的不同供应商，参加同一合同项下的政府采购活动的。　为采购项目提供整体设计、规范编制或者项目管理、监理、检测等服务的供应商，不得再参加该采购项目的其他采购活动。</w:t>
      </w:r>
    </w:p>
    <w:p>
      <w:pPr>
        <w:adjustRightInd w:val="0"/>
        <w:snapToGrid w:val="0"/>
        <w:spacing w:line="440" w:lineRule="exact"/>
        <w:ind w:left="420" w:leftChars="200"/>
        <w:rPr>
          <w:rFonts w:ascii="宋体" w:hAnsi="宋体"/>
          <w:color w:val="auto"/>
          <w:szCs w:val="21"/>
          <w:highlight w:val="none"/>
        </w:rPr>
      </w:pPr>
      <w:r>
        <w:rPr>
          <w:rFonts w:hint="eastAsia" w:ascii="宋体" w:hAnsi="宋体"/>
          <w:color w:val="auto"/>
          <w:szCs w:val="21"/>
          <w:highlight w:val="none"/>
        </w:rPr>
        <w:t>4、投标内容不符合采购标的种类和数量要求的。</w:t>
      </w:r>
    </w:p>
    <w:p>
      <w:pPr>
        <w:adjustRightInd w:val="0"/>
        <w:snapToGrid w:val="0"/>
        <w:spacing w:line="440" w:lineRule="exact"/>
        <w:ind w:left="420" w:leftChars="200"/>
        <w:rPr>
          <w:rFonts w:ascii="宋体" w:hAnsi="宋体"/>
          <w:color w:val="auto"/>
          <w:szCs w:val="21"/>
          <w:highlight w:val="none"/>
        </w:rPr>
      </w:pPr>
      <w:r>
        <w:rPr>
          <w:rFonts w:hint="eastAsia" w:ascii="宋体" w:hAnsi="宋体"/>
          <w:color w:val="auto"/>
          <w:szCs w:val="21"/>
          <w:highlight w:val="none"/>
        </w:rPr>
        <w:t>5、投标报价超过招标文件中规定的最高限价的。</w:t>
      </w:r>
    </w:p>
    <w:p>
      <w:pPr>
        <w:adjustRightInd w:val="0"/>
        <w:snapToGrid w:val="0"/>
        <w:spacing w:line="440" w:lineRule="exact"/>
        <w:ind w:left="420" w:leftChars="200"/>
        <w:rPr>
          <w:rFonts w:ascii="宋体" w:hAnsi="宋体"/>
          <w:strike/>
          <w:color w:val="auto"/>
          <w:szCs w:val="21"/>
          <w:highlight w:val="none"/>
        </w:rPr>
      </w:pPr>
      <w:r>
        <w:rPr>
          <w:rFonts w:hint="eastAsia" w:ascii="宋体" w:hAnsi="宋体"/>
          <w:color w:val="auto"/>
          <w:szCs w:val="21"/>
          <w:highlight w:val="none"/>
        </w:rPr>
        <w:t>6、提供虚假材料或伪造材料的。</w:t>
      </w:r>
    </w:p>
    <w:p>
      <w:pPr>
        <w:adjustRightInd w:val="0"/>
        <w:snapToGrid w:val="0"/>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7、联合体投标者没有提交共同投标协议的。</w:t>
      </w:r>
    </w:p>
    <w:p>
      <w:pPr>
        <w:adjustRightInd w:val="0"/>
        <w:snapToGrid w:val="0"/>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8、采购人提供证据证明供应商在以往履行与采购人及其所属单位的采购合同时，发生过重大实质性违约且未及时采取合理补救措施的。</w:t>
      </w:r>
    </w:p>
    <w:p>
      <w:pPr>
        <w:adjustRightInd w:val="0"/>
        <w:snapToGrid w:val="0"/>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9、其他不符合法律、法规规定的。</w:t>
      </w:r>
    </w:p>
    <w:p>
      <w:pPr>
        <w:adjustRightInd w:val="0"/>
        <w:snapToGrid w:val="0"/>
        <w:spacing w:line="440" w:lineRule="exact"/>
        <w:rPr>
          <w:rFonts w:ascii="宋体" w:hAnsi="宋体"/>
          <w:color w:val="auto"/>
          <w:szCs w:val="21"/>
          <w:highlight w:val="none"/>
        </w:rPr>
      </w:pPr>
    </w:p>
    <w:p>
      <w:pPr>
        <w:adjustRightInd w:val="0"/>
        <w:snapToGrid w:val="0"/>
        <w:spacing w:line="440" w:lineRule="exact"/>
        <w:ind w:firstLine="420" w:firstLineChars="200"/>
        <w:rPr>
          <w:rFonts w:ascii="宋体" w:hAnsi="宋体"/>
          <w:b/>
          <w:color w:val="auto"/>
          <w:sz w:val="24"/>
          <w:highlight w:val="none"/>
        </w:rPr>
      </w:pPr>
      <w:r>
        <w:rPr>
          <w:rFonts w:hint="eastAsia" w:ascii="宋体" w:hAnsi="宋体"/>
          <w:color w:val="auto"/>
          <w:szCs w:val="21"/>
          <w:highlight w:val="none"/>
        </w:rPr>
        <w:t>注：以上内容是对采购文件中其他部分无效投标条件的补充。</w:t>
      </w:r>
      <w:r>
        <w:rPr>
          <w:rFonts w:hint="eastAsia" w:ascii="宋体" w:hAnsi="宋体"/>
          <w:b/>
          <w:color w:val="auto"/>
          <w:sz w:val="24"/>
          <w:highlight w:val="none"/>
        </w:rPr>
        <w:br w:type="page"/>
      </w:r>
      <w:r>
        <w:rPr>
          <w:rFonts w:hint="eastAsia" w:ascii="宋体" w:hAnsi="宋体"/>
          <w:b/>
          <w:color w:val="auto"/>
          <w:sz w:val="24"/>
          <w:highlight w:val="none"/>
        </w:rPr>
        <w:t>附件B：</w:t>
      </w:r>
    </w:p>
    <w:p>
      <w:pPr>
        <w:spacing w:line="520" w:lineRule="exact"/>
        <w:jc w:val="center"/>
        <w:rPr>
          <w:b/>
          <w:color w:val="auto"/>
          <w:sz w:val="36"/>
          <w:szCs w:val="36"/>
          <w:highlight w:val="none"/>
        </w:rPr>
      </w:pPr>
      <w:r>
        <w:rPr>
          <w:rFonts w:hint="eastAsia"/>
          <w:b/>
          <w:color w:val="auto"/>
          <w:sz w:val="36"/>
          <w:szCs w:val="36"/>
          <w:highlight w:val="none"/>
        </w:rPr>
        <w:t>评标报告（样本）</w:t>
      </w:r>
    </w:p>
    <w:p>
      <w:pPr>
        <w:spacing w:line="560" w:lineRule="exact"/>
        <w:jc w:val="center"/>
        <w:rPr>
          <w:rFonts w:ascii="仿宋_GB2312" w:eastAsia="仿宋_GB2312"/>
          <w:color w:val="auto"/>
          <w:sz w:val="24"/>
          <w:highlight w:val="none"/>
        </w:rPr>
      </w:pPr>
    </w:p>
    <w:p>
      <w:pPr>
        <w:pStyle w:val="4"/>
        <w:spacing w:line="560" w:lineRule="exact"/>
        <w:ind w:firstLine="470" w:firstLineChars="196"/>
        <w:rPr>
          <w:rFonts w:ascii="仿宋_GB2312" w:eastAsia="仿宋_GB2312"/>
          <w:color w:val="auto"/>
          <w:sz w:val="24"/>
          <w:highlight w:val="none"/>
        </w:rPr>
      </w:pPr>
      <w:r>
        <w:rPr>
          <w:rFonts w:hint="eastAsia" w:ascii="仿宋_GB2312" w:eastAsia="仿宋_GB2312"/>
          <w:color w:val="auto"/>
          <w:sz w:val="24"/>
          <w:highlight w:val="none"/>
        </w:rPr>
        <w:t>一、基本情况。</w:t>
      </w:r>
    </w:p>
    <w:p>
      <w:pPr>
        <w:pStyle w:val="4"/>
        <w:spacing w:line="560" w:lineRule="exact"/>
        <w:ind w:firstLine="480" w:firstLineChars="200"/>
        <w:rPr>
          <w:rFonts w:ascii="仿宋_GB2312" w:eastAsia="仿宋_GB2312"/>
          <w:color w:val="auto"/>
          <w:sz w:val="24"/>
          <w:highlight w:val="none"/>
        </w:rPr>
      </w:pPr>
      <w:r>
        <w:rPr>
          <w:rFonts w:hint="eastAsia" w:ascii="仿宋_GB2312" w:eastAsia="仿宋_GB2312"/>
          <w:color w:val="auto"/>
          <w:sz w:val="24"/>
          <w:highlight w:val="none"/>
        </w:rPr>
        <w:t>项目名称：</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第</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标段</w:t>
      </w:r>
    </w:p>
    <w:p>
      <w:pPr>
        <w:pStyle w:val="4"/>
        <w:spacing w:line="560" w:lineRule="exact"/>
        <w:ind w:firstLine="480" w:firstLineChars="200"/>
        <w:rPr>
          <w:rFonts w:ascii="仿宋_GB2312" w:eastAsia="仿宋_GB2312"/>
          <w:color w:val="auto"/>
          <w:sz w:val="24"/>
          <w:highlight w:val="none"/>
          <w:u w:val="single"/>
        </w:rPr>
      </w:pPr>
      <w:r>
        <w:rPr>
          <w:rFonts w:hint="eastAsia" w:ascii="仿宋_GB2312" w:eastAsia="仿宋_GB2312"/>
          <w:color w:val="auto"/>
          <w:sz w:val="24"/>
          <w:highlight w:val="none"/>
        </w:rPr>
        <w:t>项目编号：</w:t>
      </w:r>
      <w:r>
        <w:rPr>
          <w:rFonts w:hint="eastAsia" w:ascii="仿宋_GB2312" w:eastAsia="仿宋_GB2312"/>
          <w:color w:val="auto"/>
          <w:sz w:val="24"/>
          <w:highlight w:val="none"/>
          <w:u w:val="single"/>
        </w:rPr>
        <w:t xml:space="preserve">                        </w:t>
      </w:r>
    </w:p>
    <w:p>
      <w:pPr>
        <w:spacing w:line="560" w:lineRule="exact"/>
        <w:ind w:firstLine="480" w:firstLineChars="200"/>
        <w:rPr>
          <w:rFonts w:ascii="仿宋_GB2312" w:eastAsia="仿宋_GB2312"/>
          <w:color w:val="auto"/>
          <w:sz w:val="24"/>
          <w:highlight w:val="none"/>
        </w:rPr>
      </w:pPr>
      <w:r>
        <w:rPr>
          <w:rFonts w:hint="eastAsia" w:ascii="仿宋_GB2312" w:eastAsia="仿宋_GB2312"/>
          <w:color w:val="auto"/>
          <w:sz w:val="24"/>
          <w:highlight w:val="none"/>
        </w:rPr>
        <w:t>评标地点：开封市民之家五楼评标室</w:t>
      </w:r>
    </w:p>
    <w:p>
      <w:pPr>
        <w:spacing w:line="560" w:lineRule="exact"/>
        <w:ind w:firstLine="600"/>
        <w:jc w:val="left"/>
        <w:rPr>
          <w:rFonts w:ascii="仿宋_GB2312" w:eastAsia="仿宋_GB2312"/>
          <w:color w:val="auto"/>
          <w:sz w:val="24"/>
          <w:highlight w:val="none"/>
        </w:rPr>
      </w:pPr>
      <w:r>
        <w:rPr>
          <w:rFonts w:hint="eastAsia" w:ascii="仿宋_GB2312" w:eastAsia="仿宋_GB2312"/>
          <w:color w:val="auto"/>
          <w:sz w:val="24"/>
          <w:highlight w:val="none"/>
        </w:rPr>
        <w:t>本次招标采购于</w:t>
      </w:r>
      <w:r>
        <w:rPr>
          <w:rFonts w:hint="eastAsia" w:ascii="仿宋_GB2312" w:eastAsia="仿宋_GB2312"/>
          <w:color w:val="auto"/>
          <w:sz w:val="24"/>
          <w:highlight w:val="none"/>
          <w:u w:val="single"/>
        </w:rPr>
        <w:t>　　　</w:t>
      </w:r>
      <w:r>
        <w:rPr>
          <w:rFonts w:hint="eastAsia" w:ascii="仿宋_GB2312" w:eastAsia="仿宋_GB2312"/>
          <w:color w:val="auto"/>
          <w:sz w:val="24"/>
          <w:highlight w:val="none"/>
        </w:rPr>
        <w:t>年</w:t>
      </w:r>
      <w:r>
        <w:rPr>
          <w:rFonts w:hint="eastAsia" w:ascii="仿宋_GB2312" w:eastAsia="仿宋_GB2312"/>
          <w:color w:val="auto"/>
          <w:sz w:val="24"/>
          <w:highlight w:val="none"/>
          <w:u w:val="single"/>
        </w:rPr>
        <w:t>　　</w:t>
      </w:r>
      <w:r>
        <w:rPr>
          <w:rFonts w:hint="eastAsia" w:ascii="仿宋_GB2312" w:eastAsia="仿宋_GB2312"/>
          <w:color w:val="auto"/>
          <w:sz w:val="24"/>
          <w:highlight w:val="none"/>
        </w:rPr>
        <w:t>月</w:t>
      </w:r>
      <w:r>
        <w:rPr>
          <w:rFonts w:hint="eastAsia" w:ascii="仿宋_GB2312" w:eastAsia="仿宋_GB2312"/>
          <w:color w:val="auto"/>
          <w:sz w:val="24"/>
          <w:highlight w:val="none"/>
          <w:u w:val="single"/>
        </w:rPr>
        <w:t>　　</w:t>
      </w:r>
      <w:r>
        <w:rPr>
          <w:rFonts w:hint="eastAsia" w:ascii="仿宋_GB2312" w:eastAsia="仿宋_GB2312"/>
          <w:color w:val="auto"/>
          <w:sz w:val="24"/>
          <w:highlight w:val="none"/>
        </w:rPr>
        <w:t>日在河南省政府采购网及开封市公共资源交易信息网上发布招标公告，潜在供应商可以通过开封市公共资源交易信息网获取招标文件。</w:t>
      </w:r>
    </w:p>
    <w:p>
      <w:pPr>
        <w:spacing w:line="560" w:lineRule="exact"/>
        <w:ind w:firstLine="446" w:firstLineChars="186"/>
        <w:rPr>
          <w:rFonts w:ascii="仿宋_GB2312" w:eastAsia="仿宋_GB2312"/>
          <w:color w:val="auto"/>
          <w:sz w:val="24"/>
          <w:highlight w:val="none"/>
        </w:rPr>
      </w:pPr>
      <w:r>
        <w:rPr>
          <w:rFonts w:hint="eastAsia" w:ascii="仿宋_GB2312" w:eastAsia="仿宋_GB2312"/>
          <w:color w:val="auto"/>
          <w:sz w:val="24"/>
          <w:highlight w:val="none"/>
        </w:rPr>
        <w:t>投标截止及开标时间为</w:t>
      </w:r>
      <w:r>
        <w:rPr>
          <w:rFonts w:hint="eastAsia" w:ascii="仿宋_GB2312" w:eastAsia="仿宋_GB2312"/>
          <w:color w:val="auto"/>
          <w:sz w:val="24"/>
          <w:highlight w:val="none"/>
          <w:u w:val="single"/>
        </w:rPr>
        <w:t>　　　</w:t>
      </w:r>
      <w:r>
        <w:rPr>
          <w:rFonts w:hint="eastAsia" w:ascii="仿宋_GB2312" w:eastAsia="仿宋_GB2312"/>
          <w:color w:val="auto"/>
          <w:sz w:val="24"/>
          <w:highlight w:val="none"/>
        </w:rPr>
        <w:t>年</w:t>
      </w:r>
      <w:r>
        <w:rPr>
          <w:rFonts w:hint="eastAsia" w:ascii="仿宋_GB2312" w:eastAsia="仿宋_GB2312"/>
          <w:color w:val="auto"/>
          <w:sz w:val="24"/>
          <w:highlight w:val="none"/>
          <w:u w:val="single"/>
        </w:rPr>
        <w:t>　　</w:t>
      </w:r>
      <w:r>
        <w:rPr>
          <w:rFonts w:hint="eastAsia" w:ascii="仿宋_GB2312" w:eastAsia="仿宋_GB2312"/>
          <w:color w:val="auto"/>
          <w:sz w:val="24"/>
          <w:highlight w:val="none"/>
        </w:rPr>
        <w:t>月</w:t>
      </w:r>
      <w:r>
        <w:rPr>
          <w:rFonts w:hint="eastAsia" w:ascii="仿宋_GB2312" w:eastAsia="仿宋_GB2312"/>
          <w:color w:val="auto"/>
          <w:sz w:val="24"/>
          <w:highlight w:val="none"/>
          <w:u w:val="single"/>
        </w:rPr>
        <w:t>　　</w:t>
      </w:r>
      <w:r>
        <w:rPr>
          <w:rFonts w:hint="eastAsia" w:ascii="仿宋_GB2312" w:eastAsia="仿宋_GB2312"/>
          <w:color w:val="auto"/>
          <w:sz w:val="24"/>
          <w:highlight w:val="none"/>
        </w:rPr>
        <w:t>日</w:t>
      </w:r>
      <w:r>
        <w:rPr>
          <w:rFonts w:hint="eastAsia" w:ascii="仿宋_GB2312" w:eastAsia="仿宋_GB2312"/>
          <w:color w:val="auto"/>
          <w:sz w:val="24"/>
          <w:highlight w:val="none"/>
          <w:u w:val="single"/>
        </w:rPr>
        <w:t>　　</w:t>
      </w:r>
      <w:r>
        <w:rPr>
          <w:rFonts w:hint="eastAsia" w:ascii="仿宋_GB2312" w:eastAsia="仿宋_GB2312"/>
          <w:color w:val="auto"/>
          <w:sz w:val="24"/>
          <w:highlight w:val="none"/>
        </w:rPr>
        <w:t>时</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分，在开封市民之家五楼开标室进行网上开标，共有</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个供应商按规定递交投标文件（投标供应商名称详见开标记录表），开标内容详见开标记录。</w:t>
      </w:r>
    </w:p>
    <w:p>
      <w:pPr>
        <w:spacing w:line="560" w:lineRule="exact"/>
        <w:ind w:firstLine="600"/>
        <w:rPr>
          <w:rFonts w:ascii="仿宋_GB2312" w:eastAsia="仿宋_GB2312"/>
          <w:color w:val="auto"/>
          <w:sz w:val="24"/>
          <w:highlight w:val="none"/>
        </w:rPr>
      </w:pPr>
      <w:r>
        <w:rPr>
          <w:rFonts w:hint="eastAsia" w:ascii="仿宋_GB2312" w:eastAsia="仿宋_GB2312"/>
          <w:b/>
          <w:color w:val="auto"/>
          <w:sz w:val="24"/>
          <w:highlight w:val="none"/>
        </w:rPr>
        <w:t>二、评标委员会成员名单。</w:t>
      </w:r>
      <w:r>
        <w:rPr>
          <w:rFonts w:hint="eastAsia" w:ascii="仿宋_GB2312" w:eastAsia="仿宋_GB2312"/>
          <w:color w:val="auto"/>
          <w:sz w:val="24"/>
          <w:highlight w:val="none"/>
        </w:rPr>
        <w:t>采购单位按规定从专家库中随机抽取了评审专家</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人（名单：</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），参与评标的采购人代表为：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，上述人员共同组成评标委员会，负责本项目的评标工作(人员名单详见《</w:t>
      </w:r>
      <w:r>
        <w:rPr>
          <w:rFonts w:hint="eastAsia" w:ascii="仿宋_GB2312" w:hAnsi="宋体" w:eastAsia="仿宋_GB2312"/>
          <w:bCs/>
          <w:color w:val="auto"/>
          <w:sz w:val="24"/>
          <w:highlight w:val="none"/>
        </w:rPr>
        <w:t>评委专家抽取结果表》和《评标授权函》</w:t>
      </w:r>
      <w:r>
        <w:rPr>
          <w:rFonts w:hint="eastAsia" w:ascii="仿宋_GB2312" w:eastAsia="仿宋_GB2312"/>
          <w:color w:val="auto"/>
          <w:sz w:val="24"/>
          <w:highlight w:val="none"/>
        </w:rPr>
        <w:t>)。推荐</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为评标委员会主任。</w:t>
      </w:r>
    </w:p>
    <w:p>
      <w:pPr>
        <w:spacing w:line="560" w:lineRule="exact"/>
        <w:ind w:firstLine="600"/>
        <w:rPr>
          <w:rFonts w:ascii="仿宋_GB2312" w:eastAsia="仿宋_GB2312"/>
          <w:color w:val="auto"/>
          <w:sz w:val="24"/>
          <w:highlight w:val="none"/>
        </w:rPr>
      </w:pPr>
      <w:r>
        <w:rPr>
          <w:rFonts w:hint="eastAsia" w:ascii="仿宋_GB2312" w:eastAsia="仿宋_GB2312"/>
          <w:b/>
          <w:color w:val="auto"/>
          <w:sz w:val="24"/>
          <w:highlight w:val="none"/>
        </w:rPr>
        <w:t>三、开标记录。</w:t>
      </w:r>
      <w:r>
        <w:rPr>
          <w:rFonts w:hint="eastAsia" w:ascii="仿宋_GB2312" w:eastAsia="仿宋_GB2312"/>
          <w:color w:val="auto"/>
          <w:sz w:val="24"/>
          <w:highlight w:val="none"/>
        </w:rPr>
        <w:t>另附。</w:t>
      </w:r>
    </w:p>
    <w:p>
      <w:pPr>
        <w:spacing w:line="560" w:lineRule="exact"/>
        <w:ind w:firstLine="600"/>
        <w:rPr>
          <w:rFonts w:ascii="仿宋_GB2312" w:eastAsia="仿宋_GB2312"/>
          <w:b/>
          <w:color w:val="auto"/>
          <w:sz w:val="24"/>
          <w:highlight w:val="none"/>
        </w:rPr>
      </w:pPr>
      <w:r>
        <w:rPr>
          <w:rFonts w:hint="eastAsia" w:ascii="仿宋_GB2312" w:eastAsia="仿宋_GB2312"/>
          <w:b/>
          <w:color w:val="auto"/>
          <w:sz w:val="24"/>
          <w:highlight w:val="none"/>
        </w:rPr>
        <w:t>四、资格审查。</w:t>
      </w:r>
      <w:r>
        <w:rPr>
          <w:rFonts w:hint="eastAsia" w:ascii="仿宋_GB2312" w:eastAsia="仿宋_GB2312"/>
          <w:color w:val="auto"/>
          <w:sz w:val="24"/>
          <w:highlight w:val="none"/>
        </w:rPr>
        <w:t>由采购人或采购代理机构负责。详见资格审查表。</w:t>
      </w:r>
    </w:p>
    <w:p>
      <w:pPr>
        <w:spacing w:line="560" w:lineRule="exact"/>
        <w:ind w:firstLine="600"/>
        <w:rPr>
          <w:rFonts w:ascii="仿宋_GB2312" w:eastAsia="仿宋_GB2312"/>
          <w:color w:val="auto"/>
          <w:sz w:val="24"/>
          <w:highlight w:val="none"/>
        </w:rPr>
      </w:pPr>
      <w:r>
        <w:rPr>
          <w:rFonts w:hint="eastAsia" w:ascii="仿宋_GB2312" w:eastAsia="仿宋_GB2312"/>
          <w:b/>
          <w:color w:val="auto"/>
          <w:sz w:val="24"/>
          <w:highlight w:val="none"/>
        </w:rPr>
        <w:t>五、符合性审查、商务和技术评审。</w:t>
      </w:r>
      <w:r>
        <w:rPr>
          <w:rFonts w:hint="eastAsia" w:ascii="仿宋_GB2312" w:eastAsia="仿宋_GB2312"/>
          <w:color w:val="auto"/>
          <w:sz w:val="24"/>
          <w:highlight w:val="none"/>
        </w:rPr>
        <w:t>由评标委员会负责。详见符合性审查表、商务和技术评审表。</w:t>
      </w:r>
    </w:p>
    <w:p>
      <w:pPr>
        <w:spacing w:line="560" w:lineRule="exact"/>
        <w:ind w:firstLine="600"/>
        <w:rPr>
          <w:rFonts w:ascii="仿宋_GB2312" w:eastAsia="仿宋_GB2312"/>
          <w:b/>
          <w:color w:val="auto"/>
          <w:sz w:val="24"/>
          <w:highlight w:val="none"/>
        </w:rPr>
      </w:pPr>
      <w:r>
        <w:rPr>
          <w:rFonts w:hint="eastAsia" w:ascii="仿宋_GB2312" w:eastAsia="仿宋_GB2312"/>
          <w:b/>
          <w:color w:val="auto"/>
          <w:sz w:val="24"/>
          <w:highlight w:val="none"/>
        </w:rPr>
        <w:t>六、无效标情况说明。</w:t>
      </w:r>
      <w:r>
        <w:rPr>
          <w:rFonts w:hint="eastAsia" w:ascii="仿宋_GB2312" w:eastAsia="仿宋_GB2312"/>
          <w:color w:val="auto"/>
          <w:sz w:val="24"/>
          <w:highlight w:val="none"/>
        </w:rPr>
        <w:t>经过采购人和代理机构进行资格审查，评标委员会进行符合性审查，本项目第</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标段有</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个供应商的投标为有效投标，有</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个供应商的投标为无效投标，无效投标名单及原因为：</w:t>
      </w:r>
      <w:r>
        <w:rPr>
          <w:rFonts w:hint="eastAsia" w:ascii="仿宋_GB2312" w:eastAsia="仿宋_GB2312"/>
          <w:color w:val="auto"/>
          <w:sz w:val="24"/>
          <w:highlight w:val="none"/>
          <w:u w:val="single"/>
        </w:rPr>
        <w:t xml:space="preserve"> 　　　　　                        </w:t>
      </w:r>
    </w:p>
    <w:p>
      <w:pPr>
        <w:spacing w:line="560" w:lineRule="exact"/>
        <w:rPr>
          <w:rFonts w:ascii="仿宋_GB2312" w:eastAsia="仿宋_GB2312"/>
          <w:color w:val="auto"/>
          <w:sz w:val="24"/>
          <w:highlight w:val="none"/>
          <w:u w:val="single"/>
        </w:rPr>
      </w:pPr>
      <w:r>
        <w:rPr>
          <w:rFonts w:hint="eastAsia" w:ascii="仿宋_GB2312" w:eastAsia="仿宋_GB2312"/>
          <w:color w:val="auto"/>
          <w:sz w:val="24"/>
          <w:highlight w:val="none"/>
          <w:u w:val="single"/>
        </w:rPr>
        <w:t xml:space="preserve">                                                       </w:t>
      </w:r>
    </w:p>
    <w:p>
      <w:pPr>
        <w:spacing w:line="560" w:lineRule="exact"/>
        <w:rPr>
          <w:rFonts w:ascii="仿宋_GB2312" w:eastAsia="仿宋_GB2312"/>
          <w:color w:val="auto"/>
          <w:sz w:val="24"/>
          <w:highlight w:val="none"/>
          <w:u w:val="singl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（详见资格审查表、符合性审查表及有关评审记录)。</w:t>
      </w:r>
    </w:p>
    <w:p>
      <w:pPr>
        <w:spacing w:line="560" w:lineRule="exact"/>
        <w:ind w:firstLine="482" w:firstLineChars="200"/>
        <w:rPr>
          <w:rFonts w:ascii="仿宋_GB2312" w:eastAsia="仿宋_GB2312"/>
          <w:b/>
          <w:color w:val="auto"/>
          <w:sz w:val="24"/>
          <w:highlight w:val="none"/>
        </w:rPr>
      </w:pPr>
      <w:r>
        <w:rPr>
          <w:rFonts w:hint="eastAsia" w:ascii="仿宋_GB2312" w:eastAsia="仿宋_GB2312"/>
          <w:b/>
          <w:color w:val="auto"/>
          <w:sz w:val="24"/>
          <w:highlight w:val="none"/>
        </w:rPr>
        <w:t>七、评标方法、评标因素、评标标准（详见招标文件中评标办法前附表）。</w:t>
      </w:r>
    </w:p>
    <w:p>
      <w:pPr>
        <w:spacing w:line="560" w:lineRule="exact"/>
        <w:ind w:firstLine="482" w:firstLineChars="200"/>
        <w:rPr>
          <w:rFonts w:ascii="仿宋_GB2312" w:eastAsia="仿宋_GB2312"/>
          <w:b/>
          <w:color w:val="auto"/>
          <w:sz w:val="24"/>
          <w:highlight w:val="none"/>
        </w:rPr>
      </w:pPr>
      <w:r>
        <w:rPr>
          <w:rFonts w:hint="eastAsia" w:ascii="仿宋_GB2312" w:eastAsia="仿宋_GB2312"/>
          <w:b/>
          <w:color w:val="auto"/>
          <w:sz w:val="24"/>
          <w:highlight w:val="none"/>
        </w:rPr>
        <w:t>八、属于价格折扣范围的小型微型企业、监狱企业、残疾人福利性单位情况：</w:t>
      </w: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20"/>
        <w:gridCol w:w="1503"/>
        <w:gridCol w:w="25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4320" w:type="dxa"/>
            <w:vAlign w:val="center"/>
          </w:tcPr>
          <w:p>
            <w:pPr>
              <w:spacing w:line="560" w:lineRule="exact"/>
              <w:rPr>
                <w:rFonts w:ascii="仿宋_GB2312" w:eastAsia="仿宋_GB2312"/>
                <w:color w:val="auto"/>
                <w:sz w:val="24"/>
                <w:highlight w:val="none"/>
              </w:rPr>
            </w:pPr>
            <w:r>
              <w:rPr>
                <w:rFonts w:hint="eastAsia" w:ascii="仿宋_GB2312" w:eastAsia="仿宋_GB2312"/>
                <w:b/>
                <w:color w:val="auto"/>
                <w:sz w:val="24"/>
                <w:highlight w:val="none"/>
              </w:rPr>
              <w:t>单位名称（小型微型企业、监狱企业、残疾人福利性单位）</w:t>
            </w:r>
          </w:p>
        </w:tc>
        <w:tc>
          <w:tcPr>
            <w:tcW w:w="1503" w:type="dxa"/>
            <w:vAlign w:val="center"/>
          </w:tcPr>
          <w:p>
            <w:pPr>
              <w:spacing w:line="560" w:lineRule="exact"/>
              <w:rPr>
                <w:rFonts w:ascii="仿宋_GB2312" w:eastAsia="仿宋_GB2312"/>
                <w:b/>
                <w:color w:val="auto"/>
                <w:sz w:val="24"/>
                <w:highlight w:val="none"/>
              </w:rPr>
            </w:pPr>
            <w:r>
              <w:rPr>
                <w:rFonts w:hint="eastAsia" w:ascii="仿宋_GB2312" w:eastAsia="仿宋_GB2312"/>
                <w:b/>
                <w:color w:val="auto"/>
                <w:sz w:val="24"/>
                <w:highlight w:val="none"/>
              </w:rPr>
              <w:t>投标报价（元）</w:t>
            </w:r>
          </w:p>
        </w:tc>
        <w:tc>
          <w:tcPr>
            <w:tcW w:w="2520" w:type="dxa"/>
            <w:vAlign w:val="center"/>
          </w:tcPr>
          <w:p>
            <w:pPr>
              <w:spacing w:line="560" w:lineRule="exact"/>
              <w:rPr>
                <w:rFonts w:ascii="仿宋_GB2312" w:eastAsia="仿宋_GB2312"/>
                <w:color w:val="auto"/>
                <w:sz w:val="22"/>
                <w:szCs w:val="22"/>
                <w:highlight w:val="none"/>
              </w:rPr>
            </w:pPr>
            <w:r>
              <w:rPr>
                <w:rFonts w:hint="eastAsia" w:ascii="仿宋_GB2312" w:eastAsia="仿宋_GB2312"/>
                <w:b/>
                <w:color w:val="auto"/>
                <w:sz w:val="24"/>
                <w:highlight w:val="none"/>
              </w:rPr>
              <w:t>评标价格</w:t>
            </w:r>
            <w:r>
              <w:rPr>
                <w:rFonts w:hint="eastAsia" w:ascii="仿宋_GB2312" w:eastAsia="仿宋_GB2312"/>
                <w:color w:val="auto"/>
                <w:sz w:val="22"/>
                <w:szCs w:val="22"/>
                <w:highlight w:val="none"/>
              </w:rPr>
              <w:t>（价格扣除后的价格）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4320" w:type="dxa"/>
          </w:tcPr>
          <w:p>
            <w:pPr>
              <w:spacing w:line="560" w:lineRule="exact"/>
              <w:rPr>
                <w:rFonts w:ascii="仿宋_GB2312" w:eastAsia="仿宋_GB2312"/>
                <w:color w:val="auto"/>
                <w:sz w:val="24"/>
                <w:highlight w:val="none"/>
              </w:rPr>
            </w:pPr>
          </w:p>
        </w:tc>
        <w:tc>
          <w:tcPr>
            <w:tcW w:w="1503" w:type="dxa"/>
          </w:tcPr>
          <w:p>
            <w:pPr>
              <w:spacing w:line="560" w:lineRule="exact"/>
              <w:rPr>
                <w:rFonts w:ascii="仿宋_GB2312" w:eastAsia="仿宋_GB2312"/>
                <w:color w:val="auto"/>
                <w:sz w:val="24"/>
                <w:highlight w:val="none"/>
              </w:rPr>
            </w:pPr>
          </w:p>
        </w:tc>
        <w:tc>
          <w:tcPr>
            <w:tcW w:w="2520" w:type="dxa"/>
          </w:tcPr>
          <w:p>
            <w:pPr>
              <w:spacing w:line="560" w:lineRule="exact"/>
              <w:rPr>
                <w:rFonts w:ascii="仿宋_GB2312" w:eastAsia="仿宋_GB2312"/>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4320" w:type="dxa"/>
          </w:tcPr>
          <w:p>
            <w:pPr>
              <w:spacing w:line="560" w:lineRule="exact"/>
              <w:rPr>
                <w:rFonts w:ascii="仿宋_GB2312" w:eastAsia="仿宋_GB2312"/>
                <w:color w:val="auto"/>
                <w:sz w:val="24"/>
                <w:highlight w:val="none"/>
              </w:rPr>
            </w:pPr>
          </w:p>
        </w:tc>
        <w:tc>
          <w:tcPr>
            <w:tcW w:w="1503" w:type="dxa"/>
          </w:tcPr>
          <w:p>
            <w:pPr>
              <w:spacing w:line="560" w:lineRule="exact"/>
              <w:rPr>
                <w:rFonts w:ascii="仿宋_GB2312" w:eastAsia="仿宋_GB2312"/>
                <w:color w:val="auto"/>
                <w:sz w:val="24"/>
                <w:highlight w:val="none"/>
              </w:rPr>
            </w:pPr>
          </w:p>
        </w:tc>
        <w:tc>
          <w:tcPr>
            <w:tcW w:w="2520" w:type="dxa"/>
          </w:tcPr>
          <w:p>
            <w:pPr>
              <w:spacing w:line="560" w:lineRule="exact"/>
              <w:rPr>
                <w:rFonts w:ascii="仿宋_GB2312" w:eastAsia="仿宋_GB2312"/>
                <w:color w:val="auto"/>
                <w:sz w:val="24"/>
                <w:highlight w:val="none"/>
              </w:rPr>
            </w:pPr>
          </w:p>
        </w:tc>
      </w:tr>
    </w:tbl>
    <w:p>
      <w:pPr>
        <w:spacing w:line="560" w:lineRule="exact"/>
        <w:ind w:firstLine="482" w:firstLineChars="200"/>
        <w:rPr>
          <w:rFonts w:ascii="仿宋_GB2312" w:eastAsia="仿宋_GB2312"/>
          <w:b/>
          <w:color w:val="auto"/>
          <w:sz w:val="24"/>
          <w:highlight w:val="none"/>
        </w:rPr>
      </w:pPr>
    </w:p>
    <w:p>
      <w:pPr>
        <w:spacing w:line="560" w:lineRule="exact"/>
        <w:ind w:firstLine="482" w:firstLineChars="200"/>
        <w:rPr>
          <w:rFonts w:ascii="仿宋_GB2312" w:eastAsia="仿宋_GB2312"/>
          <w:b/>
          <w:color w:val="auto"/>
          <w:sz w:val="24"/>
          <w:highlight w:val="none"/>
        </w:rPr>
      </w:pPr>
      <w:r>
        <w:rPr>
          <w:rFonts w:hint="eastAsia" w:ascii="仿宋_GB2312" w:eastAsia="仿宋_GB2312"/>
          <w:b/>
          <w:color w:val="auto"/>
          <w:sz w:val="24"/>
          <w:highlight w:val="none"/>
        </w:rPr>
        <w:t>九、经评审的价格或评分比较一览表。</w:t>
      </w:r>
    </w:p>
    <w:p>
      <w:pPr>
        <w:spacing w:line="560" w:lineRule="exact"/>
        <w:ind w:firstLine="480" w:firstLineChars="200"/>
        <w:rPr>
          <w:rFonts w:ascii="仿宋_GB2312" w:eastAsia="仿宋_GB2312"/>
          <w:color w:val="auto"/>
          <w:sz w:val="24"/>
          <w:highlight w:val="none"/>
        </w:rPr>
      </w:pPr>
      <w:r>
        <w:rPr>
          <w:rFonts w:hint="eastAsia" w:ascii="仿宋_GB2312" w:eastAsia="仿宋_GB2312"/>
          <w:color w:val="auto"/>
          <w:sz w:val="24"/>
          <w:highlight w:val="none"/>
        </w:rPr>
        <w:t>评标委员会对各有效投标进行了详细评审，各供应商的报价及排序如下：</w:t>
      </w: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62"/>
        <w:gridCol w:w="1193"/>
        <w:gridCol w:w="1453"/>
        <w:gridCol w:w="20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62" w:type="dxa"/>
            <w:vAlign w:val="center"/>
          </w:tcPr>
          <w:p>
            <w:pPr>
              <w:spacing w:line="560" w:lineRule="exact"/>
              <w:jc w:val="center"/>
              <w:rPr>
                <w:rFonts w:ascii="仿宋_GB2312" w:eastAsia="仿宋_GB2312"/>
                <w:color w:val="auto"/>
                <w:sz w:val="24"/>
                <w:highlight w:val="none"/>
              </w:rPr>
            </w:pPr>
            <w:r>
              <w:rPr>
                <w:rFonts w:hint="eastAsia" w:ascii="仿宋_GB2312" w:eastAsia="仿宋_GB2312"/>
                <w:color w:val="auto"/>
                <w:sz w:val="24"/>
                <w:highlight w:val="none"/>
              </w:rPr>
              <w:t>供应商</w:t>
            </w:r>
          </w:p>
        </w:tc>
        <w:tc>
          <w:tcPr>
            <w:tcW w:w="1193" w:type="dxa"/>
            <w:vAlign w:val="center"/>
          </w:tcPr>
          <w:p>
            <w:pPr>
              <w:spacing w:line="560" w:lineRule="exact"/>
              <w:jc w:val="center"/>
              <w:rPr>
                <w:rFonts w:ascii="仿宋_GB2312" w:eastAsia="仿宋_GB2312"/>
                <w:color w:val="auto"/>
                <w:sz w:val="24"/>
                <w:highlight w:val="none"/>
              </w:rPr>
            </w:pPr>
            <w:r>
              <w:rPr>
                <w:rFonts w:hint="eastAsia" w:ascii="仿宋_GB2312" w:eastAsia="仿宋_GB2312"/>
                <w:b/>
                <w:color w:val="auto"/>
                <w:sz w:val="24"/>
                <w:highlight w:val="none"/>
              </w:rPr>
              <w:t>投标报价</w:t>
            </w:r>
            <w:r>
              <w:rPr>
                <w:rFonts w:hint="eastAsia" w:ascii="仿宋_GB2312" w:eastAsia="仿宋_GB2312"/>
                <w:color w:val="auto"/>
                <w:sz w:val="24"/>
                <w:highlight w:val="none"/>
              </w:rPr>
              <w:t>（元）</w:t>
            </w:r>
          </w:p>
        </w:tc>
        <w:tc>
          <w:tcPr>
            <w:tcW w:w="1453" w:type="dxa"/>
            <w:vAlign w:val="center"/>
          </w:tcPr>
          <w:p>
            <w:pPr>
              <w:spacing w:line="560" w:lineRule="exact"/>
              <w:jc w:val="center"/>
              <w:rPr>
                <w:rFonts w:ascii="仿宋_GB2312" w:eastAsia="仿宋_GB2312"/>
                <w:color w:val="auto"/>
                <w:sz w:val="24"/>
                <w:highlight w:val="none"/>
              </w:rPr>
            </w:pPr>
            <w:r>
              <w:rPr>
                <w:rFonts w:hint="eastAsia" w:ascii="仿宋_GB2312" w:eastAsia="仿宋_GB2312"/>
                <w:b/>
                <w:color w:val="auto"/>
                <w:sz w:val="24"/>
                <w:highlight w:val="none"/>
              </w:rPr>
              <w:t>得分</w:t>
            </w:r>
          </w:p>
        </w:tc>
        <w:tc>
          <w:tcPr>
            <w:tcW w:w="2071" w:type="dxa"/>
            <w:vAlign w:val="center"/>
          </w:tcPr>
          <w:p>
            <w:pPr>
              <w:spacing w:line="560" w:lineRule="exact"/>
              <w:rPr>
                <w:rFonts w:ascii="仿宋_GB2312" w:eastAsia="仿宋_GB2312"/>
                <w:color w:val="auto"/>
                <w:sz w:val="22"/>
                <w:szCs w:val="22"/>
                <w:highlight w:val="none"/>
              </w:rPr>
            </w:pPr>
            <w:r>
              <w:rPr>
                <w:rFonts w:hint="eastAsia" w:ascii="仿宋_GB2312" w:eastAsia="仿宋_GB2312"/>
                <w:b/>
                <w:color w:val="auto"/>
                <w:sz w:val="24"/>
                <w:highlight w:val="none"/>
              </w:rPr>
              <w:t>排序</w:t>
            </w:r>
            <w:r>
              <w:rPr>
                <w:rFonts w:hint="eastAsia" w:ascii="仿宋_GB2312" w:eastAsia="仿宋_GB2312"/>
                <w:color w:val="auto"/>
                <w:sz w:val="22"/>
                <w:szCs w:val="22"/>
                <w:highlight w:val="none"/>
              </w:rPr>
              <w:t>（按得分从高到低排）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3562" w:type="dxa"/>
          </w:tcPr>
          <w:p>
            <w:pPr>
              <w:spacing w:line="560" w:lineRule="exact"/>
              <w:rPr>
                <w:rFonts w:ascii="仿宋_GB2312" w:eastAsia="仿宋_GB2312"/>
                <w:color w:val="auto"/>
                <w:sz w:val="24"/>
                <w:highlight w:val="none"/>
              </w:rPr>
            </w:pPr>
          </w:p>
        </w:tc>
        <w:tc>
          <w:tcPr>
            <w:tcW w:w="1193" w:type="dxa"/>
          </w:tcPr>
          <w:p>
            <w:pPr>
              <w:spacing w:line="560" w:lineRule="exact"/>
              <w:rPr>
                <w:rFonts w:ascii="仿宋_GB2312" w:eastAsia="仿宋_GB2312"/>
                <w:color w:val="auto"/>
                <w:sz w:val="24"/>
                <w:highlight w:val="none"/>
              </w:rPr>
            </w:pPr>
          </w:p>
        </w:tc>
        <w:tc>
          <w:tcPr>
            <w:tcW w:w="1453" w:type="dxa"/>
          </w:tcPr>
          <w:p>
            <w:pPr>
              <w:spacing w:line="560" w:lineRule="exact"/>
              <w:rPr>
                <w:rFonts w:ascii="仿宋_GB2312" w:eastAsia="仿宋_GB2312"/>
                <w:color w:val="auto"/>
                <w:sz w:val="24"/>
                <w:highlight w:val="none"/>
              </w:rPr>
            </w:pPr>
          </w:p>
        </w:tc>
        <w:tc>
          <w:tcPr>
            <w:tcW w:w="2071" w:type="dxa"/>
          </w:tcPr>
          <w:p>
            <w:pPr>
              <w:spacing w:line="560" w:lineRule="exact"/>
              <w:rPr>
                <w:rFonts w:ascii="仿宋_GB2312" w:eastAsia="仿宋_GB2312"/>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3562" w:type="dxa"/>
          </w:tcPr>
          <w:p>
            <w:pPr>
              <w:spacing w:line="560" w:lineRule="exact"/>
              <w:rPr>
                <w:rFonts w:ascii="仿宋_GB2312" w:eastAsia="仿宋_GB2312"/>
                <w:color w:val="auto"/>
                <w:sz w:val="24"/>
                <w:highlight w:val="none"/>
              </w:rPr>
            </w:pPr>
          </w:p>
        </w:tc>
        <w:tc>
          <w:tcPr>
            <w:tcW w:w="1193" w:type="dxa"/>
          </w:tcPr>
          <w:p>
            <w:pPr>
              <w:spacing w:line="560" w:lineRule="exact"/>
              <w:rPr>
                <w:rFonts w:ascii="仿宋_GB2312" w:eastAsia="仿宋_GB2312"/>
                <w:color w:val="auto"/>
                <w:sz w:val="24"/>
                <w:highlight w:val="none"/>
              </w:rPr>
            </w:pPr>
          </w:p>
        </w:tc>
        <w:tc>
          <w:tcPr>
            <w:tcW w:w="1453" w:type="dxa"/>
          </w:tcPr>
          <w:p>
            <w:pPr>
              <w:spacing w:line="560" w:lineRule="exact"/>
              <w:rPr>
                <w:rFonts w:ascii="仿宋_GB2312" w:eastAsia="仿宋_GB2312"/>
                <w:color w:val="auto"/>
                <w:sz w:val="24"/>
                <w:highlight w:val="none"/>
              </w:rPr>
            </w:pPr>
          </w:p>
        </w:tc>
        <w:tc>
          <w:tcPr>
            <w:tcW w:w="2071" w:type="dxa"/>
          </w:tcPr>
          <w:p>
            <w:pPr>
              <w:spacing w:line="560" w:lineRule="exact"/>
              <w:rPr>
                <w:rFonts w:ascii="仿宋_GB2312" w:eastAsia="仿宋_GB2312"/>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3562" w:type="dxa"/>
          </w:tcPr>
          <w:p>
            <w:pPr>
              <w:spacing w:line="560" w:lineRule="exact"/>
              <w:rPr>
                <w:rFonts w:ascii="仿宋_GB2312" w:eastAsia="仿宋_GB2312"/>
                <w:color w:val="auto"/>
                <w:sz w:val="24"/>
                <w:highlight w:val="none"/>
              </w:rPr>
            </w:pPr>
          </w:p>
        </w:tc>
        <w:tc>
          <w:tcPr>
            <w:tcW w:w="1193" w:type="dxa"/>
          </w:tcPr>
          <w:p>
            <w:pPr>
              <w:spacing w:line="560" w:lineRule="exact"/>
              <w:rPr>
                <w:rFonts w:ascii="仿宋_GB2312" w:eastAsia="仿宋_GB2312"/>
                <w:color w:val="auto"/>
                <w:sz w:val="24"/>
                <w:highlight w:val="none"/>
              </w:rPr>
            </w:pPr>
          </w:p>
        </w:tc>
        <w:tc>
          <w:tcPr>
            <w:tcW w:w="1453" w:type="dxa"/>
          </w:tcPr>
          <w:p>
            <w:pPr>
              <w:spacing w:line="560" w:lineRule="exact"/>
              <w:rPr>
                <w:rFonts w:ascii="仿宋_GB2312" w:eastAsia="仿宋_GB2312"/>
                <w:color w:val="auto"/>
                <w:sz w:val="24"/>
                <w:highlight w:val="none"/>
              </w:rPr>
            </w:pPr>
          </w:p>
        </w:tc>
        <w:tc>
          <w:tcPr>
            <w:tcW w:w="2071" w:type="dxa"/>
          </w:tcPr>
          <w:p>
            <w:pPr>
              <w:spacing w:line="560" w:lineRule="exact"/>
              <w:rPr>
                <w:rFonts w:ascii="仿宋_GB2312" w:eastAsia="仿宋_GB2312"/>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3562" w:type="dxa"/>
          </w:tcPr>
          <w:p>
            <w:pPr>
              <w:spacing w:line="560" w:lineRule="exact"/>
              <w:rPr>
                <w:rFonts w:ascii="仿宋_GB2312" w:eastAsia="仿宋_GB2312"/>
                <w:color w:val="auto"/>
                <w:sz w:val="24"/>
                <w:highlight w:val="none"/>
              </w:rPr>
            </w:pPr>
          </w:p>
        </w:tc>
        <w:tc>
          <w:tcPr>
            <w:tcW w:w="1193" w:type="dxa"/>
          </w:tcPr>
          <w:p>
            <w:pPr>
              <w:spacing w:line="560" w:lineRule="exact"/>
              <w:rPr>
                <w:rFonts w:ascii="仿宋_GB2312" w:eastAsia="仿宋_GB2312"/>
                <w:color w:val="auto"/>
                <w:sz w:val="24"/>
                <w:highlight w:val="none"/>
              </w:rPr>
            </w:pPr>
          </w:p>
        </w:tc>
        <w:tc>
          <w:tcPr>
            <w:tcW w:w="1453" w:type="dxa"/>
          </w:tcPr>
          <w:p>
            <w:pPr>
              <w:spacing w:line="560" w:lineRule="exact"/>
              <w:rPr>
                <w:rFonts w:ascii="仿宋_GB2312" w:eastAsia="仿宋_GB2312"/>
                <w:color w:val="auto"/>
                <w:sz w:val="24"/>
                <w:highlight w:val="none"/>
              </w:rPr>
            </w:pPr>
          </w:p>
        </w:tc>
        <w:tc>
          <w:tcPr>
            <w:tcW w:w="2071" w:type="dxa"/>
          </w:tcPr>
          <w:p>
            <w:pPr>
              <w:spacing w:line="560" w:lineRule="exact"/>
              <w:rPr>
                <w:rFonts w:ascii="仿宋_GB2312" w:eastAsia="仿宋_GB2312"/>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3562" w:type="dxa"/>
          </w:tcPr>
          <w:p>
            <w:pPr>
              <w:spacing w:line="560" w:lineRule="exact"/>
              <w:rPr>
                <w:rFonts w:ascii="仿宋_GB2312" w:eastAsia="仿宋_GB2312"/>
                <w:color w:val="auto"/>
                <w:sz w:val="24"/>
                <w:highlight w:val="none"/>
              </w:rPr>
            </w:pPr>
          </w:p>
        </w:tc>
        <w:tc>
          <w:tcPr>
            <w:tcW w:w="1193" w:type="dxa"/>
          </w:tcPr>
          <w:p>
            <w:pPr>
              <w:spacing w:line="560" w:lineRule="exact"/>
              <w:rPr>
                <w:rFonts w:ascii="仿宋_GB2312" w:eastAsia="仿宋_GB2312"/>
                <w:color w:val="auto"/>
                <w:sz w:val="24"/>
                <w:highlight w:val="none"/>
              </w:rPr>
            </w:pPr>
          </w:p>
        </w:tc>
        <w:tc>
          <w:tcPr>
            <w:tcW w:w="1453" w:type="dxa"/>
          </w:tcPr>
          <w:p>
            <w:pPr>
              <w:spacing w:line="560" w:lineRule="exact"/>
              <w:rPr>
                <w:rFonts w:ascii="仿宋_GB2312" w:eastAsia="仿宋_GB2312"/>
                <w:color w:val="auto"/>
                <w:sz w:val="24"/>
                <w:highlight w:val="none"/>
              </w:rPr>
            </w:pPr>
          </w:p>
        </w:tc>
        <w:tc>
          <w:tcPr>
            <w:tcW w:w="2071" w:type="dxa"/>
          </w:tcPr>
          <w:p>
            <w:pPr>
              <w:spacing w:line="560" w:lineRule="exact"/>
              <w:rPr>
                <w:rFonts w:ascii="仿宋_GB2312" w:eastAsia="仿宋_GB2312"/>
                <w:color w:val="auto"/>
                <w:sz w:val="24"/>
                <w:highlight w:val="none"/>
              </w:rPr>
            </w:pPr>
          </w:p>
        </w:tc>
      </w:tr>
    </w:tbl>
    <w:p>
      <w:pPr>
        <w:spacing w:line="560" w:lineRule="exact"/>
        <w:ind w:firstLine="600"/>
        <w:rPr>
          <w:rFonts w:ascii="仿宋_GB2312" w:eastAsia="仿宋_GB2312"/>
          <w:color w:val="auto"/>
          <w:sz w:val="24"/>
          <w:highlight w:val="none"/>
        </w:rPr>
      </w:pPr>
      <w:r>
        <w:rPr>
          <w:rFonts w:hint="eastAsia" w:ascii="仿宋_GB2312" w:eastAsia="仿宋_GB2312"/>
          <w:color w:val="auto"/>
          <w:sz w:val="24"/>
          <w:highlight w:val="none"/>
        </w:rPr>
        <w:t>本项目采购控制金额为：</w:t>
      </w:r>
      <w:r>
        <w:rPr>
          <w:rFonts w:hint="eastAsia" w:ascii="仿宋_GB2312" w:eastAsia="仿宋_GB2312"/>
          <w:color w:val="auto"/>
          <w:sz w:val="24"/>
          <w:highlight w:val="none"/>
          <w:u w:val="single"/>
        </w:rPr>
        <w:t>　　　　　　　　　</w:t>
      </w:r>
      <w:r>
        <w:rPr>
          <w:rFonts w:hint="eastAsia" w:ascii="仿宋_GB2312" w:eastAsia="仿宋_GB2312"/>
          <w:color w:val="auto"/>
          <w:sz w:val="24"/>
          <w:highlight w:val="none"/>
        </w:rPr>
        <w:t>。</w:t>
      </w:r>
    </w:p>
    <w:p>
      <w:pPr>
        <w:spacing w:line="560" w:lineRule="exact"/>
        <w:ind w:firstLine="600"/>
        <w:rPr>
          <w:rFonts w:ascii="仿宋_GB2312" w:eastAsia="仿宋_GB2312"/>
          <w:b/>
          <w:color w:val="auto"/>
          <w:sz w:val="24"/>
          <w:highlight w:val="none"/>
        </w:rPr>
      </w:pPr>
      <w:r>
        <w:rPr>
          <w:rFonts w:hint="eastAsia" w:ascii="仿宋_GB2312" w:eastAsia="仿宋_GB2312"/>
          <w:b/>
          <w:color w:val="auto"/>
          <w:sz w:val="24"/>
          <w:highlight w:val="none"/>
        </w:rPr>
        <w:t>十、推荐的中标候选人。</w:t>
      </w:r>
    </w:p>
    <w:p>
      <w:pPr>
        <w:spacing w:line="560" w:lineRule="exact"/>
        <w:ind w:firstLine="600"/>
        <w:rPr>
          <w:rFonts w:ascii="仿宋_GB2312" w:eastAsia="仿宋_GB2312"/>
          <w:color w:val="auto"/>
          <w:sz w:val="24"/>
          <w:highlight w:val="none"/>
        </w:rPr>
      </w:pPr>
      <w:r>
        <w:rPr>
          <w:rFonts w:hint="eastAsia" w:ascii="仿宋_GB2312" w:eastAsia="仿宋_GB2312"/>
          <w:color w:val="auto"/>
          <w:sz w:val="24"/>
          <w:highlight w:val="none"/>
        </w:rPr>
        <w:t>评标委员会根据招标文件的有关规定，一致同意推荐中标候选人及其排名顺序为：</w:t>
      </w:r>
    </w:p>
    <w:p>
      <w:pPr>
        <w:spacing w:line="560" w:lineRule="exact"/>
        <w:ind w:firstLine="600"/>
        <w:rPr>
          <w:rFonts w:ascii="仿宋_GB2312" w:eastAsia="仿宋_GB2312"/>
          <w:color w:val="auto"/>
          <w:sz w:val="24"/>
          <w:highlight w:val="none"/>
          <w:u w:val="single"/>
        </w:rPr>
      </w:pPr>
      <w:r>
        <w:rPr>
          <w:rFonts w:hint="eastAsia" w:ascii="仿宋_GB2312" w:eastAsia="仿宋_GB2312"/>
          <w:color w:val="auto"/>
          <w:sz w:val="24"/>
          <w:highlight w:val="none"/>
        </w:rPr>
        <w:t>第一中标候选人：</w:t>
      </w:r>
      <w:r>
        <w:rPr>
          <w:rFonts w:hint="eastAsia" w:ascii="仿宋_GB2312" w:eastAsia="仿宋_GB2312"/>
          <w:color w:val="auto"/>
          <w:sz w:val="24"/>
          <w:highlight w:val="none"/>
          <w:u w:val="single"/>
        </w:rPr>
        <w:t xml:space="preserve">                                            </w:t>
      </w:r>
    </w:p>
    <w:p>
      <w:pPr>
        <w:spacing w:line="560" w:lineRule="exact"/>
        <w:ind w:firstLine="600"/>
        <w:rPr>
          <w:rFonts w:ascii="仿宋_GB2312" w:eastAsia="仿宋_GB2312"/>
          <w:color w:val="auto"/>
          <w:sz w:val="24"/>
          <w:highlight w:val="none"/>
          <w:u w:val="single"/>
        </w:rPr>
      </w:pPr>
      <w:r>
        <w:rPr>
          <w:rFonts w:hint="eastAsia" w:ascii="仿宋_GB2312" w:eastAsia="仿宋_GB2312"/>
          <w:color w:val="auto"/>
          <w:sz w:val="24"/>
          <w:highlight w:val="none"/>
        </w:rPr>
        <w:t>第二中标候选人：</w:t>
      </w:r>
      <w:r>
        <w:rPr>
          <w:rFonts w:hint="eastAsia" w:ascii="仿宋_GB2312" w:eastAsia="仿宋_GB2312"/>
          <w:color w:val="auto"/>
          <w:sz w:val="24"/>
          <w:highlight w:val="none"/>
          <w:u w:val="single"/>
        </w:rPr>
        <w:t xml:space="preserve">                                            </w:t>
      </w:r>
    </w:p>
    <w:p>
      <w:pPr>
        <w:spacing w:line="560" w:lineRule="exact"/>
        <w:ind w:firstLine="600"/>
        <w:rPr>
          <w:rFonts w:ascii="仿宋_GB2312" w:eastAsia="仿宋_GB2312"/>
          <w:color w:val="auto"/>
          <w:sz w:val="24"/>
          <w:highlight w:val="none"/>
        </w:rPr>
      </w:pPr>
      <w:r>
        <w:rPr>
          <w:rFonts w:hint="eastAsia" w:ascii="仿宋_GB2312" w:eastAsia="仿宋_GB2312"/>
          <w:color w:val="auto"/>
          <w:sz w:val="24"/>
          <w:highlight w:val="none"/>
        </w:rPr>
        <w:t>第三中标候选人：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p>
    <w:p>
      <w:pPr>
        <w:spacing w:line="560" w:lineRule="exact"/>
        <w:ind w:firstLine="600"/>
        <w:rPr>
          <w:rFonts w:ascii="仿宋_GB2312" w:eastAsia="仿宋_GB2312"/>
          <w:b/>
          <w:color w:val="auto"/>
          <w:sz w:val="24"/>
          <w:highlight w:val="none"/>
        </w:rPr>
      </w:pPr>
      <w:r>
        <w:rPr>
          <w:rFonts w:hint="eastAsia" w:ascii="仿宋_GB2312" w:eastAsia="仿宋_GB2312"/>
          <w:b/>
          <w:color w:val="auto"/>
          <w:sz w:val="24"/>
          <w:highlight w:val="none"/>
        </w:rPr>
        <w:t>十一、澄清、说明、补正事项纪要。</w:t>
      </w:r>
    </w:p>
    <w:p>
      <w:pPr>
        <w:spacing w:line="560" w:lineRule="exact"/>
        <w:ind w:firstLine="600"/>
        <w:rPr>
          <w:rFonts w:ascii="仿宋_GB2312" w:eastAsia="仿宋_GB2312"/>
          <w:b/>
          <w:color w:val="auto"/>
          <w:sz w:val="24"/>
          <w:highlight w:val="none"/>
        </w:rPr>
      </w:pPr>
    </w:p>
    <w:p>
      <w:pPr>
        <w:spacing w:line="560" w:lineRule="exact"/>
        <w:ind w:firstLine="600"/>
        <w:rPr>
          <w:rFonts w:ascii="仿宋_GB2312" w:eastAsia="仿宋_GB2312"/>
          <w:color w:val="auto"/>
          <w:sz w:val="24"/>
          <w:highlight w:val="none"/>
        </w:rPr>
      </w:pPr>
      <w:r>
        <w:rPr>
          <w:rFonts w:hint="eastAsia" w:ascii="仿宋_GB2312" w:eastAsia="仿宋_GB2312"/>
          <w:color w:val="auto"/>
          <w:sz w:val="24"/>
          <w:highlight w:val="none"/>
        </w:rPr>
        <w:t>评标委员会主任：</w:t>
      </w:r>
    </w:p>
    <w:p>
      <w:pPr>
        <w:spacing w:line="560" w:lineRule="exact"/>
        <w:ind w:firstLine="600"/>
        <w:rPr>
          <w:rFonts w:ascii="仿宋_GB2312" w:eastAsia="仿宋_GB2312"/>
          <w:color w:val="auto"/>
          <w:sz w:val="24"/>
          <w:highlight w:val="none"/>
        </w:rPr>
      </w:pPr>
      <w:r>
        <w:rPr>
          <w:rFonts w:hint="eastAsia" w:ascii="仿宋_GB2312" w:eastAsia="仿宋_GB2312"/>
          <w:color w:val="auto"/>
          <w:sz w:val="24"/>
          <w:highlight w:val="none"/>
        </w:rPr>
        <w:t>评标委员会成员：</w:t>
      </w:r>
    </w:p>
    <w:p>
      <w:pPr>
        <w:pStyle w:val="4"/>
        <w:wordWrap w:val="0"/>
        <w:spacing w:line="560" w:lineRule="exact"/>
        <w:ind w:firstLine="2409" w:firstLineChars="1000"/>
        <w:rPr>
          <w:rFonts w:ascii="仿宋_GB2312" w:eastAsia="仿宋_GB2312"/>
          <w:b/>
          <w:color w:val="auto"/>
          <w:sz w:val="24"/>
          <w:highlight w:val="none"/>
        </w:rPr>
      </w:pPr>
      <w:r>
        <w:rPr>
          <w:rFonts w:hint="eastAsia" w:ascii="仿宋_GB2312" w:eastAsia="仿宋_GB2312"/>
          <w:b/>
          <w:color w:val="auto"/>
          <w:sz w:val="24"/>
          <w:highlight w:val="none"/>
          <w:u w:val="single"/>
        </w:rPr>
        <w:t>　　　　　　　　　　　　　　</w:t>
      </w:r>
      <w:r>
        <w:rPr>
          <w:rFonts w:hint="eastAsia" w:ascii="仿宋_GB2312" w:eastAsia="仿宋_GB2312"/>
          <w:b/>
          <w:color w:val="auto"/>
          <w:sz w:val="24"/>
          <w:highlight w:val="none"/>
        </w:rPr>
        <w:t xml:space="preserve">项目评标委员会 </w:t>
      </w:r>
      <w:r>
        <w:rPr>
          <w:rFonts w:ascii="仿宋_GB2312" w:eastAsia="仿宋_GB2312"/>
          <w:b/>
          <w:color w:val="auto"/>
          <w:sz w:val="24"/>
          <w:highlight w:val="none"/>
        </w:rPr>
        <w:t xml:space="preserve">   </w:t>
      </w:r>
    </w:p>
    <w:p>
      <w:pPr>
        <w:spacing w:line="560" w:lineRule="exact"/>
        <w:ind w:firstLine="6000" w:firstLineChars="2500"/>
        <w:jc w:val="left"/>
        <w:rPr>
          <w:rFonts w:ascii="仿宋_GB2312" w:eastAsia="仿宋_GB2312"/>
          <w:color w:val="auto"/>
          <w:sz w:val="24"/>
          <w:highlight w:val="none"/>
        </w:rPr>
      </w:pPr>
      <w:r>
        <w:rPr>
          <w:rFonts w:hint="eastAsia" w:ascii="仿宋_GB2312" w:eastAsia="仿宋_GB2312"/>
          <w:color w:val="auto"/>
          <w:sz w:val="24"/>
          <w:highlight w:val="none"/>
        </w:rPr>
        <w:t>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日</w:t>
      </w:r>
    </w:p>
    <w:p>
      <w:pPr>
        <w:spacing w:line="560" w:lineRule="exact"/>
        <w:rPr>
          <w:rFonts w:ascii="仿宋_GB2312" w:eastAsia="仿宋_GB2312"/>
          <w:color w:val="auto"/>
          <w:sz w:val="28"/>
          <w:szCs w:val="28"/>
          <w:highlight w:val="none"/>
        </w:rPr>
      </w:pPr>
      <w:r>
        <w:rPr>
          <w:rFonts w:ascii="仿宋_GB2312" w:eastAsia="仿宋_GB2312"/>
          <w:color w:val="auto"/>
          <w:sz w:val="28"/>
          <w:szCs w:val="28"/>
          <w:highlight w:val="none"/>
        </w:rPr>
        <w:br w:type="page"/>
      </w:r>
    </w:p>
    <w:p>
      <w:pPr>
        <w:pStyle w:val="6"/>
        <w:jc w:val="center"/>
        <w:rPr>
          <w:rFonts w:ascii="宋体" w:hAnsi="宋体"/>
          <w:color w:val="auto"/>
          <w:highlight w:val="none"/>
        </w:rPr>
      </w:pPr>
      <w:bookmarkStart w:id="641" w:name="_Toc17369"/>
      <w:bookmarkStart w:id="642" w:name="_Toc152042387"/>
      <w:bookmarkStart w:id="643" w:name="_Toc179632627"/>
      <w:bookmarkStart w:id="644" w:name="_Toc346523419"/>
      <w:bookmarkStart w:id="645" w:name="_Toc152045609"/>
      <w:bookmarkStart w:id="646" w:name="_Toc247085767"/>
      <w:bookmarkStart w:id="647" w:name="_Toc22308"/>
      <w:bookmarkStart w:id="648" w:name="_Toc144974577"/>
      <w:bookmarkStart w:id="649" w:name="_Toc494526416"/>
      <w:bookmarkStart w:id="650" w:name="_Toc14959"/>
      <w:bookmarkStart w:id="651" w:name="_Toc9654"/>
      <w:bookmarkStart w:id="652" w:name="_Toc338840250"/>
      <w:bookmarkStart w:id="653" w:name="_Toc346523482"/>
      <w:bookmarkStart w:id="654" w:name="_Toc494093444"/>
      <w:bookmarkStart w:id="655" w:name="_Toc338840498"/>
      <w:bookmarkStart w:id="656" w:name="_Toc246996252"/>
      <w:bookmarkStart w:id="657" w:name="_Toc338840459"/>
      <w:bookmarkStart w:id="658" w:name="_Toc246996995"/>
      <w:r>
        <w:rPr>
          <w:rFonts w:hint="eastAsia" w:ascii="宋体" w:hAnsi="宋体"/>
          <w:color w:val="auto"/>
          <w:highlight w:val="none"/>
        </w:rPr>
        <w:t>第四章 合同条款及格式</w:t>
      </w:r>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Start w:id="659" w:name="_Toc144974831"/>
      <w:bookmarkStart w:id="660" w:name="_Toc152042551"/>
      <w:bookmarkStart w:id="661" w:name="_Toc152045769"/>
      <w:bookmarkStart w:id="662" w:name="_Toc179632787"/>
      <w:bookmarkStart w:id="663" w:name="_Toc246996338"/>
      <w:bookmarkStart w:id="664" w:name="_Toc246997081"/>
      <w:bookmarkStart w:id="665" w:name="_Toc247085853"/>
    </w:p>
    <w:p>
      <w:pPr>
        <w:widowControl/>
        <w:ind w:firstLine="3058" w:firstLineChars="695"/>
        <w:rPr>
          <w:rFonts w:ascii="宋体" w:hAnsi="宋体"/>
          <w:bCs/>
          <w:color w:val="auto"/>
          <w:kern w:val="0"/>
          <w:sz w:val="44"/>
          <w:szCs w:val="44"/>
          <w:highlight w:val="none"/>
        </w:rPr>
      </w:pPr>
      <w:r>
        <w:rPr>
          <w:rFonts w:hint="eastAsia" w:ascii="宋体" w:hAnsi="宋体"/>
          <w:bCs/>
          <w:color w:val="auto"/>
          <w:kern w:val="0"/>
          <w:sz w:val="44"/>
          <w:szCs w:val="44"/>
          <w:highlight w:val="none"/>
        </w:rPr>
        <w:t>合同协议书</w:t>
      </w:r>
    </w:p>
    <w:tbl>
      <w:tblPr>
        <w:tblStyle w:val="34"/>
        <w:tblpPr w:leftFromText="180" w:rightFromText="180" w:vertAnchor="text" w:horzAnchor="margin" w:tblpY="171"/>
        <w:tblW w:w="0" w:type="auto"/>
        <w:tblInd w:w="0" w:type="dxa"/>
        <w:tblLayout w:type="fixed"/>
        <w:tblCellMar>
          <w:top w:w="0" w:type="dxa"/>
          <w:left w:w="108" w:type="dxa"/>
          <w:bottom w:w="0" w:type="dxa"/>
          <w:right w:w="108" w:type="dxa"/>
        </w:tblCellMar>
      </w:tblPr>
      <w:tblGrid>
        <w:gridCol w:w="8190"/>
      </w:tblGrid>
      <w:tr>
        <w:tblPrEx>
          <w:tblCellMar>
            <w:top w:w="0" w:type="dxa"/>
            <w:left w:w="108" w:type="dxa"/>
            <w:bottom w:w="0" w:type="dxa"/>
            <w:right w:w="108" w:type="dxa"/>
          </w:tblCellMar>
        </w:tblPrEx>
        <w:trPr>
          <w:trHeight w:val="1080" w:hRule="atLeast"/>
        </w:trPr>
        <w:tc>
          <w:tcPr>
            <w:tcW w:w="8190" w:type="dxa"/>
            <w:tcBorders>
              <w:top w:val="single" w:color="000000" w:sz="4" w:space="0"/>
              <w:left w:val="single" w:color="000000" w:sz="4" w:space="0"/>
              <w:bottom w:val="single" w:color="000000" w:sz="4" w:space="0"/>
              <w:right w:val="single" w:color="000000" w:sz="4" w:space="0"/>
            </w:tcBorders>
          </w:tcPr>
          <w:p>
            <w:pPr>
              <w:widowControl/>
              <w:spacing w:before="120" w:line="400" w:lineRule="exact"/>
              <w:ind w:left="105"/>
              <w:rPr>
                <w:rFonts w:ascii="宋体" w:hAnsi="宋体"/>
                <w:color w:val="auto"/>
                <w:kern w:val="0"/>
                <w:sz w:val="24"/>
                <w:highlight w:val="none"/>
              </w:rPr>
            </w:pPr>
            <w:r>
              <w:rPr>
                <w:rFonts w:hint="eastAsia" w:ascii="宋体" w:hAnsi="宋体"/>
                <w:color w:val="auto"/>
                <w:kern w:val="0"/>
                <w:sz w:val="24"/>
                <w:highlight w:val="none"/>
              </w:rPr>
              <w:t>注释：</w:t>
            </w:r>
            <w:r>
              <w:rPr>
                <w:rFonts w:ascii="宋体" w:hAnsi="宋体"/>
                <w:color w:val="auto"/>
                <w:kern w:val="0"/>
                <w:sz w:val="24"/>
                <w:highlight w:val="none"/>
              </w:rPr>
              <w:t> </w:t>
            </w:r>
            <w:r>
              <w:rPr>
                <w:rFonts w:hint="eastAsia" w:ascii="宋体" w:hAnsi="宋体"/>
                <w:color w:val="auto"/>
                <w:kern w:val="0"/>
                <w:sz w:val="24"/>
                <w:highlight w:val="none"/>
              </w:rPr>
              <w:t>本合同协议书格式条款作为双方签订合同的参考。双方为阐明各方的权利和义务，经协商可增加或减少条款。 但不得与招标文件、投标文件的实质性内容相背离。</w:t>
            </w:r>
          </w:p>
        </w:tc>
      </w:tr>
    </w:tbl>
    <w:p>
      <w:pPr>
        <w:widowControl/>
        <w:spacing w:line="440" w:lineRule="exact"/>
        <w:rPr>
          <w:rFonts w:ascii="宋体" w:hAnsi="宋体"/>
          <w:color w:val="auto"/>
          <w:kern w:val="0"/>
          <w:szCs w:val="21"/>
          <w:highlight w:val="none"/>
        </w:rPr>
      </w:pPr>
    </w:p>
    <w:p>
      <w:pPr>
        <w:widowControl/>
        <w:spacing w:line="440" w:lineRule="exact"/>
        <w:rPr>
          <w:rFonts w:ascii="宋体" w:hAnsi="宋体"/>
          <w:color w:val="auto"/>
          <w:kern w:val="0"/>
          <w:szCs w:val="21"/>
          <w:highlight w:val="none"/>
        </w:rPr>
      </w:pPr>
    </w:p>
    <w:p>
      <w:pPr>
        <w:widowControl/>
        <w:spacing w:line="440" w:lineRule="exact"/>
        <w:rPr>
          <w:rFonts w:ascii="宋体" w:hAnsi="宋体"/>
          <w:color w:val="auto"/>
          <w:kern w:val="0"/>
          <w:szCs w:val="21"/>
          <w:highlight w:val="none"/>
        </w:rPr>
      </w:pPr>
    </w:p>
    <w:p>
      <w:pPr>
        <w:widowControl/>
        <w:spacing w:line="440" w:lineRule="exact"/>
        <w:rPr>
          <w:rFonts w:ascii="宋体" w:hAnsi="宋体"/>
          <w:color w:val="auto"/>
          <w:kern w:val="0"/>
          <w:szCs w:val="21"/>
          <w:highlight w:val="none"/>
        </w:rPr>
      </w:pPr>
    </w:p>
    <w:p>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 xml:space="preserve">甲方(采购人)：                   住所地：                                             </w:t>
      </w:r>
    </w:p>
    <w:p>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乙方（中标人）：                 住所地：</w:t>
      </w:r>
    </w:p>
    <w:p>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合同签订地点：　　　　　签订日期：    年   月   日</w:t>
      </w:r>
    </w:p>
    <w:p>
      <w:pPr>
        <w:widowControl/>
        <w:spacing w:line="440" w:lineRule="exact"/>
        <w:ind w:firstLine="560"/>
        <w:jc w:val="left"/>
        <w:rPr>
          <w:rFonts w:ascii="宋体" w:hAnsi="宋体"/>
          <w:color w:val="auto"/>
          <w:kern w:val="0"/>
          <w:szCs w:val="21"/>
          <w:highlight w:val="none"/>
        </w:rPr>
      </w:pPr>
      <w:r>
        <w:rPr>
          <w:rFonts w:hint="eastAsia" w:ascii="宋体" w:hAnsi="宋体"/>
          <w:color w:val="auto"/>
          <w:kern w:val="0"/>
          <w:szCs w:val="21"/>
          <w:highlight w:val="none"/>
        </w:rPr>
        <w:t xml:space="preserve"> </w:t>
      </w:r>
    </w:p>
    <w:p>
      <w:pPr>
        <w:widowControl/>
        <w:spacing w:line="440" w:lineRule="exact"/>
        <w:ind w:firstLine="560"/>
        <w:jc w:val="left"/>
        <w:rPr>
          <w:rFonts w:ascii="宋体" w:hAnsi="宋体"/>
          <w:color w:val="auto"/>
          <w:kern w:val="0"/>
          <w:szCs w:val="21"/>
          <w:highlight w:val="none"/>
        </w:rPr>
      </w:pPr>
      <w:r>
        <w:rPr>
          <w:rFonts w:hint="eastAsia" w:ascii="宋体" w:hAnsi="宋体"/>
          <w:color w:val="auto"/>
          <w:kern w:val="0"/>
          <w:szCs w:val="21"/>
          <w:highlight w:val="none"/>
        </w:rPr>
        <w:t xml:space="preserve">根据《中华人民共和国政府采购法》、《中华人民共和国民法典》等法律法规的规定，甲乙双方按照开封市政府采购中心的招标结果（项目名称： </w:t>
      </w:r>
      <w:r>
        <w:rPr>
          <w:rFonts w:hint="eastAsia" w:ascii="宋体" w:hAnsi="宋体"/>
          <w:color w:val="auto"/>
          <w:kern w:val="0"/>
          <w:szCs w:val="21"/>
          <w:highlight w:val="none"/>
          <w:u w:val="single"/>
        </w:rPr>
        <w:t>　　　　　         　第　　标段</w:t>
      </w:r>
      <w:r>
        <w:rPr>
          <w:rFonts w:hint="eastAsia" w:ascii="宋体" w:hAnsi="宋体"/>
          <w:color w:val="auto"/>
          <w:kern w:val="0"/>
          <w:szCs w:val="21"/>
          <w:highlight w:val="none"/>
        </w:rPr>
        <w:t>，项目编号：</w:t>
      </w:r>
      <w:r>
        <w:rPr>
          <w:rFonts w:hint="eastAsia" w:ascii="宋体" w:hAnsi="宋体"/>
          <w:color w:val="auto"/>
          <w:kern w:val="0"/>
          <w:szCs w:val="21"/>
          <w:highlight w:val="none"/>
          <w:u w:val="single"/>
        </w:rPr>
        <w:t>　　　</w:t>
      </w:r>
      <w:r>
        <w:rPr>
          <w:rFonts w:hint="eastAsia" w:ascii="宋体" w:hAnsi="宋体"/>
          <w:color w:val="auto"/>
          <w:kern w:val="0"/>
          <w:szCs w:val="21"/>
          <w:highlight w:val="none"/>
        </w:rPr>
        <w:t>）签订本合同。</w:t>
      </w:r>
    </w:p>
    <w:p>
      <w:pPr>
        <w:widowControl/>
        <w:spacing w:line="440" w:lineRule="exact"/>
        <w:ind w:firstLine="422" w:firstLineChars="200"/>
        <w:rPr>
          <w:rFonts w:ascii="宋体" w:hAnsi="宋体"/>
          <w:color w:val="auto"/>
          <w:kern w:val="0"/>
          <w:szCs w:val="21"/>
          <w:highlight w:val="none"/>
        </w:rPr>
      </w:pPr>
      <w:r>
        <w:rPr>
          <w:rFonts w:hint="eastAsia" w:ascii="宋体" w:hAnsi="宋体"/>
          <w:b/>
          <w:bCs/>
          <w:color w:val="auto"/>
          <w:kern w:val="0"/>
          <w:szCs w:val="21"/>
          <w:highlight w:val="none"/>
        </w:rPr>
        <w:t xml:space="preserve">第一条：合同标的   </w:t>
      </w:r>
      <w:r>
        <w:rPr>
          <w:rFonts w:hint="eastAsia" w:ascii="宋体" w:hAnsi="宋体"/>
          <w:color w:val="auto"/>
          <w:kern w:val="0"/>
          <w:szCs w:val="21"/>
          <w:highlight w:val="none"/>
        </w:rPr>
        <w:t>乙方应根据本项目要求按招标内容和中标结果提供下列产品（或服务），包括附带的备品备件及专用工具等：</w:t>
      </w:r>
    </w:p>
    <w:p>
      <w:pPr>
        <w:widowControl/>
        <w:spacing w:line="440" w:lineRule="exact"/>
        <w:ind w:firstLine="560"/>
        <w:jc w:val="left"/>
        <w:rPr>
          <w:rFonts w:ascii="宋体" w:hAnsi="宋体"/>
          <w:color w:val="auto"/>
          <w:kern w:val="0"/>
          <w:szCs w:val="21"/>
          <w:highlight w:val="none"/>
        </w:rPr>
      </w:pPr>
      <w:r>
        <w:rPr>
          <w:rFonts w:hint="eastAsia" w:ascii="宋体" w:hAnsi="宋体"/>
          <w:color w:val="auto"/>
          <w:kern w:val="0"/>
          <w:szCs w:val="21"/>
          <w:highlight w:val="none"/>
        </w:rPr>
        <w:t>（详见招标文件中的“招标内容及商务技术要求”及有关补充文件、中标人投标文件中的“投标内容及报价明细表”等）</w:t>
      </w:r>
    </w:p>
    <w:p>
      <w:pPr>
        <w:widowControl/>
        <w:spacing w:line="440" w:lineRule="exact"/>
        <w:ind w:firstLine="422" w:firstLineChars="200"/>
        <w:jc w:val="left"/>
        <w:rPr>
          <w:rFonts w:ascii="宋体" w:hAnsi="宋体"/>
          <w:b/>
          <w:bCs/>
          <w:color w:val="auto"/>
          <w:kern w:val="0"/>
          <w:szCs w:val="21"/>
          <w:highlight w:val="none"/>
        </w:rPr>
      </w:pPr>
    </w:p>
    <w:p>
      <w:pPr>
        <w:widowControl/>
        <w:spacing w:line="440" w:lineRule="exact"/>
        <w:ind w:firstLine="422" w:firstLineChars="200"/>
        <w:jc w:val="left"/>
        <w:rPr>
          <w:rFonts w:ascii="宋体" w:hAnsi="宋体"/>
          <w:color w:val="auto"/>
          <w:kern w:val="0"/>
          <w:szCs w:val="21"/>
          <w:highlight w:val="none"/>
        </w:rPr>
      </w:pPr>
      <w:r>
        <w:rPr>
          <w:rFonts w:hint="eastAsia" w:ascii="宋体" w:hAnsi="宋体"/>
          <w:b/>
          <w:bCs/>
          <w:color w:val="auto"/>
          <w:kern w:val="0"/>
          <w:szCs w:val="21"/>
          <w:highlight w:val="none"/>
        </w:rPr>
        <w:t xml:space="preserve">第二条：合同总价款    </w:t>
      </w:r>
      <w:r>
        <w:rPr>
          <w:rFonts w:hint="eastAsia" w:ascii="宋体" w:hAnsi="宋体"/>
          <w:color w:val="auto"/>
          <w:kern w:val="0"/>
          <w:szCs w:val="21"/>
          <w:highlight w:val="none"/>
        </w:rPr>
        <w:t>本合同项下项目的总价款为人民币（大写）：</w:t>
      </w:r>
      <w:r>
        <w:rPr>
          <w:rFonts w:hint="eastAsia" w:ascii="宋体" w:hAnsi="宋体"/>
          <w:b/>
          <w:bCs/>
          <w:color w:val="auto"/>
          <w:kern w:val="0"/>
          <w:szCs w:val="21"/>
          <w:highlight w:val="none"/>
          <w:u w:val="single"/>
        </w:rPr>
        <w:t xml:space="preserve">               </w:t>
      </w:r>
      <w:r>
        <w:rPr>
          <w:rFonts w:hint="eastAsia" w:ascii="宋体" w:hAnsi="宋体"/>
          <w:bCs/>
          <w:color w:val="auto"/>
          <w:kern w:val="0"/>
          <w:szCs w:val="21"/>
          <w:highlight w:val="none"/>
        </w:rPr>
        <w:t>（</w:t>
      </w:r>
      <w:r>
        <w:rPr>
          <w:rFonts w:hint="eastAsia" w:ascii="宋体" w:hAnsi="宋体"/>
          <w:color w:val="auto"/>
          <w:kern w:val="0"/>
          <w:szCs w:val="21"/>
          <w:highlight w:val="none"/>
        </w:rPr>
        <w:t>￥：</w:t>
      </w:r>
      <w:r>
        <w:rPr>
          <w:rFonts w:hint="eastAsia" w:ascii="宋体" w:hAnsi="宋体"/>
          <w:color w:val="auto"/>
          <w:kern w:val="0"/>
          <w:szCs w:val="21"/>
          <w:highlight w:val="none"/>
          <w:u w:val="single"/>
        </w:rPr>
        <w:t>　　　　　</w:t>
      </w:r>
      <w:r>
        <w:rPr>
          <w:rFonts w:hint="eastAsia" w:ascii="宋体" w:hAnsi="宋体"/>
          <w:color w:val="auto"/>
          <w:kern w:val="0"/>
          <w:szCs w:val="21"/>
          <w:highlight w:val="none"/>
        </w:rPr>
        <w:t>）。合同总价款中包含：本招标采购对象，及与之相关的</w:t>
      </w:r>
      <w:r>
        <w:rPr>
          <w:rFonts w:hint="eastAsia" w:ascii="宋体" w:hAnsi="宋体"/>
          <w:color w:val="auto"/>
          <w:szCs w:val="21"/>
          <w:highlight w:val="none"/>
        </w:rPr>
        <w:t>设计、制造、包装、运输、装卸、</w:t>
      </w:r>
      <w:r>
        <w:rPr>
          <w:rFonts w:hint="eastAsia" w:ascii="宋体" w:hAnsi="宋体"/>
          <w:color w:val="auto"/>
          <w:kern w:val="0"/>
          <w:szCs w:val="21"/>
          <w:highlight w:val="none"/>
        </w:rPr>
        <w:t>安装、调试、</w:t>
      </w:r>
      <w:r>
        <w:rPr>
          <w:rFonts w:hint="eastAsia" w:ascii="宋体" w:hAnsi="宋体"/>
          <w:color w:val="auto"/>
          <w:szCs w:val="21"/>
          <w:highlight w:val="none"/>
        </w:rPr>
        <w:t>质量检验、各项规费和税费、保险费、意外事故、等</w:t>
      </w:r>
      <w:r>
        <w:rPr>
          <w:rFonts w:hint="eastAsia" w:ascii="宋体" w:hAnsi="宋体"/>
          <w:color w:val="auto"/>
          <w:kern w:val="0"/>
          <w:szCs w:val="21"/>
          <w:highlight w:val="none"/>
        </w:rPr>
        <w:t>验收合格前全部</w:t>
      </w:r>
      <w:r>
        <w:rPr>
          <w:rFonts w:hint="eastAsia" w:ascii="宋体" w:hAnsi="宋体"/>
          <w:color w:val="auto"/>
          <w:szCs w:val="21"/>
          <w:highlight w:val="none"/>
        </w:rPr>
        <w:t>费用</w:t>
      </w:r>
      <w:r>
        <w:rPr>
          <w:rFonts w:hint="eastAsia" w:ascii="宋体" w:hAnsi="宋体"/>
          <w:color w:val="auto"/>
          <w:kern w:val="0"/>
          <w:szCs w:val="21"/>
          <w:highlight w:val="none"/>
        </w:rPr>
        <w:t>，以及备品备件、专用工具、技术培训、技术资料、保修期内的各项保修和系统维护费用、相应的伴随服务和售后服务费用等。</w:t>
      </w:r>
    </w:p>
    <w:p>
      <w:pPr>
        <w:widowControl/>
        <w:spacing w:line="440" w:lineRule="exact"/>
        <w:ind w:firstLine="422" w:firstLineChars="200"/>
        <w:jc w:val="left"/>
        <w:rPr>
          <w:rFonts w:ascii="宋体" w:hAnsi="宋体"/>
          <w:b/>
          <w:bCs/>
          <w:color w:val="auto"/>
          <w:kern w:val="0"/>
          <w:szCs w:val="21"/>
          <w:highlight w:val="none"/>
        </w:rPr>
      </w:pPr>
      <w:r>
        <w:rPr>
          <w:rFonts w:hint="eastAsia" w:ascii="宋体" w:hAnsi="宋体"/>
          <w:b/>
          <w:bCs/>
          <w:color w:val="auto"/>
          <w:kern w:val="0"/>
          <w:szCs w:val="21"/>
          <w:highlight w:val="none"/>
        </w:rPr>
        <w:t>第三条：合同文件的组成　　</w:t>
      </w:r>
    </w:p>
    <w:p>
      <w:pPr>
        <w:widowControl/>
        <w:spacing w:line="440" w:lineRule="exact"/>
        <w:ind w:firstLine="420" w:firstLineChars="200"/>
        <w:jc w:val="left"/>
        <w:rPr>
          <w:rFonts w:ascii="宋体" w:hAnsi="宋体"/>
          <w:bCs/>
          <w:color w:val="auto"/>
          <w:kern w:val="0"/>
          <w:szCs w:val="21"/>
          <w:highlight w:val="none"/>
        </w:rPr>
      </w:pPr>
      <w:r>
        <w:rPr>
          <w:rFonts w:hint="eastAsia" w:ascii="宋体" w:hAnsi="宋体"/>
          <w:bCs/>
          <w:color w:val="auto"/>
          <w:kern w:val="0"/>
          <w:szCs w:val="21"/>
          <w:highlight w:val="none"/>
        </w:rPr>
        <w:t>下列文件共同构成合同文件，作为项目履约和验收的依据：</w:t>
      </w:r>
    </w:p>
    <w:p>
      <w:pPr>
        <w:widowControl/>
        <w:numPr>
          <w:ilvl w:val="0"/>
          <w:numId w:val="7"/>
        </w:numPr>
        <w:spacing w:line="440" w:lineRule="exact"/>
        <w:jc w:val="left"/>
        <w:rPr>
          <w:rFonts w:ascii="宋体" w:hAnsi="宋体"/>
          <w:bCs/>
          <w:color w:val="auto"/>
          <w:kern w:val="0"/>
          <w:szCs w:val="21"/>
          <w:highlight w:val="none"/>
        </w:rPr>
      </w:pPr>
      <w:r>
        <w:rPr>
          <w:rFonts w:hint="eastAsia" w:ascii="宋体" w:hAnsi="宋体"/>
          <w:bCs/>
          <w:color w:val="auto"/>
          <w:kern w:val="0"/>
          <w:szCs w:val="21"/>
          <w:highlight w:val="none"/>
        </w:rPr>
        <w:t>本合同协议书；</w:t>
      </w:r>
    </w:p>
    <w:p>
      <w:pPr>
        <w:widowControl/>
        <w:numPr>
          <w:ilvl w:val="0"/>
          <w:numId w:val="7"/>
        </w:numPr>
        <w:spacing w:line="440" w:lineRule="exact"/>
        <w:jc w:val="left"/>
        <w:rPr>
          <w:rFonts w:ascii="宋体" w:hAnsi="宋体"/>
          <w:color w:val="auto"/>
          <w:kern w:val="0"/>
          <w:szCs w:val="21"/>
          <w:highlight w:val="none"/>
        </w:rPr>
      </w:pPr>
      <w:r>
        <w:rPr>
          <w:rFonts w:hint="eastAsia" w:ascii="宋体" w:hAnsi="宋体"/>
          <w:bCs/>
          <w:color w:val="auto"/>
          <w:kern w:val="0"/>
          <w:szCs w:val="21"/>
          <w:highlight w:val="none"/>
        </w:rPr>
        <w:t>中标通知书；</w:t>
      </w:r>
    </w:p>
    <w:p>
      <w:pPr>
        <w:widowControl/>
        <w:numPr>
          <w:ilvl w:val="0"/>
          <w:numId w:val="7"/>
        </w:numPr>
        <w:spacing w:line="440" w:lineRule="exact"/>
        <w:jc w:val="left"/>
        <w:rPr>
          <w:rFonts w:ascii="宋体" w:hAnsi="宋体"/>
          <w:color w:val="auto"/>
          <w:kern w:val="0"/>
          <w:szCs w:val="21"/>
          <w:highlight w:val="none"/>
        </w:rPr>
      </w:pPr>
      <w:r>
        <w:rPr>
          <w:rFonts w:hint="eastAsia" w:ascii="宋体" w:hAnsi="宋体"/>
          <w:bCs/>
          <w:color w:val="auto"/>
          <w:kern w:val="0"/>
          <w:szCs w:val="21"/>
          <w:highlight w:val="none"/>
        </w:rPr>
        <w:t>投标函；</w:t>
      </w:r>
    </w:p>
    <w:p>
      <w:pPr>
        <w:widowControl/>
        <w:numPr>
          <w:ilvl w:val="0"/>
          <w:numId w:val="7"/>
        </w:numPr>
        <w:spacing w:line="440" w:lineRule="exact"/>
        <w:jc w:val="left"/>
        <w:rPr>
          <w:rFonts w:ascii="宋体" w:hAnsi="宋体"/>
          <w:color w:val="auto"/>
          <w:kern w:val="0"/>
          <w:szCs w:val="21"/>
          <w:highlight w:val="none"/>
        </w:rPr>
      </w:pPr>
      <w:r>
        <w:rPr>
          <w:rFonts w:hint="eastAsia" w:ascii="宋体" w:hAnsi="宋体"/>
          <w:color w:val="auto"/>
          <w:kern w:val="0"/>
          <w:szCs w:val="21"/>
          <w:highlight w:val="none"/>
        </w:rPr>
        <w:t>招标文件；</w:t>
      </w:r>
    </w:p>
    <w:p>
      <w:pPr>
        <w:widowControl/>
        <w:numPr>
          <w:ilvl w:val="0"/>
          <w:numId w:val="7"/>
        </w:numPr>
        <w:spacing w:line="440" w:lineRule="exact"/>
        <w:jc w:val="left"/>
        <w:rPr>
          <w:rFonts w:ascii="宋体" w:hAnsi="宋体"/>
          <w:color w:val="auto"/>
          <w:kern w:val="0"/>
          <w:szCs w:val="21"/>
          <w:highlight w:val="none"/>
        </w:rPr>
      </w:pPr>
      <w:r>
        <w:rPr>
          <w:rFonts w:hint="eastAsia" w:ascii="宋体" w:hAnsi="宋体"/>
          <w:color w:val="auto"/>
          <w:kern w:val="0"/>
          <w:szCs w:val="21"/>
          <w:highlight w:val="none"/>
        </w:rPr>
        <w:t>中标人的投标文件；</w:t>
      </w:r>
    </w:p>
    <w:p>
      <w:pPr>
        <w:widowControl/>
        <w:numPr>
          <w:ilvl w:val="0"/>
          <w:numId w:val="7"/>
        </w:numPr>
        <w:spacing w:line="440" w:lineRule="exact"/>
        <w:jc w:val="left"/>
        <w:rPr>
          <w:rFonts w:ascii="宋体" w:hAnsi="宋体"/>
          <w:color w:val="auto"/>
          <w:kern w:val="0"/>
          <w:szCs w:val="21"/>
          <w:highlight w:val="none"/>
        </w:rPr>
      </w:pPr>
      <w:r>
        <w:rPr>
          <w:rFonts w:hint="eastAsia" w:ascii="宋体" w:hAnsi="宋体"/>
          <w:color w:val="auto"/>
          <w:kern w:val="0"/>
          <w:szCs w:val="21"/>
          <w:highlight w:val="none"/>
        </w:rPr>
        <w:t>经双方协商同意和有关监督部门批准的其他内容。</w:t>
      </w:r>
    </w:p>
    <w:p>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上述文件互相补充和解释，如有不明确或不一致之处，以排序作为解释的优先顺序。</w:t>
      </w:r>
    </w:p>
    <w:p>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签订合同时，不得改变中标的金额、付款方式、合同履行期限、采购内容范围和质量技术标准等实质性内容。</w:t>
      </w:r>
    </w:p>
    <w:p>
      <w:pPr>
        <w:widowControl/>
        <w:spacing w:line="440" w:lineRule="exact"/>
        <w:ind w:firstLine="422" w:firstLineChars="200"/>
        <w:jc w:val="left"/>
        <w:rPr>
          <w:rFonts w:ascii="宋体" w:hAnsi="宋体"/>
          <w:b/>
          <w:bCs/>
          <w:color w:val="auto"/>
          <w:kern w:val="0"/>
          <w:szCs w:val="21"/>
          <w:highlight w:val="none"/>
        </w:rPr>
      </w:pPr>
      <w:r>
        <w:rPr>
          <w:rFonts w:hint="eastAsia" w:ascii="宋体" w:hAnsi="宋体"/>
          <w:b/>
          <w:bCs/>
          <w:color w:val="auto"/>
          <w:kern w:val="0"/>
          <w:szCs w:val="21"/>
          <w:highlight w:val="none"/>
        </w:rPr>
        <w:t>第四条  权利保证　　</w:t>
      </w:r>
      <w:r>
        <w:rPr>
          <w:rFonts w:hint="eastAsia" w:ascii="宋体" w:hAnsi="宋体"/>
          <w:color w:val="auto"/>
          <w:kern w:val="0"/>
          <w:szCs w:val="21"/>
          <w:highlight w:val="none"/>
        </w:rPr>
        <w:t>乙方应保证甲方在使用该产品或其任何一部分时不受第三方提出侵犯其专利权、版权、商标权或其他权利的起诉。一旦出现侵权，乙方应承担全部责任。</w:t>
      </w:r>
    </w:p>
    <w:p>
      <w:pPr>
        <w:widowControl/>
        <w:spacing w:line="440" w:lineRule="exact"/>
        <w:ind w:firstLine="422" w:firstLineChars="200"/>
        <w:jc w:val="left"/>
        <w:rPr>
          <w:rFonts w:ascii="宋体" w:hAnsi="宋体"/>
          <w:b/>
          <w:bCs/>
          <w:color w:val="auto"/>
          <w:kern w:val="0"/>
          <w:szCs w:val="21"/>
          <w:highlight w:val="none"/>
        </w:rPr>
      </w:pPr>
      <w:r>
        <w:rPr>
          <w:rFonts w:hint="eastAsia" w:ascii="宋体" w:hAnsi="宋体"/>
          <w:b/>
          <w:bCs/>
          <w:color w:val="auto"/>
          <w:kern w:val="0"/>
          <w:szCs w:val="21"/>
          <w:highlight w:val="none"/>
        </w:rPr>
        <w:t>第五条  质量保证</w:t>
      </w:r>
    </w:p>
    <w:p>
      <w:pPr>
        <w:widowControl/>
        <w:spacing w:line="440" w:lineRule="exact"/>
        <w:ind w:firstLine="420" w:firstLineChars="200"/>
        <w:jc w:val="left"/>
        <w:rPr>
          <w:rFonts w:ascii="宋体" w:hAnsi="宋体"/>
          <w:b/>
          <w:bCs/>
          <w:color w:val="auto"/>
          <w:kern w:val="0"/>
          <w:szCs w:val="21"/>
          <w:highlight w:val="none"/>
        </w:rPr>
      </w:pPr>
      <w:r>
        <w:rPr>
          <w:rFonts w:hint="eastAsia" w:ascii="宋体" w:hAnsi="宋体"/>
          <w:color w:val="auto"/>
          <w:kern w:val="0"/>
          <w:szCs w:val="21"/>
          <w:highlight w:val="none"/>
        </w:rPr>
        <w:t>1、乙方所提供的产品的技术标准应与招标文件规定的技术规格标准相一致；若技术性能标准无特殊说明，则按国家有关部门最新颁布的标准及规范为准。</w:t>
      </w:r>
    </w:p>
    <w:p>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2、乙方应保证提供的产品是全新、未使用过的原装合格正品，并完全符合本项目规定的质量、规格和性能的要求，符合投标文件中的技术标准和服务承诺，招标文件与投标文件中的技术标准不一致时，以标准高者为准。乙方应保证其提供的项目在正确安装、正常使用和保养条件下，在其使用寿命期限内具有良好的性能。质量验收后，在质量保证期内，乙方应对由于设计、工艺或材料的缺陷所发生的任何不足或故障负责，所需费用由乙方承担。</w:t>
      </w:r>
    </w:p>
    <w:p>
      <w:pPr>
        <w:widowControl/>
        <w:spacing w:line="440" w:lineRule="exact"/>
        <w:ind w:firstLine="422" w:firstLineChars="200"/>
        <w:jc w:val="left"/>
        <w:rPr>
          <w:rFonts w:ascii="宋体" w:hAnsi="宋体"/>
          <w:b/>
          <w:bCs/>
          <w:color w:val="auto"/>
          <w:kern w:val="0"/>
          <w:szCs w:val="21"/>
          <w:highlight w:val="none"/>
        </w:rPr>
      </w:pPr>
      <w:r>
        <w:rPr>
          <w:rFonts w:hint="eastAsia" w:ascii="宋体" w:hAnsi="宋体"/>
          <w:b/>
          <w:bCs/>
          <w:color w:val="auto"/>
          <w:kern w:val="0"/>
          <w:szCs w:val="21"/>
          <w:highlight w:val="none"/>
        </w:rPr>
        <w:t>第六条  包装要求</w:t>
      </w:r>
    </w:p>
    <w:p>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1、除合同另有规定外，乙方提供的全部产品均应按标准保护措施进行包装。该包装应适应于远距离运输、防潮、防震、防锈和防野蛮装卸，以确保产品安全无损运抵指定地点。由于包装不善所引起的损失均由乙方承担。</w:t>
      </w:r>
    </w:p>
    <w:p>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2、每一包装单元内应附详细的装箱单和质量合格凭证。</w:t>
      </w:r>
    </w:p>
    <w:p>
      <w:pPr>
        <w:widowControl/>
        <w:spacing w:line="440" w:lineRule="exact"/>
        <w:ind w:firstLine="422" w:firstLineChars="200"/>
        <w:jc w:val="left"/>
        <w:rPr>
          <w:rFonts w:ascii="宋体" w:hAnsi="宋体"/>
          <w:b/>
          <w:bCs/>
          <w:color w:val="auto"/>
          <w:kern w:val="0"/>
          <w:szCs w:val="21"/>
          <w:highlight w:val="none"/>
        </w:rPr>
      </w:pPr>
      <w:r>
        <w:rPr>
          <w:rFonts w:hint="eastAsia" w:ascii="宋体" w:hAnsi="宋体"/>
          <w:b/>
          <w:bCs/>
          <w:color w:val="auto"/>
          <w:kern w:val="0"/>
          <w:szCs w:val="21"/>
          <w:highlight w:val="none"/>
        </w:rPr>
        <w:t>第七条  交付和验收</w:t>
      </w:r>
    </w:p>
    <w:p>
      <w:pPr>
        <w:widowControl/>
        <w:spacing w:line="440" w:lineRule="exact"/>
        <w:ind w:firstLine="420" w:firstLineChars="200"/>
        <w:rPr>
          <w:rFonts w:ascii="宋体" w:hAnsi="宋体"/>
          <w:color w:val="auto"/>
          <w:kern w:val="0"/>
          <w:szCs w:val="21"/>
          <w:highlight w:val="none"/>
        </w:rPr>
      </w:pPr>
      <w:r>
        <w:rPr>
          <w:rFonts w:hint="eastAsia" w:ascii="宋体" w:hAnsi="宋体"/>
          <w:color w:val="auto"/>
          <w:kern w:val="0"/>
          <w:szCs w:val="21"/>
          <w:highlight w:val="none"/>
        </w:rPr>
        <w:t>1、交货（服务）地点：</w:t>
      </w:r>
      <w:r>
        <w:rPr>
          <w:rFonts w:hint="eastAsia" w:ascii="宋体" w:hAnsi="宋体"/>
          <w:color w:val="auto"/>
          <w:kern w:val="0"/>
          <w:szCs w:val="21"/>
          <w:highlight w:val="none"/>
          <w:u w:val="single"/>
        </w:rPr>
        <w:t xml:space="preserve">                     </w:t>
      </w:r>
    </w:p>
    <w:p>
      <w:pPr>
        <w:widowControl/>
        <w:spacing w:line="440" w:lineRule="exact"/>
        <w:ind w:firstLine="420" w:firstLineChars="200"/>
        <w:rPr>
          <w:rFonts w:ascii="宋体" w:hAnsi="宋体"/>
          <w:color w:val="auto"/>
          <w:kern w:val="0"/>
          <w:szCs w:val="21"/>
          <w:highlight w:val="none"/>
          <w:u w:val="single"/>
        </w:rPr>
      </w:pPr>
      <w:r>
        <w:rPr>
          <w:rFonts w:hint="eastAsia" w:ascii="宋体" w:hAnsi="宋体"/>
          <w:color w:val="auto"/>
          <w:kern w:val="0"/>
          <w:szCs w:val="21"/>
          <w:highlight w:val="none"/>
        </w:rPr>
        <w:t>2、交货（服务）期限：</w:t>
      </w:r>
      <w:r>
        <w:rPr>
          <w:rFonts w:hint="eastAsia" w:ascii="宋体" w:hAnsi="宋体"/>
          <w:color w:val="auto"/>
          <w:kern w:val="0"/>
          <w:szCs w:val="21"/>
          <w:highlight w:val="none"/>
          <w:u w:val="single"/>
        </w:rPr>
        <w:t>　　</w:t>
      </w:r>
      <w:r>
        <w:rPr>
          <w:rFonts w:hint="eastAsia" w:ascii="宋体" w:hAnsi="宋体"/>
          <w:color w:val="auto"/>
          <w:kern w:val="0"/>
          <w:szCs w:val="21"/>
          <w:highlight w:val="none"/>
        </w:rPr>
        <w:t>天，从</w:t>
      </w:r>
      <w:r>
        <w:rPr>
          <w:rFonts w:hint="eastAsia" w:ascii="宋体" w:hAnsi="宋体"/>
          <w:color w:val="auto"/>
          <w:kern w:val="0"/>
          <w:szCs w:val="21"/>
          <w:highlight w:val="none"/>
          <w:u w:val="single"/>
        </w:rPr>
        <w:t>　　　　　</w:t>
      </w:r>
      <w:r>
        <w:rPr>
          <w:rFonts w:hint="eastAsia" w:ascii="宋体" w:hAnsi="宋体"/>
          <w:color w:val="auto"/>
          <w:kern w:val="0"/>
          <w:szCs w:val="21"/>
          <w:highlight w:val="none"/>
        </w:rPr>
        <w:t>计算。</w:t>
      </w:r>
    </w:p>
    <w:p>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3、乙方交付的产品应当完全符合本合同、招标文件及投标文件所规定的数量和技术规格要求，不符合要求的，甲方有权拒收，由此引起的风险，由乙方承担。</w:t>
      </w:r>
    </w:p>
    <w:p>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4、质量验收包括：规格、型号、功能、性能、数量、质量、以及包装是否完好等。</w:t>
      </w:r>
    </w:p>
    <w:p>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5、乙方应将所提供产品的装箱清单、用户手册、原厂保修卡、随机资料及配件、随机工具等交付给甲方；乙方不能完整交付产品及本款规定的单证和工具的，视为未按合同约定交货，乙方负责补齐，因此导致逾期交付的，由乙方承担相关的违约责任。</w:t>
      </w:r>
    </w:p>
    <w:p>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6、甲方应当在收到产品后的</w:t>
      </w:r>
      <w:r>
        <w:rPr>
          <w:rFonts w:hint="eastAsia" w:ascii="宋体" w:hAnsi="宋体"/>
          <w:color w:val="auto"/>
          <w:kern w:val="0"/>
          <w:szCs w:val="21"/>
          <w:highlight w:val="none"/>
          <w:u w:val="single"/>
        </w:rPr>
        <w:t>　　　　</w:t>
      </w:r>
      <w:r>
        <w:rPr>
          <w:rFonts w:hint="eastAsia" w:ascii="宋体" w:hAnsi="宋体"/>
          <w:color w:val="auto"/>
          <w:kern w:val="0"/>
          <w:szCs w:val="21"/>
          <w:highlight w:val="none"/>
        </w:rPr>
        <w:t>日内对产品进行验收；需要乙方对产品或系统进行安装调试的，甲方应在安装调试完毕后的</w:t>
      </w:r>
      <w:r>
        <w:rPr>
          <w:rFonts w:hint="eastAsia" w:ascii="宋体" w:hAnsi="宋体"/>
          <w:color w:val="auto"/>
          <w:kern w:val="0"/>
          <w:szCs w:val="21"/>
          <w:highlight w:val="none"/>
          <w:u w:val="single"/>
        </w:rPr>
        <w:t>　　　　</w:t>
      </w:r>
      <w:r>
        <w:rPr>
          <w:rFonts w:hint="eastAsia" w:ascii="宋体" w:hAnsi="宋体"/>
          <w:color w:val="auto"/>
          <w:kern w:val="0"/>
          <w:szCs w:val="21"/>
          <w:highlight w:val="none"/>
        </w:rPr>
        <w:t>日内进行质量验收。验收合格的，由甲方签署验收单并加盖单位公章。招标文件对检验期限另有规定的，从其规定。</w:t>
      </w:r>
    </w:p>
    <w:p>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7、产品和系统调试验收的标准：按国家标准、行业通行标准、出厂标准和乙方投标文件的承诺（详细标准可在合同附件载明，有国家标准时不得低于国家标准）。</w:t>
      </w:r>
    </w:p>
    <w:p>
      <w:pPr>
        <w:widowControl/>
        <w:spacing w:line="440" w:lineRule="exact"/>
        <w:ind w:firstLine="422" w:firstLineChars="200"/>
        <w:jc w:val="left"/>
        <w:rPr>
          <w:rFonts w:ascii="宋体" w:hAnsi="宋体"/>
          <w:b/>
          <w:bCs/>
          <w:color w:val="auto"/>
          <w:kern w:val="0"/>
          <w:szCs w:val="21"/>
          <w:highlight w:val="none"/>
        </w:rPr>
      </w:pPr>
      <w:r>
        <w:rPr>
          <w:rFonts w:hint="eastAsia" w:ascii="宋体" w:hAnsi="宋体"/>
          <w:b/>
          <w:bCs/>
          <w:color w:val="auto"/>
          <w:kern w:val="0"/>
          <w:szCs w:val="21"/>
          <w:highlight w:val="none"/>
        </w:rPr>
        <w:t>第八条  伴随服务及售后服务</w:t>
      </w:r>
    </w:p>
    <w:p>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1、乙方应按照国家有关法律法规规定和“三包”规定以及乙方对本项目的“服务承诺”提供服务。</w:t>
      </w:r>
    </w:p>
    <w:p>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2、除前款规定外，乙方还应提供下列服务：</w:t>
      </w:r>
    </w:p>
    <w:p>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（1）产品的现场安装、调试及启动监督；</w:t>
      </w:r>
    </w:p>
    <w:p>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（2）就产品的安装、启动、运行及维护等对甲方人员进行免费培训。</w:t>
      </w:r>
    </w:p>
    <w:p>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3、若招标文件中不包含有关伴随服务或售后服务的承诺，双方作如下约定：</w:t>
      </w:r>
    </w:p>
    <w:p>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3.1、 乙方应为甲方提供免费培训服务，并指派专人负责与甲方联系售后服务事宜。主要培训内容为产品的基本功能、性能、主要部分的结构及处理，日常使用操作、保养与管理、常见故障的排除、紧急情况的处理等，如甲方未使用过同类型产品，乙方还需对甲方人员进行相应的技术培训，培训地点主要在产品安装现场或由甲方安排。</w:t>
      </w:r>
    </w:p>
    <w:p>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3.2、 产品中若包含计算机、服务器产品则由乙方提供至少</w:t>
      </w:r>
      <w:r>
        <w:rPr>
          <w:rFonts w:hint="eastAsia" w:ascii="宋体" w:hAnsi="宋体"/>
          <w:color w:val="auto"/>
          <w:kern w:val="0"/>
          <w:szCs w:val="21"/>
          <w:highlight w:val="none"/>
          <w:u w:val="single"/>
        </w:rPr>
        <w:t xml:space="preserve">   </w:t>
      </w:r>
      <w:r>
        <w:rPr>
          <w:rFonts w:hint="eastAsia" w:ascii="宋体" w:hAnsi="宋体"/>
          <w:color w:val="auto"/>
          <w:kern w:val="0"/>
          <w:szCs w:val="21"/>
          <w:highlight w:val="none"/>
        </w:rPr>
        <w:t xml:space="preserve">年的整机保修和系统维护；若为其他产品则按生产厂家的保修标准执行，但不得少于 </w:t>
      </w:r>
      <w:r>
        <w:rPr>
          <w:rFonts w:hint="eastAsia" w:ascii="宋体" w:hAnsi="宋体"/>
          <w:color w:val="auto"/>
          <w:kern w:val="0"/>
          <w:szCs w:val="21"/>
          <w:highlight w:val="none"/>
          <w:u w:val="single"/>
        </w:rPr>
        <w:t>1</w:t>
      </w:r>
      <w:r>
        <w:rPr>
          <w:rFonts w:hint="eastAsia" w:ascii="宋体" w:hAnsi="宋体"/>
          <w:color w:val="auto"/>
          <w:kern w:val="0"/>
          <w:szCs w:val="21"/>
          <w:highlight w:val="none"/>
        </w:rPr>
        <w:t>年（</w:t>
      </w:r>
      <w:r>
        <w:rPr>
          <w:rFonts w:hint="eastAsia" w:ascii="宋体" w:hAnsi="宋体" w:cs="宋体"/>
          <w:color w:val="auto"/>
          <w:kern w:val="0"/>
          <w:szCs w:val="21"/>
          <w:highlight w:val="none"/>
        </w:rPr>
        <w:t>（请分别列出：</w:t>
      </w:r>
      <w:r>
        <w:rPr>
          <w:rFonts w:hint="eastAsia" w:ascii="宋体" w:hAnsi="宋体" w:cs="宋体"/>
          <w:color w:val="auto"/>
          <w:kern w:val="0"/>
          <w:szCs w:val="21"/>
          <w:highlight w:val="none"/>
          <w:u w:val="single"/>
        </w:rPr>
        <w:t xml:space="preserve">       </w:t>
      </w:r>
      <w:r>
        <w:rPr>
          <w:rFonts w:hint="eastAsia" w:ascii="宋体" w:hAnsi="宋体"/>
          <w:color w:val="auto"/>
          <w:kern w:val="0"/>
          <w:szCs w:val="21"/>
          <w:highlight w:val="none"/>
        </w:rPr>
        <w:t>）；保修期自甲方在产品质量验收单上签字之日起计算，保修费用包含在合同总价中。</w:t>
      </w:r>
    </w:p>
    <w:p>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3.3、 免费保修期：</w:t>
      </w:r>
      <w:r>
        <w:rPr>
          <w:rFonts w:hint="eastAsia" w:ascii="宋体" w:hAnsi="宋体"/>
          <w:color w:val="auto"/>
          <w:kern w:val="0"/>
          <w:szCs w:val="21"/>
          <w:highlight w:val="none"/>
          <w:u w:val="single"/>
        </w:rPr>
        <w:t>　　　　　　　　　</w:t>
      </w:r>
      <w:r>
        <w:rPr>
          <w:rFonts w:hint="eastAsia" w:ascii="宋体" w:hAnsi="宋体"/>
          <w:color w:val="auto"/>
          <w:kern w:val="0"/>
          <w:szCs w:val="21"/>
          <w:highlight w:val="none"/>
        </w:rPr>
        <w:t>，保修期内，乙方负责对其提供的产品整体进行维修和系统维护，不再收取任何费用。</w:t>
      </w:r>
    </w:p>
    <w:p>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3.4、 产品故障报修的响应时间为：</w:t>
      </w:r>
      <w:r>
        <w:rPr>
          <w:rFonts w:hint="eastAsia" w:ascii="宋体" w:hAnsi="宋体"/>
          <w:color w:val="auto"/>
          <w:kern w:val="0"/>
          <w:szCs w:val="21"/>
          <w:highlight w:val="none"/>
          <w:u w:val="single"/>
        </w:rPr>
        <w:t>　　　　　</w:t>
      </w:r>
      <w:r>
        <w:rPr>
          <w:rFonts w:hint="eastAsia" w:ascii="宋体" w:hAnsi="宋体"/>
          <w:color w:val="auto"/>
          <w:kern w:val="0"/>
          <w:szCs w:val="21"/>
          <w:highlight w:val="none"/>
        </w:rPr>
        <w:t>小时。</w:t>
      </w:r>
    </w:p>
    <w:p>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3.5、若产品故障在检修</w:t>
      </w:r>
      <w:r>
        <w:rPr>
          <w:rFonts w:hint="eastAsia" w:ascii="宋体" w:hAnsi="宋体"/>
          <w:color w:val="auto"/>
          <w:kern w:val="0"/>
          <w:szCs w:val="21"/>
          <w:highlight w:val="none"/>
          <w:u w:val="single"/>
        </w:rPr>
        <w:t xml:space="preserve">  </w:t>
      </w:r>
      <w:r>
        <w:rPr>
          <w:rFonts w:hint="eastAsia" w:ascii="宋体" w:hAnsi="宋体"/>
          <w:color w:val="auto"/>
          <w:kern w:val="0"/>
          <w:szCs w:val="21"/>
          <w:highlight w:val="none"/>
        </w:rPr>
        <w:t>小时后仍无法排除，乙方应在48小时内免费提供不低于故障产品规格标准和档次的备用产品供甲方使用，直至故障产品修复。</w:t>
      </w:r>
    </w:p>
    <w:p>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3.6、 所有产品保修服务方式均为乙方上门保修，即由乙方派人到产品使用现场维修、维护，由此产生的一切费用均由乙方承担。</w:t>
      </w:r>
    </w:p>
    <w:p>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3.7、 保修期以后的维修维护由双方协商再定。</w:t>
      </w:r>
    </w:p>
    <w:p>
      <w:pPr>
        <w:widowControl/>
        <w:spacing w:line="440" w:lineRule="exact"/>
        <w:ind w:firstLine="422" w:firstLineChars="200"/>
        <w:jc w:val="left"/>
        <w:rPr>
          <w:rFonts w:ascii="宋体" w:hAnsi="宋体"/>
          <w:b/>
          <w:bCs/>
          <w:color w:val="auto"/>
          <w:kern w:val="0"/>
          <w:szCs w:val="21"/>
          <w:highlight w:val="none"/>
        </w:rPr>
      </w:pPr>
      <w:r>
        <w:rPr>
          <w:rFonts w:hint="eastAsia" w:ascii="宋体" w:hAnsi="宋体"/>
          <w:b/>
          <w:bCs/>
          <w:color w:val="auto"/>
          <w:kern w:val="0"/>
          <w:szCs w:val="21"/>
          <w:highlight w:val="none"/>
        </w:rPr>
        <w:t>第九条   履约保证金</w:t>
      </w:r>
    </w:p>
    <w:p>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本合同签订生效以前乙方应按招标文件规定的金额向甲方或甲方指定的机构提交履约保证金。如乙方未能履行合同规定的义务，甲方有权扣除其履约保证金。</w:t>
      </w:r>
    </w:p>
    <w:p>
      <w:pPr>
        <w:widowControl/>
        <w:spacing w:line="440" w:lineRule="exact"/>
        <w:ind w:firstLine="422" w:firstLineChars="200"/>
        <w:jc w:val="left"/>
        <w:rPr>
          <w:rFonts w:ascii="宋体" w:hAnsi="宋体"/>
          <w:b/>
          <w:bCs/>
          <w:color w:val="auto"/>
          <w:kern w:val="0"/>
          <w:szCs w:val="21"/>
          <w:highlight w:val="none"/>
        </w:rPr>
      </w:pPr>
      <w:r>
        <w:rPr>
          <w:rFonts w:hint="eastAsia" w:ascii="宋体" w:hAnsi="宋体"/>
          <w:b/>
          <w:bCs/>
          <w:color w:val="auto"/>
          <w:kern w:val="0"/>
          <w:szCs w:val="21"/>
          <w:highlight w:val="none"/>
        </w:rPr>
        <w:t>第十条   货款支付</w:t>
      </w:r>
    </w:p>
    <w:p>
      <w:pPr>
        <w:widowControl/>
        <w:spacing w:line="440" w:lineRule="exact"/>
        <w:ind w:firstLine="420" w:firstLineChars="200"/>
        <w:jc w:val="left"/>
        <w:rPr>
          <w:rFonts w:ascii="宋体" w:hAnsi="宋体"/>
          <w:color w:val="auto"/>
          <w:kern w:val="0"/>
          <w:szCs w:val="21"/>
          <w:highlight w:val="none"/>
          <w:u w:val="single"/>
        </w:rPr>
      </w:pPr>
      <w:r>
        <w:rPr>
          <w:rFonts w:hint="eastAsia" w:ascii="宋体" w:hAnsi="宋体"/>
          <w:color w:val="auto"/>
          <w:kern w:val="0"/>
          <w:szCs w:val="21"/>
          <w:highlight w:val="none"/>
        </w:rPr>
        <w:t>1、付款方式（按招标文件的规定）：</w:t>
      </w:r>
      <w:r>
        <w:rPr>
          <w:rFonts w:hint="eastAsia" w:ascii="宋体" w:hAnsi="宋体"/>
          <w:color w:val="auto"/>
          <w:kern w:val="0"/>
          <w:szCs w:val="21"/>
          <w:highlight w:val="none"/>
          <w:u w:val="single"/>
        </w:rPr>
        <w:t>　　　　　　　　　　　　　　　　</w:t>
      </w:r>
    </w:p>
    <w:p>
      <w:pPr>
        <w:widowControl/>
        <w:spacing w:line="440" w:lineRule="exact"/>
        <w:jc w:val="left"/>
        <w:rPr>
          <w:rFonts w:ascii="宋体" w:hAnsi="宋体"/>
          <w:color w:val="auto"/>
          <w:kern w:val="0"/>
          <w:szCs w:val="21"/>
          <w:highlight w:val="none"/>
        </w:rPr>
      </w:pPr>
      <w:r>
        <w:rPr>
          <w:rFonts w:hint="eastAsia" w:ascii="宋体" w:hAnsi="宋体"/>
          <w:color w:val="auto"/>
          <w:kern w:val="0"/>
          <w:szCs w:val="21"/>
          <w:highlight w:val="none"/>
          <w:u w:val="single"/>
        </w:rPr>
        <w:t>　　　　　　　　　　　　　　　　　　　　　　　　　　　　　　　　　</w:t>
      </w:r>
      <w:r>
        <w:rPr>
          <w:rFonts w:hint="eastAsia" w:ascii="宋体" w:hAnsi="宋体"/>
          <w:color w:val="auto"/>
          <w:kern w:val="0"/>
          <w:szCs w:val="21"/>
          <w:highlight w:val="none"/>
        </w:rPr>
        <w:t>。本合同项下所有款项均以人民币支付。</w:t>
      </w:r>
    </w:p>
    <w:p>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2、乙方向甲方开具正规发票，甲方在签署验收单后按付款方式约定付款。</w:t>
      </w:r>
    </w:p>
    <w:p>
      <w:pPr>
        <w:widowControl/>
        <w:spacing w:line="440" w:lineRule="exact"/>
        <w:ind w:firstLine="422" w:firstLineChars="200"/>
        <w:jc w:val="left"/>
        <w:rPr>
          <w:rFonts w:ascii="宋体" w:hAnsi="宋体"/>
          <w:b/>
          <w:bCs/>
          <w:color w:val="auto"/>
          <w:kern w:val="0"/>
          <w:szCs w:val="21"/>
          <w:highlight w:val="none"/>
        </w:rPr>
      </w:pPr>
      <w:r>
        <w:rPr>
          <w:rFonts w:hint="eastAsia" w:ascii="宋体" w:hAnsi="宋体"/>
          <w:b/>
          <w:bCs/>
          <w:color w:val="auto"/>
          <w:kern w:val="0"/>
          <w:szCs w:val="21"/>
          <w:highlight w:val="none"/>
        </w:rPr>
        <w:t>第十一条 违约责任</w:t>
      </w:r>
    </w:p>
    <w:p>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1、甲方无正当理由拒绝接收产品、拒付项目款的，由甲方向乙方偿付合同总价的</w:t>
      </w:r>
      <w:r>
        <w:rPr>
          <w:rFonts w:hint="eastAsia" w:ascii="宋体" w:hAnsi="宋体"/>
          <w:color w:val="auto"/>
          <w:kern w:val="0"/>
          <w:szCs w:val="21"/>
          <w:highlight w:val="none"/>
          <w:u w:val="single"/>
        </w:rPr>
        <w:t>　5%　</w:t>
      </w:r>
      <w:r>
        <w:rPr>
          <w:rFonts w:hint="eastAsia" w:ascii="宋体" w:hAnsi="宋体"/>
          <w:color w:val="auto"/>
          <w:kern w:val="0"/>
          <w:szCs w:val="21"/>
          <w:highlight w:val="none"/>
        </w:rPr>
        <w:t>违约金。</w:t>
      </w:r>
    </w:p>
    <w:p>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2、甲方未按合同规定的期限向乙方支付项目款的，每逾期1天甲方向乙方偿付</w:t>
      </w:r>
      <w:r>
        <w:rPr>
          <w:rFonts w:hint="eastAsia" w:ascii="宋体" w:hAnsi="宋体"/>
          <w:color w:val="auto"/>
          <w:kern w:val="0"/>
          <w:szCs w:val="21"/>
          <w:highlight w:val="none"/>
          <w:u w:val="single"/>
        </w:rPr>
        <w:t>　　　　</w:t>
      </w:r>
      <w:r>
        <w:rPr>
          <w:rFonts w:hint="eastAsia" w:ascii="宋体" w:hAnsi="宋体"/>
          <w:color w:val="auto"/>
          <w:kern w:val="0"/>
          <w:szCs w:val="21"/>
          <w:highlight w:val="none"/>
        </w:rPr>
        <w:t>滞纳金，但累计滞纳金总额不超过欠款总额的5% 。</w:t>
      </w:r>
    </w:p>
    <w:p>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3、如乙方不能按约定交付产品，或交付的产品质量、规格、型号、功能、性能等不符合合同规定或有关标准，甲方有权拒收，责令乙方改正，并酌情扣除其履约保证金。</w:t>
      </w:r>
    </w:p>
    <w:p>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4、 乙方逾期交付产品的，每逾期1天，乙方向甲方偿付</w:t>
      </w:r>
      <w:r>
        <w:rPr>
          <w:rFonts w:hint="eastAsia" w:ascii="宋体" w:hAnsi="宋体"/>
          <w:color w:val="auto"/>
          <w:kern w:val="0"/>
          <w:szCs w:val="21"/>
          <w:highlight w:val="none"/>
          <w:u w:val="single"/>
        </w:rPr>
        <w:t>　　　　</w:t>
      </w:r>
      <w:r>
        <w:rPr>
          <w:rFonts w:hint="eastAsia" w:ascii="宋体" w:hAnsi="宋体"/>
          <w:color w:val="auto"/>
          <w:kern w:val="0"/>
          <w:szCs w:val="21"/>
          <w:highlight w:val="none"/>
        </w:rPr>
        <w:t>滞纳金。如乙方逾期交付达</w:t>
      </w:r>
      <w:r>
        <w:rPr>
          <w:rFonts w:hint="eastAsia" w:ascii="宋体" w:hAnsi="宋体"/>
          <w:color w:val="auto"/>
          <w:kern w:val="0"/>
          <w:szCs w:val="21"/>
          <w:highlight w:val="none"/>
          <w:u w:val="single"/>
        </w:rPr>
        <w:t>　　　　</w:t>
      </w:r>
      <w:r>
        <w:rPr>
          <w:rFonts w:hint="eastAsia" w:ascii="宋体" w:hAnsi="宋体"/>
          <w:color w:val="auto"/>
          <w:kern w:val="0"/>
          <w:szCs w:val="21"/>
          <w:highlight w:val="none"/>
        </w:rPr>
        <w:t>天，甲方有权解除合同，解除合同的通知自到达乙方时生效。</w:t>
      </w:r>
    </w:p>
    <w:p>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5、在乙方承诺的或国家规定的质量保证期内（取两者中最长的期限），如经乙方两次维修或更换，产品仍不能达到合同约定的质量标准，甲方有权退回，乙方应退回退还产品部分的</w:t>
      </w:r>
      <w:r>
        <w:rPr>
          <w:rFonts w:hint="eastAsia" w:ascii="宋体" w:hAnsi="宋体" w:cs="宋体"/>
          <w:color w:val="auto"/>
          <w:kern w:val="0"/>
          <w:szCs w:val="21"/>
          <w:highlight w:val="none"/>
        </w:rPr>
        <w:t>项目</w:t>
      </w:r>
      <w:r>
        <w:rPr>
          <w:rFonts w:hint="eastAsia" w:ascii="宋体" w:hAnsi="宋体"/>
          <w:color w:val="auto"/>
          <w:kern w:val="0"/>
          <w:szCs w:val="21"/>
          <w:highlight w:val="none"/>
        </w:rPr>
        <w:t>款，并酌情扣除乙方质量保证金，给甲方造成损失者，乙方还应赔偿甲方因此遭受的损失。</w:t>
      </w:r>
    </w:p>
    <w:p>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6、乙方违反本合同有关约定或未按“服务承诺”提供伴随服务/售后服务的，每次扣除乙方违约金</w:t>
      </w:r>
      <w:r>
        <w:rPr>
          <w:rFonts w:hint="eastAsia" w:ascii="宋体" w:hAnsi="宋体"/>
          <w:color w:val="auto"/>
          <w:kern w:val="0"/>
          <w:szCs w:val="21"/>
          <w:highlight w:val="none"/>
          <w:u w:val="single"/>
        </w:rPr>
        <w:t>　　　　　</w:t>
      </w:r>
      <w:r>
        <w:rPr>
          <w:rFonts w:hint="eastAsia" w:ascii="宋体" w:hAnsi="宋体"/>
          <w:color w:val="auto"/>
          <w:kern w:val="0"/>
          <w:szCs w:val="21"/>
          <w:highlight w:val="none"/>
        </w:rPr>
        <w:t>元（合同另有约定的从其约定）。</w:t>
      </w:r>
    </w:p>
    <w:p>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7、乙方在承担上述一项或多项违约责任后，仍应继续履行合同规定的义务（甲方解除合同的除外）。甲方未及时追究乙方的任何一项违约责任，并不表明甲方放弃追究乙方违约责任的权利。</w:t>
      </w:r>
    </w:p>
    <w:p>
      <w:pPr>
        <w:widowControl/>
        <w:spacing w:line="440" w:lineRule="exact"/>
        <w:ind w:firstLine="422" w:firstLineChars="200"/>
        <w:jc w:val="left"/>
        <w:rPr>
          <w:rFonts w:ascii="宋体" w:hAnsi="宋体"/>
          <w:b/>
          <w:bCs/>
          <w:color w:val="auto"/>
          <w:kern w:val="0"/>
          <w:szCs w:val="21"/>
          <w:highlight w:val="none"/>
        </w:rPr>
      </w:pPr>
      <w:r>
        <w:rPr>
          <w:rFonts w:hint="eastAsia" w:ascii="宋体" w:hAnsi="宋体"/>
          <w:b/>
          <w:bCs/>
          <w:color w:val="auto"/>
          <w:kern w:val="0"/>
          <w:szCs w:val="21"/>
          <w:highlight w:val="none"/>
        </w:rPr>
        <w:t>第十二条 合同的变更补充，终止及转让　　</w:t>
      </w:r>
      <w:r>
        <w:rPr>
          <w:rFonts w:hint="eastAsia" w:ascii="宋体" w:hAnsi="宋体"/>
          <w:color w:val="auto"/>
          <w:kern w:val="0"/>
          <w:szCs w:val="21"/>
          <w:highlight w:val="none"/>
        </w:rPr>
        <w:t>除《政府采购法》第49条、第50条第二款规定的情形外，本合同一经签订，甲乙双方不得擅自变更、中止或终止合同。合同的变更和补充追加需经开封市政府采购监督管理办公室审核批准后生效。乙方不得擅自部分或全部转让其应履行的合同义务。</w:t>
      </w:r>
    </w:p>
    <w:p>
      <w:pPr>
        <w:widowControl/>
        <w:spacing w:line="440" w:lineRule="exact"/>
        <w:ind w:firstLine="422" w:firstLineChars="200"/>
        <w:jc w:val="left"/>
        <w:rPr>
          <w:rFonts w:ascii="宋体" w:hAnsi="宋体"/>
          <w:b/>
          <w:bCs/>
          <w:color w:val="auto"/>
          <w:kern w:val="0"/>
          <w:szCs w:val="21"/>
          <w:highlight w:val="none"/>
        </w:rPr>
      </w:pPr>
      <w:r>
        <w:rPr>
          <w:rFonts w:hint="eastAsia" w:ascii="宋体" w:hAnsi="宋体"/>
          <w:b/>
          <w:bCs/>
          <w:color w:val="auto"/>
          <w:kern w:val="0"/>
          <w:szCs w:val="21"/>
          <w:highlight w:val="none"/>
        </w:rPr>
        <w:t>第十三条 　不可抗力　　</w:t>
      </w:r>
    </w:p>
    <w:p>
      <w:pPr>
        <w:widowControl/>
        <w:spacing w:line="440" w:lineRule="exact"/>
        <w:ind w:firstLine="422" w:firstLineChars="200"/>
        <w:jc w:val="left"/>
        <w:rPr>
          <w:rFonts w:ascii="宋体" w:hAnsi="宋体"/>
          <w:b/>
          <w:bCs/>
          <w:color w:val="auto"/>
          <w:kern w:val="0"/>
          <w:szCs w:val="21"/>
          <w:highlight w:val="none"/>
        </w:rPr>
      </w:pPr>
      <w:r>
        <w:rPr>
          <w:rFonts w:hint="eastAsia" w:ascii="宋体" w:hAnsi="宋体"/>
          <w:b/>
          <w:bCs/>
          <w:color w:val="auto"/>
          <w:kern w:val="0"/>
          <w:szCs w:val="21"/>
          <w:highlight w:val="none"/>
        </w:rPr>
        <w:t>1、</w:t>
      </w:r>
      <w:r>
        <w:rPr>
          <w:rFonts w:hint="eastAsia" w:ascii="宋体" w:hAnsi="宋体"/>
          <w:color w:val="auto"/>
          <w:kern w:val="0"/>
          <w:szCs w:val="21"/>
          <w:highlight w:val="none"/>
        </w:rPr>
        <w:t>因不可抗力造成违约的，遭受不可抗力一方应及时向对方通报不能履行或不能完全履行的理由，并在随后取得有关主管机关证明后的15日内向另一方提供不可抗力发生以及持续期间的充分证据，根据情况可部分或全部免于承担违约责任。</w:t>
      </w:r>
    </w:p>
    <w:p>
      <w:pPr>
        <w:widowControl/>
        <w:spacing w:line="440" w:lineRule="exact"/>
        <w:ind w:firstLine="420" w:firstLineChars="200"/>
        <w:rPr>
          <w:rFonts w:ascii="宋体" w:hAnsi="宋体"/>
          <w:color w:val="auto"/>
          <w:kern w:val="0"/>
          <w:szCs w:val="21"/>
          <w:highlight w:val="none"/>
        </w:rPr>
      </w:pPr>
      <w:r>
        <w:rPr>
          <w:rFonts w:hint="eastAsia" w:ascii="宋体" w:hAnsi="宋体"/>
          <w:color w:val="auto"/>
          <w:kern w:val="0"/>
          <w:szCs w:val="21"/>
          <w:highlight w:val="none"/>
        </w:rPr>
        <w:t>2、</w:t>
      </w:r>
      <w:r>
        <w:rPr>
          <w:rFonts w:hint="eastAsia" w:ascii="宋体" w:hAnsi="宋体"/>
          <w:color w:val="auto"/>
          <w:szCs w:val="21"/>
          <w:highlight w:val="none"/>
        </w:rPr>
        <w:t>不可抗力是指承包人和发包人在订立合同时不可预见，在履行合同过程中不可避免发生并不能克服的自然灾害和社会性突发事件，如地震、台风、海啸、瘟疫、水灾、火灾、骚乱、暴动、战争等情形。</w:t>
      </w:r>
    </w:p>
    <w:p>
      <w:pPr>
        <w:widowControl/>
        <w:spacing w:line="440" w:lineRule="exact"/>
        <w:ind w:firstLine="422" w:firstLineChars="200"/>
        <w:jc w:val="left"/>
        <w:rPr>
          <w:rFonts w:ascii="宋体" w:hAnsi="宋体"/>
          <w:b/>
          <w:bCs/>
          <w:color w:val="auto"/>
          <w:kern w:val="0"/>
          <w:szCs w:val="21"/>
          <w:highlight w:val="none"/>
        </w:rPr>
      </w:pPr>
      <w:r>
        <w:rPr>
          <w:rFonts w:hint="eastAsia" w:ascii="宋体" w:hAnsi="宋体"/>
          <w:b/>
          <w:bCs/>
          <w:color w:val="auto"/>
          <w:kern w:val="0"/>
          <w:szCs w:val="21"/>
          <w:highlight w:val="none"/>
        </w:rPr>
        <w:t>第十四条  争议的解决</w:t>
      </w:r>
    </w:p>
    <w:p>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1、因质量问题发生争议的，应当邀请国家认可的质量检测机构进行鉴定。经鉴定符合标准的，鉴定费由甲方承担；不符合质量标准的，鉴定费由乙方承担。</w:t>
      </w:r>
    </w:p>
    <w:p>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2、因履行本合同引起的或与本合同有关的争议，甲、乙双方应首先通过友好协商解决，如果协商不能解决争议，任何一方均可以向甲方所在地有管辖权的人民法院提起诉讼。</w:t>
      </w:r>
    </w:p>
    <w:p>
      <w:pPr>
        <w:widowControl/>
        <w:spacing w:line="440" w:lineRule="exact"/>
        <w:ind w:firstLine="422" w:firstLineChars="200"/>
        <w:jc w:val="left"/>
        <w:rPr>
          <w:rFonts w:ascii="宋体" w:hAnsi="宋体"/>
          <w:b/>
          <w:bCs/>
          <w:color w:val="auto"/>
          <w:kern w:val="0"/>
          <w:szCs w:val="21"/>
          <w:highlight w:val="none"/>
        </w:rPr>
      </w:pPr>
      <w:r>
        <w:rPr>
          <w:rFonts w:hint="eastAsia" w:ascii="宋体" w:hAnsi="宋体"/>
          <w:b/>
          <w:bCs/>
          <w:color w:val="auto"/>
          <w:kern w:val="0"/>
          <w:szCs w:val="21"/>
          <w:highlight w:val="none"/>
        </w:rPr>
        <w:t>第十五条   合同生效及其他</w:t>
      </w:r>
    </w:p>
    <w:p>
      <w:pPr>
        <w:widowControl/>
        <w:spacing w:line="440" w:lineRule="exact"/>
        <w:ind w:firstLine="420" w:firstLineChars="200"/>
        <w:rPr>
          <w:rFonts w:ascii="宋体" w:hAnsi="宋体"/>
          <w:b/>
          <w:bCs/>
          <w:color w:val="auto"/>
          <w:kern w:val="0"/>
          <w:szCs w:val="21"/>
          <w:highlight w:val="none"/>
        </w:rPr>
      </w:pPr>
      <w:r>
        <w:rPr>
          <w:rFonts w:hint="eastAsia" w:ascii="宋体" w:hAnsi="宋体"/>
          <w:color w:val="auto"/>
          <w:kern w:val="0"/>
          <w:szCs w:val="21"/>
          <w:highlight w:val="none"/>
        </w:rPr>
        <w:t>1、本合同未尽事宜，双方另行补充（补充内容不得改变或违背招标文件和中标人投标文件中的实质性内容）。</w:t>
      </w:r>
    </w:p>
    <w:p>
      <w:pPr>
        <w:widowControl/>
        <w:spacing w:line="440" w:lineRule="exact"/>
        <w:ind w:firstLine="420" w:firstLineChars="200"/>
        <w:rPr>
          <w:rFonts w:ascii="宋体" w:hAnsi="宋体"/>
          <w:color w:val="auto"/>
          <w:kern w:val="0"/>
          <w:szCs w:val="21"/>
          <w:highlight w:val="none"/>
        </w:rPr>
      </w:pPr>
      <w:r>
        <w:rPr>
          <w:rFonts w:hint="eastAsia" w:ascii="宋体" w:hAnsi="宋体"/>
          <w:color w:val="auto"/>
          <w:kern w:val="0"/>
          <w:szCs w:val="21"/>
          <w:highlight w:val="none"/>
        </w:rPr>
        <w:t>2、</w:t>
      </w:r>
      <w:r>
        <w:rPr>
          <w:rFonts w:hint="eastAsia" w:ascii="宋体" w:hAnsi="宋体"/>
          <w:bCs/>
          <w:color w:val="auto"/>
          <w:kern w:val="0"/>
          <w:szCs w:val="21"/>
          <w:highlight w:val="none"/>
        </w:rPr>
        <w:t>本合同一式2份，甲、乙双方授权代表签字并盖单位公章后生效。甲方、乙方各一份。</w:t>
      </w:r>
    </w:p>
    <w:p>
      <w:pPr>
        <w:widowControl/>
        <w:spacing w:line="440" w:lineRule="exact"/>
        <w:rPr>
          <w:rFonts w:ascii="宋体" w:hAnsi="宋体"/>
          <w:b/>
          <w:bCs/>
          <w:color w:val="auto"/>
          <w:kern w:val="0"/>
          <w:szCs w:val="21"/>
          <w:highlight w:val="none"/>
        </w:rPr>
      </w:pPr>
    </w:p>
    <w:p>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甲    方：                　　　　　　 　乙    方：</w:t>
      </w:r>
    </w:p>
    <w:p>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法定代表人：              　　　　　　   法定代表人：</w:t>
      </w:r>
    </w:p>
    <w:p>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委托代理人：               　　　　　　  委托代理人：</w:t>
      </w:r>
    </w:p>
    <w:p>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单位地址：                 　　　　　　  单位地址：</w:t>
      </w:r>
    </w:p>
    <w:p>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电    话：                  　　　　　　 电    话：</w:t>
      </w:r>
    </w:p>
    <w:p>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开户银行：                   　　　　　　开户银行：</w:t>
      </w:r>
    </w:p>
    <w:p>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账    号：                 　　　　　　  账    号：</w:t>
      </w:r>
    </w:p>
    <w:p>
      <w:pPr>
        <w:widowControl/>
        <w:spacing w:line="440" w:lineRule="exact"/>
        <w:ind w:firstLine="735" w:firstLineChars="350"/>
        <w:rPr>
          <w:rFonts w:ascii="宋体" w:hAnsi="宋体"/>
          <w:color w:val="auto"/>
          <w:kern w:val="0"/>
          <w:szCs w:val="21"/>
          <w:highlight w:val="none"/>
        </w:rPr>
      </w:pPr>
      <w:r>
        <w:rPr>
          <w:rFonts w:hint="eastAsia" w:ascii="宋体" w:hAnsi="宋体"/>
          <w:color w:val="auto"/>
          <w:kern w:val="0"/>
          <w:szCs w:val="21"/>
          <w:highlight w:val="none"/>
        </w:rPr>
        <w:t xml:space="preserve"> 年  月  日              　　　　　　　　  年  月  日</w:t>
      </w:r>
      <w:bookmarkEnd w:id="659"/>
      <w:bookmarkEnd w:id="660"/>
      <w:bookmarkEnd w:id="661"/>
      <w:bookmarkEnd w:id="662"/>
      <w:bookmarkEnd w:id="663"/>
      <w:bookmarkEnd w:id="664"/>
      <w:bookmarkEnd w:id="665"/>
    </w:p>
    <w:p>
      <w:pPr>
        <w:widowControl/>
        <w:spacing w:line="360" w:lineRule="auto"/>
        <w:rPr>
          <w:rFonts w:ascii="宋体" w:hAnsi="宋体" w:cs="宋体"/>
          <w:color w:val="auto"/>
          <w:sz w:val="28"/>
          <w:szCs w:val="28"/>
          <w:highlight w:val="none"/>
        </w:rPr>
      </w:pPr>
      <w:r>
        <w:rPr>
          <w:color w:val="auto"/>
          <w:highlight w:val="none"/>
        </w:rPr>
        <w:br w:type="page"/>
      </w:r>
    </w:p>
    <w:p>
      <w:pPr>
        <w:pStyle w:val="7"/>
        <w:jc w:val="center"/>
        <w:rPr>
          <w:rFonts w:ascii="宋体" w:hAnsi="宋体" w:eastAsia="宋体" w:cs="宋体"/>
          <w:color w:val="auto"/>
          <w:highlight w:val="none"/>
        </w:rPr>
      </w:pPr>
      <w:bookmarkStart w:id="666" w:name="_Toc30854"/>
      <w:r>
        <w:rPr>
          <w:rFonts w:hint="eastAsia" w:ascii="宋体" w:hAnsi="宋体" w:eastAsia="宋体" w:cs="宋体"/>
          <w:color w:val="auto"/>
          <w:highlight w:val="none"/>
        </w:rPr>
        <w:t>开封政府采购合同融资政策告知函</w:t>
      </w:r>
      <w:bookmarkEnd w:id="666"/>
    </w:p>
    <w:p>
      <w:pPr>
        <w:widowControl/>
        <w:spacing w:line="360" w:lineRule="auto"/>
        <w:rPr>
          <w:rFonts w:ascii="宋体" w:hAnsi="宋体" w:cs="宋体"/>
          <w:color w:val="auto"/>
          <w:sz w:val="28"/>
          <w:szCs w:val="28"/>
          <w:highlight w:val="none"/>
        </w:rPr>
      </w:pPr>
    </w:p>
    <w:p>
      <w:pPr>
        <w:widowControl/>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各供应商：</w:t>
      </w:r>
    </w:p>
    <w:p>
      <w:pPr>
        <w:widowControl/>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欢迎贵公司参与开封政府采购活动！</w:t>
      </w:r>
    </w:p>
    <w:p>
      <w:pPr>
        <w:widowControl/>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政府采购合同融资是支持中小微企业发展，针对参与政府采购活动的供应商融资难、融资贵问题推出的一项融资政策。贵公司若成为本次政府采购项目的中标成交供应商，可持政府采购合同向金融机构申请贷款，无需抵押、担保，融资机构将根据相关文件要求，按照双方自愿的原则提供便捷、优惠的贷款服务。</w:t>
      </w:r>
    </w:p>
    <w:p>
      <w:pPr>
        <w:widowControl/>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贷款渠道和提供贷款的金融机构，可在开封市政府采购网“政府采购合同融资平台”查询联系。</w:t>
      </w:r>
    </w:p>
    <w:p>
      <w:pPr>
        <w:pStyle w:val="33"/>
        <w:rPr>
          <w:color w:val="auto"/>
          <w:highlight w:val="none"/>
        </w:rPr>
      </w:pPr>
    </w:p>
    <w:p>
      <w:pPr>
        <w:widowControl/>
        <w:spacing w:line="440" w:lineRule="exact"/>
        <w:rPr>
          <w:rFonts w:ascii="宋体" w:hAnsi="宋体"/>
          <w:color w:val="auto"/>
          <w:kern w:val="0"/>
          <w:szCs w:val="21"/>
          <w:highlight w:val="none"/>
        </w:rPr>
      </w:pPr>
    </w:p>
    <w:p>
      <w:pPr>
        <w:jc w:val="center"/>
        <w:rPr>
          <w:rFonts w:ascii="宋体" w:hAnsi="宋体"/>
          <w:color w:val="auto"/>
          <w:highlight w:val="none"/>
        </w:rPr>
      </w:pPr>
      <w:bookmarkStart w:id="667" w:name="_Toc152045772"/>
      <w:bookmarkStart w:id="668" w:name="_Toc246996340"/>
      <w:bookmarkStart w:id="669" w:name="_Toc246997083"/>
      <w:bookmarkStart w:id="670" w:name="_Toc144974834"/>
      <w:bookmarkStart w:id="671" w:name="_Toc152042554"/>
      <w:bookmarkStart w:id="672" w:name="_Toc179632789"/>
      <w:bookmarkStart w:id="673" w:name="_Toc247085855"/>
      <w:bookmarkStart w:id="674" w:name="_Toc346523420"/>
      <w:bookmarkStart w:id="675" w:name="_Toc338840251"/>
      <w:bookmarkStart w:id="676" w:name="_Toc346523483"/>
      <w:bookmarkStart w:id="677" w:name="_Toc494093445"/>
      <w:bookmarkStart w:id="678" w:name="_Toc338840460"/>
      <w:bookmarkStart w:id="679" w:name="_Toc338840499"/>
      <w:bookmarkStart w:id="680" w:name="_Toc494526417"/>
      <w:r>
        <w:rPr>
          <w:rFonts w:hint="eastAsia" w:ascii="宋体" w:hAnsi="宋体"/>
          <w:color w:val="auto"/>
          <w:highlight w:val="none"/>
        </w:rPr>
        <w:br w:type="page"/>
      </w:r>
    </w:p>
    <w:p>
      <w:pPr>
        <w:pStyle w:val="7"/>
        <w:jc w:val="center"/>
        <w:rPr>
          <w:rFonts w:ascii="宋体" w:hAnsi="宋体" w:eastAsia="宋体" w:cs="宋体"/>
          <w:color w:val="auto"/>
          <w:highlight w:val="none"/>
        </w:rPr>
      </w:pPr>
      <w:bookmarkStart w:id="681" w:name="_Toc6494"/>
      <w:r>
        <w:rPr>
          <w:rFonts w:hint="eastAsia" w:ascii="宋体" w:hAnsi="宋体" w:eastAsia="宋体" w:cs="宋体"/>
          <w:color w:val="auto"/>
          <w:highlight w:val="none"/>
        </w:rPr>
        <w:t>开封政府采购合同履约保函政策告知函</w:t>
      </w:r>
      <w:bookmarkEnd w:id="681"/>
    </w:p>
    <w:p>
      <w:pPr>
        <w:pStyle w:val="33"/>
        <w:rPr>
          <w:color w:val="auto"/>
          <w:highlight w:val="none"/>
        </w:rPr>
      </w:pPr>
    </w:p>
    <w:p>
      <w:pPr>
        <w:widowControl/>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各供应商：</w:t>
      </w:r>
    </w:p>
    <w:p>
      <w:pPr>
        <w:widowControl/>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欢迎贵公司参与开封政府采购活动！</w:t>
      </w:r>
    </w:p>
    <w:p>
      <w:pPr>
        <w:widowControl/>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政府采购履约保函是进一步优化营商环境支持中小微企业发展，规范我市政府采购项目履约保证金收取及退还工作。保护参与政府采购活动的供应商合法权益，减轻企业负担。采购人不得收取供应商质量保证金，或者在政府采购合同中预留资金作为质量保证金。鼓励采购人根据项目特点、供应商诚信等情况免收履约保证金或降低缴纳比例，并在采购文件中明确；并应在供应商履行完合同约定义务事项后及时退还；原则上供应商需以银行、保险公司出具保函形式提交履约保证金；确需提交转账、现金等形式保证金的需经财政部门同意；采购代理机构不得收取履约保证金。</w:t>
      </w:r>
    </w:p>
    <w:p>
      <w:pPr>
        <w:widowControl/>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政府采购合同履约保函机构，可在开封市政府采购网查询联系。</w:t>
      </w:r>
    </w:p>
    <w:p>
      <w:pPr>
        <w:pStyle w:val="6"/>
        <w:jc w:val="center"/>
        <w:rPr>
          <w:rFonts w:ascii="宋体" w:hAnsi="宋体"/>
          <w:color w:val="auto"/>
          <w:highlight w:val="none"/>
        </w:rPr>
      </w:pPr>
      <w:r>
        <w:rPr>
          <w:rFonts w:hint="eastAsia" w:ascii="宋体" w:hAnsi="宋体"/>
          <w:color w:val="auto"/>
          <w:highlight w:val="none"/>
        </w:rPr>
        <w:br w:type="page"/>
      </w:r>
      <w:bookmarkStart w:id="682" w:name="_Toc14386"/>
      <w:bookmarkStart w:id="683" w:name="_Toc479"/>
      <w:bookmarkStart w:id="684" w:name="_Toc9194"/>
      <w:bookmarkStart w:id="685" w:name="_Toc23041"/>
      <w:r>
        <w:rPr>
          <w:rFonts w:hint="eastAsia" w:ascii="宋体" w:hAnsi="宋体"/>
          <w:color w:val="auto"/>
          <w:highlight w:val="none"/>
        </w:rPr>
        <w:t xml:space="preserve">第五章  </w:t>
      </w:r>
      <w:bookmarkEnd w:id="667"/>
      <w:bookmarkEnd w:id="668"/>
      <w:bookmarkEnd w:id="669"/>
      <w:bookmarkEnd w:id="670"/>
      <w:bookmarkEnd w:id="671"/>
      <w:bookmarkEnd w:id="672"/>
      <w:bookmarkEnd w:id="673"/>
      <w:r>
        <w:rPr>
          <w:rFonts w:hint="eastAsia" w:ascii="宋体" w:hAnsi="宋体"/>
          <w:color w:val="auto"/>
          <w:highlight w:val="none"/>
        </w:rPr>
        <w:t>招标内容及商务技术要求</w:t>
      </w:r>
      <w:bookmarkEnd w:id="674"/>
      <w:bookmarkEnd w:id="675"/>
      <w:bookmarkEnd w:id="676"/>
      <w:bookmarkEnd w:id="677"/>
      <w:bookmarkEnd w:id="678"/>
      <w:bookmarkEnd w:id="679"/>
      <w:bookmarkEnd w:id="680"/>
      <w:bookmarkEnd w:id="682"/>
      <w:bookmarkEnd w:id="683"/>
      <w:bookmarkEnd w:id="684"/>
      <w:bookmarkEnd w:id="685"/>
    </w:p>
    <w:p>
      <w:pPr>
        <w:widowControl/>
        <w:adjustRightInd w:val="0"/>
        <w:snapToGrid w:val="0"/>
        <w:spacing w:line="480" w:lineRule="auto"/>
        <w:ind w:firstLine="420" w:firstLineChars="200"/>
        <w:jc w:val="left"/>
        <w:rPr>
          <w:rFonts w:ascii="宋体" w:hAnsi="宋体"/>
          <w:bCs/>
          <w:color w:val="auto"/>
          <w:kern w:val="0"/>
          <w:szCs w:val="21"/>
          <w:highlight w:val="none"/>
        </w:rPr>
      </w:pPr>
      <w:r>
        <w:rPr>
          <w:rFonts w:ascii="宋体" w:hAnsi="宋体"/>
          <w:bCs/>
          <w:color w:val="auto"/>
          <w:kern w:val="0"/>
          <w:szCs w:val="21"/>
          <w:highlight w:val="none"/>
        </w:rPr>
        <w:t>相关说明</w:t>
      </w:r>
    </w:p>
    <w:p>
      <w:pPr>
        <w:widowControl/>
        <w:snapToGrid w:val="0"/>
        <w:spacing w:line="360" w:lineRule="auto"/>
        <w:ind w:firstLine="420" w:firstLineChars="200"/>
        <w:jc w:val="left"/>
        <w:rPr>
          <w:rFonts w:hint="eastAsia" w:ascii="宋体" w:hAnsi="宋体"/>
          <w:color w:val="auto"/>
          <w:kern w:val="0"/>
          <w:szCs w:val="21"/>
          <w:highlight w:val="none"/>
        </w:rPr>
      </w:pPr>
      <w:r>
        <w:rPr>
          <w:rFonts w:hint="eastAsia" w:ascii="宋体" w:hAnsi="宋体"/>
          <w:color w:val="auto"/>
          <w:kern w:val="0"/>
          <w:szCs w:val="21"/>
          <w:highlight w:val="none"/>
        </w:rPr>
        <w:t>1.采购需求中的质量技术参数或型号如与某产品相同时仅作为供应商选择投标产品时在质量水平上的参考，不强制采购某一特定产品，供应商可提供符合采购需求或更优的产品及方案。</w:t>
      </w:r>
    </w:p>
    <w:p>
      <w:pPr>
        <w:widowControl/>
        <w:snapToGrid w:val="0"/>
        <w:spacing w:line="360" w:lineRule="auto"/>
        <w:ind w:firstLine="420" w:firstLineChars="200"/>
        <w:jc w:val="left"/>
        <w:rPr>
          <w:rFonts w:hint="eastAsia" w:ascii="宋体" w:hAnsi="宋体"/>
          <w:color w:val="auto"/>
          <w:kern w:val="0"/>
          <w:szCs w:val="21"/>
          <w:highlight w:val="none"/>
        </w:rPr>
      </w:pPr>
      <w:r>
        <w:rPr>
          <w:rFonts w:hint="eastAsia" w:ascii="宋体" w:hAnsi="宋体"/>
          <w:color w:val="auto"/>
          <w:kern w:val="0"/>
          <w:szCs w:val="21"/>
          <w:highlight w:val="none"/>
        </w:rPr>
        <w:t>2.投标产品应符合国家标准，涉及强制性国家标准时必须符合强制性国家标准。采购需求标准与国家标准不一致时，按照标准较高者执行。</w:t>
      </w:r>
    </w:p>
    <w:p>
      <w:pPr>
        <w:widowControl/>
        <w:snapToGrid w:val="0"/>
        <w:spacing w:line="360" w:lineRule="auto"/>
        <w:ind w:firstLine="420" w:firstLineChars="200"/>
        <w:jc w:val="left"/>
        <w:rPr>
          <w:rFonts w:hint="eastAsia" w:ascii="宋体" w:hAnsi="宋体"/>
          <w:color w:val="auto"/>
          <w:kern w:val="0"/>
          <w:szCs w:val="21"/>
          <w:highlight w:val="none"/>
        </w:rPr>
      </w:pPr>
      <w:r>
        <w:rPr>
          <w:rFonts w:hint="eastAsia" w:ascii="宋体" w:hAnsi="宋体"/>
          <w:color w:val="auto"/>
          <w:kern w:val="0"/>
          <w:szCs w:val="21"/>
          <w:highlight w:val="none"/>
        </w:rPr>
        <w:t>3.采购需求中的产品如涉及信息安全产品、政府强制采购产品、国家强制性认证产品、网络关键设备和网络安全专用产品的，所投产品应当获得相关认证（网络关键设备和网络安全专用产品可以是认证或检测），并在投标文件中提供有效认证证书或证明材料。签订合同应包含上述涉及的相关内容，采购人按照国家有关规定进行落实和验收。　</w:t>
      </w:r>
    </w:p>
    <w:p>
      <w:pPr>
        <w:widowControl/>
        <w:snapToGrid w:val="0"/>
        <w:spacing w:line="360" w:lineRule="auto"/>
        <w:ind w:firstLine="420" w:firstLineChars="200"/>
        <w:jc w:val="left"/>
        <w:rPr>
          <w:rFonts w:hint="eastAsia" w:ascii="宋体" w:hAnsi="宋体"/>
          <w:color w:val="auto"/>
          <w:kern w:val="0"/>
          <w:szCs w:val="21"/>
          <w:highlight w:val="none"/>
        </w:rPr>
      </w:pPr>
      <w:r>
        <w:rPr>
          <w:rFonts w:hint="eastAsia" w:ascii="宋体" w:hAnsi="宋体"/>
          <w:color w:val="auto"/>
          <w:kern w:val="0"/>
          <w:szCs w:val="21"/>
          <w:highlight w:val="none"/>
        </w:rPr>
        <w:t>4.采购需求中如有计算机办公设备，必须预装正版操作系统软件。</w:t>
      </w:r>
    </w:p>
    <w:p>
      <w:pPr>
        <w:widowControl/>
        <w:snapToGrid w:val="0"/>
        <w:spacing w:line="360" w:lineRule="auto"/>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5.如需安装调试，供应商应在安装、调试、检测合格后，向用户提供检测报告、技术手册等技术资料（操作手册、使用说明书、维修保养手册、安装手册、电路图、产品合格证等）。检测和验收依据国家有关规定执行。</w:t>
      </w:r>
    </w:p>
    <w:p>
      <w:pPr>
        <w:widowControl/>
        <w:snapToGrid w:val="0"/>
        <w:spacing w:line="360" w:lineRule="auto"/>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6.招标文件对备品备件及专用工具有要求的应详细列明；虽然没有明确要求，而对系统、设备的正常运行和维护必不可少的备品备件、专用工具，或出厂时随产品配备的备品备件，供应商也应详细列明。所有备品备件和专用工具应当符合国家标准及行业要求。</w:t>
      </w:r>
    </w:p>
    <w:p>
      <w:pPr>
        <w:widowControl/>
        <w:snapToGrid w:val="0"/>
        <w:spacing w:line="360" w:lineRule="auto"/>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7.供应商应提供具有相关认证证书的节能产品、环境标志产品等绿色产品。</w:t>
      </w:r>
    </w:p>
    <w:p>
      <w:pPr>
        <w:widowControl/>
        <w:snapToGrid w:val="0"/>
        <w:spacing w:line="360" w:lineRule="auto"/>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8.本项目采购和</w:t>
      </w:r>
      <w:r>
        <w:rPr>
          <w:rFonts w:hint="eastAsia" w:ascii="宋体" w:hAnsi="宋体"/>
          <w:color w:val="auto"/>
          <w:kern w:val="0"/>
          <w:szCs w:val="21"/>
          <w:highlight w:val="none"/>
          <w:lang w:val="en-US" w:eastAsia="zh-CN"/>
        </w:rPr>
        <w:t>履约</w:t>
      </w:r>
      <w:r>
        <w:rPr>
          <w:rFonts w:hint="eastAsia" w:ascii="宋体" w:hAnsi="宋体"/>
          <w:color w:val="auto"/>
          <w:kern w:val="0"/>
          <w:szCs w:val="21"/>
          <w:highlight w:val="none"/>
        </w:rPr>
        <w:t>中形成的知识产权和其他权益归采购人所有（另有约定者除外）。</w:t>
      </w:r>
    </w:p>
    <w:p>
      <w:pPr>
        <w:widowControl/>
        <w:snapToGrid w:val="0"/>
        <w:spacing w:line="360" w:lineRule="auto"/>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9.本采购项目为交钥匙项目，项目验收合格前的一切费用均视为已包含在投标报价之中，采购人不承担成交价格以外的任何费用。</w:t>
      </w:r>
    </w:p>
    <w:p>
      <w:pPr>
        <w:spacing w:line="360" w:lineRule="auto"/>
        <w:rPr>
          <w:rFonts w:ascii="宋体" w:hAnsi="宋体"/>
          <w:b/>
          <w:color w:val="auto"/>
          <w:sz w:val="32"/>
          <w:szCs w:val="32"/>
          <w:highlight w:val="none"/>
        </w:rPr>
      </w:pPr>
      <w:r>
        <w:rPr>
          <w:rFonts w:hint="eastAsia" w:ascii="宋体" w:hAnsi="宋体"/>
          <w:b/>
          <w:color w:val="auto"/>
          <w:sz w:val="32"/>
          <w:szCs w:val="32"/>
          <w:highlight w:val="none"/>
        </w:rPr>
        <w:br w:type="page"/>
      </w:r>
      <w:r>
        <w:rPr>
          <w:rFonts w:hint="eastAsia" w:ascii="宋体" w:hAnsi="宋体"/>
          <w:b/>
          <w:color w:val="auto"/>
          <w:sz w:val="32"/>
          <w:szCs w:val="32"/>
          <w:highlight w:val="none"/>
        </w:rPr>
        <w:t>一、项目概况及总体要求</w:t>
      </w:r>
    </w:p>
    <w:p>
      <w:pPr>
        <w:spacing w:line="480" w:lineRule="auto"/>
        <w:ind w:firstLine="42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开封市机关事务中心八大街办公区保安、保洁、消防及监控维保</w:t>
      </w:r>
    </w:p>
    <w:p>
      <w:pPr>
        <w:spacing w:line="360" w:lineRule="auto"/>
        <w:rPr>
          <w:rFonts w:ascii="宋体" w:hAnsi="宋体"/>
          <w:b/>
          <w:color w:val="auto"/>
          <w:sz w:val="32"/>
          <w:szCs w:val="32"/>
          <w:highlight w:val="none"/>
        </w:rPr>
      </w:pPr>
    </w:p>
    <w:p>
      <w:pPr>
        <w:spacing w:line="360" w:lineRule="auto"/>
        <w:rPr>
          <w:rFonts w:ascii="宋体" w:hAnsi="宋体"/>
          <w:b/>
          <w:color w:val="auto"/>
          <w:sz w:val="32"/>
          <w:szCs w:val="32"/>
          <w:highlight w:val="none"/>
        </w:rPr>
      </w:pPr>
      <w:r>
        <w:rPr>
          <w:rFonts w:hint="eastAsia" w:ascii="宋体" w:hAnsi="宋体"/>
          <w:b/>
          <w:color w:val="auto"/>
          <w:sz w:val="32"/>
          <w:szCs w:val="32"/>
          <w:highlight w:val="none"/>
        </w:rPr>
        <w:t>二、商务要求</w:t>
      </w:r>
    </w:p>
    <w:p>
      <w:pPr>
        <w:spacing w:line="480" w:lineRule="auto"/>
        <w:ind w:firstLine="420"/>
        <w:rPr>
          <w:rFonts w:ascii="宋体" w:hAnsi="宋体"/>
          <w:color w:val="auto"/>
          <w:szCs w:val="21"/>
          <w:highlight w:val="none"/>
        </w:rPr>
      </w:pPr>
      <w:r>
        <w:rPr>
          <w:rFonts w:hint="eastAsia" w:ascii="宋体" w:hAnsi="宋体"/>
          <w:color w:val="auto"/>
          <w:szCs w:val="21"/>
          <w:highlight w:val="none"/>
        </w:rPr>
        <w:t>1、合同履行地点：见供应商须知前附表</w:t>
      </w:r>
    </w:p>
    <w:p>
      <w:pPr>
        <w:spacing w:line="480" w:lineRule="auto"/>
        <w:ind w:firstLine="420"/>
        <w:rPr>
          <w:rFonts w:ascii="宋体" w:hAnsi="宋体"/>
          <w:color w:val="auto"/>
          <w:szCs w:val="21"/>
          <w:highlight w:val="none"/>
        </w:rPr>
      </w:pPr>
      <w:r>
        <w:rPr>
          <w:rFonts w:hint="eastAsia" w:ascii="宋体" w:hAnsi="宋体"/>
          <w:color w:val="auto"/>
          <w:szCs w:val="21"/>
          <w:highlight w:val="none"/>
        </w:rPr>
        <w:t>2、合同履行期限：见供应商须知前附表</w:t>
      </w:r>
    </w:p>
    <w:p>
      <w:pPr>
        <w:spacing w:line="480" w:lineRule="auto"/>
        <w:ind w:firstLine="420"/>
        <w:rPr>
          <w:rFonts w:ascii="宋体" w:hAnsi="宋体"/>
          <w:color w:val="auto"/>
          <w:szCs w:val="21"/>
          <w:highlight w:val="none"/>
        </w:rPr>
      </w:pPr>
      <w:r>
        <w:rPr>
          <w:rFonts w:hint="eastAsia" w:ascii="宋体" w:hAnsi="宋体"/>
          <w:color w:val="auto"/>
          <w:szCs w:val="21"/>
          <w:highlight w:val="none"/>
        </w:rPr>
        <w:t>3、质量要求：见供应商须知前附表</w:t>
      </w:r>
    </w:p>
    <w:p>
      <w:pPr>
        <w:spacing w:line="480" w:lineRule="auto"/>
        <w:ind w:firstLine="420"/>
        <w:rPr>
          <w:rFonts w:ascii="宋体" w:hAnsi="宋体"/>
          <w:color w:val="auto"/>
          <w:szCs w:val="21"/>
          <w:highlight w:val="none"/>
        </w:rPr>
      </w:pPr>
      <w:r>
        <w:rPr>
          <w:rFonts w:hint="eastAsia" w:ascii="宋体" w:hAnsi="宋体"/>
          <w:color w:val="auto"/>
          <w:szCs w:val="21"/>
          <w:highlight w:val="none"/>
        </w:rPr>
        <w:t>4、质量保证期：见供应商须知前附表</w:t>
      </w:r>
    </w:p>
    <w:p>
      <w:pPr>
        <w:spacing w:line="480" w:lineRule="auto"/>
        <w:ind w:firstLine="420"/>
        <w:rPr>
          <w:rFonts w:ascii="宋体" w:hAnsi="宋体"/>
          <w:color w:val="auto"/>
          <w:szCs w:val="21"/>
          <w:highlight w:val="none"/>
        </w:rPr>
      </w:pPr>
      <w:r>
        <w:rPr>
          <w:rFonts w:hint="eastAsia" w:ascii="宋体" w:hAnsi="宋体"/>
          <w:color w:val="auto"/>
          <w:szCs w:val="21"/>
          <w:highlight w:val="none"/>
        </w:rPr>
        <w:t>5、付款方式：见供应商须知前附表</w:t>
      </w:r>
    </w:p>
    <w:p>
      <w:pPr>
        <w:spacing w:line="440" w:lineRule="exact"/>
        <w:ind w:firstLine="420" w:firstLineChars="200"/>
        <w:rPr>
          <w:rFonts w:ascii="宋体" w:hAnsi="宋体"/>
          <w:color w:val="auto"/>
          <w:szCs w:val="21"/>
          <w:highlight w:val="none"/>
        </w:rPr>
      </w:pPr>
    </w:p>
    <w:p>
      <w:pPr>
        <w:spacing w:line="440" w:lineRule="exact"/>
        <w:rPr>
          <w:rFonts w:ascii="宋体" w:hAnsi="宋体"/>
          <w:b/>
          <w:color w:val="auto"/>
          <w:szCs w:val="21"/>
          <w:highlight w:val="none"/>
        </w:rPr>
      </w:pPr>
    </w:p>
    <w:p>
      <w:pPr>
        <w:numPr>
          <w:ilvl w:val="0"/>
          <w:numId w:val="8"/>
        </w:numPr>
        <w:rPr>
          <w:rFonts w:hint="eastAsia" w:ascii="宋体" w:hAnsi="宋体"/>
          <w:b/>
          <w:color w:val="auto"/>
          <w:sz w:val="32"/>
          <w:szCs w:val="32"/>
          <w:highlight w:val="none"/>
        </w:rPr>
      </w:pPr>
      <w:r>
        <w:rPr>
          <w:rFonts w:ascii="宋体" w:hAnsi="宋体"/>
          <w:b/>
          <w:color w:val="auto"/>
          <w:szCs w:val="21"/>
          <w:highlight w:val="none"/>
        </w:rPr>
        <w:br w:type="page"/>
      </w:r>
      <w:r>
        <w:rPr>
          <w:rFonts w:hint="eastAsia" w:ascii="宋体" w:hAnsi="宋体"/>
          <w:b/>
          <w:color w:val="auto"/>
          <w:sz w:val="32"/>
          <w:szCs w:val="32"/>
          <w:highlight w:val="none"/>
        </w:rPr>
        <w:t>招标内容及技术要求</w:t>
      </w:r>
      <w:bookmarkStart w:id="686" w:name="_Toc247096438"/>
      <w:bookmarkStart w:id="687" w:name="_Toc247085866"/>
      <w:bookmarkStart w:id="688" w:name="_Toc246996350"/>
      <w:bookmarkStart w:id="689" w:name="_Toc179632800"/>
      <w:bookmarkStart w:id="690" w:name="_Toc246997093"/>
      <w:bookmarkStart w:id="691" w:name="_Toc144974851"/>
      <w:bookmarkStart w:id="692" w:name="_Toc152042571"/>
      <w:bookmarkStart w:id="693" w:name="_Toc152045782"/>
    </w:p>
    <w:p>
      <w:pPr>
        <w:pStyle w:val="2"/>
        <w:numPr>
          <w:ilvl w:val="0"/>
          <w:numId w:val="0"/>
        </w:numPr>
        <w:ind w:leftChars="400"/>
        <w:rPr>
          <w:color w:val="auto"/>
          <w:highlight w:val="none"/>
        </w:rPr>
      </w:pPr>
    </w:p>
    <w:p>
      <w:pPr>
        <w:spacing w:line="360" w:lineRule="auto"/>
        <w:jc w:val="center"/>
        <w:rPr>
          <w:rFonts w:ascii="宋体" w:hAnsi="宋体" w:cs="宋体"/>
          <w:b/>
          <w:color w:val="auto"/>
          <w:sz w:val="28"/>
          <w:szCs w:val="28"/>
          <w:highlight w:val="none"/>
        </w:rPr>
      </w:pPr>
      <w:r>
        <w:rPr>
          <w:rFonts w:hint="eastAsia" w:ascii="宋体" w:hAnsi="宋体" w:cs="宋体"/>
          <w:b/>
          <w:color w:val="auto"/>
          <w:sz w:val="28"/>
          <w:szCs w:val="28"/>
          <w:highlight w:val="none"/>
        </w:rPr>
        <w:t>消防系统维保</w:t>
      </w:r>
    </w:p>
    <w:p>
      <w:p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1 设备维护保养范围</w:t>
      </w:r>
    </w:p>
    <w:p>
      <w:pPr>
        <w:keepNext w:val="0"/>
        <w:keepLines w:val="0"/>
        <w:pageBreakBefore w:val="0"/>
        <w:widowControl w:val="0"/>
        <w:kinsoku/>
        <w:wordWrap/>
        <w:overflowPunct/>
        <w:topLinePunct w:val="0"/>
        <w:autoSpaceDE/>
        <w:autoSpaceDN/>
        <w:bidi w:val="0"/>
        <w:adjustRightInd w:val="0"/>
        <w:snapToGrid/>
        <w:spacing w:line="360" w:lineRule="auto"/>
        <w:ind w:firstLine="420"/>
        <w:textAlignment w:val="auto"/>
        <w:rPr>
          <w:rFonts w:ascii="宋体" w:hAnsi="宋体" w:cs="宋体"/>
          <w:color w:val="auto"/>
          <w:sz w:val="24"/>
          <w:highlight w:val="none"/>
        </w:rPr>
      </w:pPr>
      <w:r>
        <w:rPr>
          <w:rFonts w:hint="eastAsia" w:ascii="宋体" w:hAnsi="宋体" w:cs="宋体"/>
          <w:color w:val="auto"/>
          <w:sz w:val="24"/>
          <w:highlight w:val="none"/>
        </w:rPr>
        <w:t>火灾自动报警系统（含火灾自动报警主机、联动柜、消防广播、消防电梯联动、非消防电源切换的联动）、室内外消火栓系统（含消防水池、消防水箱、水泵的电控柜、水泵的双回路供电控制箱）、自动喷水灭火系统（含水泵的电控柜、水泵的双电源供电控制箱）、防排烟系统（含风机的电控柜、风机的双电源供电控制箱）、气体灭火系统（含空调、排气管道的防火阀）、防火卷帘、应急灯、疏散指示灯、防火门。</w:t>
      </w:r>
    </w:p>
    <w:p>
      <w:pPr>
        <w:adjustRightIn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以上所列数据仅供参考，如有漏项或数据有误，均以现场勘查情况为准。</w:t>
      </w:r>
    </w:p>
    <w:p>
      <w:pPr>
        <w:adjustRightInd w:val="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2 消防系统维护保养方式</w:t>
      </w:r>
    </w:p>
    <w:p>
      <w:pPr>
        <w:adjustRightInd w:val="0"/>
        <w:spacing w:line="360" w:lineRule="auto"/>
        <w:rPr>
          <w:rFonts w:ascii="宋体" w:hAnsi="宋体" w:cs="宋体"/>
          <w:color w:val="auto"/>
          <w:sz w:val="24"/>
          <w:highlight w:val="none"/>
        </w:rPr>
      </w:pPr>
      <w:r>
        <w:rPr>
          <w:rFonts w:hint="eastAsia" w:ascii="宋体" w:hAnsi="宋体" w:cs="宋体"/>
          <w:color w:val="auto"/>
          <w:sz w:val="24"/>
          <w:highlight w:val="none"/>
        </w:rPr>
        <w:tab/>
      </w:r>
      <w:r>
        <w:rPr>
          <w:rFonts w:hint="eastAsia" w:ascii="宋体" w:hAnsi="宋体" w:cs="宋体"/>
          <w:color w:val="auto"/>
          <w:sz w:val="24"/>
          <w:highlight w:val="none"/>
        </w:rPr>
        <w:t>根据维保合同约定，定期提交维护保养计划并进行现场维护保养</w:t>
      </w:r>
    </w:p>
    <w:p>
      <w:pPr>
        <w:adjustRightInd w:val="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3 消防系统维保的服务要求</w:t>
      </w:r>
    </w:p>
    <w:p>
      <w:pPr>
        <w:adjustRightInd w:val="0"/>
        <w:spacing w:line="360" w:lineRule="auto"/>
        <w:ind w:firstLine="420"/>
        <w:rPr>
          <w:rFonts w:ascii="宋体" w:hAnsi="宋体" w:cs="宋体"/>
          <w:color w:val="auto"/>
          <w:sz w:val="24"/>
          <w:highlight w:val="none"/>
        </w:rPr>
      </w:pPr>
      <w:r>
        <w:rPr>
          <w:rFonts w:hint="eastAsia" w:ascii="宋体" w:hAnsi="宋体" w:cs="宋体"/>
          <w:color w:val="auto"/>
          <w:sz w:val="24"/>
          <w:highlight w:val="none"/>
        </w:rPr>
        <w:t>3.1 必须确保消防设备100%的完好率。</w:t>
      </w:r>
    </w:p>
    <w:p>
      <w:pPr>
        <w:adjustRightInd w:val="0"/>
        <w:spacing w:line="360" w:lineRule="auto"/>
        <w:ind w:firstLine="420"/>
        <w:rPr>
          <w:rFonts w:ascii="宋体" w:hAnsi="宋体" w:cs="宋体"/>
          <w:color w:val="auto"/>
          <w:sz w:val="24"/>
          <w:highlight w:val="none"/>
        </w:rPr>
      </w:pPr>
      <w:r>
        <w:rPr>
          <w:rFonts w:hint="eastAsia" w:ascii="宋体" w:hAnsi="宋体" w:cs="宋体"/>
          <w:color w:val="auto"/>
          <w:sz w:val="24"/>
          <w:highlight w:val="none"/>
        </w:rPr>
        <w:t>3.2 故障应在24小时内处理，紧急事件要求2小时内必须到达现场。</w:t>
      </w:r>
    </w:p>
    <w:p>
      <w:pPr>
        <w:adjustRightInd w:val="0"/>
        <w:spacing w:line="360" w:lineRule="auto"/>
        <w:ind w:firstLine="420"/>
        <w:rPr>
          <w:rFonts w:ascii="宋体" w:hAnsi="宋体" w:cs="宋体"/>
          <w:color w:val="auto"/>
          <w:sz w:val="24"/>
          <w:highlight w:val="none"/>
        </w:rPr>
      </w:pPr>
      <w:r>
        <w:rPr>
          <w:rFonts w:hint="eastAsia" w:ascii="宋体" w:hAnsi="宋体" w:cs="宋体"/>
          <w:color w:val="auto"/>
          <w:sz w:val="24"/>
          <w:highlight w:val="none"/>
        </w:rPr>
        <w:t>3.3 消除故障如需更换设备，其性能须经国家指定检验机构检验合格，有相关证明资料或说明。</w:t>
      </w:r>
    </w:p>
    <w:p>
      <w:pPr>
        <w:adjustRightInd w:val="0"/>
        <w:spacing w:line="360" w:lineRule="auto"/>
        <w:ind w:firstLine="420"/>
        <w:rPr>
          <w:rFonts w:ascii="宋体" w:hAnsi="宋体" w:cs="宋体"/>
          <w:color w:val="auto"/>
          <w:sz w:val="24"/>
          <w:highlight w:val="none"/>
        </w:rPr>
      </w:pPr>
      <w:r>
        <w:rPr>
          <w:rFonts w:hint="eastAsia" w:ascii="宋体" w:hAnsi="宋体" w:cs="宋体"/>
          <w:color w:val="auto"/>
          <w:sz w:val="24"/>
          <w:highlight w:val="none"/>
        </w:rPr>
        <w:t>3.4 确保维保工作的各项工作记录或表格完善。</w:t>
      </w:r>
    </w:p>
    <w:p>
      <w:pPr>
        <w:adjustRightInd w:val="0"/>
        <w:spacing w:line="360" w:lineRule="auto"/>
        <w:ind w:firstLine="420"/>
        <w:rPr>
          <w:rFonts w:ascii="宋体" w:hAnsi="宋体" w:cs="宋体"/>
          <w:color w:val="auto"/>
          <w:sz w:val="24"/>
          <w:highlight w:val="none"/>
        </w:rPr>
      </w:pPr>
      <w:r>
        <w:rPr>
          <w:rFonts w:hint="eastAsia" w:ascii="宋体" w:hAnsi="宋体" w:cs="宋体"/>
          <w:color w:val="auto"/>
          <w:sz w:val="24"/>
          <w:highlight w:val="none"/>
        </w:rPr>
        <w:t>3.5 每季度对维保项目消防值班人员及有关工作人员进行消防知识的培训。</w:t>
      </w:r>
    </w:p>
    <w:p>
      <w:pPr>
        <w:adjustRightInd w:val="0"/>
        <w:spacing w:line="360" w:lineRule="auto"/>
        <w:ind w:firstLine="420"/>
        <w:rPr>
          <w:rFonts w:ascii="宋体" w:hAnsi="宋体" w:cs="宋体"/>
          <w:color w:val="auto"/>
          <w:sz w:val="24"/>
          <w:highlight w:val="none"/>
        </w:rPr>
      </w:pPr>
      <w:r>
        <w:rPr>
          <w:rFonts w:hint="eastAsia" w:ascii="宋体" w:hAnsi="宋体" w:cs="宋体"/>
          <w:color w:val="auto"/>
          <w:sz w:val="24"/>
          <w:highlight w:val="none"/>
        </w:rPr>
        <w:t>3.5 配合消防监督部门的年检工作。</w:t>
      </w:r>
    </w:p>
    <w:p>
      <w:pPr>
        <w:adjustRightInd w:val="0"/>
        <w:spacing w:line="360" w:lineRule="auto"/>
        <w:ind w:firstLine="420"/>
        <w:rPr>
          <w:rFonts w:ascii="宋体" w:hAnsi="宋体" w:cs="宋体"/>
          <w:color w:val="auto"/>
          <w:sz w:val="24"/>
          <w:highlight w:val="none"/>
        </w:rPr>
      </w:pPr>
      <w:r>
        <w:rPr>
          <w:rFonts w:hint="eastAsia" w:ascii="宋体" w:hAnsi="宋体" w:cs="宋体"/>
          <w:color w:val="auto"/>
          <w:sz w:val="24"/>
          <w:highlight w:val="none"/>
        </w:rPr>
        <w:t>3.6 组织或配合进行消防演练。</w:t>
      </w:r>
    </w:p>
    <w:p>
      <w:pPr>
        <w:adjustRightInd w:val="0"/>
        <w:spacing w:line="360" w:lineRule="auto"/>
        <w:ind w:firstLine="420"/>
        <w:rPr>
          <w:rFonts w:ascii="宋体" w:hAnsi="宋体" w:cs="宋体"/>
          <w:color w:val="auto"/>
          <w:sz w:val="24"/>
          <w:highlight w:val="none"/>
        </w:rPr>
      </w:pPr>
      <w:r>
        <w:rPr>
          <w:rFonts w:hint="eastAsia" w:ascii="宋体" w:hAnsi="宋体" w:cs="宋体"/>
          <w:color w:val="auto"/>
          <w:sz w:val="24"/>
          <w:highlight w:val="none"/>
        </w:rPr>
        <w:t>3.7 消防设备、器材应根据使用场所有环境条件和产品的技术性能要求及时进行保养和更换。对易腐蚀生锈的消防设备、管道、阀门应定期清洁、除锈、注润滑剂。</w:t>
      </w:r>
    </w:p>
    <w:p>
      <w:pPr>
        <w:adjustRightInd w:val="0"/>
        <w:spacing w:line="360" w:lineRule="auto"/>
        <w:ind w:firstLine="420"/>
        <w:rPr>
          <w:rFonts w:ascii="宋体" w:hAnsi="宋体" w:cs="宋体"/>
          <w:color w:val="auto"/>
          <w:sz w:val="24"/>
          <w:highlight w:val="none"/>
        </w:rPr>
      </w:pPr>
      <w:r>
        <w:rPr>
          <w:rFonts w:hint="eastAsia" w:ascii="宋体" w:hAnsi="宋体" w:cs="宋体"/>
          <w:color w:val="auto"/>
          <w:sz w:val="24"/>
          <w:highlight w:val="none"/>
        </w:rPr>
        <w:t>3.8 维修项目需要的新安装设备、更换设备及相关维修消耗材料运行管理维护项目1000元以下所需维修零配件，由中标方承担，超出标准以上维修零配件另行计算。</w:t>
      </w:r>
    </w:p>
    <w:p>
      <w:pPr>
        <w:spacing w:line="360" w:lineRule="auto"/>
        <w:jc w:val="lef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val="en-US" w:eastAsia="zh-CN"/>
        </w:rPr>
        <w:t>4</w:t>
      </w:r>
      <w:r>
        <w:rPr>
          <w:rFonts w:hint="eastAsia" w:ascii="宋体" w:hAnsi="宋体" w:cs="宋体"/>
          <w:color w:val="auto"/>
          <w:sz w:val="28"/>
          <w:szCs w:val="28"/>
          <w:highlight w:val="none"/>
        </w:rPr>
        <w:t xml:space="preserve"> </w:t>
      </w:r>
      <w:r>
        <w:rPr>
          <w:rFonts w:hint="eastAsia" w:ascii="宋体" w:hAnsi="宋体" w:cs="宋体"/>
          <w:color w:val="auto"/>
          <w:sz w:val="28"/>
          <w:szCs w:val="28"/>
          <w:highlight w:val="none"/>
          <w:lang w:eastAsia="zh-CN"/>
        </w:rPr>
        <w:t>消防维保团队</w:t>
      </w:r>
    </w:p>
    <w:p>
      <w:pPr>
        <w:keepNext w:val="0"/>
        <w:keepLines w:val="0"/>
        <w:pageBreakBefore w:val="0"/>
        <w:widowControl w:val="0"/>
        <w:kinsoku/>
        <w:wordWrap/>
        <w:overflowPunct/>
        <w:topLinePunct w:val="0"/>
        <w:autoSpaceDE/>
        <w:autoSpaceDN/>
        <w:bidi w:val="0"/>
        <w:adjustRightInd/>
        <w:snapToGrid/>
        <w:spacing w:line="360" w:lineRule="auto"/>
        <w:ind w:firstLine="420"/>
        <w:jc w:val="left"/>
        <w:textAlignment w:val="auto"/>
        <w:rPr>
          <w:rFonts w:ascii="宋体" w:hAnsi="宋体" w:cs="宋体"/>
          <w:b/>
          <w:color w:val="auto"/>
          <w:sz w:val="28"/>
          <w:szCs w:val="28"/>
          <w:highlight w:val="none"/>
        </w:rPr>
      </w:pPr>
      <w:r>
        <w:rPr>
          <w:rFonts w:hint="eastAsia" w:ascii="宋体" w:hAnsi="宋体" w:eastAsia="宋体" w:cs="宋体"/>
          <w:color w:val="auto"/>
          <w:sz w:val="24"/>
          <w:highlight w:val="none"/>
        </w:rPr>
        <w:t>乙方设置专业维保团队，提供5人（含）以上专业维保团队，团队人员由项目负责人1人、中级技能（四级）及以上消防设施操作员4人（含）以上及其他人员（若有）组成，</w:t>
      </w:r>
      <w:r>
        <w:rPr>
          <w:rFonts w:hint="eastAsia" w:ascii="宋体" w:hAnsi="宋体" w:eastAsia="宋体" w:cs="宋体"/>
          <w:color w:val="auto"/>
          <w:sz w:val="24"/>
          <w:highlight w:val="none"/>
          <w:lang w:eastAsia="zh-CN"/>
        </w:rPr>
        <w:t>实行消控室</w:t>
      </w:r>
      <w:r>
        <w:rPr>
          <w:rFonts w:hint="eastAsia" w:ascii="宋体" w:hAnsi="宋体" w:eastAsia="宋体" w:cs="宋体"/>
          <w:color w:val="auto"/>
          <w:sz w:val="24"/>
          <w:highlight w:val="none"/>
          <w:lang w:val="en-US" w:eastAsia="zh-CN"/>
        </w:rPr>
        <w:t>24小时双人值班制度，</w:t>
      </w:r>
      <w:r>
        <w:rPr>
          <w:rFonts w:hint="eastAsia" w:ascii="宋体" w:hAnsi="宋体" w:eastAsia="宋体" w:cs="宋体"/>
          <w:color w:val="auto"/>
          <w:sz w:val="24"/>
          <w:highlight w:val="none"/>
          <w:lang w:eastAsia="zh-CN"/>
        </w:rPr>
        <w:t>每日夜间对办公区进行巡查与</w:t>
      </w:r>
      <w:r>
        <w:rPr>
          <w:rFonts w:hint="eastAsia" w:ascii="宋体" w:hAnsi="宋体" w:eastAsia="宋体" w:cs="宋体"/>
          <w:color w:val="auto"/>
          <w:sz w:val="24"/>
          <w:highlight w:val="none"/>
          <w:lang w:val="en-US" w:eastAsia="zh-CN"/>
        </w:rPr>
        <w:t>值班值守，</w:t>
      </w:r>
      <w:r>
        <w:rPr>
          <w:rFonts w:hint="eastAsia" w:ascii="宋体" w:hAnsi="宋体" w:eastAsia="宋体" w:cs="宋体"/>
          <w:color w:val="auto"/>
          <w:sz w:val="24"/>
          <w:highlight w:val="none"/>
        </w:rPr>
        <w:t xml:space="preserve">每月负责对各类消防设施进行检修，对消防设备进行日常的监测、定期进行维护保养，保证消防设备正常运转，并按期向上级消防部门报告消防维保情况。 </w:t>
      </w:r>
      <w:r>
        <w:rPr>
          <w:rFonts w:hint="eastAsia" w:ascii="宋体" w:hAnsi="宋体" w:eastAsia="宋体" w:cs="宋体"/>
          <w:color w:val="auto"/>
          <w:sz w:val="24"/>
          <w:highlight w:val="none"/>
        </w:rPr>
        <w:br w:type="page"/>
      </w:r>
      <w:r>
        <w:rPr>
          <w:rFonts w:hint="eastAsia" w:ascii="宋体" w:hAnsi="宋体" w:cs="宋体"/>
          <w:b/>
          <w:color w:val="auto"/>
          <w:sz w:val="28"/>
          <w:szCs w:val="28"/>
          <w:highlight w:val="none"/>
        </w:rPr>
        <w:t>维护保养具体工作内容及程序要点</w:t>
      </w:r>
    </w:p>
    <w:p>
      <w:pPr>
        <w:spacing w:line="360" w:lineRule="auto"/>
        <w:rPr>
          <w:rFonts w:ascii="宋体" w:hAnsi="宋体" w:cs="宋体"/>
          <w:b/>
          <w:bCs/>
          <w:color w:val="auto"/>
          <w:sz w:val="28"/>
          <w:szCs w:val="28"/>
          <w:highlight w:val="none"/>
        </w:rPr>
      </w:pPr>
      <w:r>
        <w:rPr>
          <w:rFonts w:hint="eastAsia" w:ascii="宋体" w:hAnsi="宋体" w:cs="宋体"/>
          <w:b/>
          <w:bCs/>
          <w:color w:val="auto"/>
          <w:sz w:val="28"/>
          <w:szCs w:val="28"/>
          <w:highlight w:val="none"/>
        </w:rPr>
        <w:t>1、火灾自动报警与消防联动控制系统</w:t>
      </w:r>
    </w:p>
    <w:p>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rPr>
        <w:t>1.1检查烟感、温感、探头是否完好。（每月）</w:t>
      </w:r>
    </w:p>
    <w:p>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rPr>
        <w:t>1.2检查手动报警按钮是否变形，玻璃有无破损。（每月）</w:t>
      </w:r>
    </w:p>
    <w:p>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rPr>
        <w:t>1.3巡检火灾自动报警控制器、显示器的功能。（每月）</w:t>
      </w:r>
    </w:p>
    <w:p>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rPr>
        <w:t>1.4巡检探测器、手动报警按钮的功能。（每月）</w:t>
      </w:r>
    </w:p>
    <w:p>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rPr>
        <w:t>1.5进行火灾模拟试验，采用喷烟雾或磁石测试，抽查不少于5%的探头及5%的手动报警站、破玻按钮。（每季度）</w:t>
      </w:r>
    </w:p>
    <w:p>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rPr>
        <w:t>1.6检查火警时在自动状态下能否及时准确显示报警地址、类型和发出警报（警铃呜响）。（每季度）</w:t>
      </w:r>
    </w:p>
    <w:p>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rPr>
        <w:t>1.7检查火警时在自动状态下能否准确联动相关消防设备，如：起动消防栓泵、喷淋泵、打开风阀、联动风机、关闭防火门（无防火门监控系统）、接通广播、启动警铃、电梯迫降等。（每季度）</w:t>
      </w:r>
    </w:p>
    <w:p>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rPr>
        <w:t>1.8检查火警时消防中心能否接收到各设备动作后的反馈信号。（每季度）</w:t>
      </w:r>
    </w:p>
    <w:p>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rPr>
        <w:t>1.9对报警控制器、各楼层消防控制线路接线箱、联动控制柜进行清洁保养。（每季度）</w:t>
      </w:r>
    </w:p>
    <w:p>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rPr>
        <w:t>1.10对报警控制器、各楼层消防控制线路接线箱、联动控制柜、通讯主机内电器元件进行清洁保养。（每半年）</w:t>
      </w:r>
    </w:p>
    <w:p>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rPr>
        <w:t>1.11进行强切非消防电源功能试验。（每半年）</w:t>
      </w:r>
    </w:p>
    <w:p>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rPr>
        <w:t>1.12对备用电源进行充放电试验，主电源和备用电源切换试验。检查内容包括：消防联动控制柜、消防主机、通讯主机、CRT平面显示系统。（每半年）</w:t>
      </w:r>
    </w:p>
    <w:p>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rPr>
        <w:t>上述工作均按工程程序进行记录存档。</w:t>
      </w:r>
    </w:p>
    <w:p>
      <w:pP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2、消火栓、自动喷淋灭火系统</w:t>
      </w:r>
    </w:p>
    <w:p>
      <w:pPr>
        <w:spacing w:line="360" w:lineRule="auto"/>
        <w:ind w:firstLine="560"/>
        <w:rPr>
          <w:rFonts w:ascii="宋体" w:hAnsi="宋体" w:cs="宋体"/>
          <w:color w:val="auto"/>
          <w:sz w:val="24"/>
          <w:highlight w:val="none"/>
        </w:rPr>
      </w:pPr>
      <w:r>
        <w:rPr>
          <w:rFonts w:hint="eastAsia" w:ascii="宋体" w:hAnsi="宋体" w:cs="宋体"/>
          <w:color w:val="auto"/>
          <w:sz w:val="24"/>
          <w:highlight w:val="none"/>
        </w:rPr>
        <w:t>2.1检查消火栓箱及配置的消防部件，外观是否破损，涂层有无脱落，周围有无障碍物。（每月）</w:t>
      </w:r>
    </w:p>
    <w:p>
      <w:pPr>
        <w:spacing w:line="360" w:lineRule="auto"/>
        <w:ind w:firstLine="560"/>
        <w:rPr>
          <w:rFonts w:ascii="宋体" w:hAnsi="宋体" w:cs="宋体"/>
          <w:color w:val="auto"/>
          <w:sz w:val="24"/>
          <w:highlight w:val="none"/>
        </w:rPr>
      </w:pPr>
      <w:r>
        <w:rPr>
          <w:rFonts w:hint="eastAsia" w:ascii="宋体" w:hAnsi="宋体" w:cs="宋体"/>
          <w:color w:val="auto"/>
          <w:sz w:val="24"/>
          <w:highlight w:val="none"/>
        </w:rPr>
        <w:t>2.2检查箱内消防水枪、水带、消防卷盘及全部附件是否齐全、良好；水带是否霉烂，水枪内是否有杂物，消火栓水带水枪接口处的密封是否老化，卷盘是否有漏水现象及转动是否灵活。（每月）可以抽查</w:t>
      </w:r>
    </w:p>
    <w:p>
      <w:pPr>
        <w:spacing w:line="360" w:lineRule="auto"/>
        <w:ind w:firstLine="560"/>
        <w:rPr>
          <w:rFonts w:ascii="宋体" w:hAnsi="宋体" w:cs="宋体"/>
          <w:color w:val="auto"/>
          <w:sz w:val="24"/>
          <w:highlight w:val="none"/>
        </w:rPr>
      </w:pPr>
      <w:r>
        <w:rPr>
          <w:rFonts w:hint="eastAsia" w:ascii="宋体" w:hAnsi="宋体" w:cs="宋体"/>
          <w:color w:val="auto"/>
          <w:sz w:val="24"/>
          <w:highlight w:val="none"/>
        </w:rPr>
        <w:t>2.3检查减压阀高、低压端压力表读数是否处于正常范围。（每月）</w:t>
      </w:r>
    </w:p>
    <w:p>
      <w:pPr>
        <w:spacing w:line="360" w:lineRule="auto"/>
        <w:ind w:firstLine="560"/>
        <w:rPr>
          <w:rFonts w:ascii="宋体" w:hAnsi="宋体" w:cs="宋体"/>
          <w:color w:val="auto"/>
          <w:sz w:val="24"/>
          <w:highlight w:val="none"/>
        </w:rPr>
      </w:pPr>
      <w:r>
        <w:rPr>
          <w:rFonts w:hint="eastAsia" w:ascii="宋体" w:hAnsi="宋体" w:cs="宋体"/>
          <w:color w:val="auto"/>
          <w:sz w:val="24"/>
          <w:highlight w:val="none"/>
        </w:rPr>
        <w:t>2.4检查消防栓管道上各阀门是否处于正确的位置，管道接口及阀门是否有漏水和锈蚀现象。（每月）</w:t>
      </w:r>
    </w:p>
    <w:p>
      <w:pPr>
        <w:spacing w:line="360" w:lineRule="auto"/>
        <w:ind w:firstLine="560"/>
        <w:rPr>
          <w:rFonts w:ascii="宋体" w:hAnsi="宋体" w:cs="宋体"/>
          <w:color w:val="auto"/>
          <w:sz w:val="24"/>
          <w:highlight w:val="none"/>
        </w:rPr>
      </w:pPr>
      <w:r>
        <w:rPr>
          <w:rFonts w:hint="eastAsia" w:ascii="宋体" w:hAnsi="宋体" w:cs="宋体"/>
          <w:color w:val="auto"/>
          <w:sz w:val="24"/>
          <w:highlight w:val="none"/>
        </w:rPr>
        <w:t>2.5检查贮水池储水量是否满足要求。（每月）</w:t>
      </w:r>
    </w:p>
    <w:p>
      <w:pPr>
        <w:spacing w:line="360" w:lineRule="auto"/>
        <w:ind w:firstLine="560"/>
        <w:rPr>
          <w:rFonts w:ascii="宋体" w:hAnsi="宋体" w:cs="宋体"/>
          <w:color w:val="auto"/>
          <w:sz w:val="24"/>
          <w:highlight w:val="none"/>
        </w:rPr>
      </w:pPr>
      <w:r>
        <w:rPr>
          <w:rFonts w:hint="eastAsia" w:ascii="宋体" w:hAnsi="宋体" w:cs="宋体"/>
          <w:color w:val="auto"/>
          <w:sz w:val="24"/>
          <w:highlight w:val="none"/>
        </w:rPr>
        <w:t>2.6启动各台消火栓泵，试验运行，试验完毕后，在最不利的消防栓放水，观察其出水压力及流量是否足够。（每月）</w:t>
      </w:r>
    </w:p>
    <w:p>
      <w:pPr>
        <w:spacing w:line="360" w:lineRule="auto"/>
        <w:ind w:firstLine="560"/>
        <w:rPr>
          <w:rFonts w:ascii="宋体" w:hAnsi="宋体" w:cs="宋体"/>
          <w:color w:val="auto"/>
          <w:sz w:val="24"/>
          <w:highlight w:val="none"/>
        </w:rPr>
      </w:pPr>
      <w:r>
        <w:rPr>
          <w:rFonts w:hint="eastAsia" w:ascii="宋体" w:hAnsi="宋体" w:cs="宋体"/>
          <w:color w:val="auto"/>
          <w:sz w:val="24"/>
          <w:highlight w:val="none"/>
        </w:rPr>
        <w:t>2.7检查消火栓水泵接合器，保证接口完好、无渗漏，检查密封垫是否老化。（每月）</w:t>
      </w:r>
    </w:p>
    <w:p>
      <w:pPr>
        <w:spacing w:line="360" w:lineRule="auto"/>
        <w:ind w:firstLine="560"/>
        <w:rPr>
          <w:rFonts w:ascii="宋体" w:hAnsi="宋体" w:cs="宋体"/>
          <w:color w:val="auto"/>
          <w:sz w:val="24"/>
          <w:highlight w:val="none"/>
        </w:rPr>
      </w:pPr>
      <w:r>
        <w:rPr>
          <w:rFonts w:hint="eastAsia" w:ascii="宋体" w:hAnsi="宋体" w:cs="宋体"/>
          <w:color w:val="auto"/>
          <w:sz w:val="24"/>
          <w:highlight w:val="none"/>
        </w:rPr>
        <w:t>2.8检查消防中心、现场水泵房及消防水泵控制柜线路。（每月）</w:t>
      </w:r>
    </w:p>
    <w:p>
      <w:pPr>
        <w:spacing w:line="360" w:lineRule="auto"/>
        <w:ind w:firstLine="560"/>
        <w:rPr>
          <w:rFonts w:ascii="宋体" w:hAnsi="宋体" w:cs="宋体"/>
          <w:color w:val="auto"/>
          <w:sz w:val="24"/>
          <w:highlight w:val="none"/>
        </w:rPr>
      </w:pPr>
      <w:r>
        <w:rPr>
          <w:rFonts w:hint="eastAsia" w:ascii="宋体" w:hAnsi="宋体" w:cs="宋体"/>
          <w:color w:val="auto"/>
          <w:sz w:val="24"/>
          <w:highlight w:val="none"/>
        </w:rPr>
        <w:t>2.9检查和测试消防栓系统和喷淋系统的自动满载运行状况。（每月）</w:t>
      </w:r>
    </w:p>
    <w:p>
      <w:pPr>
        <w:spacing w:line="360" w:lineRule="auto"/>
        <w:ind w:firstLine="560"/>
        <w:rPr>
          <w:rFonts w:ascii="宋体" w:hAnsi="宋体" w:cs="宋体"/>
          <w:color w:val="auto"/>
          <w:sz w:val="24"/>
          <w:highlight w:val="none"/>
        </w:rPr>
      </w:pPr>
      <w:r>
        <w:rPr>
          <w:rFonts w:hint="eastAsia" w:ascii="宋体" w:hAnsi="宋体" w:cs="宋体"/>
          <w:color w:val="auto"/>
          <w:sz w:val="24"/>
          <w:highlight w:val="none"/>
        </w:rPr>
        <w:t>2.10在正常情况下，维护管理人员应定期对进水阀、报警阀进行外观检查并应保证系统处于无故障状态。（每月）</w:t>
      </w:r>
    </w:p>
    <w:p>
      <w:pPr>
        <w:spacing w:line="360" w:lineRule="auto"/>
        <w:ind w:firstLine="560"/>
        <w:rPr>
          <w:rFonts w:ascii="宋体" w:hAnsi="宋体" w:cs="宋体"/>
          <w:color w:val="auto"/>
          <w:sz w:val="24"/>
          <w:highlight w:val="none"/>
        </w:rPr>
      </w:pPr>
      <w:r>
        <w:rPr>
          <w:rFonts w:hint="eastAsia" w:ascii="宋体" w:hAnsi="宋体" w:cs="宋体"/>
          <w:color w:val="auto"/>
          <w:sz w:val="24"/>
          <w:highlight w:val="none"/>
        </w:rPr>
        <w:t>2.11检查喷淋管道上各阀门是否处于正确位置。（每月）</w:t>
      </w:r>
    </w:p>
    <w:p>
      <w:pPr>
        <w:spacing w:line="360" w:lineRule="auto"/>
        <w:ind w:firstLine="560"/>
        <w:rPr>
          <w:rFonts w:ascii="宋体" w:hAnsi="宋体" w:cs="宋体"/>
          <w:color w:val="auto"/>
          <w:sz w:val="24"/>
          <w:highlight w:val="none"/>
        </w:rPr>
      </w:pPr>
      <w:r>
        <w:rPr>
          <w:rFonts w:hint="eastAsia" w:ascii="宋体" w:hAnsi="宋体" w:cs="宋体"/>
          <w:color w:val="auto"/>
          <w:sz w:val="24"/>
          <w:highlight w:val="none"/>
        </w:rPr>
        <w:t>2.12检查喷淋水泵接合器的接口及附件，并保证接口完好、无渗漏，检查密封垫是否老化。（每月）</w:t>
      </w:r>
    </w:p>
    <w:p>
      <w:pPr>
        <w:spacing w:line="360" w:lineRule="auto"/>
        <w:ind w:firstLine="560"/>
        <w:rPr>
          <w:rFonts w:ascii="宋体" w:hAnsi="宋体" w:cs="宋体"/>
          <w:color w:val="auto"/>
          <w:sz w:val="24"/>
          <w:highlight w:val="none"/>
        </w:rPr>
      </w:pPr>
      <w:r>
        <w:rPr>
          <w:rFonts w:hint="eastAsia" w:ascii="宋体" w:hAnsi="宋体" w:cs="宋体"/>
          <w:color w:val="auto"/>
          <w:sz w:val="24"/>
          <w:highlight w:val="none"/>
        </w:rPr>
        <w:t>2.13启动稳压泵，观察压力上升是否正常，消防控制中心能否显示其动作信号，人工放水观察稳压泵自动起动和停止后的压力是否正常。（每月）</w:t>
      </w:r>
    </w:p>
    <w:p>
      <w:pPr>
        <w:spacing w:line="360" w:lineRule="auto"/>
        <w:ind w:firstLine="560"/>
        <w:rPr>
          <w:rFonts w:ascii="宋体" w:hAnsi="宋体" w:cs="宋体"/>
          <w:color w:val="auto"/>
          <w:sz w:val="24"/>
          <w:highlight w:val="none"/>
        </w:rPr>
      </w:pPr>
      <w:r>
        <w:rPr>
          <w:rFonts w:hint="eastAsia" w:ascii="宋体" w:hAnsi="宋体" w:cs="宋体"/>
          <w:color w:val="auto"/>
          <w:sz w:val="24"/>
          <w:highlight w:val="none"/>
        </w:rPr>
        <w:t>2.14消火栓和消防卷盘供水阀有无渗漏现象。（每月）抽查</w:t>
      </w:r>
    </w:p>
    <w:p>
      <w:pPr>
        <w:spacing w:line="360" w:lineRule="auto"/>
        <w:ind w:firstLine="560"/>
        <w:rPr>
          <w:rFonts w:ascii="宋体" w:hAnsi="宋体" w:cs="宋体"/>
          <w:color w:val="auto"/>
          <w:sz w:val="24"/>
          <w:highlight w:val="none"/>
        </w:rPr>
      </w:pPr>
      <w:r>
        <w:rPr>
          <w:rFonts w:hint="eastAsia" w:ascii="宋体" w:hAnsi="宋体" w:cs="宋体"/>
          <w:color w:val="auto"/>
          <w:sz w:val="24"/>
          <w:highlight w:val="none"/>
        </w:rPr>
        <w:t>2.15报警按钮、指示灯及控制线路功能正常，无故障。（每月）</w:t>
      </w:r>
    </w:p>
    <w:p>
      <w:pPr>
        <w:spacing w:line="360" w:lineRule="auto"/>
        <w:ind w:firstLine="560"/>
        <w:rPr>
          <w:rFonts w:ascii="宋体" w:hAnsi="宋体" w:cs="宋体"/>
          <w:color w:val="auto"/>
          <w:sz w:val="24"/>
          <w:highlight w:val="none"/>
        </w:rPr>
      </w:pPr>
      <w:r>
        <w:rPr>
          <w:rFonts w:hint="eastAsia" w:ascii="宋体" w:hAnsi="宋体" w:cs="宋体"/>
          <w:color w:val="auto"/>
          <w:sz w:val="24"/>
          <w:highlight w:val="none"/>
        </w:rPr>
        <w:t>2.16钢板消防水箱和气压给水设备的玻璃水位，两端的角阀，在不进行水位观察时是否关闭。（每月）</w:t>
      </w:r>
    </w:p>
    <w:p>
      <w:pPr>
        <w:spacing w:line="360" w:lineRule="auto"/>
        <w:ind w:firstLine="560"/>
        <w:rPr>
          <w:rFonts w:ascii="宋体" w:hAnsi="宋体" w:cs="宋体"/>
          <w:color w:val="auto"/>
          <w:sz w:val="24"/>
          <w:highlight w:val="none"/>
        </w:rPr>
      </w:pPr>
      <w:r>
        <w:rPr>
          <w:rFonts w:hint="eastAsia" w:ascii="宋体" w:hAnsi="宋体" w:cs="宋体"/>
          <w:color w:val="auto"/>
          <w:sz w:val="24"/>
          <w:highlight w:val="none"/>
        </w:rPr>
        <w:t>2.17检查消防泵和喷淋泵启动时，消防控制中心能否显示其动作信号，自动状态时，消防控制中心能否控制其启动和停止。（每季度）</w:t>
      </w:r>
    </w:p>
    <w:p>
      <w:pPr>
        <w:spacing w:line="360" w:lineRule="auto"/>
        <w:ind w:firstLine="560"/>
        <w:rPr>
          <w:rFonts w:ascii="宋体" w:hAnsi="宋体" w:cs="宋体"/>
          <w:color w:val="auto"/>
          <w:sz w:val="24"/>
          <w:highlight w:val="none"/>
        </w:rPr>
      </w:pPr>
      <w:r>
        <w:rPr>
          <w:rFonts w:hint="eastAsia" w:ascii="宋体" w:hAnsi="宋体" w:cs="宋体"/>
          <w:color w:val="auto"/>
          <w:sz w:val="24"/>
          <w:highlight w:val="none"/>
        </w:rPr>
        <w:t>2.18对消火栓箱及水泵控制柜和水泵控制柜内元件进行清洁保养。（每季度）</w:t>
      </w:r>
    </w:p>
    <w:p>
      <w:pPr>
        <w:spacing w:line="360" w:lineRule="auto"/>
        <w:ind w:firstLine="560"/>
        <w:rPr>
          <w:rFonts w:ascii="宋体" w:hAnsi="宋体" w:cs="宋体"/>
          <w:color w:val="auto"/>
          <w:sz w:val="24"/>
          <w:highlight w:val="none"/>
        </w:rPr>
      </w:pPr>
      <w:r>
        <w:rPr>
          <w:rFonts w:hint="eastAsia" w:ascii="宋体" w:hAnsi="宋体" w:cs="宋体"/>
          <w:color w:val="auto"/>
          <w:sz w:val="24"/>
          <w:highlight w:val="none"/>
        </w:rPr>
        <w:t>2.19清洗保养减压阀、止回阀及给所有水泵各种转轴的连动构件。（每季度）</w:t>
      </w:r>
    </w:p>
    <w:p>
      <w:pPr>
        <w:spacing w:line="360" w:lineRule="auto"/>
        <w:ind w:firstLine="560"/>
        <w:rPr>
          <w:rFonts w:ascii="宋体" w:hAnsi="宋体" w:cs="宋体"/>
          <w:color w:val="auto"/>
          <w:sz w:val="24"/>
          <w:highlight w:val="none"/>
        </w:rPr>
      </w:pPr>
      <w:r>
        <w:rPr>
          <w:rFonts w:hint="eastAsia" w:ascii="宋体" w:hAnsi="宋体" w:cs="宋体"/>
          <w:color w:val="auto"/>
          <w:sz w:val="24"/>
          <w:highlight w:val="none"/>
        </w:rPr>
        <w:t>2.20检查消防水池、消防水箱及消防气压给水设备，并检查其消防储备水位。（每季度）</w:t>
      </w:r>
    </w:p>
    <w:p>
      <w:pPr>
        <w:spacing w:line="360" w:lineRule="auto"/>
        <w:ind w:firstLine="560"/>
        <w:rPr>
          <w:rFonts w:ascii="宋体" w:hAnsi="宋体" w:cs="宋体"/>
          <w:color w:val="auto"/>
          <w:sz w:val="24"/>
          <w:highlight w:val="none"/>
        </w:rPr>
      </w:pPr>
      <w:r>
        <w:rPr>
          <w:rFonts w:hint="eastAsia" w:ascii="宋体" w:hAnsi="宋体" w:cs="宋体"/>
          <w:color w:val="auto"/>
          <w:sz w:val="24"/>
          <w:highlight w:val="none"/>
        </w:rPr>
        <w:t>2.21对消防储水设备进行检查，修补缺损和重新油漆。（每季度）</w:t>
      </w:r>
    </w:p>
    <w:p>
      <w:pPr>
        <w:spacing w:line="360" w:lineRule="auto"/>
        <w:ind w:firstLine="560"/>
        <w:rPr>
          <w:rFonts w:ascii="宋体" w:hAnsi="宋体" w:cs="宋体"/>
          <w:color w:val="auto"/>
          <w:sz w:val="24"/>
          <w:highlight w:val="none"/>
        </w:rPr>
      </w:pPr>
      <w:r>
        <w:rPr>
          <w:rFonts w:hint="eastAsia" w:ascii="宋体" w:hAnsi="宋体" w:cs="宋体"/>
          <w:color w:val="auto"/>
          <w:sz w:val="24"/>
          <w:highlight w:val="none"/>
        </w:rPr>
        <w:t>2.22对喷头进行检查，当喷头上有异物时，应及时清除，更换或安装喷头应使用专用扳手，各种不同规格的喷头均应有一定数量的备用品，其数量不应少于安装数量的1%，且每种喷头的数量不应少于10个。（每季度）</w:t>
      </w:r>
    </w:p>
    <w:p>
      <w:pPr>
        <w:spacing w:line="360" w:lineRule="auto"/>
        <w:ind w:firstLine="560"/>
        <w:rPr>
          <w:rFonts w:ascii="宋体" w:hAnsi="宋体" w:cs="宋体"/>
          <w:color w:val="auto"/>
          <w:sz w:val="24"/>
          <w:highlight w:val="none"/>
        </w:rPr>
      </w:pPr>
      <w:r>
        <w:rPr>
          <w:rFonts w:hint="eastAsia" w:ascii="宋体" w:hAnsi="宋体" w:cs="宋体"/>
          <w:color w:val="auto"/>
          <w:sz w:val="24"/>
          <w:highlight w:val="none"/>
        </w:rPr>
        <w:t>2.23检查和测试消防水泵及喷淋水泵，包括所有消防加压泵模拟火灾状态进行联动控制。（每季度）</w:t>
      </w:r>
    </w:p>
    <w:p>
      <w:pPr>
        <w:spacing w:line="360" w:lineRule="auto"/>
        <w:ind w:firstLine="560"/>
        <w:rPr>
          <w:rFonts w:ascii="宋体" w:hAnsi="宋体" w:cs="宋体"/>
          <w:color w:val="auto"/>
          <w:sz w:val="24"/>
          <w:highlight w:val="none"/>
        </w:rPr>
      </w:pPr>
      <w:r>
        <w:rPr>
          <w:rFonts w:hint="eastAsia" w:ascii="宋体" w:hAnsi="宋体" w:cs="宋体"/>
          <w:color w:val="auto"/>
          <w:sz w:val="24"/>
          <w:highlight w:val="none"/>
        </w:rPr>
        <w:t>2.24各楼层进行试放水一次，检查以下内容：（每季度）</w:t>
      </w:r>
    </w:p>
    <w:p>
      <w:pPr>
        <w:spacing w:line="360" w:lineRule="auto"/>
        <w:ind w:firstLine="560"/>
        <w:rPr>
          <w:rFonts w:ascii="宋体" w:hAnsi="宋体" w:cs="宋体"/>
          <w:color w:val="auto"/>
          <w:sz w:val="24"/>
          <w:highlight w:val="none"/>
        </w:rPr>
      </w:pPr>
      <w:r>
        <w:rPr>
          <w:rFonts w:hint="eastAsia" w:ascii="宋体" w:hAnsi="宋体" w:cs="宋体"/>
          <w:color w:val="auto"/>
          <w:sz w:val="24"/>
          <w:highlight w:val="none"/>
        </w:rPr>
        <w:t>2.24.1该楼层水流指示器是否动作，动作时消防控制中心能否收到其报警信号并显示所在位置。</w:t>
      </w:r>
    </w:p>
    <w:p>
      <w:pPr>
        <w:spacing w:line="360" w:lineRule="auto"/>
        <w:ind w:firstLine="560"/>
        <w:rPr>
          <w:rFonts w:ascii="宋体" w:hAnsi="宋体" w:cs="宋体"/>
          <w:color w:val="auto"/>
          <w:sz w:val="24"/>
          <w:highlight w:val="none"/>
        </w:rPr>
      </w:pPr>
      <w:r>
        <w:rPr>
          <w:rFonts w:hint="eastAsia" w:ascii="宋体" w:hAnsi="宋体" w:cs="宋体"/>
          <w:color w:val="auto"/>
          <w:sz w:val="24"/>
          <w:highlight w:val="none"/>
        </w:rPr>
        <w:t>2.24.2该楼层对应的湿式报警阀是否动作。</w:t>
      </w:r>
    </w:p>
    <w:p>
      <w:pPr>
        <w:spacing w:line="360" w:lineRule="auto"/>
        <w:ind w:firstLine="560"/>
        <w:rPr>
          <w:rFonts w:ascii="宋体" w:hAnsi="宋体" w:cs="宋体"/>
          <w:color w:val="auto"/>
          <w:sz w:val="24"/>
          <w:highlight w:val="none"/>
        </w:rPr>
      </w:pPr>
      <w:r>
        <w:rPr>
          <w:rFonts w:hint="eastAsia" w:ascii="宋体" w:hAnsi="宋体" w:cs="宋体"/>
          <w:color w:val="auto"/>
          <w:sz w:val="24"/>
          <w:highlight w:val="none"/>
        </w:rPr>
        <w:t>2.24.4湿式报警阀动作时，水力警铃是否报警，铃声是否响亮，能否达到报警效果。</w:t>
      </w:r>
    </w:p>
    <w:p>
      <w:pPr>
        <w:spacing w:line="360" w:lineRule="auto"/>
        <w:ind w:firstLine="560"/>
        <w:rPr>
          <w:rFonts w:ascii="宋体" w:hAnsi="宋体" w:cs="宋体"/>
          <w:color w:val="auto"/>
          <w:sz w:val="24"/>
          <w:highlight w:val="none"/>
        </w:rPr>
      </w:pPr>
      <w:r>
        <w:rPr>
          <w:rFonts w:hint="eastAsia" w:ascii="宋体" w:hAnsi="宋体" w:cs="宋体"/>
          <w:color w:val="auto"/>
          <w:sz w:val="24"/>
          <w:highlight w:val="none"/>
        </w:rPr>
        <w:t>2.24.5湿式报警阀动作时，压力开关是否动作，动作时消防控制中心能否收到其报警信号并显示所在位置。</w:t>
      </w:r>
    </w:p>
    <w:p>
      <w:pPr>
        <w:spacing w:line="360" w:lineRule="auto"/>
        <w:ind w:firstLine="560"/>
        <w:rPr>
          <w:rFonts w:ascii="宋体" w:hAnsi="宋体" w:cs="宋体"/>
          <w:color w:val="auto"/>
          <w:sz w:val="24"/>
          <w:highlight w:val="none"/>
        </w:rPr>
      </w:pPr>
      <w:r>
        <w:rPr>
          <w:rFonts w:hint="eastAsia" w:ascii="宋体" w:hAnsi="宋体" w:cs="宋体"/>
          <w:color w:val="auto"/>
          <w:sz w:val="24"/>
          <w:highlight w:val="none"/>
        </w:rPr>
        <w:t>2.25启、闭信号蝶阀，检查消防控制中心能否收到其关闭信号并显示所在位置。（每季度）</w:t>
      </w:r>
    </w:p>
    <w:p>
      <w:pPr>
        <w:spacing w:line="360" w:lineRule="auto"/>
        <w:ind w:firstLine="560"/>
        <w:rPr>
          <w:rFonts w:ascii="宋体" w:hAnsi="宋体" w:cs="宋体"/>
          <w:color w:val="auto"/>
          <w:sz w:val="24"/>
          <w:highlight w:val="none"/>
        </w:rPr>
      </w:pPr>
      <w:r>
        <w:rPr>
          <w:rFonts w:hint="eastAsia" w:ascii="宋体" w:hAnsi="宋体" w:cs="宋体"/>
          <w:color w:val="auto"/>
          <w:sz w:val="24"/>
          <w:highlight w:val="none"/>
        </w:rPr>
        <w:t>2.26试验水流指示器、压力开关等报警功能、信号显示。（每季度）</w:t>
      </w:r>
    </w:p>
    <w:p>
      <w:pPr>
        <w:spacing w:line="360" w:lineRule="auto"/>
        <w:ind w:firstLine="560"/>
        <w:rPr>
          <w:rFonts w:ascii="宋体" w:hAnsi="宋体" w:cs="宋体"/>
          <w:color w:val="auto"/>
          <w:sz w:val="24"/>
          <w:highlight w:val="none"/>
        </w:rPr>
      </w:pPr>
      <w:r>
        <w:rPr>
          <w:rFonts w:hint="eastAsia" w:ascii="宋体" w:hAnsi="宋体" w:cs="宋体"/>
          <w:color w:val="auto"/>
          <w:sz w:val="24"/>
          <w:highlight w:val="none"/>
        </w:rPr>
        <w:t>2.27水流指示器、管阀、信号阀、试验闸阀放水，检查主机是否有报警信号。</w:t>
      </w:r>
    </w:p>
    <w:p>
      <w:pPr>
        <w:spacing w:line="360" w:lineRule="auto"/>
        <w:ind w:firstLine="560"/>
        <w:rPr>
          <w:rFonts w:ascii="宋体" w:hAnsi="宋体" w:cs="宋体"/>
          <w:color w:val="auto"/>
          <w:sz w:val="24"/>
          <w:highlight w:val="none"/>
        </w:rPr>
      </w:pPr>
      <w:r>
        <w:rPr>
          <w:rFonts w:hint="eastAsia" w:ascii="宋体" w:hAnsi="宋体" w:cs="宋体"/>
          <w:color w:val="auto"/>
          <w:sz w:val="24"/>
          <w:highlight w:val="none"/>
        </w:rPr>
        <w:t>2.28在湿式报警阀试水装置处放水，报警阀应及时动作，水力警铃应发出报警信号，压力开关接通电路报警，电控柜及联动控制柜处于“自动”状态时应启动消防泵。</w:t>
      </w:r>
    </w:p>
    <w:p>
      <w:pPr>
        <w:spacing w:line="360" w:lineRule="auto"/>
        <w:ind w:firstLine="560"/>
        <w:rPr>
          <w:rFonts w:ascii="宋体" w:hAnsi="宋体" w:cs="宋体"/>
          <w:color w:val="auto"/>
          <w:sz w:val="24"/>
          <w:highlight w:val="none"/>
        </w:rPr>
      </w:pPr>
      <w:r>
        <w:rPr>
          <w:rFonts w:hint="eastAsia" w:ascii="宋体" w:hAnsi="宋体" w:cs="宋体"/>
          <w:color w:val="auto"/>
          <w:sz w:val="24"/>
          <w:highlight w:val="none"/>
        </w:rPr>
        <w:t>2.29启动稳压泵，观察其动作时管网压力是否正常，消防控制中心能否显示其动作信号。（每季度）</w:t>
      </w:r>
    </w:p>
    <w:p>
      <w:pPr>
        <w:spacing w:line="360" w:lineRule="auto"/>
        <w:ind w:firstLine="560"/>
        <w:rPr>
          <w:rFonts w:ascii="宋体" w:hAnsi="宋体" w:cs="宋体"/>
          <w:color w:val="auto"/>
          <w:sz w:val="24"/>
          <w:highlight w:val="none"/>
        </w:rPr>
      </w:pPr>
      <w:r>
        <w:rPr>
          <w:rFonts w:hint="eastAsia" w:ascii="宋体" w:hAnsi="宋体" w:cs="宋体"/>
          <w:color w:val="auto"/>
          <w:sz w:val="24"/>
          <w:highlight w:val="none"/>
        </w:rPr>
        <w:t>2.30手动启动各台喷淋泵，试验运行，检查喷淋泵启动时，消防控制中心能否显示其动作信号，出口压力是否正常。（每季度）</w:t>
      </w:r>
    </w:p>
    <w:p>
      <w:pPr>
        <w:spacing w:line="360" w:lineRule="auto"/>
        <w:ind w:firstLine="560"/>
        <w:rPr>
          <w:rFonts w:ascii="宋体" w:hAnsi="宋体" w:cs="宋体"/>
          <w:color w:val="auto"/>
          <w:sz w:val="24"/>
          <w:highlight w:val="none"/>
        </w:rPr>
      </w:pPr>
      <w:r>
        <w:rPr>
          <w:rFonts w:hint="eastAsia" w:ascii="宋体" w:hAnsi="宋体" w:cs="宋体"/>
          <w:color w:val="auto"/>
          <w:sz w:val="24"/>
          <w:highlight w:val="none"/>
        </w:rPr>
        <w:t>2.31应对水源的供水能力进行一次检测。（每年）</w:t>
      </w:r>
    </w:p>
    <w:p>
      <w:pPr>
        <w:spacing w:line="360" w:lineRule="auto"/>
        <w:ind w:firstLine="560"/>
        <w:rPr>
          <w:rFonts w:ascii="宋体" w:hAnsi="宋体" w:cs="宋体"/>
          <w:color w:val="auto"/>
          <w:sz w:val="24"/>
          <w:highlight w:val="none"/>
        </w:rPr>
      </w:pPr>
      <w:r>
        <w:rPr>
          <w:rFonts w:hint="eastAsia" w:ascii="宋体" w:hAnsi="宋体" w:cs="宋体"/>
          <w:color w:val="auto"/>
          <w:sz w:val="24"/>
          <w:highlight w:val="none"/>
        </w:rPr>
        <w:t>上述工作均按工作程序进行记录存档。</w:t>
      </w:r>
    </w:p>
    <w:p>
      <w:pPr>
        <w:spacing w:line="360" w:lineRule="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  3、防火卷帘系统</w:t>
      </w:r>
    </w:p>
    <w:p>
      <w:pPr>
        <w:spacing w:line="360" w:lineRule="auto"/>
        <w:ind w:firstLine="560"/>
        <w:rPr>
          <w:rFonts w:ascii="宋体" w:hAnsi="宋体" w:cs="宋体"/>
          <w:color w:val="auto"/>
          <w:sz w:val="24"/>
          <w:highlight w:val="none"/>
        </w:rPr>
      </w:pPr>
      <w:r>
        <w:rPr>
          <w:rFonts w:hint="eastAsia" w:ascii="宋体" w:hAnsi="宋体" w:cs="宋体"/>
          <w:color w:val="auto"/>
          <w:sz w:val="24"/>
          <w:highlight w:val="none"/>
        </w:rPr>
        <w:t>3.1检查卷帘导轨有无变形锈蚀，周围有无影响使用的障碍物。（每月）</w:t>
      </w:r>
    </w:p>
    <w:p>
      <w:pPr>
        <w:spacing w:line="360" w:lineRule="auto"/>
        <w:ind w:firstLine="560"/>
        <w:rPr>
          <w:rFonts w:ascii="宋体" w:hAnsi="宋体" w:cs="宋体"/>
          <w:color w:val="auto"/>
          <w:sz w:val="24"/>
          <w:highlight w:val="none"/>
        </w:rPr>
      </w:pPr>
      <w:r>
        <w:rPr>
          <w:rFonts w:hint="eastAsia" w:ascii="宋体" w:hAnsi="宋体" w:cs="宋体"/>
          <w:color w:val="auto"/>
          <w:sz w:val="24"/>
          <w:highlight w:val="none"/>
        </w:rPr>
        <w:t>3.2检查手控按钮箱是否完好。（每月）</w:t>
      </w:r>
    </w:p>
    <w:p>
      <w:pPr>
        <w:spacing w:line="360" w:lineRule="auto"/>
        <w:ind w:firstLine="560"/>
        <w:rPr>
          <w:rFonts w:ascii="宋体" w:hAnsi="宋体" w:cs="宋体"/>
          <w:color w:val="auto"/>
          <w:sz w:val="24"/>
          <w:highlight w:val="none"/>
        </w:rPr>
      </w:pPr>
      <w:r>
        <w:rPr>
          <w:rFonts w:hint="eastAsia" w:ascii="宋体" w:hAnsi="宋体" w:cs="宋体"/>
          <w:color w:val="auto"/>
          <w:sz w:val="24"/>
          <w:highlight w:val="none"/>
        </w:rPr>
        <w:t>3.3检查卷帘电源、控制器是否正常。（每月）</w:t>
      </w:r>
    </w:p>
    <w:p>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rPr>
        <w:t>3.4对卷帘进行试验，检查其下降、上升是否正常。（每月）</w:t>
      </w:r>
    </w:p>
    <w:p>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rPr>
        <w:t>3.5对齿轮轴等传动机构进行润滑处理一次。（每季度）</w:t>
      </w:r>
    </w:p>
    <w:p>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rPr>
        <w:t>3.6进行手动或模拟火灾联动（或消防中心遥控）操作启动装置，试验每台防火卷帘工作状态，并检查以下项目：（每季度）</w:t>
      </w:r>
    </w:p>
    <w:p>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rPr>
        <w:t>3.6.1手动或联动（自动）能否完成降闸控制。</w:t>
      </w:r>
    </w:p>
    <w:p>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rPr>
        <w:t>3.6.2升、降闸是否顺畅，到达上下限位置是否准确。</w:t>
      </w:r>
    </w:p>
    <w:p>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rPr>
        <w:t>3.6.3升降时有无异常杂声或振动。</w:t>
      </w:r>
    </w:p>
    <w:p>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rPr>
        <w:t>3.7检查和测试所有防火卷帘门的控制线路，并进行除尘保养。（每季度）</w:t>
      </w:r>
    </w:p>
    <w:p>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rPr>
        <w:t>3.8检查和测试所有防火卷帘的转动装置和远程控制装置。（每季度）</w:t>
      </w:r>
    </w:p>
    <w:p>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rPr>
        <w:t>3.9检查和测试传动电机性能，并对电机轴承及联动构件加油脂。（每季度）</w:t>
      </w:r>
    </w:p>
    <w:p>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rPr>
        <w:t>3.10检查和调整传动构件，包括轨道、应急操作拉链进行润滑保养。（每季度）</w:t>
      </w:r>
    </w:p>
    <w:p>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rPr>
        <w:t>3.11对防火卷帘箱顶进行除尘保养。（每季度）</w:t>
      </w:r>
    </w:p>
    <w:p>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rPr>
        <w:t>上述工作均按工作程序进行记录存档。</w:t>
      </w:r>
    </w:p>
    <w:p>
      <w:pP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   4、防火门系统</w:t>
      </w:r>
    </w:p>
    <w:p>
      <w:pPr>
        <w:spacing w:line="360" w:lineRule="auto"/>
        <w:ind w:firstLine="560"/>
        <w:rPr>
          <w:rFonts w:ascii="宋体" w:hAnsi="宋体" w:cs="宋体"/>
          <w:color w:val="auto"/>
          <w:sz w:val="24"/>
          <w:highlight w:val="none"/>
        </w:rPr>
      </w:pPr>
      <w:r>
        <w:rPr>
          <w:rFonts w:hint="eastAsia" w:ascii="宋体" w:hAnsi="宋体" w:cs="宋体"/>
          <w:color w:val="auto"/>
          <w:sz w:val="24"/>
          <w:highlight w:val="none"/>
        </w:rPr>
        <w:t>4.1巡检防火门开闭是否正常。（每月）</w:t>
      </w:r>
    </w:p>
    <w:p>
      <w:pPr>
        <w:spacing w:line="360" w:lineRule="auto"/>
        <w:ind w:firstLine="560"/>
        <w:rPr>
          <w:rFonts w:ascii="宋体" w:hAnsi="宋体" w:cs="宋体"/>
          <w:color w:val="auto"/>
          <w:sz w:val="24"/>
          <w:highlight w:val="none"/>
        </w:rPr>
      </w:pPr>
      <w:r>
        <w:rPr>
          <w:rFonts w:hint="eastAsia" w:ascii="宋体" w:hAnsi="宋体" w:cs="宋体"/>
          <w:color w:val="auto"/>
          <w:sz w:val="24"/>
          <w:highlight w:val="none"/>
        </w:rPr>
        <w:t>4.2检查防火门有无变形锈蚀，周围有无影响使用的障碍物。（每月）（抽查，所有防火门每年过一遍）</w:t>
      </w:r>
    </w:p>
    <w:p>
      <w:pPr>
        <w:spacing w:line="360" w:lineRule="auto"/>
        <w:ind w:firstLine="560"/>
        <w:rPr>
          <w:rFonts w:ascii="宋体" w:hAnsi="宋体" w:cs="宋体"/>
          <w:color w:val="auto"/>
          <w:sz w:val="24"/>
          <w:highlight w:val="none"/>
        </w:rPr>
      </w:pPr>
      <w:r>
        <w:rPr>
          <w:rFonts w:hint="eastAsia" w:ascii="宋体" w:hAnsi="宋体" w:cs="宋体"/>
          <w:color w:val="auto"/>
          <w:sz w:val="24"/>
          <w:highlight w:val="none"/>
        </w:rPr>
        <w:t>4.3检查防火门闭门器是否正常。（每月）</w:t>
      </w:r>
    </w:p>
    <w:p>
      <w:pPr>
        <w:spacing w:line="360" w:lineRule="auto"/>
        <w:ind w:firstLine="560"/>
        <w:rPr>
          <w:rFonts w:ascii="宋体" w:hAnsi="宋体" w:cs="宋体"/>
          <w:color w:val="auto"/>
          <w:sz w:val="24"/>
          <w:highlight w:val="none"/>
        </w:rPr>
      </w:pPr>
      <w:r>
        <w:rPr>
          <w:rFonts w:hint="eastAsia" w:ascii="宋体" w:hAnsi="宋体" w:cs="宋体"/>
          <w:color w:val="auto"/>
          <w:sz w:val="24"/>
          <w:highlight w:val="none"/>
        </w:rPr>
        <w:t>4.4检查闭门器，加润滑油，电动防火门检查联动功能。（每季度）</w:t>
      </w:r>
    </w:p>
    <w:p>
      <w:pPr>
        <w:spacing w:line="360" w:lineRule="auto"/>
        <w:ind w:firstLine="560"/>
        <w:rPr>
          <w:rFonts w:ascii="宋体" w:hAnsi="宋体" w:cs="宋体"/>
          <w:color w:val="auto"/>
          <w:sz w:val="24"/>
          <w:highlight w:val="none"/>
        </w:rPr>
      </w:pPr>
      <w:r>
        <w:rPr>
          <w:rFonts w:hint="eastAsia" w:ascii="宋体" w:hAnsi="宋体" w:cs="宋体"/>
          <w:color w:val="auto"/>
          <w:sz w:val="24"/>
          <w:highlight w:val="none"/>
        </w:rPr>
        <w:t>4.5进行手动或模拟火灾联动（或消防控制室遥控）操作启动装置，试验每台防火门的工作状态。（每季度）</w:t>
      </w:r>
    </w:p>
    <w:p>
      <w:pP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   5、消防通风和防排烟系统</w:t>
      </w:r>
    </w:p>
    <w:p>
      <w:pPr>
        <w:spacing w:line="360" w:lineRule="auto"/>
        <w:ind w:firstLine="560"/>
        <w:rPr>
          <w:rFonts w:ascii="宋体" w:hAnsi="宋体" w:cs="宋体"/>
          <w:color w:val="auto"/>
          <w:sz w:val="24"/>
          <w:highlight w:val="none"/>
        </w:rPr>
      </w:pPr>
      <w:r>
        <w:rPr>
          <w:rFonts w:hint="eastAsia" w:ascii="宋体" w:hAnsi="宋体" w:cs="宋体"/>
          <w:color w:val="auto"/>
          <w:sz w:val="24"/>
          <w:highlight w:val="none"/>
        </w:rPr>
        <w:t>5.1检查送风口、排烟口有无变形、损伤，周围有无影响使用的障碍物。（每月）</w:t>
      </w:r>
    </w:p>
    <w:p>
      <w:pPr>
        <w:spacing w:line="360" w:lineRule="auto"/>
        <w:ind w:firstLine="560"/>
        <w:rPr>
          <w:rFonts w:ascii="宋体" w:hAnsi="宋体" w:cs="宋体"/>
          <w:color w:val="auto"/>
          <w:sz w:val="24"/>
          <w:highlight w:val="none"/>
        </w:rPr>
      </w:pPr>
      <w:r>
        <w:rPr>
          <w:rFonts w:hint="eastAsia" w:ascii="宋体" w:hAnsi="宋体" w:cs="宋体"/>
          <w:color w:val="auto"/>
          <w:sz w:val="24"/>
          <w:highlight w:val="none"/>
        </w:rPr>
        <w:t>5.2对现场风机控制箱、正压送风机和消防排烟风机进行检查测试。（每月）</w:t>
      </w:r>
    </w:p>
    <w:p>
      <w:pPr>
        <w:spacing w:line="360" w:lineRule="auto"/>
        <w:ind w:firstLine="560"/>
        <w:rPr>
          <w:rFonts w:ascii="宋体" w:hAnsi="宋体" w:cs="宋体"/>
          <w:color w:val="auto"/>
          <w:sz w:val="24"/>
          <w:highlight w:val="none"/>
        </w:rPr>
      </w:pPr>
      <w:r>
        <w:rPr>
          <w:rFonts w:hint="eastAsia" w:ascii="宋体" w:hAnsi="宋体" w:cs="宋体"/>
          <w:color w:val="auto"/>
          <w:sz w:val="24"/>
          <w:highlight w:val="none"/>
        </w:rPr>
        <w:t>5.3对正压送风阀、排烟阀、防火阀进行检查测试。（每月）</w:t>
      </w:r>
    </w:p>
    <w:p>
      <w:pPr>
        <w:spacing w:line="360" w:lineRule="auto"/>
        <w:ind w:firstLine="560"/>
        <w:rPr>
          <w:rFonts w:ascii="宋体" w:hAnsi="宋体" w:cs="宋体"/>
          <w:color w:val="auto"/>
          <w:sz w:val="24"/>
          <w:highlight w:val="none"/>
        </w:rPr>
      </w:pPr>
      <w:r>
        <w:rPr>
          <w:rFonts w:hint="eastAsia" w:ascii="宋体" w:hAnsi="宋体" w:cs="宋体"/>
          <w:color w:val="auto"/>
          <w:sz w:val="24"/>
          <w:highlight w:val="none"/>
        </w:rPr>
        <w:t>5.4检查风机与排烟连接部位有无损伤，螺栓是否松动。（每月）</w:t>
      </w:r>
    </w:p>
    <w:p>
      <w:pPr>
        <w:spacing w:line="360" w:lineRule="auto"/>
        <w:ind w:firstLine="560"/>
        <w:rPr>
          <w:rFonts w:ascii="宋体" w:hAnsi="宋体" w:cs="宋体"/>
          <w:color w:val="auto"/>
          <w:sz w:val="24"/>
          <w:highlight w:val="none"/>
        </w:rPr>
      </w:pPr>
      <w:r>
        <w:rPr>
          <w:rFonts w:hint="eastAsia" w:ascii="宋体" w:hAnsi="宋体" w:cs="宋体"/>
          <w:color w:val="auto"/>
          <w:sz w:val="24"/>
          <w:highlight w:val="none"/>
        </w:rPr>
        <w:t>5.5检查送风机、排烟风机周围有无可燃物，安装螺栓是否松动、损伤，传动机是否变形、损伤，叶轮有无刮壳现象。（每月）</w:t>
      </w:r>
    </w:p>
    <w:p>
      <w:pPr>
        <w:spacing w:line="360" w:lineRule="auto"/>
        <w:ind w:firstLine="560"/>
        <w:rPr>
          <w:rFonts w:ascii="宋体" w:hAnsi="宋体" w:cs="宋体"/>
          <w:color w:val="auto"/>
          <w:sz w:val="24"/>
          <w:highlight w:val="none"/>
        </w:rPr>
      </w:pPr>
      <w:r>
        <w:rPr>
          <w:rFonts w:hint="eastAsia" w:ascii="宋体" w:hAnsi="宋体" w:cs="宋体"/>
          <w:color w:val="auto"/>
          <w:sz w:val="24"/>
          <w:highlight w:val="none"/>
        </w:rPr>
        <w:t>5.6检查送风风机、排烟风机的电动机的接线是否松动，传动皮带是否正常，转动部件是否正常，风机的外壳有无腐蚀现象，电源的供电是否正常。（每月）</w:t>
      </w:r>
    </w:p>
    <w:p>
      <w:pPr>
        <w:spacing w:line="360" w:lineRule="auto"/>
        <w:ind w:firstLine="560"/>
        <w:rPr>
          <w:rFonts w:ascii="宋体" w:hAnsi="宋体" w:cs="宋体"/>
          <w:color w:val="auto"/>
          <w:sz w:val="24"/>
          <w:highlight w:val="none"/>
        </w:rPr>
      </w:pPr>
      <w:r>
        <w:rPr>
          <w:rFonts w:hint="eastAsia" w:ascii="宋体" w:hAnsi="宋体" w:cs="宋体"/>
          <w:color w:val="auto"/>
          <w:sz w:val="24"/>
          <w:highlight w:val="none"/>
        </w:rPr>
        <w:t>5.7启动送风（排烟）风机，检查风机运转是否正常。（每月）</w:t>
      </w:r>
    </w:p>
    <w:p>
      <w:pPr>
        <w:spacing w:line="360" w:lineRule="auto"/>
        <w:ind w:firstLine="560"/>
        <w:rPr>
          <w:rFonts w:ascii="宋体" w:hAnsi="宋体" w:cs="宋体"/>
          <w:color w:val="auto"/>
          <w:sz w:val="24"/>
          <w:highlight w:val="none"/>
        </w:rPr>
      </w:pPr>
      <w:r>
        <w:rPr>
          <w:rFonts w:hint="eastAsia" w:ascii="宋体" w:hAnsi="宋体" w:cs="宋体"/>
          <w:color w:val="auto"/>
          <w:sz w:val="24"/>
          <w:highlight w:val="none"/>
        </w:rPr>
        <w:t>5.8巡视排烟阀（口）、送风阀（口）保养情况，抽查手动开启（在非联动状态下）的信号反馈及复位情况。（每月）</w:t>
      </w:r>
    </w:p>
    <w:p>
      <w:pPr>
        <w:spacing w:line="360" w:lineRule="auto"/>
        <w:ind w:firstLine="560"/>
        <w:rPr>
          <w:rFonts w:ascii="宋体" w:hAnsi="宋体" w:cs="宋体"/>
          <w:color w:val="auto"/>
          <w:sz w:val="24"/>
          <w:highlight w:val="none"/>
        </w:rPr>
      </w:pPr>
      <w:r>
        <w:rPr>
          <w:rFonts w:hint="eastAsia" w:ascii="宋体" w:hAnsi="宋体" w:cs="宋体"/>
          <w:color w:val="auto"/>
          <w:sz w:val="24"/>
          <w:highlight w:val="none"/>
        </w:rPr>
        <w:t>5.9对排烟阀（口）及送风阀（口）、风机电控柜进行清洁保养。（每季度）</w:t>
      </w:r>
    </w:p>
    <w:p>
      <w:pPr>
        <w:spacing w:line="360" w:lineRule="auto"/>
        <w:ind w:firstLine="560"/>
        <w:rPr>
          <w:rFonts w:ascii="宋体" w:hAnsi="宋体" w:cs="宋体"/>
          <w:color w:val="auto"/>
          <w:sz w:val="24"/>
          <w:highlight w:val="none"/>
        </w:rPr>
      </w:pPr>
      <w:r>
        <w:rPr>
          <w:rFonts w:hint="eastAsia" w:ascii="宋体" w:hAnsi="宋体" w:cs="宋体"/>
          <w:color w:val="auto"/>
          <w:sz w:val="24"/>
          <w:highlight w:val="none"/>
        </w:rPr>
        <w:t>5.10对排烟阀（口）及送风阀（口）的机械传动、电动机的转轴（含轴承）进行润滑。（每季度）</w:t>
      </w:r>
    </w:p>
    <w:p>
      <w:pPr>
        <w:spacing w:line="360" w:lineRule="auto"/>
        <w:ind w:firstLine="560"/>
        <w:rPr>
          <w:rFonts w:ascii="宋体" w:hAnsi="宋体" w:cs="宋体"/>
          <w:color w:val="auto"/>
          <w:sz w:val="24"/>
          <w:highlight w:val="none"/>
        </w:rPr>
      </w:pPr>
      <w:r>
        <w:rPr>
          <w:rFonts w:hint="eastAsia" w:ascii="宋体" w:hAnsi="宋体" w:cs="宋体"/>
          <w:color w:val="auto"/>
          <w:sz w:val="24"/>
          <w:highlight w:val="none"/>
        </w:rPr>
        <w:t>5.11对风机电控柜内电器元件进行清洁保养。（每年）</w:t>
      </w:r>
    </w:p>
    <w:p>
      <w:pPr>
        <w:spacing w:line="360" w:lineRule="auto"/>
        <w:ind w:firstLine="560"/>
        <w:rPr>
          <w:rFonts w:ascii="宋体" w:hAnsi="宋体" w:cs="宋体"/>
          <w:color w:val="auto"/>
          <w:sz w:val="24"/>
          <w:highlight w:val="none"/>
        </w:rPr>
      </w:pPr>
      <w:r>
        <w:rPr>
          <w:rFonts w:hint="eastAsia" w:ascii="宋体" w:hAnsi="宋体" w:cs="宋体"/>
          <w:color w:val="auto"/>
          <w:sz w:val="24"/>
          <w:highlight w:val="none"/>
        </w:rPr>
        <w:t>上述工作均按工作程序进行记录存档。</w:t>
      </w:r>
    </w:p>
    <w:p>
      <w:pP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  6、消防水泵系统</w:t>
      </w:r>
    </w:p>
    <w:p>
      <w:pPr>
        <w:spacing w:line="360" w:lineRule="auto"/>
        <w:ind w:firstLine="560"/>
        <w:rPr>
          <w:rFonts w:ascii="宋体" w:hAnsi="宋体" w:cs="宋体"/>
          <w:color w:val="auto"/>
          <w:sz w:val="24"/>
          <w:highlight w:val="none"/>
        </w:rPr>
      </w:pPr>
      <w:r>
        <w:rPr>
          <w:rFonts w:hint="eastAsia" w:ascii="宋体" w:hAnsi="宋体" w:cs="宋体"/>
          <w:color w:val="auto"/>
          <w:sz w:val="24"/>
          <w:highlight w:val="none"/>
        </w:rPr>
        <w:t>6.1检查消防水池、消防恒压气压给水设备，检查消防储备水位及消防恒压气压给水设备水量和水压是否正常，检查各种阀门是否处于正常状态，发现故障应及时进行处理。（每月）</w:t>
      </w:r>
    </w:p>
    <w:p>
      <w:pPr>
        <w:spacing w:line="360" w:lineRule="auto"/>
        <w:ind w:firstLine="560"/>
        <w:rPr>
          <w:rFonts w:ascii="宋体" w:hAnsi="宋体" w:cs="宋体"/>
          <w:color w:val="auto"/>
          <w:sz w:val="24"/>
          <w:highlight w:val="none"/>
        </w:rPr>
      </w:pPr>
      <w:r>
        <w:rPr>
          <w:rFonts w:hint="eastAsia" w:ascii="宋体" w:hAnsi="宋体" w:cs="宋体"/>
          <w:color w:val="auto"/>
          <w:sz w:val="24"/>
          <w:highlight w:val="none"/>
        </w:rPr>
        <w:t>6.2检查吸水环管及阀门是否有漏水和锈蚀现象，检查水泵吸入和输出管道上各阀门是否处于正确的位置（每月）</w:t>
      </w:r>
    </w:p>
    <w:p>
      <w:pPr>
        <w:spacing w:line="360" w:lineRule="auto"/>
        <w:ind w:firstLine="560"/>
        <w:rPr>
          <w:rFonts w:ascii="宋体" w:hAnsi="宋体" w:cs="宋体"/>
          <w:color w:val="auto"/>
          <w:sz w:val="24"/>
          <w:highlight w:val="none"/>
        </w:rPr>
      </w:pPr>
      <w:r>
        <w:rPr>
          <w:rFonts w:hint="eastAsia" w:ascii="宋体" w:hAnsi="宋体" w:cs="宋体"/>
          <w:color w:val="auto"/>
          <w:sz w:val="24"/>
          <w:highlight w:val="none"/>
        </w:rPr>
        <w:t>6.3转动各水泵转子，检查转子转动是否灵活。（每月）</w:t>
      </w:r>
    </w:p>
    <w:p>
      <w:pPr>
        <w:spacing w:line="360" w:lineRule="auto"/>
        <w:ind w:firstLine="560"/>
        <w:rPr>
          <w:rFonts w:ascii="宋体" w:hAnsi="宋体" w:cs="宋体"/>
          <w:color w:val="auto"/>
          <w:sz w:val="24"/>
          <w:highlight w:val="none"/>
        </w:rPr>
      </w:pPr>
      <w:r>
        <w:rPr>
          <w:rFonts w:hint="eastAsia" w:ascii="宋体" w:hAnsi="宋体" w:cs="宋体"/>
          <w:color w:val="auto"/>
          <w:sz w:val="24"/>
          <w:highlight w:val="none"/>
        </w:rPr>
        <w:t>6.4检查双回路电源自投柜切换是否正常，相序是否一致。（每月）</w:t>
      </w:r>
    </w:p>
    <w:p>
      <w:pPr>
        <w:spacing w:line="360" w:lineRule="auto"/>
        <w:ind w:firstLine="560"/>
        <w:rPr>
          <w:rFonts w:ascii="宋体" w:hAnsi="宋体" w:cs="宋体"/>
          <w:color w:val="auto"/>
          <w:sz w:val="24"/>
          <w:highlight w:val="none"/>
        </w:rPr>
      </w:pPr>
      <w:r>
        <w:rPr>
          <w:rFonts w:hint="eastAsia" w:ascii="宋体" w:hAnsi="宋体" w:cs="宋体"/>
          <w:color w:val="auto"/>
          <w:sz w:val="24"/>
          <w:highlight w:val="none"/>
        </w:rPr>
        <w:t>6.5检查水泵控制柜电源电压及指示灯是否正常。（每月）</w:t>
      </w:r>
    </w:p>
    <w:p>
      <w:pPr>
        <w:spacing w:line="360" w:lineRule="auto"/>
        <w:ind w:firstLine="560"/>
        <w:rPr>
          <w:rFonts w:ascii="宋体" w:hAnsi="宋体" w:cs="宋体"/>
          <w:color w:val="auto"/>
          <w:sz w:val="24"/>
          <w:highlight w:val="none"/>
        </w:rPr>
      </w:pPr>
      <w:r>
        <w:rPr>
          <w:rFonts w:hint="eastAsia" w:ascii="宋体" w:hAnsi="宋体" w:cs="宋体"/>
          <w:color w:val="auto"/>
          <w:sz w:val="24"/>
          <w:highlight w:val="none"/>
        </w:rPr>
        <w:t>6.6打下控制柜电源总开关，检测控制柜二次回路，检查万能转换开关、按钮、指示灯是否正常，手动或自动模拟起泵，测试起泵时是否正常，检查接触器、继电器分合是否正常。（每月）</w:t>
      </w:r>
    </w:p>
    <w:p>
      <w:pPr>
        <w:spacing w:line="360" w:lineRule="auto"/>
        <w:ind w:firstLine="560"/>
        <w:rPr>
          <w:rFonts w:ascii="宋体" w:hAnsi="宋体" w:cs="宋体"/>
          <w:color w:val="auto"/>
          <w:sz w:val="24"/>
          <w:highlight w:val="none"/>
        </w:rPr>
      </w:pPr>
      <w:r>
        <w:rPr>
          <w:rFonts w:hint="eastAsia" w:ascii="宋体" w:hAnsi="宋体" w:cs="宋体"/>
          <w:color w:val="auto"/>
          <w:sz w:val="24"/>
          <w:highlight w:val="none"/>
        </w:rPr>
        <w:t>6.7手动起动各台泵，测量（或看面板上的电流表）水泵电动机的起动和运行电流是否正常。（每月）</w:t>
      </w:r>
    </w:p>
    <w:p>
      <w:pPr>
        <w:spacing w:line="360" w:lineRule="auto"/>
        <w:ind w:firstLine="560"/>
        <w:rPr>
          <w:rFonts w:ascii="宋体" w:hAnsi="宋体" w:cs="宋体"/>
          <w:color w:val="auto"/>
          <w:sz w:val="24"/>
          <w:highlight w:val="none"/>
        </w:rPr>
      </w:pPr>
      <w:r>
        <w:rPr>
          <w:rFonts w:hint="eastAsia" w:ascii="宋体" w:hAnsi="宋体" w:cs="宋体"/>
          <w:color w:val="auto"/>
          <w:sz w:val="24"/>
          <w:highlight w:val="none"/>
        </w:rPr>
        <w:t>6.8手动启动水泵，检查水泵能否正常运转，压力能否保证。（每月）</w:t>
      </w:r>
    </w:p>
    <w:p>
      <w:pPr>
        <w:spacing w:line="360" w:lineRule="auto"/>
        <w:ind w:firstLine="560"/>
        <w:rPr>
          <w:rFonts w:ascii="宋体" w:hAnsi="宋体" w:cs="宋体"/>
          <w:color w:val="auto"/>
          <w:sz w:val="24"/>
          <w:highlight w:val="none"/>
        </w:rPr>
      </w:pPr>
      <w:r>
        <w:rPr>
          <w:rFonts w:hint="eastAsia" w:ascii="宋体" w:hAnsi="宋体" w:cs="宋体"/>
          <w:color w:val="auto"/>
          <w:sz w:val="24"/>
          <w:highlight w:val="none"/>
        </w:rPr>
        <w:t>6.9模拟火警状态下，检查其中一台泵故障时自动切换备用泵是否正常。（每季度）</w:t>
      </w:r>
    </w:p>
    <w:p>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rPr>
        <w:t>6.10模拟火警状态下，检查在消防控制中心能否控制各台泵的起动和停止。检查水泵启动时，消防控制中心能否显示动作信号。（每季度）</w:t>
      </w:r>
    </w:p>
    <w:p>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rPr>
        <w:t>上述工作均按工作程序进行记录存档。</w:t>
      </w:r>
    </w:p>
    <w:p>
      <w:pP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7、消防事故广播系统</w:t>
      </w:r>
    </w:p>
    <w:p>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rPr>
        <w:t>7.1检查功放机工作是否正常。（每月）</w:t>
      </w:r>
    </w:p>
    <w:p>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rPr>
        <w:t>7.2检查麦克风播音是否正常。（每月）</w:t>
      </w:r>
    </w:p>
    <w:p>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rPr>
        <w:t>7.3检查天花喇叭、挂墙音箱有无脱落。（每月）</w:t>
      </w:r>
    </w:p>
    <w:p>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rPr>
        <w:t>7.4检查喇叭、音箱音量是否正常、清晰。（每季度）</w:t>
      </w:r>
    </w:p>
    <w:p>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rPr>
        <w:t>7.5模拟火灾事故情况下，消防广播是否动作。（每季度）</w:t>
      </w:r>
    </w:p>
    <w:p>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rPr>
        <w:t>上述工作均按工作程序进行记录存档。</w:t>
      </w:r>
    </w:p>
    <w:p>
      <w:pP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8、消防对讲电话系统</w:t>
      </w:r>
    </w:p>
    <w:p>
      <w:pPr>
        <w:spacing w:line="360" w:lineRule="auto"/>
        <w:ind w:firstLine="560"/>
        <w:rPr>
          <w:rFonts w:ascii="宋体" w:hAnsi="宋体" w:cs="宋体"/>
          <w:color w:val="auto"/>
          <w:sz w:val="24"/>
          <w:highlight w:val="none"/>
        </w:rPr>
      </w:pPr>
      <w:r>
        <w:rPr>
          <w:rFonts w:hint="eastAsia" w:ascii="宋体" w:hAnsi="宋体" w:cs="宋体"/>
          <w:color w:val="auto"/>
          <w:sz w:val="24"/>
          <w:highlight w:val="none"/>
        </w:rPr>
        <w:t>8.1检查插孔及固定话机是否齐全。（每月）</w:t>
      </w:r>
    </w:p>
    <w:p>
      <w:pPr>
        <w:spacing w:line="360" w:lineRule="auto"/>
        <w:ind w:firstLine="560"/>
        <w:rPr>
          <w:rFonts w:ascii="宋体" w:hAnsi="宋体" w:cs="宋体"/>
          <w:color w:val="auto"/>
          <w:sz w:val="24"/>
          <w:highlight w:val="none"/>
        </w:rPr>
      </w:pPr>
      <w:r>
        <w:rPr>
          <w:rFonts w:hint="eastAsia" w:ascii="宋体" w:hAnsi="宋体" w:cs="宋体"/>
          <w:color w:val="auto"/>
          <w:sz w:val="24"/>
          <w:highlight w:val="none"/>
        </w:rPr>
        <w:t>8.2现场对消防中心之间进行通话试验，通话质量是否符合要求。（每月）</w:t>
      </w:r>
    </w:p>
    <w:p>
      <w:pPr>
        <w:spacing w:line="360" w:lineRule="auto"/>
        <w:ind w:firstLine="560"/>
        <w:rPr>
          <w:rFonts w:ascii="宋体" w:hAnsi="宋体" w:cs="宋体"/>
          <w:color w:val="auto"/>
          <w:sz w:val="24"/>
          <w:highlight w:val="none"/>
        </w:rPr>
      </w:pPr>
      <w:r>
        <w:rPr>
          <w:rFonts w:hint="eastAsia" w:ascii="宋体" w:hAnsi="宋体" w:cs="宋体"/>
          <w:color w:val="auto"/>
          <w:sz w:val="24"/>
          <w:highlight w:val="none"/>
        </w:rPr>
        <w:t>8.3确保对讲电话通话清晰。（每月）</w:t>
      </w:r>
    </w:p>
    <w:p>
      <w:pPr>
        <w:spacing w:line="360" w:lineRule="auto"/>
        <w:ind w:firstLine="560"/>
        <w:rPr>
          <w:rFonts w:ascii="宋体" w:hAnsi="宋体" w:cs="宋体"/>
          <w:color w:val="auto"/>
          <w:sz w:val="24"/>
          <w:highlight w:val="none"/>
        </w:rPr>
      </w:pPr>
      <w:r>
        <w:rPr>
          <w:rFonts w:hint="eastAsia" w:ascii="宋体" w:hAnsi="宋体" w:cs="宋体"/>
          <w:color w:val="auto"/>
          <w:sz w:val="24"/>
          <w:highlight w:val="none"/>
        </w:rPr>
        <w:t>上述工作均按工作程序进行记录存档。</w:t>
      </w:r>
    </w:p>
    <w:p>
      <w:pP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9、气体灭火系统</w:t>
      </w:r>
    </w:p>
    <w:p>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rPr>
        <w:t>9.1检查设备有否碰损伤、堵塞、固定牢靠。（每月）</w:t>
      </w:r>
    </w:p>
    <w:p>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rPr>
        <w:t>9.2检查设备就位是否正常。（每月）</w:t>
      </w:r>
    </w:p>
    <w:p>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rPr>
        <w:t>9.3检查设备工作状态正常与否。（每月）</w:t>
      </w:r>
    </w:p>
    <w:p>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rPr>
        <w:t>9.4管网、设备有否泄漏现象。（每月）</w:t>
      </w:r>
    </w:p>
    <w:p>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rPr>
        <w:t>9.5线路连线、仪表指示正常与否。（每月）</w:t>
      </w:r>
    </w:p>
    <w:p>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rPr>
        <w:t>9.6灭火剂贮存容器、选择阀、液体单向阀、高压软管、集流管、阀驱动装置、管网与喷嘴等全部系统组件应无碰撞、变形及其他机械损伤，表面应无锈蚀，保护层应完好，铭牌应清晰，手动操作装置的防护罩、铅封和安全标志应完好。（每月）</w:t>
      </w:r>
    </w:p>
    <w:p>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rPr>
        <w:t>9.7检查贮存容器压力，确保贮存压力与环境温度相适应，确保贮存器容量满足正常使用要求。（每月）</w:t>
      </w:r>
    </w:p>
    <w:p>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rPr>
        <w:t>9.8气动驱动装置的气源压力，不应少于设计压力的90%。（</w:t>
      </w:r>
    </w:p>
    <w:p>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rPr>
        <w:t>9.9试验火灾警报装置的声光显示。（每季度）</w:t>
      </w:r>
    </w:p>
    <w:p>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rPr>
        <w:t>9.10检查所有手、自动转换开关和启动、停止盒功能。（每季度）</w:t>
      </w:r>
    </w:p>
    <w:p>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rPr>
        <w:t>9.11对系统控制器进行清洁；每年对系统控制器内电器元件进行清洁保养。（每季度）</w:t>
      </w:r>
    </w:p>
    <w:p>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rPr>
        <w:t>9.12对手动应急操作装置的转动部位进行添加润滑油。（每季度）</w:t>
      </w:r>
    </w:p>
    <w:p>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rPr>
        <w:t>9.13对其联动控制设备进行模拟试验，区盘是否动作，消防中心是否有信号显示。（每季度）</w:t>
      </w:r>
    </w:p>
    <w:p>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rPr>
        <w:t>9.14对每个防护区进行一次模拟自动启动试验，如有不合格项目，则应对相关防护区进行一次模拟喷气试验（怎么模拟？）。（每半年）</w:t>
      </w:r>
    </w:p>
    <w:p>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rPr>
        <w:t>9.15防护区的开口情况，防护区的用途及可燃物的种类、数量、分布情况是否符合设计规定。（每半年）</w:t>
      </w:r>
    </w:p>
    <w:p>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rPr>
        <w:t>9.16灭火剂贮瓶间设备，灭火剂输送管道和支、吊架的固定有无松动。（每半年）</w:t>
      </w:r>
    </w:p>
    <w:p>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rPr>
        <w:t>9.17高压软管有无变形、裂纹及老化。对选择阀、液体单向阀、高压软管和阀驱动装置中的气体单向阀逐个进行水压强度试验和气压严密性试验。（每半年）</w:t>
      </w:r>
    </w:p>
    <w:p>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rPr>
        <w:t>9.18对灭火剂贮存容器进行称重检查，灭火剂净重不应少于设计重量的95%。（如何操作）（每半年）</w:t>
      </w:r>
    </w:p>
    <w:p>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rPr>
        <w:t>9.19灭火剂输送管道有损伤与堵塞现象，应对其进行严密性试验和吹扫。（每半年）</w:t>
      </w:r>
    </w:p>
    <w:p>
      <w:pP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10应急疏散指示系统</w:t>
      </w:r>
    </w:p>
    <w:p>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rPr>
        <w:t>10.1检查应急灯、疏散指示牌是否齐全（每季度）</w:t>
      </w:r>
    </w:p>
    <w:p>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rPr>
        <w:t>10.2检查应急灯、疏散指示牌电池充放电是否正常（每半年）</w:t>
      </w:r>
    </w:p>
    <w:p>
      <w:pP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11、其他的消防设施保养</w:t>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按国家、省、市现行消防设备保养维修质量标准及规范。</w:t>
      </w:r>
    </w:p>
    <w:p>
      <w:pPr>
        <w:numPr>
          <w:ilvl w:val="0"/>
          <w:numId w:val="9"/>
        </w:numP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每季度由运营管理中心根据《消防设备维护保养记录表》、《消防系统巡检记录表》、《消防系统故障处理记录表》的内容，以书面形式评价维保单位是否按合同约定内容执行，并以此为付款依据。 </w:t>
      </w:r>
    </w:p>
    <w:p>
      <w:pPr>
        <w:pStyle w:val="4"/>
        <w:numPr>
          <w:ilvl w:val="0"/>
          <w:numId w:val="0"/>
        </w:numPr>
        <w:rPr>
          <w:rFonts w:hint="eastAsia"/>
          <w:color w:val="auto"/>
          <w:highlight w:val="none"/>
        </w:rPr>
      </w:pPr>
    </w:p>
    <w:p>
      <w:pPr>
        <w:numPr>
          <w:ilvl w:val="0"/>
          <w:numId w:val="9"/>
        </w:numPr>
        <w:spacing w:line="360" w:lineRule="auto"/>
        <w:ind w:left="0" w:leftChars="0" w:firstLine="0" w:firstLineChars="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对消防系统执行情况应完整、规范地记录在《消防系统巡检记录表》内，于当月3号将上一个月记录整理成册交工程部存档，保存期2年。 </w:t>
      </w:r>
    </w:p>
    <w:p>
      <w:pPr>
        <w:pStyle w:val="2"/>
        <w:numPr>
          <w:ilvl w:val="0"/>
          <w:numId w:val="0"/>
        </w:numPr>
        <w:ind w:leftChars="0"/>
        <w:rPr>
          <w:rFonts w:hint="eastAsia"/>
          <w:color w:val="auto"/>
          <w:highlight w:val="none"/>
        </w:rPr>
      </w:pPr>
    </w:p>
    <w:p>
      <w:pPr>
        <w:pStyle w:val="5"/>
        <w:rPr>
          <w:rFonts w:hint="eastAsia"/>
          <w:color w:val="auto"/>
          <w:highlight w:val="none"/>
        </w:rPr>
      </w:pPr>
    </w:p>
    <w:p>
      <w:pPr>
        <w:rPr>
          <w:rFonts w:hint="eastAsia"/>
          <w:color w:val="auto"/>
          <w:highlight w:val="none"/>
        </w:rPr>
      </w:pPr>
      <w:r>
        <w:rPr>
          <w:rFonts w:hint="eastAsia"/>
          <w:color w:val="auto"/>
          <w:highlight w:val="none"/>
        </w:rPr>
        <w:br w:type="page"/>
      </w:r>
    </w:p>
    <w:p>
      <w:pPr>
        <w:pStyle w:val="2"/>
        <w:rPr>
          <w:rFonts w:hint="eastAsia"/>
          <w:color w:val="auto"/>
          <w:highlight w:val="none"/>
        </w:rPr>
      </w:pPr>
    </w:p>
    <w:tbl>
      <w:tblPr>
        <w:tblStyle w:val="3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8"/>
        <w:gridCol w:w="812"/>
        <w:gridCol w:w="763"/>
        <w:gridCol w:w="4912"/>
        <w:gridCol w:w="664"/>
        <w:gridCol w:w="6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8522" w:type="dxa"/>
            <w:gridSpan w:val="6"/>
            <w:noWrap/>
            <w:vAlign w:val="center"/>
          </w:tcPr>
          <w:p>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color w:val="auto"/>
                <w:highlight w:val="none"/>
              </w:rPr>
            </w:pPr>
            <w:r>
              <w:rPr>
                <w:rFonts w:hint="eastAsia"/>
                <w:b/>
                <w:bCs/>
                <w:color w:val="auto"/>
                <w:highlight w:val="none"/>
              </w:rPr>
              <w:t>消防月度考核表 （            年        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jc w:val="center"/>
        </w:trPr>
        <w:tc>
          <w:tcPr>
            <w:tcW w:w="718" w:type="dxa"/>
            <w:vMerge w:val="restart"/>
            <w:vAlign w:val="center"/>
          </w:tcPr>
          <w:p>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eastAsia"/>
                <w:b/>
                <w:bCs/>
                <w:color w:val="auto"/>
                <w:highlight w:val="none"/>
              </w:rPr>
            </w:pPr>
            <w:r>
              <w:rPr>
                <w:rFonts w:hint="eastAsia"/>
                <w:b/>
                <w:bCs/>
                <w:color w:val="auto"/>
                <w:highlight w:val="none"/>
              </w:rPr>
              <w:t>工</w:t>
            </w:r>
          </w:p>
          <w:p>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eastAsia"/>
                <w:b/>
                <w:bCs/>
                <w:color w:val="auto"/>
                <w:highlight w:val="none"/>
              </w:rPr>
            </w:pPr>
          </w:p>
          <w:p>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eastAsia"/>
                <w:b/>
                <w:bCs/>
                <w:color w:val="auto"/>
                <w:highlight w:val="none"/>
              </w:rPr>
            </w:pPr>
            <w:r>
              <w:rPr>
                <w:rFonts w:hint="eastAsia"/>
                <w:b/>
                <w:bCs/>
                <w:color w:val="auto"/>
                <w:highlight w:val="none"/>
              </w:rPr>
              <w:t>作</w:t>
            </w:r>
          </w:p>
          <w:p>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eastAsia"/>
                <w:b/>
                <w:bCs/>
                <w:color w:val="auto"/>
                <w:highlight w:val="none"/>
              </w:rPr>
            </w:pPr>
          </w:p>
          <w:p>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eastAsia"/>
                <w:b/>
                <w:bCs/>
                <w:color w:val="auto"/>
                <w:highlight w:val="none"/>
              </w:rPr>
            </w:pPr>
            <w:r>
              <w:rPr>
                <w:rFonts w:hint="eastAsia"/>
                <w:b/>
                <w:bCs/>
                <w:color w:val="auto"/>
                <w:highlight w:val="none"/>
              </w:rPr>
              <w:t>情</w:t>
            </w:r>
          </w:p>
          <w:p>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eastAsia"/>
                <w:b/>
                <w:bCs/>
                <w:color w:val="auto"/>
                <w:highlight w:val="none"/>
              </w:rPr>
            </w:pPr>
          </w:p>
          <w:p>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b/>
                <w:bCs/>
                <w:color w:val="auto"/>
                <w:highlight w:val="none"/>
              </w:rPr>
            </w:pPr>
            <w:r>
              <w:rPr>
                <w:rFonts w:hint="eastAsia"/>
                <w:b/>
                <w:bCs/>
                <w:color w:val="auto"/>
                <w:highlight w:val="none"/>
              </w:rPr>
              <w:t>况</w:t>
            </w:r>
          </w:p>
        </w:tc>
        <w:tc>
          <w:tcPr>
            <w:tcW w:w="812" w:type="dxa"/>
            <w:vAlign w:val="center"/>
          </w:tcPr>
          <w:p>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b/>
                <w:bCs/>
                <w:color w:val="auto"/>
                <w:highlight w:val="none"/>
              </w:rPr>
            </w:pPr>
            <w:r>
              <w:rPr>
                <w:rFonts w:hint="eastAsia"/>
                <w:b/>
                <w:bCs/>
                <w:color w:val="auto"/>
                <w:highlight w:val="none"/>
              </w:rPr>
              <w:t>考核项目</w:t>
            </w:r>
          </w:p>
        </w:tc>
        <w:tc>
          <w:tcPr>
            <w:tcW w:w="763" w:type="dxa"/>
            <w:vAlign w:val="center"/>
          </w:tcPr>
          <w:p>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b/>
                <w:bCs/>
                <w:color w:val="auto"/>
                <w:highlight w:val="none"/>
              </w:rPr>
            </w:pPr>
            <w:r>
              <w:rPr>
                <w:rFonts w:hint="eastAsia"/>
                <w:b/>
                <w:bCs/>
                <w:color w:val="auto"/>
                <w:highlight w:val="none"/>
              </w:rPr>
              <w:t>标准分值</w:t>
            </w:r>
          </w:p>
        </w:tc>
        <w:tc>
          <w:tcPr>
            <w:tcW w:w="4912" w:type="dxa"/>
            <w:vAlign w:val="center"/>
          </w:tcPr>
          <w:p>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b/>
                <w:bCs/>
                <w:color w:val="auto"/>
                <w:highlight w:val="none"/>
              </w:rPr>
            </w:pPr>
            <w:r>
              <w:rPr>
                <w:rFonts w:hint="eastAsia"/>
                <w:b/>
                <w:bCs/>
                <w:color w:val="auto"/>
                <w:highlight w:val="none"/>
              </w:rPr>
              <w:t>考 核 内 容</w:t>
            </w:r>
          </w:p>
        </w:tc>
        <w:tc>
          <w:tcPr>
            <w:tcW w:w="664" w:type="dxa"/>
            <w:vAlign w:val="center"/>
          </w:tcPr>
          <w:p>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b/>
                <w:bCs/>
                <w:color w:val="auto"/>
                <w:highlight w:val="none"/>
              </w:rPr>
            </w:pPr>
            <w:r>
              <w:rPr>
                <w:rFonts w:hint="eastAsia"/>
                <w:b/>
                <w:bCs/>
                <w:color w:val="auto"/>
                <w:highlight w:val="none"/>
              </w:rPr>
              <w:t>考核结果</w:t>
            </w:r>
          </w:p>
        </w:tc>
        <w:tc>
          <w:tcPr>
            <w:tcW w:w="653" w:type="dxa"/>
            <w:vAlign w:val="center"/>
          </w:tcPr>
          <w:p>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b/>
                <w:bCs/>
                <w:color w:val="auto"/>
                <w:highlight w:val="none"/>
              </w:rPr>
            </w:pPr>
            <w:r>
              <w:rPr>
                <w:rFonts w:hint="eastAsia"/>
                <w:b/>
                <w:bCs/>
                <w:color w:val="auto"/>
                <w:highlight w:val="none"/>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718" w:type="dxa"/>
            <w:vMerge w:val="continue"/>
            <w:vAlign w:val="center"/>
          </w:tcPr>
          <w:p>
            <w:pPr>
              <w:pStyle w:val="2"/>
              <w:keepNext w:val="0"/>
              <w:keepLines w:val="0"/>
              <w:pageBreakBefore w:val="0"/>
              <w:widowControl w:val="0"/>
              <w:kinsoku/>
              <w:wordWrap/>
              <w:overflowPunct/>
              <w:topLinePunct w:val="0"/>
              <w:autoSpaceDE/>
              <w:autoSpaceDN/>
              <w:bidi w:val="0"/>
              <w:adjustRightInd/>
              <w:snapToGrid/>
              <w:spacing w:after="0"/>
              <w:ind w:firstLine="422"/>
              <w:jc w:val="center"/>
              <w:textAlignment w:val="auto"/>
              <w:rPr>
                <w:b/>
                <w:bCs/>
                <w:color w:val="auto"/>
                <w:highlight w:val="none"/>
              </w:rPr>
            </w:pPr>
          </w:p>
        </w:tc>
        <w:tc>
          <w:tcPr>
            <w:tcW w:w="812" w:type="dxa"/>
            <w:vAlign w:val="center"/>
          </w:tcPr>
          <w:p>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b/>
                <w:bCs/>
                <w:color w:val="auto"/>
                <w:highlight w:val="none"/>
              </w:rPr>
            </w:pPr>
            <w:r>
              <w:rPr>
                <w:rFonts w:hint="eastAsia"/>
                <w:b/>
                <w:bCs/>
                <w:color w:val="auto"/>
                <w:highlight w:val="none"/>
              </w:rPr>
              <w:t>人员配置</w:t>
            </w:r>
          </w:p>
        </w:tc>
        <w:tc>
          <w:tcPr>
            <w:tcW w:w="763" w:type="dxa"/>
            <w:vAlign w:val="center"/>
          </w:tcPr>
          <w:p>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b/>
                <w:bCs/>
                <w:color w:val="auto"/>
                <w:highlight w:val="none"/>
              </w:rPr>
            </w:pPr>
            <w:r>
              <w:rPr>
                <w:rFonts w:hint="eastAsia"/>
                <w:b/>
                <w:bCs/>
                <w:color w:val="auto"/>
                <w:highlight w:val="none"/>
              </w:rPr>
              <w:t>10分</w:t>
            </w:r>
          </w:p>
        </w:tc>
        <w:tc>
          <w:tcPr>
            <w:tcW w:w="4912" w:type="dxa"/>
            <w:vAlign w:val="center"/>
          </w:tcPr>
          <w:p>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left"/>
              <w:textAlignment w:val="auto"/>
              <w:rPr>
                <w:color w:val="auto"/>
                <w:highlight w:val="none"/>
              </w:rPr>
            </w:pPr>
            <w:r>
              <w:rPr>
                <w:rFonts w:hint="eastAsia"/>
                <w:color w:val="auto"/>
                <w:highlight w:val="none"/>
              </w:rPr>
              <w:t>按照合同规定配置维保人员并安排到岗，每次2名以上维保人员参加工作，保持24小时电话畅通，接到故障报警后及时到达现场，严格按照操作规范及要求对故障进行处理。</w:t>
            </w:r>
          </w:p>
        </w:tc>
        <w:tc>
          <w:tcPr>
            <w:tcW w:w="664" w:type="dxa"/>
            <w:vAlign w:val="center"/>
          </w:tcPr>
          <w:p>
            <w:pPr>
              <w:pStyle w:val="2"/>
              <w:keepNext w:val="0"/>
              <w:keepLines w:val="0"/>
              <w:pageBreakBefore w:val="0"/>
              <w:widowControl w:val="0"/>
              <w:kinsoku/>
              <w:wordWrap/>
              <w:overflowPunct/>
              <w:topLinePunct w:val="0"/>
              <w:autoSpaceDE/>
              <w:autoSpaceDN/>
              <w:bidi w:val="0"/>
              <w:adjustRightInd/>
              <w:snapToGrid/>
              <w:spacing w:after="0"/>
              <w:ind w:firstLine="422"/>
              <w:jc w:val="center"/>
              <w:textAlignment w:val="auto"/>
              <w:rPr>
                <w:b/>
                <w:bCs/>
                <w:color w:val="auto"/>
                <w:highlight w:val="none"/>
              </w:rPr>
            </w:pPr>
          </w:p>
        </w:tc>
        <w:tc>
          <w:tcPr>
            <w:tcW w:w="653" w:type="dxa"/>
            <w:vAlign w:val="center"/>
          </w:tcPr>
          <w:p>
            <w:pPr>
              <w:pStyle w:val="2"/>
              <w:keepNext w:val="0"/>
              <w:keepLines w:val="0"/>
              <w:pageBreakBefore w:val="0"/>
              <w:widowControl w:val="0"/>
              <w:kinsoku/>
              <w:wordWrap/>
              <w:overflowPunct/>
              <w:topLinePunct w:val="0"/>
              <w:autoSpaceDE/>
              <w:autoSpaceDN/>
              <w:bidi w:val="0"/>
              <w:adjustRightInd/>
              <w:snapToGrid/>
              <w:spacing w:after="0"/>
              <w:ind w:firstLine="422"/>
              <w:jc w:val="center"/>
              <w:textAlignment w:val="auto"/>
              <w:rPr>
                <w:b/>
                <w:bCs/>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18" w:type="dxa"/>
            <w:vMerge w:val="continue"/>
            <w:vAlign w:val="center"/>
          </w:tcPr>
          <w:p>
            <w:pPr>
              <w:pStyle w:val="2"/>
              <w:keepNext w:val="0"/>
              <w:keepLines w:val="0"/>
              <w:pageBreakBefore w:val="0"/>
              <w:widowControl w:val="0"/>
              <w:kinsoku/>
              <w:wordWrap/>
              <w:overflowPunct/>
              <w:topLinePunct w:val="0"/>
              <w:autoSpaceDE/>
              <w:autoSpaceDN/>
              <w:bidi w:val="0"/>
              <w:adjustRightInd/>
              <w:snapToGrid/>
              <w:spacing w:after="0"/>
              <w:ind w:firstLine="422"/>
              <w:jc w:val="center"/>
              <w:textAlignment w:val="auto"/>
              <w:rPr>
                <w:b/>
                <w:bCs/>
                <w:color w:val="auto"/>
                <w:highlight w:val="none"/>
              </w:rPr>
            </w:pPr>
          </w:p>
        </w:tc>
        <w:tc>
          <w:tcPr>
            <w:tcW w:w="812" w:type="dxa"/>
            <w:vAlign w:val="center"/>
          </w:tcPr>
          <w:p>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b/>
                <w:bCs/>
                <w:color w:val="auto"/>
                <w:highlight w:val="none"/>
              </w:rPr>
            </w:pPr>
            <w:r>
              <w:rPr>
                <w:rFonts w:hint="eastAsia"/>
                <w:b/>
                <w:bCs/>
                <w:color w:val="auto"/>
                <w:highlight w:val="none"/>
              </w:rPr>
              <w:t>仪容仪表</w:t>
            </w:r>
          </w:p>
        </w:tc>
        <w:tc>
          <w:tcPr>
            <w:tcW w:w="763" w:type="dxa"/>
            <w:vAlign w:val="center"/>
          </w:tcPr>
          <w:p>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b/>
                <w:bCs/>
                <w:color w:val="auto"/>
                <w:highlight w:val="none"/>
              </w:rPr>
            </w:pPr>
            <w:r>
              <w:rPr>
                <w:rFonts w:hint="eastAsia"/>
                <w:b/>
                <w:bCs/>
                <w:color w:val="auto"/>
                <w:highlight w:val="none"/>
              </w:rPr>
              <w:t>10分</w:t>
            </w:r>
          </w:p>
        </w:tc>
        <w:tc>
          <w:tcPr>
            <w:tcW w:w="4912" w:type="dxa"/>
            <w:vAlign w:val="center"/>
          </w:tcPr>
          <w:p>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left"/>
              <w:textAlignment w:val="auto"/>
              <w:rPr>
                <w:color w:val="auto"/>
                <w:highlight w:val="none"/>
              </w:rPr>
            </w:pPr>
            <w:r>
              <w:rPr>
                <w:rFonts w:hint="eastAsia"/>
                <w:color w:val="auto"/>
                <w:highlight w:val="none"/>
              </w:rPr>
              <w:t>统一穿着工作服，配齐必要装备和工具，穿着干净、整洁，举止文明大方。</w:t>
            </w:r>
          </w:p>
        </w:tc>
        <w:tc>
          <w:tcPr>
            <w:tcW w:w="664" w:type="dxa"/>
            <w:vAlign w:val="center"/>
          </w:tcPr>
          <w:p>
            <w:pPr>
              <w:pStyle w:val="2"/>
              <w:keepNext w:val="0"/>
              <w:keepLines w:val="0"/>
              <w:pageBreakBefore w:val="0"/>
              <w:widowControl w:val="0"/>
              <w:kinsoku/>
              <w:wordWrap/>
              <w:overflowPunct/>
              <w:topLinePunct w:val="0"/>
              <w:autoSpaceDE/>
              <w:autoSpaceDN/>
              <w:bidi w:val="0"/>
              <w:adjustRightInd/>
              <w:snapToGrid/>
              <w:spacing w:after="0"/>
              <w:ind w:firstLine="422"/>
              <w:jc w:val="center"/>
              <w:textAlignment w:val="auto"/>
              <w:rPr>
                <w:b/>
                <w:bCs/>
                <w:color w:val="auto"/>
                <w:highlight w:val="none"/>
              </w:rPr>
            </w:pPr>
          </w:p>
        </w:tc>
        <w:tc>
          <w:tcPr>
            <w:tcW w:w="653" w:type="dxa"/>
            <w:vAlign w:val="center"/>
          </w:tcPr>
          <w:p>
            <w:pPr>
              <w:pStyle w:val="2"/>
              <w:keepNext w:val="0"/>
              <w:keepLines w:val="0"/>
              <w:pageBreakBefore w:val="0"/>
              <w:widowControl w:val="0"/>
              <w:kinsoku/>
              <w:wordWrap/>
              <w:overflowPunct/>
              <w:topLinePunct w:val="0"/>
              <w:autoSpaceDE/>
              <w:autoSpaceDN/>
              <w:bidi w:val="0"/>
              <w:adjustRightInd/>
              <w:snapToGrid/>
              <w:spacing w:after="0"/>
              <w:ind w:firstLine="422"/>
              <w:jc w:val="center"/>
              <w:textAlignment w:val="auto"/>
              <w:rPr>
                <w:b/>
                <w:bCs/>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jc w:val="center"/>
        </w:trPr>
        <w:tc>
          <w:tcPr>
            <w:tcW w:w="718" w:type="dxa"/>
            <w:vMerge w:val="continue"/>
            <w:vAlign w:val="center"/>
          </w:tcPr>
          <w:p>
            <w:pPr>
              <w:pStyle w:val="2"/>
              <w:keepNext w:val="0"/>
              <w:keepLines w:val="0"/>
              <w:pageBreakBefore w:val="0"/>
              <w:widowControl w:val="0"/>
              <w:kinsoku/>
              <w:wordWrap/>
              <w:overflowPunct/>
              <w:topLinePunct w:val="0"/>
              <w:autoSpaceDE/>
              <w:autoSpaceDN/>
              <w:bidi w:val="0"/>
              <w:adjustRightInd/>
              <w:snapToGrid/>
              <w:spacing w:after="0"/>
              <w:ind w:firstLine="422"/>
              <w:jc w:val="center"/>
              <w:textAlignment w:val="auto"/>
              <w:rPr>
                <w:b/>
                <w:bCs/>
                <w:color w:val="auto"/>
                <w:highlight w:val="none"/>
              </w:rPr>
            </w:pPr>
          </w:p>
        </w:tc>
        <w:tc>
          <w:tcPr>
            <w:tcW w:w="812" w:type="dxa"/>
            <w:vAlign w:val="center"/>
          </w:tcPr>
          <w:p>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b/>
                <w:bCs/>
                <w:color w:val="auto"/>
                <w:highlight w:val="none"/>
              </w:rPr>
            </w:pPr>
            <w:r>
              <w:rPr>
                <w:rFonts w:hint="eastAsia"/>
                <w:b/>
                <w:bCs/>
                <w:color w:val="auto"/>
                <w:highlight w:val="none"/>
              </w:rPr>
              <w:t>职业道德</w:t>
            </w:r>
          </w:p>
        </w:tc>
        <w:tc>
          <w:tcPr>
            <w:tcW w:w="763" w:type="dxa"/>
            <w:vAlign w:val="center"/>
          </w:tcPr>
          <w:p>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b/>
                <w:bCs/>
                <w:color w:val="auto"/>
                <w:highlight w:val="none"/>
              </w:rPr>
            </w:pPr>
            <w:r>
              <w:rPr>
                <w:rFonts w:hint="eastAsia"/>
                <w:b/>
                <w:bCs/>
                <w:color w:val="auto"/>
                <w:highlight w:val="none"/>
              </w:rPr>
              <w:t>10分</w:t>
            </w:r>
          </w:p>
        </w:tc>
        <w:tc>
          <w:tcPr>
            <w:tcW w:w="4912" w:type="dxa"/>
            <w:vAlign w:val="center"/>
          </w:tcPr>
          <w:p>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left"/>
              <w:textAlignment w:val="auto"/>
              <w:rPr>
                <w:color w:val="auto"/>
                <w:highlight w:val="none"/>
              </w:rPr>
            </w:pPr>
            <w:r>
              <w:rPr>
                <w:rFonts w:hint="eastAsia"/>
                <w:color w:val="auto"/>
                <w:highlight w:val="none"/>
              </w:rPr>
              <w:t>热爱本职工作、工作积极主动、认真履行职责、出色完成维保任务；文明巡查、礼貌待人、注重原则、注重形象。在岗期间禁止饮酒、禁止吸烟。</w:t>
            </w:r>
          </w:p>
        </w:tc>
        <w:tc>
          <w:tcPr>
            <w:tcW w:w="664" w:type="dxa"/>
            <w:vAlign w:val="center"/>
          </w:tcPr>
          <w:p>
            <w:pPr>
              <w:pStyle w:val="2"/>
              <w:keepNext w:val="0"/>
              <w:keepLines w:val="0"/>
              <w:pageBreakBefore w:val="0"/>
              <w:widowControl w:val="0"/>
              <w:kinsoku/>
              <w:wordWrap/>
              <w:overflowPunct/>
              <w:topLinePunct w:val="0"/>
              <w:autoSpaceDE/>
              <w:autoSpaceDN/>
              <w:bidi w:val="0"/>
              <w:adjustRightInd/>
              <w:snapToGrid/>
              <w:spacing w:after="0"/>
              <w:jc w:val="center"/>
              <w:textAlignment w:val="auto"/>
              <w:rPr>
                <w:color w:val="auto"/>
                <w:highlight w:val="none"/>
              </w:rPr>
            </w:pPr>
          </w:p>
        </w:tc>
        <w:tc>
          <w:tcPr>
            <w:tcW w:w="653" w:type="dxa"/>
            <w:vAlign w:val="center"/>
          </w:tcPr>
          <w:p>
            <w:pPr>
              <w:pStyle w:val="2"/>
              <w:keepNext w:val="0"/>
              <w:keepLines w:val="0"/>
              <w:pageBreakBefore w:val="0"/>
              <w:widowControl w:val="0"/>
              <w:kinsoku/>
              <w:wordWrap/>
              <w:overflowPunct/>
              <w:topLinePunct w:val="0"/>
              <w:autoSpaceDE/>
              <w:autoSpaceDN/>
              <w:bidi w:val="0"/>
              <w:adjustRightInd/>
              <w:snapToGrid/>
              <w:spacing w:after="0"/>
              <w:jc w:val="center"/>
              <w:textAlignment w:val="auto"/>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0" w:hRule="atLeast"/>
          <w:jc w:val="center"/>
        </w:trPr>
        <w:tc>
          <w:tcPr>
            <w:tcW w:w="718" w:type="dxa"/>
            <w:vMerge w:val="continue"/>
            <w:vAlign w:val="center"/>
          </w:tcPr>
          <w:p>
            <w:pPr>
              <w:pStyle w:val="2"/>
              <w:keepNext w:val="0"/>
              <w:keepLines w:val="0"/>
              <w:pageBreakBefore w:val="0"/>
              <w:widowControl w:val="0"/>
              <w:kinsoku/>
              <w:wordWrap/>
              <w:overflowPunct/>
              <w:topLinePunct w:val="0"/>
              <w:autoSpaceDE/>
              <w:autoSpaceDN/>
              <w:bidi w:val="0"/>
              <w:adjustRightInd/>
              <w:snapToGrid/>
              <w:spacing w:after="0"/>
              <w:ind w:firstLine="422"/>
              <w:jc w:val="center"/>
              <w:textAlignment w:val="auto"/>
              <w:rPr>
                <w:b/>
                <w:bCs/>
                <w:color w:val="auto"/>
                <w:highlight w:val="none"/>
              </w:rPr>
            </w:pPr>
          </w:p>
        </w:tc>
        <w:tc>
          <w:tcPr>
            <w:tcW w:w="812" w:type="dxa"/>
            <w:vAlign w:val="center"/>
          </w:tcPr>
          <w:p>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b/>
                <w:bCs/>
                <w:color w:val="auto"/>
                <w:highlight w:val="none"/>
              </w:rPr>
            </w:pPr>
            <w:r>
              <w:rPr>
                <w:rFonts w:hint="eastAsia"/>
                <w:b/>
                <w:bCs/>
                <w:color w:val="auto"/>
                <w:highlight w:val="none"/>
              </w:rPr>
              <w:t>维保项目</w:t>
            </w:r>
          </w:p>
        </w:tc>
        <w:tc>
          <w:tcPr>
            <w:tcW w:w="763" w:type="dxa"/>
            <w:vAlign w:val="center"/>
          </w:tcPr>
          <w:p>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b/>
                <w:bCs/>
                <w:color w:val="auto"/>
                <w:highlight w:val="none"/>
              </w:rPr>
            </w:pPr>
            <w:r>
              <w:rPr>
                <w:rFonts w:hint="eastAsia"/>
                <w:b/>
                <w:bCs/>
                <w:color w:val="auto"/>
                <w:highlight w:val="none"/>
              </w:rPr>
              <w:t>20分</w:t>
            </w:r>
          </w:p>
        </w:tc>
        <w:tc>
          <w:tcPr>
            <w:tcW w:w="4912" w:type="dxa"/>
            <w:vAlign w:val="center"/>
          </w:tcPr>
          <w:p>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left"/>
              <w:textAlignment w:val="auto"/>
              <w:rPr>
                <w:color w:val="auto"/>
                <w:highlight w:val="none"/>
              </w:rPr>
            </w:pPr>
            <w:r>
              <w:rPr>
                <w:rFonts w:hint="eastAsia"/>
                <w:color w:val="auto"/>
                <w:highlight w:val="none"/>
              </w:rPr>
              <w:t>严格按照要求对消防全系统及弱电监控系统进行维保，按照相关规范定期对消防系统进行年、月检并出具报告。进行维保工作和处理故障时按照规范做好现场保护措施，保障办公区内消防、弱电系统正常运转。</w:t>
            </w:r>
          </w:p>
        </w:tc>
        <w:tc>
          <w:tcPr>
            <w:tcW w:w="664" w:type="dxa"/>
            <w:vAlign w:val="center"/>
          </w:tcPr>
          <w:p>
            <w:pPr>
              <w:pStyle w:val="2"/>
              <w:keepNext w:val="0"/>
              <w:keepLines w:val="0"/>
              <w:pageBreakBefore w:val="0"/>
              <w:widowControl w:val="0"/>
              <w:kinsoku/>
              <w:wordWrap/>
              <w:overflowPunct/>
              <w:topLinePunct w:val="0"/>
              <w:autoSpaceDE/>
              <w:autoSpaceDN/>
              <w:bidi w:val="0"/>
              <w:adjustRightInd/>
              <w:snapToGrid/>
              <w:spacing w:after="0"/>
              <w:jc w:val="center"/>
              <w:textAlignment w:val="auto"/>
              <w:rPr>
                <w:color w:val="auto"/>
                <w:highlight w:val="none"/>
              </w:rPr>
            </w:pPr>
          </w:p>
        </w:tc>
        <w:tc>
          <w:tcPr>
            <w:tcW w:w="653" w:type="dxa"/>
            <w:vAlign w:val="center"/>
          </w:tcPr>
          <w:p>
            <w:pPr>
              <w:pStyle w:val="2"/>
              <w:keepNext w:val="0"/>
              <w:keepLines w:val="0"/>
              <w:pageBreakBefore w:val="0"/>
              <w:widowControl w:val="0"/>
              <w:kinsoku/>
              <w:wordWrap/>
              <w:overflowPunct/>
              <w:topLinePunct w:val="0"/>
              <w:autoSpaceDE/>
              <w:autoSpaceDN/>
              <w:bidi w:val="0"/>
              <w:adjustRightInd/>
              <w:snapToGrid/>
              <w:spacing w:after="0"/>
              <w:jc w:val="center"/>
              <w:textAlignment w:val="auto"/>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0" w:hRule="atLeast"/>
          <w:jc w:val="center"/>
        </w:trPr>
        <w:tc>
          <w:tcPr>
            <w:tcW w:w="718" w:type="dxa"/>
            <w:vMerge w:val="continue"/>
            <w:vAlign w:val="center"/>
          </w:tcPr>
          <w:p>
            <w:pPr>
              <w:pStyle w:val="2"/>
              <w:keepNext w:val="0"/>
              <w:keepLines w:val="0"/>
              <w:pageBreakBefore w:val="0"/>
              <w:widowControl w:val="0"/>
              <w:kinsoku/>
              <w:wordWrap/>
              <w:overflowPunct/>
              <w:topLinePunct w:val="0"/>
              <w:autoSpaceDE/>
              <w:autoSpaceDN/>
              <w:bidi w:val="0"/>
              <w:adjustRightInd/>
              <w:snapToGrid/>
              <w:spacing w:after="0"/>
              <w:ind w:firstLine="422"/>
              <w:jc w:val="center"/>
              <w:textAlignment w:val="auto"/>
              <w:rPr>
                <w:b/>
                <w:bCs/>
                <w:color w:val="auto"/>
                <w:highlight w:val="none"/>
              </w:rPr>
            </w:pPr>
          </w:p>
        </w:tc>
        <w:tc>
          <w:tcPr>
            <w:tcW w:w="812" w:type="dxa"/>
            <w:vAlign w:val="center"/>
          </w:tcPr>
          <w:p>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b/>
                <w:bCs/>
                <w:color w:val="auto"/>
                <w:highlight w:val="none"/>
              </w:rPr>
            </w:pPr>
            <w:r>
              <w:rPr>
                <w:rFonts w:hint="eastAsia"/>
                <w:b/>
                <w:bCs/>
                <w:color w:val="auto"/>
                <w:highlight w:val="none"/>
              </w:rPr>
              <w:t>日常巡检</w:t>
            </w:r>
          </w:p>
        </w:tc>
        <w:tc>
          <w:tcPr>
            <w:tcW w:w="763" w:type="dxa"/>
            <w:vAlign w:val="center"/>
          </w:tcPr>
          <w:p>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b/>
                <w:bCs/>
                <w:color w:val="auto"/>
                <w:highlight w:val="none"/>
              </w:rPr>
            </w:pPr>
            <w:r>
              <w:rPr>
                <w:rFonts w:hint="eastAsia"/>
                <w:b/>
                <w:bCs/>
                <w:color w:val="auto"/>
                <w:highlight w:val="none"/>
              </w:rPr>
              <w:t>10分</w:t>
            </w:r>
          </w:p>
        </w:tc>
        <w:tc>
          <w:tcPr>
            <w:tcW w:w="4912" w:type="dxa"/>
            <w:vAlign w:val="center"/>
          </w:tcPr>
          <w:p>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left"/>
              <w:textAlignment w:val="auto"/>
              <w:rPr>
                <w:color w:val="auto"/>
                <w:highlight w:val="none"/>
              </w:rPr>
            </w:pPr>
            <w:r>
              <w:rPr>
                <w:rFonts w:hint="eastAsia"/>
                <w:color w:val="auto"/>
                <w:highlight w:val="none"/>
              </w:rPr>
              <w:t>及时发现制止各种消防隐患,责任范围内无消防安全案件;按时进行机关各院办公楼内消防巡检工作、及时排查消防安全隐患，发现问题及时上报;将巡检、隐患排查等工作作记录，记录填写要求真实完整，签字齐全，保存完好。</w:t>
            </w:r>
          </w:p>
        </w:tc>
        <w:tc>
          <w:tcPr>
            <w:tcW w:w="664" w:type="dxa"/>
            <w:vAlign w:val="center"/>
          </w:tcPr>
          <w:p>
            <w:pPr>
              <w:pStyle w:val="2"/>
              <w:keepNext w:val="0"/>
              <w:keepLines w:val="0"/>
              <w:pageBreakBefore w:val="0"/>
              <w:widowControl w:val="0"/>
              <w:kinsoku/>
              <w:wordWrap/>
              <w:overflowPunct/>
              <w:topLinePunct w:val="0"/>
              <w:autoSpaceDE/>
              <w:autoSpaceDN/>
              <w:bidi w:val="0"/>
              <w:adjustRightInd/>
              <w:snapToGrid/>
              <w:spacing w:after="0"/>
              <w:jc w:val="center"/>
              <w:textAlignment w:val="auto"/>
              <w:rPr>
                <w:color w:val="auto"/>
                <w:highlight w:val="none"/>
              </w:rPr>
            </w:pPr>
          </w:p>
        </w:tc>
        <w:tc>
          <w:tcPr>
            <w:tcW w:w="653" w:type="dxa"/>
            <w:vAlign w:val="center"/>
          </w:tcPr>
          <w:p>
            <w:pPr>
              <w:pStyle w:val="2"/>
              <w:keepNext w:val="0"/>
              <w:keepLines w:val="0"/>
              <w:pageBreakBefore w:val="0"/>
              <w:widowControl w:val="0"/>
              <w:kinsoku/>
              <w:wordWrap/>
              <w:overflowPunct/>
              <w:topLinePunct w:val="0"/>
              <w:autoSpaceDE/>
              <w:autoSpaceDN/>
              <w:bidi w:val="0"/>
              <w:adjustRightInd/>
              <w:snapToGrid/>
              <w:spacing w:after="0"/>
              <w:jc w:val="center"/>
              <w:textAlignment w:val="auto"/>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718" w:type="dxa"/>
            <w:vMerge w:val="continue"/>
            <w:vAlign w:val="center"/>
          </w:tcPr>
          <w:p>
            <w:pPr>
              <w:pStyle w:val="2"/>
              <w:keepNext w:val="0"/>
              <w:keepLines w:val="0"/>
              <w:pageBreakBefore w:val="0"/>
              <w:widowControl w:val="0"/>
              <w:kinsoku/>
              <w:wordWrap/>
              <w:overflowPunct/>
              <w:topLinePunct w:val="0"/>
              <w:autoSpaceDE/>
              <w:autoSpaceDN/>
              <w:bidi w:val="0"/>
              <w:adjustRightInd/>
              <w:snapToGrid/>
              <w:spacing w:after="0"/>
              <w:ind w:firstLine="422"/>
              <w:jc w:val="center"/>
              <w:textAlignment w:val="auto"/>
              <w:rPr>
                <w:b/>
                <w:bCs/>
                <w:color w:val="auto"/>
                <w:highlight w:val="none"/>
              </w:rPr>
            </w:pPr>
          </w:p>
        </w:tc>
        <w:tc>
          <w:tcPr>
            <w:tcW w:w="812" w:type="dxa"/>
            <w:vAlign w:val="center"/>
          </w:tcPr>
          <w:p>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b/>
                <w:bCs/>
                <w:color w:val="auto"/>
                <w:highlight w:val="none"/>
              </w:rPr>
            </w:pPr>
            <w:r>
              <w:rPr>
                <w:rFonts w:hint="eastAsia"/>
                <w:b/>
                <w:bCs/>
                <w:color w:val="auto"/>
                <w:highlight w:val="none"/>
              </w:rPr>
              <w:t>卫生状况</w:t>
            </w:r>
          </w:p>
        </w:tc>
        <w:tc>
          <w:tcPr>
            <w:tcW w:w="763" w:type="dxa"/>
            <w:vAlign w:val="center"/>
          </w:tcPr>
          <w:p>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b/>
                <w:bCs/>
                <w:color w:val="auto"/>
                <w:highlight w:val="none"/>
              </w:rPr>
            </w:pPr>
            <w:r>
              <w:rPr>
                <w:rFonts w:hint="eastAsia"/>
                <w:b/>
                <w:bCs/>
                <w:color w:val="auto"/>
                <w:highlight w:val="none"/>
              </w:rPr>
              <w:t>10分</w:t>
            </w:r>
          </w:p>
        </w:tc>
        <w:tc>
          <w:tcPr>
            <w:tcW w:w="4912" w:type="dxa"/>
            <w:vAlign w:val="center"/>
          </w:tcPr>
          <w:p>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left"/>
              <w:textAlignment w:val="auto"/>
              <w:rPr>
                <w:color w:val="auto"/>
                <w:highlight w:val="none"/>
              </w:rPr>
            </w:pPr>
            <w:r>
              <w:rPr>
                <w:rFonts w:hint="eastAsia"/>
                <w:color w:val="auto"/>
                <w:highlight w:val="none"/>
              </w:rPr>
              <w:t>消防控制室、水泵房、消防水箱、弱电间等存在设备设施的房屋卫生保持情况，消防器材器具是否整齐、干净、无尘；个人物品是否整齐摆放；杂物是否及时清理。</w:t>
            </w:r>
          </w:p>
        </w:tc>
        <w:tc>
          <w:tcPr>
            <w:tcW w:w="664" w:type="dxa"/>
            <w:vAlign w:val="center"/>
          </w:tcPr>
          <w:p>
            <w:pPr>
              <w:pStyle w:val="2"/>
              <w:keepNext w:val="0"/>
              <w:keepLines w:val="0"/>
              <w:pageBreakBefore w:val="0"/>
              <w:widowControl w:val="0"/>
              <w:kinsoku/>
              <w:wordWrap/>
              <w:overflowPunct/>
              <w:topLinePunct w:val="0"/>
              <w:autoSpaceDE/>
              <w:autoSpaceDN/>
              <w:bidi w:val="0"/>
              <w:adjustRightInd/>
              <w:snapToGrid/>
              <w:spacing w:after="0"/>
              <w:jc w:val="center"/>
              <w:textAlignment w:val="auto"/>
              <w:rPr>
                <w:color w:val="auto"/>
                <w:highlight w:val="none"/>
              </w:rPr>
            </w:pPr>
          </w:p>
        </w:tc>
        <w:tc>
          <w:tcPr>
            <w:tcW w:w="653" w:type="dxa"/>
            <w:vAlign w:val="center"/>
          </w:tcPr>
          <w:p>
            <w:pPr>
              <w:pStyle w:val="2"/>
              <w:keepNext w:val="0"/>
              <w:keepLines w:val="0"/>
              <w:pageBreakBefore w:val="0"/>
              <w:widowControl w:val="0"/>
              <w:kinsoku/>
              <w:wordWrap/>
              <w:overflowPunct/>
              <w:topLinePunct w:val="0"/>
              <w:autoSpaceDE/>
              <w:autoSpaceDN/>
              <w:bidi w:val="0"/>
              <w:adjustRightInd/>
              <w:snapToGrid/>
              <w:spacing w:after="0"/>
              <w:jc w:val="center"/>
              <w:textAlignment w:val="auto"/>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718" w:type="dxa"/>
            <w:vMerge w:val="continue"/>
            <w:vAlign w:val="center"/>
          </w:tcPr>
          <w:p>
            <w:pPr>
              <w:pStyle w:val="2"/>
              <w:keepNext w:val="0"/>
              <w:keepLines w:val="0"/>
              <w:pageBreakBefore w:val="0"/>
              <w:widowControl w:val="0"/>
              <w:kinsoku/>
              <w:wordWrap/>
              <w:overflowPunct/>
              <w:topLinePunct w:val="0"/>
              <w:autoSpaceDE/>
              <w:autoSpaceDN/>
              <w:bidi w:val="0"/>
              <w:adjustRightInd/>
              <w:snapToGrid/>
              <w:spacing w:after="0"/>
              <w:ind w:firstLine="422"/>
              <w:jc w:val="center"/>
              <w:textAlignment w:val="auto"/>
              <w:rPr>
                <w:b/>
                <w:bCs/>
                <w:color w:val="auto"/>
                <w:highlight w:val="none"/>
              </w:rPr>
            </w:pPr>
          </w:p>
        </w:tc>
        <w:tc>
          <w:tcPr>
            <w:tcW w:w="812" w:type="dxa"/>
            <w:vAlign w:val="center"/>
          </w:tcPr>
          <w:p>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b/>
                <w:bCs/>
                <w:color w:val="auto"/>
                <w:highlight w:val="none"/>
              </w:rPr>
            </w:pPr>
            <w:r>
              <w:rPr>
                <w:rFonts w:hint="eastAsia"/>
                <w:b/>
                <w:bCs/>
                <w:color w:val="auto"/>
                <w:highlight w:val="none"/>
              </w:rPr>
              <w:t>合同执行</w:t>
            </w:r>
          </w:p>
        </w:tc>
        <w:tc>
          <w:tcPr>
            <w:tcW w:w="763" w:type="dxa"/>
            <w:vAlign w:val="center"/>
          </w:tcPr>
          <w:p>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b/>
                <w:bCs/>
                <w:color w:val="auto"/>
                <w:highlight w:val="none"/>
              </w:rPr>
            </w:pPr>
            <w:r>
              <w:rPr>
                <w:rFonts w:hint="eastAsia"/>
                <w:b/>
                <w:bCs/>
                <w:color w:val="auto"/>
                <w:highlight w:val="none"/>
              </w:rPr>
              <w:t>10分</w:t>
            </w:r>
          </w:p>
        </w:tc>
        <w:tc>
          <w:tcPr>
            <w:tcW w:w="4912" w:type="dxa"/>
            <w:vAlign w:val="center"/>
          </w:tcPr>
          <w:p>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left"/>
              <w:textAlignment w:val="auto"/>
              <w:rPr>
                <w:color w:val="auto"/>
                <w:highlight w:val="none"/>
              </w:rPr>
            </w:pPr>
            <w:r>
              <w:rPr>
                <w:rFonts w:hint="eastAsia"/>
                <w:color w:val="auto"/>
                <w:highlight w:val="none"/>
              </w:rPr>
              <w:t>是否严格按照合同内容服从甲方安排，执行各项规定、有无违约情况出现。</w:t>
            </w:r>
          </w:p>
        </w:tc>
        <w:tc>
          <w:tcPr>
            <w:tcW w:w="664" w:type="dxa"/>
            <w:vAlign w:val="center"/>
          </w:tcPr>
          <w:p>
            <w:pPr>
              <w:pStyle w:val="2"/>
              <w:keepNext w:val="0"/>
              <w:keepLines w:val="0"/>
              <w:pageBreakBefore w:val="0"/>
              <w:widowControl w:val="0"/>
              <w:kinsoku/>
              <w:wordWrap/>
              <w:overflowPunct/>
              <w:topLinePunct w:val="0"/>
              <w:autoSpaceDE/>
              <w:autoSpaceDN/>
              <w:bidi w:val="0"/>
              <w:adjustRightInd/>
              <w:snapToGrid/>
              <w:spacing w:after="0"/>
              <w:jc w:val="center"/>
              <w:textAlignment w:val="auto"/>
              <w:rPr>
                <w:color w:val="auto"/>
                <w:highlight w:val="none"/>
              </w:rPr>
            </w:pPr>
          </w:p>
        </w:tc>
        <w:tc>
          <w:tcPr>
            <w:tcW w:w="653" w:type="dxa"/>
            <w:vAlign w:val="center"/>
          </w:tcPr>
          <w:p>
            <w:pPr>
              <w:pStyle w:val="2"/>
              <w:keepNext w:val="0"/>
              <w:keepLines w:val="0"/>
              <w:pageBreakBefore w:val="0"/>
              <w:widowControl w:val="0"/>
              <w:kinsoku/>
              <w:wordWrap/>
              <w:overflowPunct/>
              <w:topLinePunct w:val="0"/>
              <w:autoSpaceDE/>
              <w:autoSpaceDN/>
              <w:bidi w:val="0"/>
              <w:adjustRightInd/>
              <w:snapToGrid/>
              <w:spacing w:after="0"/>
              <w:jc w:val="center"/>
              <w:textAlignment w:val="auto"/>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8" w:type="dxa"/>
            <w:vMerge w:val="continue"/>
            <w:vAlign w:val="center"/>
          </w:tcPr>
          <w:p>
            <w:pPr>
              <w:pStyle w:val="2"/>
              <w:keepNext w:val="0"/>
              <w:keepLines w:val="0"/>
              <w:pageBreakBefore w:val="0"/>
              <w:widowControl w:val="0"/>
              <w:kinsoku/>
              <w:wordWrap/>
              <w:overflowPunct/>
              <w:topLinePunct w:val="0"/>
              <w:autoSpaceDE/>
              <w:autoSpaceDN/>
              <w:bidi w:val="0"/>
              <w:adjustRightInd/>
              <w:snapToGrid/>
              <w:spacing w:after="0"/>
              <w:ind w:firstLine="422"/>
              <w:jc w:val="center"/>
              <w:textAlignment w:val="auto"/>
              <w:rPr>
                <w:b/>
                <w:bCs/>
                <w:color w:val="auto"/>
                <w:highlight w:val="none"/>
              </w:rPr>
            </w:pPr>
          </w:p>
        </w:tc>
        <w:tc>
          <w:tcPr>
            <w:tcW w:w="812" w:type="dxa"/>
            <w:vAlign w:val="center"/>
          </w:tcPr>
          <w:p>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b/>
                <w:bCs/>
                <w:color w:val="auto"/>
                <w:highlight w:val="none"/>
              </w:rPr>
            </w:pPr>
            <w:r>
              <w:rPr>
                <w:rFonts w:hint="eastAsia"/>
                <w:b/>
                <w:bCs/>
                <w:color w:val="auto"/>
                <w:highlight w:val="none"/>
              </w:rPr>
              <w:t>协调能力</w:t>
            </w:r>
          </w:p>
        </w:tc>
        <w:tc>
          <w:tcPr>
            <w:tcW w:w="763" w:type="dxa"/>
            <w:vAlign w:val="center"/>
          </w:tcPr>
          <w:p>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b/>
                <w:bCs/>
                <w:color w:val="auto"/>
                <w:highlight w:val="none"/>
              </w:rPr>
            </w:pPr>
            <w:r>
              <w:rPr>
                <w:rFonts w:hint="eastAsia"/>
                <w:b/>
                <w:bCs/>
                <w:color w:val="auto"/>
                <w:highlight w:val="none"/>
              </w:rPr>
              <w:t>10分</w:t>
            </w:r>
          </w:p>
        </w:tc>
        <w:tc>
          <w:tcPr>
            <w:tcW w:w="4912" w:type="dxa"/>
            <w:vAlign w:val="center"/>
          </w:tcPr>
          <w:p>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left"/>
              <w:textAlignment w:val="auto"/>
              <w:rPr>
                <w:color w:val="auto"/>
                <w:highlight w:val="none"/>
              </w:rPr>
            </w:pPr>
            <w:r>
              <w:rPr>
                <w:rFonts w:hint="eastAsia"/>
                <w:color w:val="auto"/>
                <w:highlight w:val="none"/>
              </w:rPr>
              <w:t>是否与其他社会化公司存在业务或工作上相互推诿扯皮现象，能否准确无误与其他部门联合工作。</w:t>
            </w:r>
          </w:p>
        </w:tc>
        <w:tc>
          <w:tcPr>
            <w:tcW w:w="664" w:type="dxa"/>
            <w:vAlign w:val="center"/>
          </w:tcPr>
          <w:p>
            <w:pPr>
              <w:pStyle w:val="2"/>
              <w:keepNext w:val="0"/>
              <w:keepLines w:val="0"/>
              <w:pageBreakBefore w:val="0"/>
              <w:widowControl w:val="0"/>
              <w:kinsoku/>
              <w:wordWrap/>
              <w:overflowPunct/>
              <w:topLinePunct w:val="0"/>
              <w:autoSpaceDE/>
              <w:autoSpaceDN/>
              <w:bidi w:val="0"/>
              <w:adjustRightInd/>
              <w:snapToGrid/>
              <w:spacing w:after="0"/>
              <w:jc w:val="center"/>
              <w:textAlignment w:val="auto"/>
              <w:rPr>
                <w:color w:val="auto"/>
                <w:highlight w:val="none"/>
              </w:rPr>
            </w:pPr>
          </w:p>
        </w:tc>
        <w:tc>
          <w:tcPr>
            <w:tcW w:w="653" w:type="dxa"/>
            <w:vAlign w:val="center"/>
          </w:tcPr>
          <w:p>
            <w:pPr>
              <w:pStyle w:val="2"/>
              <w:keepNext w:val="0"/>
              <w:keepLines w:val="0"/>
              <w:pageBreakBefore w:val="0"/>
              <w:widowControl w:val="0"/>
              <w:kinsoku/>
              <w:wordWrap/>
              <w:overflowPunct/>
              <w:topLinePunct w:val="0"/>
              <w:autoSpaceDE/>
              <w:autoSpaceDN/>
              <w:bidi w:val="0"/>
              <w:adjustRightInd/>
              <w:snapToGrid/>
              <w:spacing w:after="0"/>
              <w:jc w:val="center"/>
              <w:textAlignment w:val="auto"/>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jc w:val="center"/>
        </w:trPr>
        <w:tc>
          <w:tcPr>
            <w:tcW w:w="718" w:type="dxa"/>
            <w:vMerge w:val="continue"/>
            <w:vAlign w:val="center"/>
          </w:tcPr>
          <w:p>
            <w:pPr>
              <w:pStyle w:val="2"/>
              <w:keepNext w:val="0"/>
              <w:keepLines w:val="0"/>
              <w:pageBreakBefore w:val="0"/>
              <w:widowControl w:val="0"/>
              <w:kinsoku/>
              <w:wordWrap/>
              <w:overflowPunct/>
              <w:topLinePunct w:val="0"/>
              <w:autoSpaceDE/>
              <w:autoSpaceDN/>
              <w:bidi w:val="0"/>
              <w:adjustRightInd/>
              <w:snapToGrid/>
              <w:spacing w:after="0"/>
              <w:ind w:firstLine="422"/>
              <w:jc w:val="center"/>
              <w:textAlignment w:val="auto"/>
              <w:rPr>
                <w:b/>
                <w:bCs/>
                <w:color w:val="auto"/>
                <w:highlight w:val="none"/>
              </w:rPr>
            </w:pPr>
          </w:p>
        </w:tc>
        <w:tc>
          <w:tcPr>
            <w:tcW w:w="812" w:type="dxa"/>
            <w:vAlign w:val="center"/>
          </w:tcPr>
          <w:p>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b/>
                <w:bCs/>
                <w:color w:val="auto"/>
                <w:highlight w:val="none"/>
              </w:rPr>
            </w:pPr>
            <w:r>
              <w:rPr>
                <w:rFonts w:hint="eastAsia"/>
                <w:b/>
                <w:bCs/>
                <w:color w:val="auto"/>
                <w:highlight w:val="none"/>
              </w:rPr>
              <w:t>服务满意度</w:t>
            </w:r>
          </w:p>
        </w:tc>
        <w:tc>
          <w:tcPr>
            <w:tcW w:w="763" w:type="dxa"/>
            <w:vAlign w:val="center"/>
          </w:tcPr>
          <w:p>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b/>
                <w:bCs/>
                <w:color w:val="auto"/>
                <w:highlight w:val="none"/>
              </w:rPr>
            </w:pPr>
            <w:r>
              <w:rPr>
                <w:rFonts w:hint="eastAsia"/>
                <w:b/>
                <w:bCs/>
                <w:color w:val="auto"/>
                <w:highlight w:val="none"/>
              </w:rPr>
              <w:t>10分</w:t>
            </w:r>
          </w:p>
        </w:tc>
        <w:tc>
          <w:tcPr>
            <w:tcW w:w="4912" w:type="dxa"/>
            <w:vAlign w:val="center"/>
          </w:tcPr>
          <w:p>
            <w:pPr>
              <w:pStyle w:val="2"/>
              <w:keepNext w:val="0"/>
              <w:keepLines w:val="0"/>
              <w:pageBreakBefore w:val="0"/>
              <w:widowControl w:val="0"/>
              <w:kinsoku/>
              <w:wordWrap/>
              <w:overflowPunct/>
              <w:topLinePunct w:val="0"/>
              <w:autoSpaceDE/>
              <w:autoSpaceDN/>
              <w:bidi w:val="0"/>
              <w:adjustRightInd/>
              <w:snapToGrid/>
              <w:spacing w:after="0"/>
              <w:ind w:left="0" w:leftChars="0" w:firstLine="0" w:firstLineChars="0"/>
              <w:jc w:val="left"/>
              <w:textAlignment w:val="auto"/>
              <w:rPr>
                <w:color w:val="auto"/>
                <w:highlight w:val="none"/>
              </w:rPr>
            </w:pPr>
            <w:r>
              <w:rPr>
                <w:rFonts w:hint="eastAsia"/>
                <w:color w:val="auto"/>
                <w:highlight w:val="none"/>
              </w:rPr>
              <w:t>是否有投诉情况。</w:t>
            </w:r>
          </w:p>
        </w:tc>
        <w:tc>
          <w:tcPr>
            <w:tcW w:w="664" w:type="dxa"/>
            <w:vAlign w:val="center"/>
          </w:tcPr>
          <w:p>
            <w:pPr>
              <w:pStyle w:val="2"/>
              <w:keepNext w:val="0"/>
              <w:keepLines w:val="0"/>
              <w:pageBreakBefore w:val="0"/>
              <w:widowControl w:val="0"/>
              <w:kinsoku/>
              <w:wordWrap/>
              <w:overflowPunct/>
              <w:topLinePunct w:val="0"/>
              <w:autoSpaceDE/>
              <w:autoSpaceDN/>
              <w:bidi w:val="0"/>
              <w:adjustRightInd/>
              <w:snapToGrid/>
              <w:spacing w:after="0"/>
              <w:jc w:val="center"/>
              <w:textAlignment w:val="auto"/>
              <w:rPr>
                <w:color w:val="auto"/>
                <w:highlight w:val="none"/>
              </w:rPr>
            </w:pPr>
          </w:p>
        </w:tc>
        <w:tc>
          <w:tcPr>
            <w:tcW w:w="653" w:type="dxa"/>
            <w:vAlign w:val="center"/>
          </w:tcPr>
          <w:p>
            <w:pPr>
              <w:pStyle w:val="2"/>
              <w:keepNext w:val="0"/>
              <w:keepLines w:val="0"/>
              <w:pageBreakBefore w:val="0"/>
              <w:widowControl w:val="0"/>
              <w:kinsoku/>
              <w:wordWrap/>
              <w:overflowPunct/>
              <w:topLinePunct w:val="0"/>
              <w:autoSpaceDE/>
              <w:autoSpaceDN/>
              <w:bidi w:val="0"/>
              <w:adjustRightInd/>
              <w:snapToGrid/>
              <w:spacing w:after="0"/>
              <w:jc w:val="center"/>
              <w:textAlignment w:val="auto"/>
              <w:rPr>
                <w:color w:val="auto"/>
                <w:highlight w:val="none"/>
              </w:rPr>
            </w:pPr>
          </w:p>
        </w:tc>
      </w:tr>
    </w:tbl>
    <w:p>
      <w:pPr>
        <w:spacing w:line="265" w:lineRule="exact"/>
        <w:jc w:val="left"/>
        <w:rPr>
          <w:color w:val="auto"/>
          <w:highlight w:val="none"/>
        </w:rPr>
      </w:pPr>
    </w:p>
    <w:p>
      <w:pPr>
        <w:spacing w:line="440" w:lineRule="exact"/>
        <w:jc w:val="center"/>
        <w:outlineLvl w:val="0"/>
        <w:rPr>
          <w:rFonts w:hint="eastAsia" w:ascii="宋体" w:hAnsi="宋体"/>
          <w:b/>
          <w:color w:val="auto"/>
          <w:sz w:val="44"/>
          <w:szCs w:val="44"/>
          <w:highlight w:val="none"/>
        </w:rPr>
      </w:pPr>
      <w:bookmarkStart w:id="694" w:name="_Toc338840500"/>
      <w:bookmarkStart w:id="695" w:name="_Toc23606"/>
      <w:bookmarkStart w:id="696" w:name="_Toc346523421"/>
      <w:bookmarkStart w:id="697" w:name="_Toc338840252"/>
      <w:bookmarkStart w:id="698" w:name="_Toc32761"/>
      <w:bookmarkStart w:id="699" w:name="_Toc17490"/>
      <w:bookmarkStart w:id="700" w:name="_Toc494093446"/>
      <w:bookmarkStart w:id="701" w:name="_Toc338840461"/>
      <w:bookmarkStart w:id="702" w:name="_Toc5704"/>
      <w:bookmarkStart w:id="703" w:name="_Toc346523484"/>
      <w:bookmarkStart w:id="704" w:name="_Toc494526418"/>
    </w:p>
    <w:p>
      <w:pPr>
        <w:rPr>
          <w:rFonts w:hint="eastAsia"/>
          <w:color w:val="auto"/>
          <w:highlight w:val="none"/>
        </w:rPr>
      </w:pPr>
      <w:r>
        <w:rPr>
          <w:rFonts w:hint="eastAsia"/>
          <w:color w:val="auto"/>
          <w:highlight w:val="none"/>
        </w:rPr>
        <w:br w:type="page"/>
      </w:r>
    </w:p>
    <w:p>
      <w:pPr>
        <w:pStyle w:val="5"/>
        <w:rPr>
          <w:rFonts w:hint="eastAsia"/>
          <w:color w:val="auto"/>
          <w:highlight w:val="none"/>
        </w:rPr>
      </w:pPr>
    </w:p>
    <w:p>
      <w:pPr>
        <w:rPr>
          <w:rFonts w:hint="eastAsia"/>
          <w:color w:val="auto"/>
          <w:highlight w:val="none"/>
        </w:rPr>
      </w:pPr>
    </w:p>
    <w:p>
      <w:pPr>
        <w:spacing w:line="440" w:lineRule="exact"/>
        <w:jc w:val="center"/>
        <w:outlineLvl w:val="0"/>
        <w:rPr>
          <w:rFonts w:ascii="宋体" w:hAnsi="宋体"/>
          <w:b/>
          <w:color w:val="auto"/>
          <w:sz w:val="44"/>
          <w:szCs w:val="44"/>
          <w:highlight w:val="none"/>
        </w:rPr>
      </w:pPr>
      <w:r>
        <w:rPr>
          <w:rFonts w:hint="eastAsia" w:ascii="宋体" w:hAnsi="宋体"/>
          <w:b/>
          <w:color w:val="auto"/>
          <w:sz w:val="44"/>
          <w:szCs w:val="44"/>
          <w:highlight w:val="none"/>
        </w:rPr>
        <w:t xml:space="preserve">第六章  </w:t>
      </w:r>
      <w:bookmarkEnd w:id="686"/>
      <w:bookmarkEnd w:id="687"/>
      <w:bookmarkEnd w:id="688"/>
      <w:bookmarkEnd w:id="689"/>
      <w:bookmarkEnd w:id="690"/>
      <w:bookmarkEnd w:id="691"/>
      <w:bookmarkEnd w:id="692"/>
      <w:bookmarkEnd w:id="693"/>
      <w:r>
        <w:rPr>
          <w:rFonts w:hint="eastAsia" w:ascii="宋体" w:hAnsi="宋体"/>
          <w:b/>
          <w:color w:val="auto"/>
          <w:sz w:val="44"/>
          <w:szCs w:val="44"/>
          <w:highlight w:val="none"/>
        </w:rPr>
        <w:t>投标文件格式</w:t>
      </w:r>
      <w:bookmarkEnd w:id="694"/>
      <w:bookmarkEnd w:id="695"/>
      <w:bookmarkEnd w:id="696"/>
      <w:bookmarkEnd w:id="697"/>
      <w:bookmarkEnd w:id="698"/>
      <w:bookmarkEnd w:id="699"/>
      <w:bookmarkEnd w:id="700"/>
      <w:bookmarkEnd w:id="701"/>
      <w:bookmarkEnd w:id="702"/>
      <w:bookmarkEnd w:id="703"/>
      <w:bookmarkEnd w:id="704"/>
    </w:p>
    <w:p>
      <w:pPr>
        <w:spacing w:line="600" w:lineRule="exact"/>
        <w:rPr>
          <w:rFonts w:ascii="宋体" w:hAnsi="宋体"/>
          <w:b/>
          <w:bCs/>
          <w:color w:val="auto"/>
          <w:sz w:val="32"/>
          <w:szCs w:val="32"/>
          <w:highlight w:val="none"/>
        </w:rPr>
      </w:pPr>
      <w:r>
        <w:rPr>
          <w:rFonts w:hint="eastAsia" w:ascii="宋体" w:hAnsi="宋体"/>
          <w:color w:val="auto"/>
          <w:highlight w:val="none"/>
        </w:rPr>
        <w:br w:type="page"/>
      </w:r>
    </w:p>
    <w:p>
      <w:pPr>
        <w:spacing w:line="600" w:lineRule="exact"/>
        <w:ind w:firstLine="1430" w:firstLineChars="445"/>
        <w:rPr>
          <w:rFonts w:ascii="宋体" w:hAnsi="宋体"/>
          <w:b/>
          <w:bCs/>
          <w:color w:val="auto"/>
          <w:sz w:val="32"/>
          <w:szCs w:val="32"/>
          <w:highlight w:val="none"/>
        </w:rPr>
      </w:pPr>
      <w:r>
        <w:rPr>
          <w:rFonts w:hint="eastAsia" w:ascii="宋体" w:hAnsi="宋体"/>
          <w:b/>
          <w:bCs/>
          <w:color w:val="auto"/>
          <w:sz w:val="32"/>
          <w:szCs w:val="32"/>
          <w:highlight w:val="none"/>
          <w:u w:val="single"/>
        </w:rPr>
        <w:t xml:space="preserve">           　         </w:t>
      </w:r>
      <w:r>
        <w:rPr>
          <w:rFonts w:hint="eastAsia" w:ascii="宋体" w:hAnsi="宋体"/>
          <w:b/>
          <w:bCs/>
          <w:color w:val="auto"/>
          <w:sz w:val="32"/>
          <w:szCs w:val="32"/>
          <w:highlight w:val="none"/>
        </w:rPr>
        <w:t>项目</w:t>
      </w:r>
      <w:r>
        <w:rPr>
          <w:rFonts w:hint="eastAsia" w:ascii="宋体" w:hAnsi="宋体"/>
          <w:b/>
          <w:bCs/>
          <w:color w:val="auto"/>
          <w:sz w:val="32"/>
          <w:szCs w:val="32"/>
          <w:highlight w:val="none"/>
          <w:u w:val="single"/>
        </w:rPr>
        <w:t>　　</w:t>
      </w:r>
      <w:r>
        <w:rPr>
          <w:rFonts w:hint="eastAsia" w:ascii="宋体" w:hAnsi="宋体"/>
          <w:b/>
          <w:bCs/>
          <w:color w:val="auto"/>
          <w:sz w:val="32"/>
          <w:szCs w:val="32"/>
          <w:highlight w:val="none"/>
        </w:rPr>
        <w:t>标段</w:t>
      </w:r>
    </w:p>
    <w:p>
      <w:pPr>
        <w:spacing w:line="800" w:lineRule="exact"/>
        <w:ind w:firstLine="2570" w:firstLineChars="800"/>
        <w:rPr>
          <w:rFonts w:ascii="宋体" w:hAnsi="宋体"/>
          <w:b/>
          <w:bCs/>
          <w:color w:val="auto"/>
          <w:sz w:val="72"/>
          <w:szCs w:val="72"/>
          <w:highlight w:val="none"/>
        </w:rPr>
      </w:pPr>
      <w:r>
        <w:rPr>
          <w:rFonts w:hint="eastAsia" w:ascii="宋体" w:hAnsi="宋体"/>
          <w:b/>
          <w:bCs/>
          <w:color w:val="auto"/>
          <w:sz w:val="32"/>
          <w:szCs w:val="32"/>
          <w:highlight w:val="none"/>
        </w:rPr>
        <w:t>项目编号：</w:t>
      </w:r>
      <w:r>
        <w:rPr>
          <w:rFonts w:hint="eastAsia" w:ascii="宋体" w:hAnsi="宋体"/>
          <w:b/>
          <w:bCs/>
          <w:color w:val="auto"/>
          <w:sz w:val="32"/>
          <w:szCs w:val="32"/>
          <w:highlight w:val="none"/>
          <w:u w:val="single"/>
        </w:rPr>
        <w:t>　　　　</w:t>
      </w:r>
    </w:p>
    <w:p>
      <w:pPr>
        <w:spacing w:line="800" w:lineRule="exact"/>
        <w:rPr>
          <w:rFonts w:ascii="宋体" w:hAnsi="宋体"/>
          <w:b/>
          <w:bCs/>
          <w:color w:val="auto"/>
          <w:sz w:val="72"/>
          <w:szCs w:val="72"/>
          <w:highlight w:val="none"/>
        </w:rPr>
      </w:pPr>
    </w:p>
    <w:p>
      <w:pPr>
        <w:spacing w:line="800" w:lineRule="exact"/>
        <w:rPr>
          <w:rFonts w:ascii="宋体" w:hAnsi="宋体"/>
          <w:b/>
          <w:bCs/>
          <w:color w:val="auto"/>
          <w:sz w:val="72"/>
          <w:szCs w:val="72"/>
          <w:highlight w:val="none"/>
        </w:rPr>
      </w:pPr>
    </w:p>
    <w:p>
      <w:pPr>
        <w:spacing w:line="800" w:lineRule="exact"/>
        <w:rPr>
          <w:rFonts w:ascii="宋体" w:hAnsi="宋体"/>
          <w:b/>
          <w:bCs/>
          <w:color w:val="auto"/>
          <w:sz w:val="72"/>
          <w:szCs w:val="72"/>
          <w:highlight w:val="none"/>
        </w:rPr>
      </w:pPr>
    </w:p>
    <w:p>
      <w:pPr>
        <w:spacing w:line="800" w:lineRule="exact"/>
        <w:rPr>
          <w:rFonts w:ascii="宋体" w:hAnsi="宋体"/>
          <w:b/>
          <w:bCs/>
          <w:color w:val="auto"/>
          <w:sz w:val="72"/>
          <w:szCs w:val="72"/>
          <w:highlight w:val="none"/>
        </w:rPr>
      </w:pPr>
    </w:p>
    <w:p>
      <w:pPr>
        <w:jc w:val="center"/>
        <w:rPr>
          <w:rFonts w:ascii="宋体" w:hAnsi="宋体"/>
          <w:b/>
          <w:bCs/>
          <w:color w:val="auto"/>
          <w:sz w:val="84"/>
          <w:szCs w:val="84"/>
          <w:highlight w:val="none"/>
        </w:rPr>
      </w:pPr>
      <w:r>
        <w:rPr>
          <w:rFonts w:hint="eastAsia" w:ascii="宋体" w:hAnsi="宋体"/>
          <w:b/>
          <w:bCs/>
          <w:color w:val="auto"/>
          <w:sz w:val="84"/>
          <w:szCs w:val="84"/>
          <w:highlight w:val="none"/>
        </w:rPr>
        <w:t>投 标 文 件</w:t>
      </w:r>
    </w:p>
    <w:p>
      <w:pPr>
        <w:spacing w:line="800" w:lineRule="exact"/>
        <w:ind w:firstLine="2249" w:firstLineChars="700"/>
        <w:rPr>
          <w:rFonts w:ascii="宋体" w:hAnsi="宋体"/>
          <w:b/>
          <w:bCs/>
          <w:color w:val="auto"/>
          <w:sz w:val="32"/>
          <w:szCs w:val="32"/>
          <w:highlight w:val="none"/>
          <w:u w:val="single"/>
        </w:rPr>
      </w:pPr>
    </w:p>
    <w:p>
      <w:pPr>
        <w:spacing w:line="800" w:lineRule="exact"/>
        <w:rPr>
          <w:rFonts w:ascii="宋体" w:hAnsi="宋体"/>
          <w:b/>
          <w:bCs/>
          <w:color w:val="auto"/>
          <w:sz w:val="72"/>
          <w:szCs w:val="72"/>
          <w:highlight w:val="none"/>
        </w:rPr>
      </w:pPr>
    </w:p>
    <w:p>
      <w:pPr>
        <w:spacing w:line="600" w:lineRule="exact"/>
        <w:jc w:val="left"/>
        <w:rPr>
          <w:rFonts w:ascii="宋体" w:hAnsi="宋体"/>
          <w:b/>
          <w:bCs/>
          <w:color w:val="auto"/>
          <w:sz w:val="72"/>
          <w:szCs w:val="72"/>
          <w:highlight w:val="none"/>
        </w:rPr>
      </w:pPr>
    </w:p>
    <w:p>
      <w:pPr>
        <w:spacing w:line="600" w:lineRule="exact"/>
        <w:jc w:val="left"/>
        <w:rPr>
          <w:rFonts w:ascii="宋体" w:hAnsi="宋体"/>
          <w:b/>
          <w:bCs/>
          <w:color w:val="auto"/>
          <w:sz w:val="72"/>
          <w:szCs w:val="72"/>
          <w:highlight w:val="none"/>
        </w:rPr>
      </w:pPr>
    </w:p>
    <w:p>
      <w:pPr>
        <w:spacing w:line="600" w:lineRule="exact"/>
        <w:jc w:val="left"/>
        <w:rPr>
          <w:rFonts w:ascii="宋体" w:hAnsi="宋体"/>
          <w:b/>
          <w:bCs/>
          <w:color w:val="auto"/>
          <w:sz w:val="72"/>
          <w:szCs w:val="72"/>
          <w:highlight w:val="none"/>
        </w:rPr>
      </w:pPr>
    </w:p>
    <w:p>
      <w:pPr>
        <w:spacing w:line="600" w:lineRule="exact"/>
        <w:jc w:val="left"/>
        <w:rPr>
          <w:rFonts w:ascii="宋体" w:hAnsi="宋体"/>
          <w:b/>
          <w:bCs/>
          <w:color w:val="auto"/>
          <w:sz w:val="72"/>
          <w:szCs w:val="72"/>
          <w:highlight w:val="none"/>
        </w:rPr>
      </w:pPr>
    </w:p>
    <w:p>
      <w:pPr>
        <w:spacing w:line="600" w:lineRule="exact"/>
        <w:jc w:val="left"/>
        <w:rPr>
          <w:rFonts w:ascii="宋体" w:hAnsi="宋体"/>
          <w:b/>
          <w:bCs/>
          <w:color w:val="auto"/>
          <w:sz w:val="72"/>
          <w:szCs w:val="72"/>
          <w:highlight w:val="none"/>
        </w:rPr>
      </w:pPr>
    </w:p>
    <w:p>
      <w:pPr>
        <w:spacing w:line="600" w:lineRule="exact"/>
        <w:ind w:firstLine="643" w:firstLineChars="200"/>
        <w:rPr>
          <w:rFonts w:ascii="宋体" w:hAnsi="宋体"/>
          <w:b/>
          <w:color w:val="auto"/>
          <w:sz w:val="32"/>
          <w:szCs w:val="32"/>
          <w:highlight w:val="none"/>
        </w:rPr>
      </w:pPr>
      <w:r>
        <w:rPr>
          <w:rFonts w:hint="eastAsia" w:ascii="宋体" w:hAnsi="宋体"/>
          <w:b/>
          <w:color w:val="auto"/>
          <w:sz w:val="32"/>
          <w:szCs w:val="32"/>
          <w:highlight w:val="none"/>
        </w:rPr>
        <w:t>收件人：</w:t>
      </w:r>
      <w:r>
        <w:rPr>
          <w:rFonts w:hint="eastAsia" w:ascii="宋体" w:hAnsi="宋体" w:cs="宋体"/>
          <w:b/>
          <w:color w:val="auto"/>
          <w:sz w:val="32"/>
          <w:szCs w:val="32"/>
          <w:highlight w:val="none"/>
        </w:rPr>
        <w:t>开封市政府采购中心</w:t>
      </w:r>
    </w:p>
    <w:p>
      <w:pPr>
        <w:spacing w:line="600" w:lineRule="exact"/>
        <w:ind w:firstLine="643" w:firstLineChars="200"/>
        <w:rPr>
          <w:rFonts w:ascii="宋体" w:hAnsi="宋体"/>
          <w:b/>
          <w:color w:val="auto"/>
          <w:sz w:val="32"/>
          <w:szCs w:val="32"/>
          <w:highlight w:val="none"/>
          <w:u w:val="single"/>
        </w:rPr>
      </w:pPr>
      <w:r>
        <w:rPr>
          <w:rFonts w:hint="eastAsia" w:ascii="宋体" w:hAnsi="宋体"/>
          <w:b/>
          <w:color w:val="auto"/>
          <w:sz w:val="32"/>
          <w:szCs w:val="32"/>
          <w:highlight w:val="none"/>
        </w:rPr>
        <w:t>供应商：</w:t>
      </w:r>
      <w:r>
        <w:rPr>
          <w:rFonts w:hint="eastAsia" w:ascii="宋体" w:hAnsi="宋体"/>
          <w:b/>
          <w:color w:val="auto"/>
          <w:sz w:val="32"/>
          <w:szCs w:val="32"/>
          <w:highlight w:val="none"/>
          <w:u w:val="single"/>
        </w:rPr>
        <w:t>　　　　　　　　　　　　　　　　　</w:t>
      </w:r>
    </w:p>
    <w:p>
      <w:pPr>
        <w:ind w:firstLine="643" w:firstLineChars="200"/>
        <w:rPr>
          <w:rFonts w:ascii="宋体" w:hAnsi="宋体"/>
          <w:b/>
          <w:color w:val="auto"/>
          <w:sz w:val="32"/>
          <w:szCs w:val="32"/>
          <w:highlight w:val="none"/>
          <w:u w:val="single"/>
        </w:rPr>
      </w:pPr>
      <w:r>
        <w:rPr>
          <w:rFonts w:hint="eastAsia" w:ascii="宋体" w:hAnsi="宋体"/>
          <w:b/>
          <w:color w:val="auto"/>
          <w:sz w:val="32"/>
          <w:szCs w:val="32"/>
          <w:highlight w:val="none"/>
        </w:rPr>
        <w:t>供应商地址：</w:t>
      </w:r>
      <w:r>
        <w:rPr>
          <w:rFonts w:hint="eastAsia" w:ascii="宋体" w:hAnsi="宋体"/>
          <w:b/>
          <w:color w:val="auto"/>
          <w:sz w:val="32"/>
          <w:szCs w:val="32"/>
          <w:highlight w:val="none"/>
          <w:u w:val="single"/>
        </w:rPr>
        <w:t>　　　　　　　　　　　　　　　</w:t>
      </w:r>
    </w:p>
    <w:p>
      <w:pPr>
        <w:ind w:firstLine="3518" w:firstLineChars="1095"/>
        <w:rPr>
          <w:rFonts w:ascii="宋体" w:hAnsi="宋体"/>
          <w:b/>
          <w:color w:val="auto"/>
          <w:sz w:val="32"/>
          <w:szCs w:val="32"/>
          <w:highlight w:val="none"/>
        </w:rPr>
      </w:pPr>
      <w:r>
        <w:rPr>
          <w:rFonts w:hint="eastAsia" w:ascii="宋体" w:hAnsi="宋体"/>
          <w:b/>
          <w:color w:val="auto"/>
          <w:sz w:val="32"/>
          <w:szCs w:val="32"/>
          <w:highlight w:val="none"/>
        </w:rPr>
        <w:t>编制时间</w:t>
      </w:r>
      <w:r>
        <w:rPr>
          <w:rFonts w:hint="eastAsia" w:ascii="宋体" w:hAnsi="宋体"/>
          <w:b/>
          <w:color w:val="auto"/>
          <w:sz w:val="32"/>
          <w:szCs w:val="32"/>
          <w:highlight w:val="none"/>
          <w:u w:val="single"/>
        </w:rPr>
        <w:t xml:space="preserve">    </w:t>
      </w:r>
      <w:r>
        <w:rPr>
          <w:rFonts w:hint="eastAsia" w:ascii="宋体" w:hAnsi="宋体"/>
          <w:b/>
          <w:color w:val="auto"/>
          <w:sz w:val="32"/>
          <w:szCs w:val="32"/>
          <w:highlight w:val="none"/>
        </w:rPr>
        <w:t>年</w:t>
      </w:r>
      <w:r>
        <w:rPr>
          <w:rFonts w:hint="eastAsia" w:ascii="宋体" w:hAnsi="宋体"/>
          <w:b/>
          <w:color w:val="auto"/>
          <w:sz w:val="32"/>
          <w:szCs w:val="32"/>
          <w:highlight w:val="none"/>
          <w:u w:val="single"/>
        </w:rPr>
        <w:t xml:space="preserve">   </w:t>
      </w:r>
      <w:r>
        <w:rPr>
          <w:rFonts w:hint="eastAsia" w:ascii="宋体" w:hAnsi="宋体"/>
          <w:b/>
          <w:color w:val="auto"/>
          <w:sz w:val="32"/>
          <w:szCs w:val="32"/>
          <w:highlight w:val="none"/>
        </w:rPr>
        <w:t>月</w:t>
      </w:r>
      <w:r>
        <w:rPr>
          <w:rFonts w:hint="eastAsia" w:ascii="宋体" w:hAnsi="宋体"/>
          <w:b/>
          <w:color w:val="auto"/>
          <w:sz w:val="32"/>
          <w:szCs w:val="32"/>
          <w:highlight w:val="none"/>
          <w:u w:val="single"/>
        </w:rPr>
        <w:t xml:space="preserve">   </w:t>
      </w:r>
      <w:r>
        <w:rPr>
          <w:rFonts w:hint="eastAsia" w:ascii="宋体" w:hAnsi="宋体"/>
          <w:b/>
          <w:color w:val="auto"/>
          <w:sz w:val="32"/>
          <w:szCs w:val="32"/>
          <w:highlight w:val="none"/>
        </w:rPr>
        <w:t>日</w:t>
      </w:r>
    </w:p>
    <w:p>
      <w:pPr>
        <w:rPr>
          <w:rFonts w:ascii="宋体" w:hAnsi="宋体"/>
          <w:color w:val="auto"/>
          <w:highlight w:val="none"/>
        </w:rPr>
      </w:pPr>
    </w:p>
    <w:p>
      <w:pPr>
        <w:jc w:val="center"/>
        <w:rPr>
          <w:rFonts w:ascii="宋体" w:hAnsi="宋体"/>
          <w:color w:val="auto"/>
          <w:sz w:val="44"/>
          <w:szCs w:val="44"/>
          <w:highlight w:val="none"/>
        </w:rPr>
      </w:pPr>
      <w:bookmarkStart w:id="705" w:name="_Toc338840253"/>
      <w:bookmarkStart w:id="706" w:name="_Toc338840462"/>
      <w:bookmarkStart w:id="707" w:name="_Toc346523422"/>
      <w:bookmarkStart w:id="708" w:name="_Toc338840501"/>
      <w:r>
        <w:rPr>
          <w:rFonts w:hint="eastAsia" w:ascii="宋体" w:hAnsi="宋体"/>
          <w:color w:val="auto"/>
          <w:sz w:val="44"/>
          <w:szCs w:val="44"/>
          <w:highlight w:val="none"/>
        </w:rPr>
        <w:br w:type="page"/>
      </w:r>
      <w:r>
        <w:rPr>
          <w:rFonts w:hint="eastAsia" w:ascii="宋体" w:hAnsi="宋体"/>
          <w:color w:val="auto"/>
          <w:sz w:val="44"/>
          <w:szCs w:val="44"/>
          <w:highlight w:val="none"/>
        </w:rPr>
        <w:t>目　　录</w:t>
      </w:r>
      <w:bookmarkEnd w:id="705"/>
      <w:bookmarkEnd w:id="706"/>
      <w:bookmarkEnd w:id="707"/>
      <w:bookmarkEnd w:id="708"/>
    </w:p>
    <w:p>
      <w:pPr>
        <w:rPr>
          <w:rFonts w:ascii="宋体" w:hAnsi="宋体"/>
          <w:color w:val="auto"/>
          <w:highlight w:val="none"/>
        </w:rPr>
      </w:pPr>
    </w:p>
    <w:p>
      <w:pPr>
        <w:numPr>
          <w:ilvl w:val="0"/>
          <w:numId w:val="10"/>
        </w:numPr>
        <w:rPr>
          <w:rFonts w:ascii="宋体" w:hAnsi="宋体" w:cs="宋体"/>
          <w:color w:val="auto"/>
          <w:sz w:val="32"/>
          <w:szCs w:val="32"/>
          <w:highlight w:val="none"/>
        </w:rPr>
      </w:pPr>
      <w:r>
        <w:rPr>
          <w:rFonts w:hint="eastAsia" w:ascii="宋体" w:hAnsi="宋体" w:cs="宋体"/>
          <w:color w:val="auto"/>
          <w:sz w:val="32"/>
          <w:szCs w:val="32"/>
          <w:highlight w:val="none"/>
        </w:rPr>
        <w:t>投标函</w:t>
      </w:r>
    </w:p>
    <w:p>
      <w:pPr>
        <w:numPr>
          <w:ilvl w:val="0"/>
          <w:numId w:val="10"/>
        </w:numPr>
        <w:rPr>
          <w:rFonts w:ascii="宋体" w:hAnsi="宋体" w:cs="宋体"/>
          <w:color w:val="auto"/>
          <w:sz w:val="32"/>
          <w:szCs w:val="32"/>
          <w:highlight w:val="none"/>
        </w:rPr>
      </w:pPr>
      <w:r>
        <w:rPr>
          <w:rFonts w:hint="eastAsia" w:ascii="宋体" w:hAnsi="宋体" w:cs="宋体"/>
          <w:color w:val="auto"/>
          <w:sz w:val="32"/>
          <w:szCs w:val="32"/>
          <w:highlight w:val="none"/>
        </w:rPr>
        <w:t>法定代表人资格证明或授权委托书</w:t>
      </w:r>
    </w:p>
    <w:p>
      <w:pPr>
        <w:numPr>
          <w:ilvl w:val="0"/>
          <w:numId w:val="10"/>
        </w:numPr>
        <w:rPr>
          <w:rFonts w:ascii="宋体" w:hAnsi="宋体" w:cs="宋体"/>
          <w:color w:val="auto"/>
          <w:sz w:val="32"/>
          <w:szCs w:val="32"/>
          <w:highlight w:val="none"/>
        </w:rPr>
      </w:pPr>
      <w:r>
        <w:rPr>
          <w:rFonts w:hint="eastAsia" w:ascii="宋体" w:hAnsi="宋体" w:cs="宋体"/>
          <w:color w:val="auto"/>
          <w:sz w:val="32"/>
          <w:szCs w:val="32"/>
          <w:highlight w:val="none"/>
        </w:rPr>
        <w:t>供应商基本情况和资格证明材料</w:t>
      </w:r>
    </w:p>
    <w:p>
      <w:pPr>
        <w:numPr>
          <w:ilvl w:val="0"/>
          <w:numId w:val="10"/>
        </w:numPr>
        <w:rPr>
          <w:rFonts w:ascii="宋体" w:hAnsi="宋体" w:cs="宋体"/>
          <w:color w:val="auto"/>
          <w:sz w:val="32"/>
          <w:szCs w:val="32"/>
          <w:highlight w:val="none"/>
        </w:rPr>
      </w:pPr>
      <w:r>
        <w:rPr>
          <w:rFonts w:hint="eastAsia" w:ascii="宋体" w:hAnsi="宋体" w:cs="宋体"/>
          <w:color w:val="auto"/>
          <w:sz w:val="32"/>
          <w:szCs w:val="32"/>
          <w:highlight w:val="none"/>
        </w:rPr>
        <w:t>投标内容及报价明细表</w:t>
      </w:r>
    </w:p>
    <w:p>
      <w:pPr>
        <w:numPr>
          <w:ilvl w:val="0"/>
          <w:numId w:val="10"/>
        </w:numPr>
        <w:rPr>
          <w:rFonts w:ascii="宋体" w:hAnsi="宋体" w:cs="宋体"/>
          <w:color w:val="auto"/>
          <w:sz w:val="32"/>
          <w:szCs w:val="32"/>
          <w:highlight w:val="none"/>
        </w:rPr>
      </w:pPr>
      <w:r>
        <w:rPr>
          <w:rFonts w:hint="eastAsia" w:ascii="宋体" w:hAnsi="宋体" w:cs="宋体"/>
          <w:color w:val="auto"/>
          <w:sz w:val="32"/>
          <w:szCs w:val="32"/>
          <w:highlight w:val="none"/>
        </w:rPr>
        <w:t>技术及商务偏差表</w:t>
      </w:r>
    </w:p>
    <w:p>
      <w:pPr>
        <w:numPr>
          <w:ilvl w:val="0"/>
          <w:numId w:val="10"/>
        </w:numPr>
        <w:rPr>
          <w:rFonts w:ascii="宋体" w:hAnsi="宋体" w:cs="宋体"/>
          <w:color w:val="auto"/>
          <w:sz w:val="32"/>
          <w:szCs w:val="32"/>
          <w:highlight w:val="none"/>
        </w:rPr>
      </w:pPr>
      <w:r>
        <w:rPr>
          <w:rFonts w:hint="eastAsia" w:ascii="宋体" w:hAnsi="宋体" w:cs="宋体"/>
          <w:color w:val="auto"/>
          <w:sz w:val="32"/>
          <w:szCs w:val="32"/>
          <w:highlight w:val="none"/>
        </w:rPr>
        <w:t>备品备件及附送工具清单</w:t>
      </w:r>
    </w:p>
    <w:p>
      <w:pPr>
        <w:numPr>
          <w:ilvl w:val="0"/>
          <w:numId w:val="10"/>
        </w:numPr>
        <w:rPr>
          <w:rFonts w:ascii="宋体" w:hAnsi="宋体" w:cs="宋体"/>
          <w:color w:val="auto"/>
          <w:sz w:val="32"/>
          <w:szCs w:val="32"/>
          <w:highlight w:val="none"/>
        </w:rPr>
      </w:pPr>
      <w:r>
        <w:rPr>
          <w:rFonts w:hint="eastAsia" w:ascii="宋体" w:hAnsi="宋体" w:cs="宋体"/>
          <w:color w:val="auto"/>
          <w:sz w:val="32"/>
          <w:szCs w:val="32"/>
          <w:highlight w:val="none"/>
        </w:rPr>
        <w:t>业绩合同</w:t>
      </w:r>
    </w:p>
    <w:p>
      <w:pPr>
        <w:numPr>
          <w:ilvl w:val="0"/>
          <w:numId w:val="10"/>
        </w:numPr>
        <w:rPr>
          <w:rFonts w:hint="eastAsia" w:ascii="宋体" w:hAnsi="宋体" w:cs="宋体"/>
          <w:color w:val="auto"/>
          <w:sz w:val="32"/>
          <w:szCs w:val="32"/>
          <w:highlight w:val="none"/>
        </w:rPr>
      </w:pPr>
      <w:r>
        <w:rPr>
          <w:rFonts w:hint="eastAsia" w:ascii="宋体" w:hAnsi="宋体" w:cs="宋体"/>
          <w:color w:val="auto"/>
          <w:sz w:val="32"/>
          <w:szCs w:val="32"/>
          <w:highlight w:val="none"/>
        </w:rPr>
        <w:t>企业实力</w:t>
      </w:r>
    </w:p>
    <w:p>
      <w:pPr>
        <w:numPr>
          <w:ilvl w:val="0"/>
          <w:numId w:val="10"/>
        </w:numPr>
        <w:rPr>
          <w:rFonts w:ascii="宋体" w:hAnsi="宋体" w:cs="宋体"/>
          <w:color w:val="auto"/>
          <w:sz w:val="32"/>
          <w:szCs w:val="32"/>
          <w:highlight w:val="none"/>
        </w:rPr>
      </w:pPr>
      <w:r>
        <w:rPr>
          <w:rFonts w:hint="eastAsia" w:ascii="宋体" w:hAnsi="宋体" w:cs="宋体"/>
          <w:color w:val="auto"/>
          <w:sz w:val="32"/>
          <w:szCs w:val="32"/>
          <w:highlight w:val="none"/>
        </w:rPr>
        <w:t>服务方案</w:t>
      </w:r>
    </w:p>
    <w:p>
      <w:pPr>
        <w:numPr>
          <w:ilvl w:val="0"/>
          <w:numId w:val="10"/>
        </w:numPr>
        <w:rPr>
          <w:rFonts w:ascii="宋体" w:hAnsi="宋体" w:cs="宋体"/>
          <w:color w:val="auto"/>
          <w:sz w:val="32"/>
          <w:szCs w:val="32"/>
          <w:highlight w:val="none"/>
        </w:rPr>
      </w:pPr>
      <w:r>
        <w:rPr>
          <w:rFonts w:hint="eastAsia" w:ascii="宋体" w:hAnsi="宋体" w:cs="宋体"/>
          <w:color w:val="auto"/>
          <w:sz w:val="32"/>
          <w:szCs w:val="32"/>
          <w:highlight w:val="none"/>
        </w:rPr>
        <w:t>拟投入人员</w:t>
      </w:r>
    </w:p>
    <w:p>
      <w:pPr>
        <w:numPr>
          <w:ilvl w:val="0"/>
          <w:numId w:val="10"/>
        </w:numPr>
        <w:rPr>
          <w:rFonts w:ascii="宋体" w:hAnsi="宋体" w:cs="宋体"/>
          <w:color w:val="auto"/>
          <w:sz w:val="32"/>
          <w:szCs w:val="32"/>
          <w:highlight w:val="none"/>
        </w:rPr>
      </w:pPr>
      <w:r>
        <w:rPr>
          <w:rFonts w:hint="eastAsia" w:ascii="宋体" w:hAnsi="宋体" w:cs="宋体"/>
          <w:color w:val="auto"/>
          <w:sz w:val="32"/>
          <w:szCs w:val="32"/>
          <w:highlight w:val="none"/>
        </w:rPr>
        <w:t>相关证明材料</w:t>
      </w:r>
    </w:p>
    <w:p>
      <w:pPr>
        <w:rPr>
          <w:rFonts w:ascii="宋体" w:hAnsi="宋体"/>
          <w:color w:val="auto"/>
          <w:sz w:val="32"/>
          <w:szCs w:val="32"/>
          <w:highlight w:val="none"/>
        </w:rPr>
      </w:pPr>
    </w:p>
    <w:p>
      <w:pPr>
        <w:topLinePunct/>
        <w:spacing w:line="440" w:lineRule="exact"/>
        <w:jc w:val="center"/>
        <w:rPr>
          <w:rFonts w:ascii="宋体" w:hAnsi="宋体" w:cs="仿宋_GB2312"/>
          <w:b/>
          <w:bCs/>
          <w:color w:val="auto"/>
          <w:sz w:val="44"/>
          <w:szCs w:val="44"/>
          <w:highlight w:val="none"/>
        </w:rPr>
      </w:pPr>
      <w:r>
        <w:rPr>
          <w:rFonts w:ascii="宋体" w:hAnsi="宋体"/>
          <w:color w:val="auto"/>
          <w:kern w:val="44"/>
          <w:sz w:val="44"/>
          <w:szCs w:val="44"/>
          <w:highlight w:val="none"/>
        </w:rPr>
        <w:br w:type="page"/>
      </w:r>
      <w:bookmarkStart w:id="709" w:name="_Toc338840254"/>
      <w:bookmarkStart w:id="710" w:name="_Toc338840463"/>
      <w:bookmarkStart w:id="711" w:name="_Toc338840502"/>
      <w:r>
        <w:rPr>
          <w:rFonts w:hint="eastAsia" w:ascii="宋体" w:hAnsi="宋体" w:cs="仿宋_GB2312"/>
          <w:b/>
          <w:bCs/>
          <w:color w:val="auto"/>
          <w:sz w:val="44"/>
          <w:szCs w:val="44"/>
          <w:highlight w:val="none"/>
        </w:rPr>
        <w:t>一　　投 标 函</w:t>
      </w:r>
      <w:bookmarkEnd w:id="709"/>
      <w:bookmarkEnd w:id="710"/>
      <w:bookmarkEnd w:id="711"/>
    </w:p>
    <w:p>
      <w:pPr>
        <w:topLinePunct/>
        <w:spacing w:line="440" w:lineRule="exact"/>
        <w:rPr>
          <w:rFonts w:ascii="宋体" w:hAnsi="宋体" w:cs="仿宋_GB2312"/>
          <w:color w:val="auto"/>
          <w:sz w:val="32"/>
          <w:szCs w:val="32"/>
          <w:highlight w:val="none"/>
        </w:rPr>
      </w:pPr>
    </w:p>
    <w:p>
      <w:pPr>
        <w:topLinePunct/>
        <w:rPr>
          <w:rFonts w:ascii="宋体" w:hAnsi="宋体" w:cs="宋体"/>
          <w:color w:val="auto"/>
          <w:sz w:val="32"/>
          <w:szCs w:val="32"/>
          <w:highlight w:val="none"/>
        </w:rPr>
      </w:pPr>
      <w:bookmarkStart w:id="712" w:name="_Toc288115062"/>
      <w:bookmarkStart w:id="713" w:name="_Toc288115087"/>
      <w:r>
        <w:rPr>
          <w:rFonts w:hint="eastAsia" w:ascii="宋体" w:hAnsi="宋体" w:cs="宋体"/>
          <w:color w:val="auto"/>
          <w:sz w:val="32"/>
          <w:szCs w:val="32"/>
          <w:highlight w:val="none"/>
        </w:rPr>
        <w:t>致：开封市政府采购中心</w:t>
      </w:r>
    </w:p>
    <w:p>
      <w:pPr>
        <w:topLinePunct/>
        <w:ind w:firstLine="640" w:firstLineChars="200"/>
        <w:rPr>
          <w:rFonts w:ascii="宋体" w:hAnsi="宋体" w:cs="仿宋_GB2312"/>
          <w:color w:val="auto"/>
          <w:sz w:val="32"/>
          <w:szCs w:val="32"/>
          <w:highlight w:val="none"/>
        </w:rPr>
      </w:pPr>
      <w:r>
        <w:rPr>
          <w:rFonts w:hint="eastAsia" w:ascii="宋体" w:hAnsi="宋体" w:cs="仿宋_GB2312"/>
          <w:color w:val="auto"/>
          <w:sz w:val="32"/>
          <w:szCs w:val="32"/>
          <w:highlight w:val="none"/>
        </w:rPr>
        <w:t>我方已仔细研究了</w:t>
      </w:r>
      <w:r>
        <w:rPr>
          <w:rFonts w:hint="eastAsia" w:ascii="宋体" w:hAnsi="宋体" w:cs="仿宋_GB2312"/>
          <w:color w:val="auto"/>
          <w:sz w:val="32"/>
          <w:szCs w:val="32"/>
          <w:highlight w:val="none"/>
          <w:u w:val="single"/>
        </w:rPr>
        <w:t xml:space="preserve">                 </w:t>
      </w:r>
      <w:r>
        <w:rPr>
          <w:rFonts w:hint="eastAsia" w:ascii="宋体" w:hAnsi="宋体" w:cs="仿宋_GB2312"/>
          <w:color w:val="auto"/>
          <w:sz w:val="32"/>
          <w:szCs w:val="32"/>
          <w:highlight w:val="none"/>
        </w:rPr>
        <w:t>项目（项目编号：</w:t>
      </w:r>
      <w:r>
        <w:rPr>
          <w:rFonts w:hint="eastAsia" w:ascii="宋体" w:hAnsi="宋体" w:cs="仿宋_GB2312"/>
          <w:color w:val="auto"/>
          <w:sz w:val="32"/>
          <w:szCs w:val="32"/>
          <w:highlight w:val="none"/>
          <w:u w:val="single"/>
        </w:rPr>
        <w:t xml:space="preserve">        </w:t>
      </w:r>
      <w:r>
        <w:rPr>
          <w:rFonts w:hint="eastAsia" w:ascii="宋体" w:hAnsi="宋体" w:cs="仿宋_GB2312"/>
          <w:color w:val="auto"/>
          <w:sz w:val="32"/>
          <w:szCs w:val="32"/>
          <w:highlight w:val="none"/>
        </w:rPr>
        <w:t>）第</w:t>
      </w:r>
      <w:r>
        <w:rPr>
          <w:rFonts w:hint="eastAsia" w:ascii="宋体" w:hAnsi="宋体" w:cs="仿宋_GB2312"/>
          <w:color w:val="auto"/>
          <w:sz w:val="32"/>
          <w:szCs w:val="32"/>
          <w:highlight w:val="none"/>
          <w:u w:val="single"/>
        </w:rPr>
        <w:t xml:space="preserve">    </w:t>
      </w:r>
      <w:r>
        <w:rPr>
          <w:rFonts w:hint="eastAsia" w:ascii="宋体" w:hAnsi="宋体" w:cs="仿宋_GB2312"/>
          <w:color w:val="auto"/>
          <w:sz w:val="32"/>
          <w:szCs w:val="32"/>
          <w:highlight w:val="none"/>
        </w:rPr>
        <w:t>标段招标文件的全部内容，愿按照招标文件中的条款和要求提供招标产品和服务，并承诺以下内容：</w:t>
      </w:r>
    </w:p>
    <w:p>
      <w:pPr>
        <w:numPr>
          <w:ilvl w:val="0"/>
          <w:numId w:val="11"/>
        </w:numPr>
        <w:topLinePunct/>
        <w:ind w:firstLine="419" w:firstLineChars="131"/>
        <w:rPr>
          <w:rFonts w:ascii="宋体" w:hAnsi="宋体" w:cs="宋体"/>
          <w:color w:val="auto"/>
          <w:sz w:val="32"/>
          <w:szCs w:val="32"/>
          <w:highlight w:val="none"/>
        </w:rPr>
      </w:pPr>
      <w:r>
        <w:rPr>
          <w:rFonts w:hint="eastAsia" w:ascii="宋体" w:hAnsi="宋体" w:cs="宋体"/>
          <w:color w:val="auto"/>
          <w:sz w:val="32"/>
          <w:szCs w:val="32"/>
          <w:highlight w:val="none"/>
        </w:rPr>
        <w:t>投标报价（人民币大写）：</w:t>
      </w:r>
      <w:r>
        <w:rPr>
          <w:rFonts w:hint="eastAsia" w:ascii="宋体" w:hAnsi="宋体" w:cs="宋体"/>
          <w:color w:val="auto"/>
          <w:sz w:val="32"/>
          <w:szCs w:val="32"/>
          <w:highlight w:val="none"/>
          <w:u w:val="single"/>
        </w:rPr>
        <w:t xml:space="preserve">           </w:t>
      </w:r>
      <w:r>
        <w:rPr>
          <w:rFonts w:hint="eastAsia" w:ascii="宋体" w:hAnsi="宋体" w:cs="宋体"/>
          <w:color w:val="auto"/>
          <w:sz w:val="32"/>
          <w:szCs w:val="32"/>
          <w:highlight w:val="none"/>
        </w:rPr>
        <w:t>（小写：</w:t>
      </w:r>
      <w:r>
        <w:rPr>
          <w:rFonts w:hint="eastAsia" w:ascii="宋体" w:hAnsi="宋体" w:cs="宋体"/>
          <w:color w:val="auto"/>
          <w:sz w:val="32"/>
          <w:szCs w:val="32"/>
          <w:highlight w:val="none"/>
          <w:u w:val="single"/>
        </w:rPr>
        <w:t xml:space="preserve">      </w:t>
      </w:r>
      <w:r>
        <w:rPr>
          <w:rFonts w:hint="eastAsia" w:ascii="宋体" w:hAnsi="宋体" w:cs="宋体"/>
          <w:color w:val="auto"/>
          <w:sz w:val="32"/>
          <w:szCs w:val="32"/>
          <w:highlight w:val="none"/>
        </w:rPr>
        <w:t>）。</w:t>
      </w:r>
    </w:p>
    <w:p>
      <w:pPr>
        <w:numPr>
          <w:ilvl w:val="0"/>
          <w:numId w:val="11"/>
        </w:numPr>
        <w:topLinePunct/>
        <w:ind w:firstLine="419" w:firstLineChars="131"/>
        <w:rPr>
          <w:rFonts w:ascii="宋体" w:hAnsi="宋体" w:cs="宋体"/>
          <w:color w:val="auto"/>
          <w:sz w:val="32"/>
          <w:szCs w:val="32"/>
          <w:highlight w:val="none"/>
        </w:rPr>
      </w:pPr>
      <w:r>
        <w:rPr>
          <w:rFonts w:hint="eastAsia" w:ascii="宋体" w:hAnsi="宋体" w:cs="宋体"/>
          <w:color w:val="auto"/>
          <w:sz w:val="32"/>
          <w:szCs w:val="32"/>
          <w:highlight w:val="none"/>
        </w:rPr>
        <w:t>合同履行期限：</w:t>
      </w:r>
      <w:r>
        <w:rPr>
          <w:rFonts w:hint="eastAsia" w:ascii="宋体" w:hAnsi="宋体" w:cs="宋体"/>
          <w:color w:val="auto"/>
          <w:sz w:val="32"/>
          <w:szCs w:val="32"/>
          <w:highlight w:val="none"/>
          <w:u w:val="single"/>
        </w:rPr>
        <w:t xml:space="preserve">       </w:t>
      </w:r>
      <w:r>
        <w:rPr>
          <w:rFonts w:hint="eastAsia" w:ascii="宋体" w:hAnsi="宋体" w:cs="宋体"/>
          <w:color w:val="auto"/>
          <w:sz w:val="32"/>
          <w:szCs w:val="32"/>
          <w:highlight w:val="none"/>
        </w:rPr>
        <w:t>。</w:t>
      </w:r>
    </w:p>
    <w:p>
      <w:pPr>
        <w:numPr>
          <w:ilvl w:val="0"/>
          <w:numId w:val="11"/>
        </w:numPr>
        <w:topLinePunct/>
        <w:ind w:firstLine="419" w:firstLineChars="131"/>
        <w:rPr>
          <w:rFonts w:ascii="宋体" w:hAnsi="宋体" w:cs="宋体"/>
          <w:color w:val="auto"/>
          <w:sz w:val="32"/>
          <w:szCs w:val="32"/>
          <w:highlight w:val="none"/>
        </w:rPr>
      </w:pPr>
      <w:r>
        <w:rPr>
          <w:rFonts w:hint="eastAsia" w:ascii="宋体" w:hAnsi="宋体" w:cs="宋体"/>
          <w:color w:val="auto"/>
          <w:sz w:val="32"/>
          <w:szCs w:val="32"/>
          <w:highlight w:val="none"/>
        </w:rPr>
        <w:t>投标有效期：自投标截止之日起</w:t>
      </w:r>
      <w:r>
        <w:rPr>
          <w:rFonts w:hint="eastAsia" w:ascii="宋体" w:hAnsi="宋体" w:cs="宋体"/>
          <w:color w:val="auto"/>
          <w:sz w:val="32"/>
          <w:szCs w:val="32"/>
          <w:highlight w:val="none"/>
          <w:u w:val="single"/>
        </w:rPr>
        <w:t xml:space="preserve"> 60  </w:t>
      </w:r>
      <w:r>
        <w:rPr>
          <w:rFonts w:hint="eastAsia" w:ascii="宋体" w:hAnsi="宋体" w:cs="宋体"/>
          <w:color w:val="auto"/>
          <w:sz w:val="32"/>
          <w:szCs w:val="32"/>
          <w:highlight w:val="none"/>
        </w:rPr>
        <w:t>日历天（不少于要求的时间）。</w:t>
      </w:r>
    </w:p>
    <w:p>
      <w:pPr>
        <w:numPr>
          <w:ilvl w:val="0"/>
          <w:numId w:val="11"/>
        </w:numPr>
        <w:topLinePunct/>
        <w:ind w:firstLine="419" w:firstLineChars="131"/>
        <w:rPr>
          <w:rFonts w:ascii="宋体" w:hAnsi="宋体" w:cs="宋体"/>
          <w:color w:val="auto"/>
          <w:sz w:val="32"/>
          <w:szCs w:val="32"/>
          <w:highlight w:val="none"/>
        </w:rPr>
      </w:pPr>
      <w:r>
        <w:rPr>
          <w:rFonts w:hint="eastAsia" w:ascii="宋体" w:hAnsi="宋体" w:cs="宋体"/>
          <w:color w:val="auto"/>
          <w:sz w:val="32"/>
          <w:szCs w:val="32"/>
          <w:highlight w:val="none"/>
        </w:rPr>
        <w:t>付款方式：</w:t>
      </w:r>
      <w:r>
        <w:rPr>
          <w:rFonts w:hint="eastAsia" w:ascii="宋体" w:hAnsi="宋体" w:cs="宋体"/>
          <w:color w:val="auto"/>
          <w:sz w:val="32"/>
          <w:szCs w:val="32"/>
          <w:highlight w:val="none"/>
          <w:u w:val="single"/>
        </w:rPr>
        <w:t xml:space="preserve">   响应   </w:t>
      </w:r>
      <w:r>
        <w:rPr>
          <w:rFonts w:hint="eastAsia" w:ascii="宋体" w:hAnsi="宋体" w:cs="宋体"/>
          <w:color w:val="auto"/>
          <w:sz w:val="32"/>
          <w:szCs w:val="32"/>
          <w:highlight w:val="none"/>
        </w:rPr>
        <w:t>招标文件要求。</w:t>
      </w:r>
    </w:p>
    <w:p>
      <w:pPr>
        <w:numPr>
          <w:ilvl w:val="0"/>
          <w:numId w:val="11"/>
        </w:numPr>
        <w:topLinePunct/>
        <w:ind w:firstLine="419" w:firstLineChars="131"/>
        <w:rPr>
          <w:rFonts w:ascii="宋体" w:hAnsi="宋体" w:cs="宋体"/>
          <w:color w:val="auto"/>
          <w:sz w:val="32"/>
          <w:szCs w:val="32"/>
          <w:highlight w:val="none"/>
        </w:rPr>
      </w:pPr>
      <w:r>
        <w:rPr>
          <w:rFonts w:hint="eastAsia" w:ascii="宋体" w:hAnsi="宋体" w:cs="宋体"/>
          <w:color w:val="auto"/>
          <w:sz w:val="32"/>
          <w:szCs w:val="32"/>
          <w:highlight w:val="none"/>
        </w:rPr>
        <w:t>质量要求：质量符合</w:t>
      </w:r>
      <w:r>
        <w:rPr>
          <w:rFonts w:hint="eastAsia" w:ascii="宋体" w:hAnsi="宋体" w:cs="宋体"/>
          <w:color w:val="auto"/>
          <w:sz w:val="32"/>
          <w:szCs w:val="32"/>
          <w:highlight w:val="none"/>
          <w:u w:val="single"/>
        </w:rPr>
        <w:t>　国家标准　</w:t>
      </w:r>
      <w:r>
        <w:rPr>
          <w:rFonts w:hint="eastAsia" w:ascii="宋体" w:hAnsi="宋体" w:cs="宋体"/>
          <w:color w:val="auto"/>
          <w:sz w:val="32"/>
          <w:szCs w:val="32"/>
          <w:highlight w:val="none"/>
        </w:rPr>
        <w:t>。</w:t>
      </w:r>
    </w:p>
    <w:p>
      <w:pPr>
        <w:numPr>
          <w:ilvl w:val="0"/>
          <w:numId w:val="11"/>
        </w:numPr>
        <w:topLinePunct/>
        <w:ind w:firstLine="419" w:firstLineChars="131"/>
        <w:rPr>
          <w:rFonts w:ascii="宋体" w:hAnsi="宋体" w:cs="宋体"/>
          <w:color w:val="auto"/>
          <w:sz w:val="32"/>
          <w:szCs w:val="32"/>
          <w:highlight w:val="none"/>
        </w:rPr>
      </w:pPr>
      <w:r>
        <w:rPr>
          <w:rFonts w:hint="eastAsia" w:ascii="宋体" w:hAnsi="宋体" w:cs="宋体"/>
          <w:color w:val="auto"/>
          <w:sz w:val="32"/>
          <w:szCs w:val="32"/>
          <w:highlight w:val="none"/>
        </w:rPr>
        <w:t>我方的澄清、说明、补充或</w:t>
      </w:r>
      <w:r>
        <w:rPr>
          <w:rFonts w:hint="eastAsia" w:ascii="宋体" w:hAnsi="宋体" w:cs="仿宋_GB2312"/>
          <w:color w:val="auto"/>
          <w:sz w:val="32"/>
          <w:szCs w:val="32"/>
          <w:highlight w:val="none"/>
        </w:rPr>
        <w:t>变更内容为投标文件有效组成部分。投标文件正文内容与本函不一致的，以本函为准。</w:t>
      </w:r>
    </w:p>
    <w:p>
      <w:pPr>
        <w:numPr>
          <w:ilvl w:val="0"/>
          <w:numId w:val="11"/>
        </w:numPr>
        <w:topLinePunct/>
        <w:ind w:firstLine="419" w:firstLineChars="131"/>
        <w:rPr>
          <w:rFonts w:ascii="宋体" w:hAnsi="宋体" w:cs="仿宋_GB2312"/>
          <w:color w:val="auto"/>
          <w:sz w:val="32"/>
          <w:szCs w:val="32"/>
          <w:highlight w:val="none"/>
        </w:rPr>
      </w:pPr>
      <w:r>
        <w:rPr>
          <w:rFonts w:hint="eastAsia" w:ascii="宋体" w:hAnsi="宋体" w:cs="仿宋_GB2312"/>
          <w:color w:val="auto"/>
          <w:sz w:val="32"/>
          <w:szCs w:val="32"/>
          <w:highlight w:val="none"/>
        </w:rPr>
        <w:t>如对招标文件有不明确及误解，且没有在规定时间前按要求向贵方提出，在开标时间以后我方不再有对招标文件提出质疑的权利，并自行承担由此造成的全部责任及后果。</w:t>
      </w:r>
    </w:p>
    <w:p>
      <w:pPr>
        <w:numPr>
          <w:ilvl w:val="0"/>
          <w:numId w:val="11"/>
        </w:numPr>
        <w:topLinePunct/>
        <w:ind w:firstLine="419" w:firstLineChars="131"/>
        <w:rPr>
          <w:rFonts w:ascii="宋体" w:hAnsi="宋体" w:cs="仿宋_GB2312"/>
          <w:color w:val="auto"/>
          <w:sz w:val="32"/>
          <w:szCs w:val="32"/>
          <w:highlight w:val="none"/>
        </w:rPr>
      </w:pPr>
      <w:r>
        <w:rPr>
          <w:rFonts w:hint="eastAsia" w:ascii="宋体" w:hAnsi="宋体" w:cs="仿宋_GB2312"/>
          <w:color w:val="auto"/>
          <w:sz w:val="32"/>
          <w:szCs w:val="32"/>
          <w:highlight w:val="none"/>
        </w:rPr>
        <w:t>我方在此声明，所递交的投标文件及有关资料真实准确，如发现提供虚假材料、串通投标、恶意质疑投诉和其他违法违规行为，在一年内不得在开封公共资源交易平台参加投标，若为中标人时中标无效，并承担相关责任和损失。</w:t>
      </w:r>
    </w:p>
    <w:p>
      <w:pPr>
        <w:numPr>
          <w:ilvl w:val="0"/>
          <w:numId w:val="11"/>
        </w:numPr>
        <w:topLinePunct/>
        <w:ind w:firstLine="419" w:firstLineChars="131"/>
        <w:rPr>
          <w:rFonts w:ascii="宋体" w:hAnsi="宋体" w:cs="宋体"/>
          <w:color w:val="auto"/>
          <w:sz w:val="32"/>
          <w:szCs w:val="32"/>
          <w:highlight w:val="none"/>
        </w:rPr>
      </w:pPr>
      <w:r>
        <w:rPr>
          <w:rFonts w:ascii="宋体" w:hAnsi="宋体" w:cs="宋体"/>
          <w:color w:val="auto"/>
          <w:sz w:val="32"/>
          <w:szCs w:val="32"/>
          <w:highlight w:val="none"/>
        </w:rPr>
        <w:t>……</w:t>
      </w:r>
    </w:p>
    <w:p>
      <w:pPr>
        <w:topLinePunct/>
        <w:ind w:firstLine="640" w:firstLineChars="200"/>
        <w:rPr>
          <w:rFonts w:ascii="宋体" w:hAnsi="宋体" w:cs="宋体"/>
          <w:color w:val="auto"/>
          <w:sz w:val="32"/>
          <w:szCs w:val="32"/>
          <w:highlight w:val="none"/>
        </w:rPr>
      </w:pPr>
    </w:p>
    <w:p>
      <w:pPr>
        <w:topLinePunct/>
        <w:rPr>
          <w:rFonts w:ascii="宋体" w:hAnsi="宋体" w:cs="宋体"/>
          <w:color w:val="auto"/>
          <w:sz w:val="32"/>
          <w:szCs w:val="32"/>
          <w:highlight w:val="none"/>
        </w:rPr>
      </w:pPr>
    </w:p>
    <w:p>
      <w:pPr>
        <w:topLinePunct/>
        <w:ind w:firstLine="640" w:firstLineChars="200"/>
        <w:rPr>
          <w:rFonts w:ascii="宋体" w:hAnsi="宋体" w:cs="宋体"/>
          <w:color w:val="auto"/>
          <w:sz w:val="32"/>
          <w:szCs w:val="32"/>
          <w:highlight w:val="none"/>
        </w:rPr>
      </w:pPr>
      <w:r>
        <w:rPr>
          <w:rFonts w:hint="eastAsia" w:ascii="宋体" w:hAnsi="宋体" w:cs="宋体"/>
          <w:color w:val="auto"/>
          <w:sz w:val="32"/>
          <w:szCs w:val="32"/>
          <w:highlight w:val="none"/>
        </w:rPr>
        <w:t>投标单位（盖单位章）：</w:t>
      </w:r>
      <w:r>
        <w:rPr>
          <w:rFonts w:hint="eastAsia" w:ascii="宋体" w:hAnsi="宋体" w:cs="宋体"/>
          <w:color w:val="auto"/>
          <w:sz w:val="32"/>
          <w:szCs w:val="32"/>
          <w:highlight w:val="none"/>
          <w:u w:val="single"/>
        </w:rPr>
        <w:t xml:space="preserve">                          </w:t>
      </w:r>
    </w:p>
    <w:p>
      <w:pPr>
        <w:topLinePunct/>
        <w:ind w:firstLine="560" w:firstLineChars="200"/>
        <w:rPr>
          <w:rFonts w:ascii="宋体" w:hAnsi="宋体" w:cs="宋体"/>
          <w:color w:val="auto"/>
          <w:sz w:val="32"/>
          <w:szCs w:val="32"/>
          <w:highlight w:val="none"/>
          <w:u w:val="single"/>
        </w:rPr>
      </w:pPr>
      <w:r>
        <w:rPr>
          <w:rFonts w:hint="eastAsia" w:ascii="宋体" w:hAnsi="宋体" w:cs="宋体"/>
          <w:color w:val="auto"/>
          <w:sz w:val="28"/>
          <w:szCs w:val="28"/>
          <w:highlight w:val="none"/>
        </w:rPr>
        <w:t>法定代表人（负责人）或委托代理人（签名或盖章）：</w:t>
      </w:r>
      <w:r>
        <w:rPr>
          <w:rFonts w:hint="eastAsia" w:ascii="宋体" w:hAnsi="宋体" w:cs="宋体"/>
          <w:color w:val="auto"/>
          <w:sz w:val="28"/>
          <w:szCs w:val="28"/>
          <w:highlight w:val="none"/>
          <w:u w:val="single"/>
        </w:rPr>
        <w:t xml:space="preserve">       </w:t>
      </w:r>
      <w:r>
        <w:rPr>
          <w:rFonts w:hint="eastAsia" w:ascii="宋体" w:hAnsi="宋体" w:cs="宋体"/>
          <w:color w:val="auto"/>
          <w:sz w:val="32"/>
          <w:szCs w:val="32"/>
          <w:highlight w:val="none"/>
          <w:u w:val="single"/>
        </w:rPr>
        <w:t xml:space="preserve"> </w:t>
      </w:r>
    </w:p>
    <w:p>
      <w:pPr>
        <w:topLinePunct/>
        <w:ind w:firstLine="640" w:firstLineChars="200"/>
        <w:rPr>
          <w:rFonts w:ascii="宋体" w:hAnsi="宋体" w:cs="宋体"/>
          <w:color w:val="auto"/>
          <w:sz w:val="32"/>
          <w:szCs w:val="32"/>
          <w:highlight w:val="none"/>
          <w:u w:val="single"/>
        </w:rPr>
      </w:pPr>
      <w:r>
        <w:rPr>
          <w:rFonts w:hint="eastAsia" w:ascii="宋体" w:hAnsi="宋体" w:cs="宋体"/>
          <w:color w:val="auto"/>
          <w:sz w:val="32"/>
          <w:szCs w:val="32"/>
          <w:highlight w:val="none"/>
        </w:rPr>
        <w:t>电话：</w:t>
      </w:r>
      <w:r>
        <w:rPr>
          <w:rFonts w:hint="eastAsia" w:ascii="宋体" w:hAnsi="宋体" w:cs="宋体"/>
          <w:color w:val="auto"/>
          <w:sz w:val="32"/>
          <w:szCs w:val="32"/>
          <w:highlight w:val="none"/>
          <w:u w:val="single"/>
        </w:rPr>
        <w:t xml:space="preserve">              </w:t>
      </w:r>
      <w:r>
        <w:rPr>
          <w:rFonts w:hint="eastAsia" w:ascii="宋体" w:hAnsi="宋体" w:cs="宋体"/>
          <w:color w:val="auto"/>
          <w:sz w:val="32"/>
          <w:szCs w:val="32"/>
          <w:highlight w:val="none"/>
        </w:rPr>
        <w:t xml:space="preserve"> 电子邮箱：</w:t>
      </w:r>
      <w:r>
        <w:rPr>
          <w:rFonts w:hint="eastAsia" w:ascii="宋体" w:hAnsi="宋体" w:cs="宋体"/>
          <w:color w:val="auto"/>
          <w:sz w:val="32"/>
          <w:szCs w:val="32"/>
          <w:highlight w:val="none"/>
          <w:u w:val="single"/>
        </w:rPr>
        <w:t xml:space="preserve">                  </w:t>
      </w:r>
    </w:p>
    <w:p>
      <w:pPr>
        <w:topLinePunct/>
        <w:ind w:firstLine="640" w:firstLineChars="200"/>
        <w:rPr>
          <w:rFonts w:ascii="宋体" w:hAnsi="宋体" w:cs="宋体"/>
          <w:color w:val="auto"/>
          <w:sz w:val="32"/>
          <w:szCs w:val="32"/>
          <w:highlight w:val="none"/>
          <w:u w:val="single"/>
        </w:rPr>
      </w:pPr>
      <w:r>
        <w:rPr>
          <w:rFonts w:hint="eastAsia" w:ascii="宋体" w:hAnsi="宋体" w:cs="宋体"/>
          <w:color w:val="auto"/>
          <w:sz w:val="32"/>
          <w:szCs w:val="32"/>
          <w:highlight w:val="none"/>
        </w:rPr>
        <w:t>地址：</w:t>
      </w:r>
      <w:r>
        <w:rPr>
          <w:rFonts w:hint="eastAsia" w:ascii="宋体" w:hAnsi="宋体" w:cs="宋体"/>
          <w:color w:val="auto"/>
          <w:sz w:val="32"/>
          <w:szCs w:val="32"/>
          <w:highlight w:val="none"/>
          <w:u w:val="single"/>
        </w:rPr>
        <w:t xml:space="preserve">              </w:t>
      </w:r>
      <w:r>
        <w:rPr>
          <w:rFonts w:hint="eastAsia" w:ascii="宋体" w:hAnsi="宋体" w:cs="宋体"/>
          <w:color w:val="auto"/>
          <w:sz w:val="32"/>
          <w:szCs w:val="32"/>
          <w:highlight w:val="none"/>
        </w:rPr>
        <w:t xml:space="preserve"> 邮编： </w:t>
      </w:r>
      <w:r>
        <w:rPr>
          <w:rFonts w:hint="eastAsia" w:ascii="宋体" w:hAnsi="宋体" w:cs="宋体"/>
          <w:color w:val="auto"/>
          <w:sz w:val="32"/>
          <w:szCs w:val="32"/>
          <w:highlight w:val="none"/>
          <w:u w:val="single"/>
        </w:rPr>
        <w:t xml:space="preserve">                     </w:t>
      </w:r>
    </w:p>
    <w:p>
      <w:pPr>
        <w:rPr>
          <w:rFonts w:ascii="宋体" w:hAnsi="宋体"/>
          <w:color w:val="auto"/>
          <w:sz w:val="32"/>
          <w:szCs w:val="32"/>
          <w:highlight w:val="none"/>
        </w:rPr>
      </w:pPr>
      <w:r>
        <w:rPr>
          <w:rFonts w:hint="eastAsia" w:ascii="宋体" w:hAnsi="宋体" w:cs="宋体"/>
          <w:color w:val="auto"/>
          <w:sz w:val="32"/>
          <w:szCs w:val="32"/>
          <w:highlight w:val="none"/>
        </w:rPr>
        <w:t xml:space="preserve">                               </w:t>
      </w:r>
      <w:r>
        <w:rPr>
          <w:rFonts w:hint="eastAsia" w:ascii="宋体" w:hAnsi="宋体" w:cs="宋体"/>
          <w:color w:val="auto"/>
          <w:sz w:val="32"/>
          <w:szCs w:val="32"/>
          <w:highlight w:val="none"/>
          <w:u w:val="single"/>
        </w:rPr>
        <w:t xml:space="preserve">       </w:t>
      </w:r>
      <w:r>
        <w:rPr>
          <w:rFonts w:hint="eastAsia" w:ascii="宋体" w:hAnsi="宋体" w:cs="宋体"/>
          <w:color w:val="auto"/>
          <w:sz w:val="32"/>
          <w:szCs w:val="32"/>
          <w:highlight w:val="none"/>
        </w:rPr>
        <w:t>年</w:t>
      </w:r>
      <w:r>
        <w:rPr>
          <w:rFonts w:hint="eastAsia" w:ascii="宋体" w:hAnsi="宋体" w:cs="宋体"/>
          <w:color w:val="auto"/>
          <w:sz w:val="32"/>
          <w:szCs w:val="32"/>
          <w:highlight w:val="none"/>
          <w:u w:val="single"/>
        </w:rPr>
        <w:t xml:space="preserve">  </w:t>
      </w:r>
      <w:r>
        <w:rPr>
          <w:rFonts w:hint="eastAsia" w:ascii="宋体" w:hAnsi="宋体" w:cs="宋体"/>
          <w:color w:val="auto"/>
          <w:sz w:val="32"/>
          <w:szCs w:val="32"/>
          <w:highlight w:val="none"/>
        </w:rPr>
        <w:t>月</w:t>
      </w:r>
      <w:r>
        <w:rPr>
          <w:rFonts w:hint="eastAsia" w:ascii="宋体" w:hAnsi="宋体" w:cs="宋体"/>
          <w:color w:val="auto"/>
          <w:sz w:val="32"/>
          <w:szCs w:val="32"/>
          <w:highlight w:val="none"/>
          <w:u w:val="single"/>
        </w:rPr>
        <w:t xml:space="preserve">   </w:t>
      </w:r>
      <w:r>
        <w:rPr>
          <w:rFonts w:hint="eastAsia" w:ascii="宋体" w:hAnsi="宋体" w:cs="宋体"/>
          <w:color w:val="auto"/>
          <w:sz w:val="32"/>
          <w:szCs w:val="32"/>
          <w:highlight w:val="none"/>
        </w:rPr>
        <w:t xml:space="preserve">日 </w:t>
      </w:r>
      <w:r>
        <w:rPr>
          <w:rFonts w:hint="eastAsia" w:ascii="宋体" w:hAnsi="宋体" w:cs="仿宋_GB2312"/>
          <w:color w:val="auto"/>
          <w:sz w:val="32"/>
          <w:szCs w:val="32"/>
          <w:highlight w:val="none"/>
        </w:rPr>
        <w:t xml:space="preserve">    </w:t>
      </w:r>
      <w:r>
        <w:rPr>
          <w:rFonts w:ascii="宋体" w:hAnsi="宋体"/>
          <w:color w:val="auto"/>
          <w:sz w:val="44"/>
          <w:szCs w:val="44"/>
          <w:highlight w:val="none"/>
        </w:rPr>
        <w:br w:type="page"/>
      </w:r>
      <w:bookmarkStart w:id="714" w:name="_Toc338840504"/>
      <w:bookmarkStart w:id="715" w:name="_Toc338840256"/>
      <w:bookmarkStart w:id="716" w:name="_Toc338840465"/>
      <w:r>
        <w:rPr>
          <w:rFonts w:hint="eastAsia" w:ascii="宋体" w:hAnsi="宋体"/>
          <w:color w:val="auto"/>
          <w:sz w:val="44"/>
          <w:szCs w:val="44"/>
          <w:highlight w:val="none"/>
        </w:rPr>
        <w:t xml:space="preserve">  </w:t>
      </w:r>
      <w:r>
        <w:rPr>
          <w:rFonts w:hint="eastAsia" w:ascii="宋体" w:hAnsi="宋体"/>
          <w:b/>
          <w:color w:val="auto"/>
          <w:kern w:val="44"/>
          <w:sz w:val="44"/>
          <w:szCs w:val="44"/>
          <w:highlight w:val="none"/>
        </w:rPr>
        <w:t>二　法定代表人（负责人）资格证明</w:t>
      </w:r>
      <w:bookmarkEnd w:id="714"/>
      <w:bookmarkEnd w:id="715"/>
      <w:bookmarkEnd w:id="716"/>
    </w:p>
    <w:p>
      <w:pPr>
        <w:jc w:val="center"/>
        <w:rPr>
          <w:rFonts w:ascii="宋体" w:hAnsi="宋体"/>
          <w:color w:val="auto"/>
          <w:kern w:val="0"/>
          <w:szCs w:val="21"/>
          <w:highlight w:val="none"/>
        </w:rPr>
      </w:pPr>
      <w:r>
        <w:rPr>
          <w:rFonts w:ascii="宋体" w:hAnsi="宋体"/>
          <w:color w:val="auto"/>
          <w:kern w:val="0"/>
          <w:szCs w:val="21"/>
          <w:highlight w:val="none"/>
        </w:rPr>
        <w:t>（</w:t>
      </w:r>
      <w:r>
        <w:rPr>
          <w:rFonts w:hint="eastAsia" w:ascii="宋体" w:hAnsi="宋体"/>
          <w:color w:val="auto"/>
          <w:kern w:val="0"/>
          <w:szCs w:val="21"/>
          <w:highlight w:val="none"/>
        </w:rPr>
        <w:t>法定代表人投标时提供</w:t>
      </w:r>
      <w:r>
        <w:rPr>
          <w:rFonts w:ascii="宋体" w:hAnsi="宋体"/>
          <w:color w:val="auto"/>
          <w:kern w:val="0"/>
          <w:szCs w:val="21"/>
          <w:highlight w:val="none"/>
        </w:rPr>
        <w:t>）</w:t>
      </w:r>
    </w:p>
    <w:p>
      <w:pPr>
        <w:jc w:val="center"/>
        <w:rPr>
          <w:rFonts w:ascii="宋体" w:hAnsi="宋体"/>
          <w:bCs/>
          <w:color w:val="auto"/>
          <w:sz w:val="32"/>
          <w:szCs w:val="32"/>
          <w:highlight w:val="none"/>
        </w:rPr>
      </w:pPr>
    </w:p>
    <w:p>
      <w:pPr>
        <w:ind w:firstLine="640" w:firstLineChars="200"/>
        <w:rPr>
          <w:rFonts w:ascii="宋体" w:hAnsi="宋体"/>
          <w:color w:val="auto"/>
          <w:sz w:val="32"/>
          <w:szCs w:val="32"/>
          <w:highlight w:val="none"/>
          <w:u w:val="single"/>
        </w:rPr>
      </w:pPr>
      <w:bookmarkStart w:id="717" w:name="_Toc288114460"/>
      <w:r>
        <w:rPr>
          <w:rFonts w:hint="eastAsia" w:ascii="宋体" w:hAnsi="宋体"/>
          <w:color w:val="auto"/>
          <w:sz w:val="32"/>
          <w:szCs w:val="32"/>
          <w:highlight w:val="none"/>
        </w:rPr>
        <w:t>供应商名称：</w:t>
      </w:r>
      <w:bookmarkEnd w:id="717"/>
      <w:r>
        <w:rPr>
          <w:rFonts w:hint="eastAsia" w:ascii="宋体" w:hAnsi="宋体"/>
          <w:color w:val="auto"/>
          <w:sz w:val="32"/>
          <w:szCs w:val="32"/>
          <w:highlight w:val="none"/>
          <w:u w:val="single"/>
        </w:rPr>
        <w:t xml:space="preserve">                            </w:t>
      </w:r>
    </w:p>
    <w:p>
      <w:pPr>
        <w:ind w:firstLine="640" w:firstLineChars="200"/>
        <w:rPr>
          <w:rFonts w:ascii="宋体" w:hAnsi="宋体"/>
          <w:color w:val="auto"/>
          <w:sz w:val="32"/>
          <w:szCs w:val="32"/>
          <w:highlight w:val="none"/>
        </w:rPr>
      </w:pPr>
      <w:r>
        <w:rPr>
          <w:rFonts w:ascii="宋体" w:hAnsi="宋体"/>
          <w:color w:val="auto"/>
          <w:sz w:val="32"/>
          <w:szCs w:val="32"/>
          <w:highlight w:val="none"/>
        </w:rPr>
        <w:t>单位性质：</w:t>
      </w:r>
      <w:r>
        <w:rPr>
          <w:rFonts w:ascii="宋体" w:hAnsi="宋体"/>
          <w:color w:val="auto"/>
          <w:sz w:val="32"/>
          <w:szCs w:val="32"/>
          <w:highlight w:val="none"/>
          <w:u w:val="single"/>
        </w:rPr>
        <w:t xml:space="preserve">                               </w:t>
      </w:r>
      <w:r>
        <w:rPr>
          <w:rFonts w:ascii="宋体" w:hAnsi="宋体"/>
          <w:color w:val="auto"/>
          <w:sz w:val="32"/>
          <w:szCs w:val="32"/>
          <w:highlight w:val="none"/>
        </w:rPr>
        <w:t xml:space="preserve"> </w:t>
      </w:r>
    </w:p>
    <w:p>
      <w:pPr>
        <w:ind w:firstLine="640" w:firstLineChars="200"/>
        <w:rPr>
          <w:rFonts w:ascii="宋体" w:hAnsi="宋体"/>
          <w:color w:val="auto"/>
          <w:sz w:val="32"/>
          <w:szCs w:val="32"/>
          <w:highlight w:val="none"/>
        </w:rPr>
      </w:pPr>
      <w:r>
        <w:rPr>
          <w:rFonts w:ascii="宋体" w:hAnsi="宋体"/>
          <w:color w:val="auto"/>
          <w:sz w:val="32"/>
          <w:szCs w:val="32"/>
          <w:highlight w:val="none"/>
        </w:rPr>
        <w:t>地址：</w:t>
      </w:r>
      <w:r>
        <w:rPr>
          <w:rFonts w:ascii="宋体" w:hAnsi="宋体"/>
          <w:color w:val="auto"/>
          <w:sz w:val="32"/>
          <w:szCs w:val="32"/>
          <w:highlight w:val="none"/>
          <w:u w:val="single"/>
        </w:rPr>
        <w:t xml:space="preserve">                                   </w:t>
      </w:r>
    </w:p>
    <w:p>
      <w:pPr>
        <w:ind w:firstLine="640" w:firstLineChars="200"/>
        <w:rPr>
          <w:rFonts w:ascii="宋体" w:hAnsi="宋体"/>
          <w:color w:val="auto"/>
          <w:sz w:val="32"/>
          <w:szCs w:val="32"/>
          <w:highlight w:val="none"/>
        </w:rPr>
      </w:pPr>
      <w:r>
        <w:rPr>
          <w:rFonts w:ascii="宋体" w:hAnsi="宋体"/>
          <w:color w:val="auto"/>
          <w:sz w:val="32"/>
          <w:szCs w:val="32"/>
          <w:highlight w:val="none"/>
        </w:rPr>
        <w:t>成立时间：</w:t>
      </w:r>
      <w:r>
        <w:rPr>
          <w:rFonts w:ascii="宋体" w:hAnsi="宋体"/>
          <w:color w:val="auto"/>
          <w:sz w:val="32"/>
          <w:szCs w:val="32"/>
          <w:highlight w:val="none"/>
          <w:u w:val="single"/>
        </w:rPr>
        <w:t xml:space="preserve">         </w:t>
      </w:r>
      <w:r>
        <w:rPr>
          <w:rFonts w:ascii="宋体" w:hAnsi="宋体"/>
          <w:color w:val="auto"/>
          <w:sz w:val="32"/>
          <w:szCs w:val="32"/>
          <w:highlight w:val="none"/>
        </w:rPr>
        <w:t xml:space="preserve"> 年</w:t>
      </w:r>
      <w:r>
        <w:rPr>
          <w:rFonts w:ascii="宋体" w:hAnsi="宋体"/>
          <w:color w:val="auto"/>
          <w:sz w:val="32"/>
          <w:szCs w:val="32"/>
          <w:highlight w:val="none"/>
          <w:u w:val="single"/>
        </w:rPr>
        <w:t xml:space="preserve">       </w:t>
      </w:r>
      <w:r>
        <w:rPr>
          <w:rFonts w:ascii="宋体" w:hAnsi="宋体"/>
          <w:color w:val="auto"/>
          <w:sz w:val="32"/>
          <w:szCs w:val="32"/>
          <w:highlight w:val="none"/>
        </w:rPr>
        <w:t xml:space="preserve"> 月</w:t>
      </w:r>
      <w:r>
        <w:rPr>
          <w:rFonts w:ascii="宋体" w:hAnsi="宋体"/>
          <w:color w:val="auto"/>
          <w:sz w:val="32"/>
          <w:szCs w:val="32"/>
          <w:highlight w:val="none"/>
          <w:u w:val="single"/>
        </w:rPr>
        <w:t xml:space="preserve">       </w:t>
      </w:r>
      <w:r>
        <w:rPr>
          <w:rFonts w:ascii="宋体" w:hAnsi="宋体"/>
          <w:color w:val="auto"/>
          <w:sz w:val="32"/>
          <w:szCs w:val="32"/>
          <w:highlight w:val="none"/>
        </w:rPr>
        <w:t xml:space="preserve"> 日</w:t>
      </w:r>
    </w:p>
    <w:p>
      <w:pPr>
        <w:ind w:firstLine="640" w:firstLineChars="200"/>
        <w:rPr>
          <w:rFonts w:ascii="宋体" w:hAnsi="宋体"/>
          <w:color w:val="auto"/>
          <w:sz w:val="32"/>
          <w:szCs w:val="32"/>
          <w:highlight w:val="none"/>
        </w:rPr>
      </w:pPr>
      <w:r>
        <w:rPr>
          <w:rFonts w:ascii="宋体" w:hAnsi="宋体"/>
          <w:color w:val="auto"/>
          <w:sz w:val="32"/>
          <w:szCs w:val="32"/>
          <w:highlight w:val="none"/>
        </w:rPr>
        <w:t>经营期限：</w:t>
      </w:r>
      <w:r>
        <w:rPr>
          <w:rFonts w:ascii="宋体" w:hAnsi="宋体"/>
          <w:color w:val="auto"/>
          <w:sz w:val="32"/>
          <w:szCs w:val="32"/>
          <w:highlight w:val="none"/>
          <w:u w:val="single"/>
        </w:rPr>
        <w:t xml:space="preserve">                               </w:t>
      </w:r>
    </w:p>
    <w:p>
      <w:pPr>
        <w:ind w:firstLine="640" w:firstLineChars="200"/>
        <w:rPr>
          <w:rFonts w:ascii="宋体" w:hAnsi="宋体"/>
          <w:color w:val="auto"/>
          <w:sz w:val="32"/>
          <w:szCs w:val="32"/>
          <w:highlight w:val="none"/>
        </w:rPr>
      </w:pPr>
      <w:bookmarkStart w:id="718" w:name="_Toc288114465"/>
      <w:r>
        <w:rPr>
          <w:rFonts w:hint="eastAsia" w:ascii="宋体" w:hAnsi="宋体"/>
          <w:color w:val="auto"/>
          <w:sz w:val="32"/>
          <w:szCs w:val="32"/>
          <w:highlight w:val="none"/>
        </w:rPr>
        <w:t>姓名：</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性别：</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年龄：</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职务：</w:t>
      </w:r>
      <w:bookmarkEnd w:id="718"/>
      <w:r>
        <w:rPr>
          <w:rFonts w:hint="eastAsia" w:ascii="宋体" w:hAnsi="宋体"/>
          <w:color w:val="auto"/>
          <w:sz w:val="32"/>
          <w:szCs w:val="32"/>
          <w:highlight w:val="none"/>
          <w:u w:val="single"/>
        </w:rPr>
        <w:t xml:space="preserve">      </w:t>
      </w:r>
      <w:bookmarkStart w:id="719" w:name="_Toc288114466"/>
      <w:r>
        <w:rPr>
          <w:rFonts w:hint="eastAsia" w:ascii="宋体" w:hAnsi="宋体"/>
          <w:color w:val="auto"/>
          <w:sz w:val="32"/>
          <w:szCs w:val="32"/>
          <w:highlight w:val="none"/>
        </w:rPr>
        <w:t>（身份证号：</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）系</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（投标单位名称）的法定代表人（单位负责人）。</w:t>
      </w:r>
      <w:bookmarkEnd w:id="719"/>
    </w:p>
    <w:p>
      <w:pPr>
        <w:ind w:firstLine="640" w:firstLineChars="200"/>
        <w:rPr>
          <w:rFonts w:ascii="宋体" w:hAnsi="宋体"/>
          <w:color w:val="auto"/>
          <w:sz w:val="32"/>
          <w:szCs w:val="32"/>
          <w:highlight w:val="none"/>
        </w:rPr>
      </w:pPr>
      <w:r>
        <w:rPr>
          <w:rFonts w:hint="eastAsia" w:ascii="宋体" w:hAnsi="宋体"/>
          <w:color w:val="auto"/>
          <w:sz w:val="32"/>
          <w:szCs w:val="32"/>
          <w:highlight w:val="none"/>
        </w:rPr>
        <w:t xml:space="preserve">    </w:t>
      </w:r>
      <w:bookmarkStart w:id="720" w:name="_Toc288114467"/>
      <w:r>
        <w:rPr>
          <w:rFonts w:hint="eastAsia" w:ascii="宋体" w:hAnsi="宋体"/>
          <w:color w:val="auto"/>
          <w:sz w:val="32"/>
          <w:szCs w:val="32"/>
          <w:highlight w:val="none"/>
        </w:rPr>
        <w:t>特此证明。</w:t>
      </w:r>
      <w:bookmarkEnd w:id="720"/>
    </w:p>
    <w:p>
      <w:pPr>
        <w:rPr>
          <w:rFonts w:ascii="宋体" w:hAnsi="宋体"/>
          <w:color w:val="auto"/>
          <w:sz w:val="32"/>
          <w:szCs w:val="32"/>
          <w:highlight w:val="none"/>
        </w:rPr>
      </w:pPr>
      <w:r>
        <w:rPr>
          <w:rFonts w:ascii="宋体" w:hAnsi="宋体"/>
          <w:b/>
          <w:color w:val="auto"/>
          <w:kern w:val="0"/>
          <w:sz w:val="32"/>
          <w:szCs w:val="32"/>
          <w:highlight w:val="none"/>
        </w:rPr>
        <w:t>此处附：法定代表人</w:t>
      </w:r>
      <w:r>
        <w:rPr>
          <w:rFonts w:hint="eastAsia" w:ascii="宋体" w:hAnsi="宋体"/>
          <w:b/>
          <w:color w:val="auto"/>
          <w:kern w:val="0"/>
          <w:sz w:val="32"/>
          <w:szCs w:val="32"/>
          <w:highlight w:val="none"/>
        </w:rPr>
        <w:t>（负责人）</w:t>
      </w:r>
      <w:r>
        <w:rPr>
          <w:rFonts w:ascii="宋体" w:hAnsi="宋体"/>
          <w:b/>
          <w:color w:val="auto"/>
          <w:kern w:val="0"/>
          <w:sz w:val="32"/>
          <w:szCs w:val="32"/>
          <w:highlight w:val="none"/>
        </w:rPr>
        <w:t>身份证</w:t>
      </w:r>
      <w:r>
        <w:rPr>
          <w:rFonts w:hint="eastAsia" w:ascii="宋体" w:hAnsi="宋体"/>
          <w:b/>
          <w:color w:val="auto"/>
          <w:sz w:val="32"/>
          <w:szCs w:val="32"/>
          <w:highlight w:val="none"/>
        </w:rPr>
        <w:t>复印件</w:t>
      </w:r>
    </w:p>
    <w:p>
      <w:pPr>
        <w:rPr>
          <w:rFonts w:ascii="宋体" w:hAnsi="宋体"/>
          <w:color w:val="auto"/>
          <w:sz w:val="32"/>
          <w:szCs w:val="32"/>
          <w:highlight w:val="none"/>
        </w:rPr>
      </w:pPr>
    </w:p>
    <w:p>
      <w:pPr>
        <w:rPr>
          <w:rFonts w:ascii="宋体" w:hAnsi="宋体"/>
          <w:color w:val="auto"/>
          <w:sz w:val="32"/>
          <w:szCs w:val="32"/>
          <w:highlight w:val="none"/>
        </w:rPr>
      </w:pPr>
    </w:p>
    <w:p>
      <w:pPr>
        <w:rPr>
          <w:rFonts w:ascii="宋体" w:hAnsi="宋体"/>
          <w:color w:val="auto"/>
          <w:sz w:val="32"/>
          <w:szCs w:val="32"/>
          <w:highlight w:val="none"/>
        </w:rPr>
      </w:pPr>
    </w:p>
    <w:p>
      <w:pPr>
        <w:rPr>
          <w:rFonts w:ascii="宋体" w:hAnsi="宋体"/>
          <w:color w:val="auto"/>
          <w:sz w:val="32"/>
          <w:szCs w:val="32"/>
          <w:highlight w:val="none"/>
        </w:rPr>
      </w:pPr>
    </w:p>
    <w:p>
      <w:pPr>
        <w:autoSpaceDE w:val="0"/>
        <w:autoSpaceDN w:val="0"/>
        <w:adjustRightInd w:val="0"/>
        <w:jc w:val="left"/>
        <w:rPr>
          <w:rFonts w:ascii="宋体" w:hAnsi="宋体" w:cs="宋体"/>
          <w:color w:val="auto"/>
          <w:kern w:val="0"/>
          <w:sz w:val="24"/>
          <w:highlight w:val="none"/>
        </w:rPr>
      </w:pPr>
    </w:p>
    <w:p>
      <w:pPr>
        <w:rPr>
          <w:rFonts w:ascii="宋体" w:hAnsi="宋体"/>
          <w:color w:val="auto"/>
          <w:sz w:val="32"/>
          <w:szCs w:val="32"/>
          <w:highlight w:val="none"/>
        </w:rPr>
      </w:pPr>
      <w:r>
        <w:rPr>
          <w:rFonts w:hint="eastAsia" w:ascii="宋体" w:hAnsi="宋体"/>
          <w:color w:val="auto"/>
          <w:sz w:val="32"/>
          <w:szCs w:val="32"/>
          <w:highlight w:val="none"/>
        </w:rPr>
        <w:t xml:space="preserve">    </w:t>
      </w:r>
      <w:bookmarkStart w:id="721" w:name="_Toc288114468"/>
      <w:r>
        <w:rPr>
          <w:rFonts w:hint="eastAsia" w:ascii="宋体" w:hAnsi="宋体"/>
          <w:color w:val="auto"/>
          <w:sz w:val="32"/>
          <w:szCs w:val="32"/>
          <w:highlight w:val="none"/>
        </w:rPr>
        <w:t xml:space="preserve">          投标单位（盖单位章）：</w:t>
      </w:r>
      <w:r>
        <w:rPr>
          <w:rFonts w:hint="eastAsia" w:ascii="宋体" w:hAnsi="宋体"/>
          <w:color w:val="auto"/>
          <w:sz w:val="32"/>
          <w:szCs w:val="32"/>
          <w:highlight w:val="none"/>
          <w:u w:val="single"/>
        </w:rPr>
        <w:t xml:space="preserve">           </w:t>
      </w:r>
      <w:bookmarkEnd w:id="721"/>
      <w:r>
        <w:rPr>
          <w:rFonts w:hint="eastAsia" w:ascii="宋体" w:hAnsi="宋体"/>
          <w:color w:val="auto"/>
          <w:sz w:val="32"/>
          <w:szCs w:val="32"/>
          <w:highlight w:val="none"/>
        </w:rPr>
        <w:t xml:space="preserve">    </w:t>
      </w:r>
    </w:p>
    <w:p>
      <w:pPr>
        <w:rPr>
          <w:rFonts w:ascii="宋体" w:hAnsi="宋体"/>
          <w:color w:val="auto"/>
          <w:sz w:val="32"/>
          <w:szCs w:val="32"/>
          <w:highlight w:val="none"/>
        </w:rPr>
      </w:pPr>
      <w:r>
        <w:rPr>
          <w:rFonts w:hint="eastAsia" w:ascii="宋体" w:hAnsi="宋体"/>
          <w:color w:val="auto"/>
          <w:sz w:val="32"/>
          <w:szCs w:val="32"/>
          <w:highlight w:val="none"/>
        </w:rPr>
        <w:t xml:space="preserve">                          　 </w:t>
      </w:r>
      <w:r>
        <w:rPr>
          <w:rFonts w:hint="eastAsia" w:ascii="宋体" w:hAnsi="宋体"/>
          <w:color w:val="auto"/>
          <w:sz w:val="32"/>
          <w:szCs w:val="32"/>
          <w:highlight w:val="none"/>
          <w:u w:val="single"/>
        </w:rPr>
        <w:t xml:space="preserve">     </w:t>
      </w:r>
      <w:bookmarkStart w:id="722" w:name="_Toc288114469"/>
      <w:r>
        <w:rPr>
          <w:rFonts w:hint="eastAsia" w:ascii="宋体" w:hAnsi="宋体"/>
          <w:color w:val="auto"/>
          <w:sz w:val="32"/>
          <w:szCs w:val="32"/>
          <w:highlight w:val="none"/>
        </w:rPr>
        <w:t>年</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月</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日</w:t>
      </w:r>
      <w:bookmarkEnd w:id="722"/>
      <w:bookmarkStart w:id="723" w:name="_Toc338840505"/>
      <w:bookmarkStart w:id="724" w:name="_Toc289182822"/>
      <w:bookmarkStart w:id="725" w:name="_Toc289182444"/>
      <w:bookmarkStart w:id="726" w:name="_Toc289241364"/>
      <w:bookmarkStart w:id="727" w:name="_Toc289096748"/>
      <w:bookmarkStart w:id="728" w:name="_Toc338840257"/>
      <w:bookmarkStart w:id="729" w:name="_Toc288748133"/>
      <w:bookmarkStart w:id="730" w:name="_Toc338840466"/>
      <w:bookmarkStart w:id="731" w:name="_Toc289238793"/>
      <w:bookmarkStart w:id="732" w:name="_Toc289241541"/>
    </w:p>
    <w:p>
      <w:pPr>
        <w:jc w:val="center"/>
        <w:rPr>
          <w:rFonts w:ascii="宋体" w:hAnsi="宋体"/>
          <w:color w:val="auto"/>
          <w:sz w:val="32"/>
          <w:szCs w:val="32"/>
          <w:highlight w:val="none"/>
        </w:rPr>
      </w:pPr>
      <w:r>
        <w:rPr>
          <w:rFonts w:ascii="宋体" w:hAnsi="宋体"/>
          <w:color w:val="auto"/>
          <w:sz w:val="32"/>
          <w:szCs w:val="32"/>
          <w:highlight w:val="none"/>
        </w:rPr>
        <w:br w:type="page"/>
      </w:r>
      <w:r>
        <w:rPr>
          <w:rFonts w:hint="eastAsia" w:ascii="宋体" w:hAnsi="宋体"/>
          <w:b/>
          <w:bCs/>
          <w:color w:val="auto"/>
          <w:kern w:val="44"/>
          <w:sz w:val="44"/>
          <w:szCs w:val="44"/>
          <w:highlight w:val="none"/>
        </w:rPr>
        <w:t>二　授权委托书</w:t>
      </w:r>
      <w:bookmarkEnd w:id="723"/>
      <w:bookmarkEnd w:id="724"/>
      <w:bookmarkEnd w:id="725"/>
      <w:bookmarkEnd w:id="726"/>
      <w:bookmarkEnd w:id="727"/>
      <w:bookmarkEnd w:id="728"/>
      <w:bookmarkEnd w:id="729"/>
      <w:bookmarkEnd w:id="730"/>
      <w:bookmarkEnd w:id="731"/>
      <w:bookmarkEnd w:id="732"/>
    </w:p>
    <w:p>
      <w:pPr>
        <w:topLinePunct/>
        <w:spacing w:line="440" w:lineRule="exact"/>
        <w:jc w:val="center"/>
        <w:rPr>
          <w:rFonts w:ascii="宋体" w:hAnsi="宋体"/>
          <w:color w:val="auto"/>
          <w:sz w:val="32"/>
          <w:szCs w:val="32"/>
          <w:highlight w:val="none"/>
        </w:rPr>
      </w:pPr>
      <w:r>
        <w:rPr>
          <w:rFonts w:ascii="宋体" w:hAnsi="宋体"/>
          <w:color w:val="auto"/>
          <w:kern w:val="0"/>
          <w:szCs w:val="21"/>
          <w:highlight w:val="none"/>
        </w:rPr>
        <w:t>（</w:t>
      </w:r>
      <w:r>
        <w:rPr>
          <w:rFonts w:hint="eastAsia" w:ascii="宋体" w:hAnsi="宋体"/>
          <w:color w:val="auto"/>
          <w:kern w:val="0"/>
          <w:szCs w:val="21"/>
          <w:highlight w:val="none"/>
        </w:rPr>
        <w:t>法定代表人委托其他人员投标时提供</w:t>
      </w:r>
      <w:r>
        <w:rPr>
          <w:rFonts w:ascii="宋体" w:hAnsi="宋体"/>
          <w:color w:val="auto"/>
          <w:kern w:val="0"/>
          <w:szCs w:val="21"/>
          <w:highlight w:val="none"/>
        </w:rPr>
        <w:t>）</w:t>
      </w:r>
    </w:p>
    <w:p>
      <w:pPr>
        <w:topLinePunct/>
        <w:spacing w:line="440" w:lineRule="exact"/>
        <w:rPr>
          <w:rFonts w:ascii="宋体" w:hAnsi="宋体"/>
          <w:color w:val="auto"/>
          <w:sz w:val="32"/>
          <w:szCs w:val="32"/>
          <w:highlight w:val="none"/>
        </w:rPr>
      </w:pPr>
    </w:p>
    <w:p>
      <w:pPr>
        <w:spacing w:line="600" w:lineRule="exact"/>
        <w:ind w:firstLine="525"/>
        <w:jc w:val="left"/>
        <w:rPr>
          <w:rFonts w:ascii="宋体" w:hAnsi="宋体"/>
          <w:color w:val="auto"/>
          <w:sz w:val="32"/>
          <w:szCs w:val="32"/>
          <w:highlight w:val="none"/>
        </w:rPr>
      </w:pPr>
      <w:bookmarkStart w:id="733" w:name="_Toc338840467"/>
      <w:bookmarkStart w:id="734" w:name="_Toc338840258"/>
      <w:bookmarkStart w:id="735" w:name="_Toc338840506"/>
      <w:r>
        <w:rPr>
          <w:rFonts w:hint="eastAsia" w:ascii="宋体" w:hAnsi="宋体"/>
          <w:color w:val="auto"/>
          <w:sz w:val="32"/>
          <w:szCs w:val="32"/>
          <w:highlight w:val="none"/>
        </w:rPr>
        <w:t>本人</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（姓名） 系</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（投标单位名称）的法定代表人（负责人）。现委托</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（姓名）作为我方代理人。代理人根据授权，以我方名义签署、澄清、说明、补正、递交、撤回、修改</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项目（</w:t>
      </w:r>
      <w:r>
        <w:rPr>
          <w:rFonts w:hint="eastAsia" w:ascii="宋体" w:hAnsi="宋体" w:cs="宋体"/>
          <w:color w:val="auto"/>
          <w:sz w:val="32"/>
          <w:szCs w:val="32"/>
          <w:highlight w:val="none"/>
        </w:rPr>
        <w:t>项目编号：</w:t>
      </w:r>
      <w:r>
        <w:rPr>
          <w:rFonts w:hint="eastAsia" w:ascii="宋体" w:hAnsi="宋体" w:cs="宋体"/>
          <w:color w:val="auto"/>
          <w:sz w:val="32"/>
          <w:szCs w:val="32"/>
          <w:highlight w:val="none"/>
          <w:u w:val="single"/>
        </w:rPr>
        <w:t xml:space="preserve">      </w:t>
      </w:r>
      <w:r>
        <w:rPr>
          <w:rFonts w:hint="eastAsia" w:ascii="宋体" w:hAnsi="宋体"/>
          <w:color w:val="auto"/>
          <w:sz w:val="32"/>
          <w:szCs w:val="32"/>
          <w:highlight w:val="none"/>
        </w:rPr>
        <w:t>）</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标段投标文件、签订合同和处理有关事宜，其法律后果由我方承担。</w:t>
      </w:r>
    </w:p>
    <w:p>
      <w:pPr>
        <w:spacing w:line="600" w:lineRule="exact"/>
        <w:ind w:firstLine="525"/>
        <w:jc w:val="left"/>
        <w:rPr>
          <w:rFonts w:ascii="宋体" w:hAnsi="宋体"/>
          <w:color w:val="auto"/>
          <w:sz w:val="32"/>
          <w:szCs w:val="32"/>
          <w:highlight w:val="none"/>
        </w:rPr>
      </w:pPr>
      <w:r>
        <w:rPr>
          <w:rFonts w:hint="eastAsia" w:ascii="宋体" w:hAnsi="宋体"/>
          <w:color w:val="auto"/>
          <w:sz w:val="32"/>
          <w:szCs w:val="32"/>
          <w:highlight w:val="none"/>
        </w:rPr>
        <w:t>委托期限：</w:t>
      </w:r>
      <w:r>
        <w:rPr>
          <w:rFonts w:hint="eastAsia" w:ascii="宋体" w:hAnsi="宋体"/>
          <w:color w:val="auto"/>
          <w:sz w:val="32"/>
          <w:szCs w:val="32"/>
          <w:highlight w:val="none"/>
          <w:u w:val="single"/>
        </w:rPr>
        <w:t>　　　　　　　</w:t>
      </w:r>
      <w:r>
        <w:rPr>
          <w:rFonts w:hint="eastAsia" w:ascii="宋体" w:hAnsi="宋体"/>
          <w:color w:val="auto"/>
          <w:sz w:val="32"/>
          <w:szCs w:val="32"/>
          <w:highlight w:val="none"/>
        </w:rPr>
        <w:t>。</w:t>
      </w:r>
    </w:p>
    <w:p>
      <w:pPr>
        <w:spacing w:line="600" w:lineRule="exact"/>
        <w:ind w:firstLine="525"/>
        <w:jc w:val="left"/>
        <w:rPr>
          <w:rFonts w:ascii="宋体" w:hAnsi="宋体"/>
          <w:color w:val="auto"/>
          <w:sz w:val="32"/>
          <w:szCs w:val="32"/>
          <w:highlight w:val="none"/>
        </w:rPr>
      </w:pPr>
      <w:r>
        <w:rPr>
          <w:rFonts w:hint="eastAsia" w:ascii="宋体" w:hAnsi="宋体"/>
          <w:color w:val="auto"/>
          <w:sz w:val="32"/>
          <w:szCs w:val="32"/>
          <w:highlight w:val="none"/>
        </w:rPr>
        <w:t>代理人无转委托权。</w:t>
      </w:r>
    </w:p>
    <w:p>
      <w:pPr>
        <w:spacing w:line="600" w:lineRule="exact"/>
        <w:ind w:firstLine="525"/>
        <w:jc w:val="left"/>
        <w:rPr>
          <w:rFonts w:ascii="宋体" w:hAnsi="宋体"/>
          <w:b/>
          <w:color w:val="auto"/>
          <w:sz w:val="32"/>
          <w:szCs w:val="32"/>
          <w:highlight w:val="none"/>
        </w:rPr>
      </w:pPr>
      <w:r>
        <w:rPr>
          <w:rFonts w:hint="eastAsia" w:ascii="宋体" w:hAnsi="宋体"/>
          <w:b/>
          <w:color w:val="auto"/>
          <w:sz w:val="32"/>
          <w:szCs w:val="32"/>
          <w:highlight w:val="none"/>
        </w:rPr>
        <w:t>此处附：法定代表人（负责人）身份证复印件及委托代理人身份证复印件</w:t>
      </w:r>
    </w:p>
    <w:p>
      <w:pPr>
        <w:spacing w:line="600" w:lineRule="exact"/>
        <w:ind w:firstLine="525"/>
        <w:jc w:val="left"/>
        <w:rPr>
          <w:rFonts w:ascii="宋体" w:hAnsi="宋体"/>
          <w:color w:val="auto"/>
          <w:sz w:val="32"/>
          <w:szCs w:val="32"/>
          <w:highlight w:val="none"/>
        </w:rPr>
      </w:pPr>
    </w:p>
    <w:p>
      <w:pPr>
        <w:spacing w:line="600" w:lineRule="exact"/>
        <w:jc w:val="left"/>
        <w:rPr>
          <w:rFonts w:ascii="宋体" w:hAnsi="宋体"/>
          <w:color w:val="auto"/>
          <w:sz w:val="32"/>
          <w:szCs w:val="32"/>
          <w:highlight w:val="none"/>
        </w:rPr>
      </w:pPr>
    </w:p>
    <w:p>
      <w:pPr>
        <w:spacing w:line="600" w:lineRule="exact"/>
        <w:ind w:firstLine="525"/>
        <w:jc w:val="left"/>
        <w:rPr>
          <w:rFonts w:ascii="宋体" w:hAnsi="宋体"/>
          <w:color w:val="auto"/>
          <w:sz w:val="32"/>
          <w:szCs w:val="32"/>
          <w:highlight w:val="none"/>
        </w:rPr>
      </w:pPr>
    </w:p>
    <w:p>
      <w:pPr>
        <w:spacing w:line="600" w:lineRule="exact"/>
        <w:ind w:firstLine="1324" w:firstLineChars="414"/>
        <w:jc w:val="left"/>
        <w:rPr>
          <w:rFonts w:ascii="宋体" w:hAnsi="宋体"/>
          <w:color w:val="auto"/>
          <w:sz w:val="32"/>
          <w:szCs w:val="32"/>
          <w:highlight w:val="none"/>
          <w:u w:val="single"/>
        </w:rPr>
      </w:pPr>
      <w:r>
        <w:rPr>
          <w:rFonts w:hint="eastAsia" w:ascii="宋体" w:hAnsi="宋体"/>
          <w:color w:val="auto"/>
          <w:sz w:val="32"/>
          <w:szCs w:val="32"/>
          <w:highlight w:val="none"/>
        </w:rPr>
        <w:t>供应商（盖单位章）：</w:t>
      </w:r>
      <w:r>
        <w:rPr>
          <w:rFonts w:hint="eastAsia" w:ascii="宋体" w:hAnsi="宋体"/>
          <w:color w:val="auto"/>
          <w:sz w:val="32"/>
          <w:szCs w:val="32"/>
          <w:highlight w:val="none"/>
          <w:u w:val="single"/>
        </w:rPr>
        <w:t>　　    　　　   　　　</w:t>
      </w:r>
    </w:p>
    <w:p>
      <w:pPr>
        <w:spacing w:line="600" w:lineRule="exact"/>
        <w:ind w:firstLine="1324" w:firstLineChars="414"/>
        <w:jc w:val="left"/>
        <w:rPr>
          <w:rFonts w:ascii="宋体" w:hAnsi="宋体"/>
          <w:color w:val="auto"/>
          <w:sz w:val="32"/>
          <w:szCs w:val="32"/>
          <w:highlight w:val="none"/>
        </w:rPr>
      </w:pPr>
      <w:r>
        <w:rPr>
          <w:rFonts w:hint="eastAsia" w:ascii="宋体" w:hAnsi="宋体"/>
          <w:color w:val="auto"/>
          <w:sz w:val="32"/>
          <w:szCs w:val="32"/>
          <w:highlight w:val="none"/>
        </w:rPr>
        <w:t>法定代表人或负责人（签名或盖章）：</w:t>
      </w:r>
      <w:r>
        <w:rPr>
          <w:rFonts w:hint="eastAsia" w:ascii="宋体" w:hAnsi="宋体"/>
          <w:color w:val="auto"/>
          <w:sz w:val="32"/>
          <w:szCs w:val="32"/>
          <w:highlight w:val="none"/>
          <w:u w:val="single"/>
        </w:rPr>
        <w:t xml:space="preserve"> 　　　　</w:t>
      </w:r>
    </w:p>
    <w:p>
      <w:pPr>
        <w:spacing w:line="600" w:lineRule="exact"/>
        <w:ind w:firstLine="525"/>
        <w:jc w:val="left"/>
        <w:rPr>
          <w:rFonts w:ascii="宋体" w:hAnsi="宋体"/>
          <w:color w:val="auto"/>
          <w:sz w:val="32"/>
          <w:szCs w:val="32"/>
          <w:highlight w:val="none"/>
          <w:u w:val="single"/>
        </w:rPr>
      </w:pPr>
      <w:r>
        <w:rPr>
          <w:rFonts w:hint="eastAsia" w:ascii="宋体" w:hAnsi="宋体"/>
          <w:color w:val="auto"/>
          <w:sz w:val="32"/>
          <w:szCs w:val="32"/>
          <w:highlight w:val="none"/>
        </w:rPr>
        <w:t>　　 代理人（签名或盖章）：</w:t>
      </w:r>
      <w:r>
        <w:rPr>
          <w:rFonts w:hint="eastAsia" w:ascii="宋体" w:hAnsi="宋体"/>
          <w:color w:val="auto"/>
          <w:sz w:val="32"/>
          <w:szCs w:val="32"/>
          <w:highlight w:val="none"/>
          <w:u w:val="single"/>
        </w:rPr>
        <w:t>　　　　　　    　　</w:t>
      </w:r>
      <w:r>
        <w:rPr>
          <w:rFonts w:hint="eastAsia" w:ascii="宋体" w:hAnsi="宋体"/>
          <w:color w:val="auto"/>
          <w:sz w:val="32"/>
          <w:szCs w:val="32"/>
          <w:highlight w:val="none"/>
        </w:rPr>
        <w:t xml:space="preserve">                              </w:t>
      </w:r>
      <w:r>
        <w:rPr>
          <w:rFonts w:hint="eastAsia" w:ascii="宋体" w:hAnsi="宋体"/>
          <w:color w:val="auto"/>
          <w:sz w:val="32"/>
          <w:szCs w:val="32"/>
          <w:highlight w:val="none"/>
          <w:u w:val="single"/>
        </w:rPr>
        <w:t xml:space="preserve"> 　　  </w:t>
      </w:r>
    </w:p>
    <w:p>
      <w:pPr>
        <w:spacing w:line="600" w:lineRule="exact"/>
        <w:ind w:firstLine="5324" w:firstLineChars="1664"/>
        <w:jc w:val="left"/>
        <w:rPr>
          <w:rFonts w:ascii="宋体" w:hAnsi="宋体"/>
          <w:color w:val="auto"/>
          <w:sz w:val="32"/>
          <w:szCs w:val="32"/>
          <w:highlight w:val="none"/>
        </w:rPr>
      </w:pP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年</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月</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日</w:t>
      </w:r>
    </w:p>
    <w:p>
      <w:pPr>
        <w:ind w:firstLine="640" w:firstLineChars="200"/>
        <w:rPr>
          <w:rFonts w:ascii="宋体" w:hAnsi="宋体"/>
          <w:color w:val="auto"/>
          <w:highlight w:val="none"/>
        </w:rPr>
      </w:pPr>
      <w:r>
        <w:rPr>
          <w:rFonts w:ascii="宋体" w:hAnsi="宋体"/>
          <w:color w:val="auto"/>
          <w:sz w:val="32"/>
          <w:szCs w:val="32"/>
          <w:highlight w:val="none"/>
        </w:rPr>
        <w:br w:type="page"/>
      </w:r>
      <w:r>
        <w:rPr>
          <w:rFonts w:hint="eastAsia" w:ascii="宋体" w:hAnsi="宋体"/>
          <w:b/>
          <w:color w:val="auto"/>
          <w:sz w:val="44"/>
          <w:szCs w:val="44"/>
          <w:highlight w:val="none"/>
        </w:rPr>
        <w:t>三　</w:t>
      </w:r>
      <w:bookmarkEnd w:id="712"/>
      <w:bookmarkEnd w:id="713"/>
      <w:bookmarkEnd w:id="733"/>
      <w:bookmarkEnd w:id="734"/>
      <w:bookmarkEnd w:id="735"/>
      <w:bookmarkStart w:id="736" w:name="_Toc289096742"/>
      <w:bookmarkStart w:id="737" w:name="_Toc289182438"/>
      <w:bookmarkStart w:id="738" w:name="_Toc338840261"/>
      <w:bookmarkStart w:id="739" w:name="_Toc288748127"/>
      <w:bookmarkStart w:id="740" w:name="_Toc289182816"/>
      <w:bookmarkStart w:id="741" w:name="_Toc289238787"/>
      <w:bookmarkStart w:id="742" w:name="_Toc338840509"/>
      <w:bookmarkStart w:id="743" w:name="_Toc338840470"/>
      <w:bookmarkStart w:id="744" w:name="_Toc289241358"/>
      <w:bookmarkStart w:id="745" w:name="_Toc289241535"/>
      <w:r>
        <w:rPr>
          <w:rFonts w:hint="eastAsia" w:ascii="宋体" w:hAnsi="宋体" w:cs="宋体"/>
          <w:b/>
          <w:color w:val="auto"/>
          <w:kern w:val="44"/>
          <w:sz w:val="44"/>
          <w:szCs w:val="44"/>
          <w:highlight w:val="none"/>
        </w:rPr>
        <w:t>供应商基本情况和资格证明材料</w:t>
      </w:r>
    </w:p>
    <w:p>
      <w:pPr>
        <w:widowControl/>
        <w:spacing w:line="480" w:lineRule="atLeast"/>
        <w:jc w:val="left"/>
        <w:rPr>
          <w:rFonts w:ascii="宋体" w:hAnsi="宋体" w:cs="宋体"/>
          <w:color w:val="auto"/>
          <w:kern w:val="0"/>
          <w:sz w:val="32"/>
          <w:szCs w:val="32"/>
          <w:highlight w:val="none"/>
        </w:rPr>
      </w:pPr>
    </w:p>
    <w:p>
      <w:pPr>
        <w:topLinePunct/>
        <w:spacing w:line="440" w:lineRule="exact"/>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（一）、供应商基本情况表</w:t>
      </w:r>
    </w:p>
    <w:tbl>
      <w:tblPr>
        <w:tblStyle w:val="34"/>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905"/>
        <w:gridCol w:w="1261"/>
        <w:gridCol w:w="1440"/>
        <w:gridCol w:w="538"/>
        <w:gridCol w:w="1080"/>
        <w:gridCol w:w="234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905"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供应商名称</w:t>
            </w:r>
          </w:p>
        </w:tc>
        <w:tc>
          <w:tcPr>
            <w:tcW w:w="6663" w:type="dxa"/>
            <w:gridSpan w:val="5"/>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auto"/>
                <w:sz w:val="32"/>
                <w:szCs w:val="32"/>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1" w:hRule="atLeast"/>
        </w:trPr>
        <w:tc>
          <w:tcPr>
            <w:tcW w:w="1905"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注册地址</w:t>
            </w:r>
          </w:p>
        </w:tc>
        <w:tc>
          <w:tcPr>
            <w:tcW w:w="3239" w:type="dxa"/>
            <w:gridSpan w:val="3"/>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auto"/>
                <w:sz w:val="32"/>
                <w:szCs w:val="32"/>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邮编</w:t>
            </w:r>
          </w:p>
        </w:tc>
        <w:tc>
          <w:tcPr>
            <w:tcW w:w="2344"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auto"/>
                <w:sz w:val="32"/>
                <w:szCs w:val="32"/>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1" w:hRule="atLeast"/>
        </w:trPr>
        <w:tc>
          <w:tcPr>
            <w:tcW w:w="1905"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法定代表人</w:t>
            </w:r>
          </w:p>
        </w:tc>
        <w:tc>
          <w:tcPr>
            <w:tcW w:w="3239" w:type="dxa"/>
            <w:gridSpan w:val="3"/>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auto"/>
                <w:sz w:val="32"/>
                <w:szCs w:val="32"/>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电话</w:t>
            </w:r>
          </w:p>
        </w:tc>
        <w:tc>
          <w:tcPr>
            <w:tcW w:w="2344"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auto"/>
                <w:sz w:val="32"/>
                <w:szCs w:val="32"/>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5" w:hRule="atLeast"/>
        </w:trPr>
        <w:tc>
          <w:tcPr>
            <w:tcW w:w="1905" w:type="dxa"/>
            <w:vMerge w:val="restart"/>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联系方式</w:t>
            </w:r>
          </w:p>
        </w:tc>
        <w:tc>
          <w:tcPr>
            <w:tcW w:w="1261"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联系人</w:t>
            </w:r>
          </w:p>
        </w:tc>
        <w:tc>
          <w:tcPr>
            <w:tcW w:w="1978" w:type="dxa"/>
            <w:gridSpan w:val="2"/>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auto"/>
                <w:sz w:val="32"/>
                <w:szCs w:val="32"/>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电 话</w:t>
            </w:r>
          </w:p>
        </w:tc>
        <w:tc>
          <w:tcPr>
            <w:tcW w:w="2344"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auto"/>
                <w:sz w:val="32"/>
                <w:szCs w:val="32"/>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3" w:hRule="atLeast"/>
        </w:trPr>
        <w:tc>
          <w:tcPr>
            <w:tcW w:w="1905" w:type="dxa"/>
            <w:vMerge w:val="continue"/>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auto"/>
                <w:sz w:val="32"/>
                <w:szCs w:val="32"/>
                <w:highlight w:val="none"/>
              </w:rPr>
            </w:pPr>
          </w:p>
        </w:tc>
        <w:tc>
          <w:tcPr>
            <w:tcW w:w="1261"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传真</w:t>
            </w:r>
          </w:p>
        </w:tc>
        <w:tc>
          <w:tcPr>
            <w:tcW w:w="1978" w:type="dxa"/>
            <w:gridSpan w:val="2"/>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auto"/>
                <w:sz w:val="32"/>
                <w:szCs w:val="32"/>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网 址</w:t>
            </w:r>
          </w:p>
        </w:tc>
        <w:tc>
          <w:tcPr>
            <w:tcW w:w="2344"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auto"/>
                <w:sz w:val="32"/>
                <w:szCs w:val="32"/>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1905"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成立时间</w:t>
            </w:r>
          </w:p>
        </w:tc>
        <w:tc>
          <w:tcPr>
            <w:tcW w:w="2701" w:type="dxa"/>
            <w:gridSpan w:val="2"/>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auto"/>
                <w:sz w:val="32"/>
                <w:szCs w:val="32"/>
                <w:highlight w:val="none"/>
              </w:rPr>
            </w:pPr>
          </w:p>
        </w:tc>
        <w:tc>
          <w:tcPr>
            <w:tcW w:w="3962" w:type="dxa"/>
            <w:gridSpan w:val="3"/>
            <w:tcBorders>
              <w:top w:val="single" w:color="auto" w:sz="4" w:space="0"/>
              <w:left w:val="single" w:color="auto" w:sz="4" w:space="0"/>
              <w:bottom w:val="single" w:color="auto" w:sz="4" w:space="0"/>
              <w:right w:val="single" w:color="auto" w:sz="4" w:space="0"/>
            </w:tcBorders>
            <w:vAlign w:val="center"/>
          </w:tcPr>
          <w:p>
            <w:pPr>
              <w:topLinePunct/>
              <w:spacing w:line="440" w:lineRule="exact"/>
              <w:rPr>
                <w:rFonts w:ascii="宋体" w:hAnsi="宋体" w:cs="宋体"/>
                <w:color w:val="auto"/>
                <w:sz w:val="32"/>
                <w:szCs w:val="32"/>
                <w:highlight w:val="none"/>
              </w:rPr>
            </w:pPr>
            <w:r>
              <w:rPr>
                <w:rFonts w:hint="eastAsia" w:ascii="宋体" w:hAnsi="宋体" w:cs="宋体"/>
                <w:color w:val="auto"/>
                <w:sz w:val="32"/>
                <w:szCs w:val="32"/>
                <w:highlight w:val="none"/>
              </w:rPr>
              <w:t>员工总人数：</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8" w:hRule="atLeast"/>
        </w:trPr>
        <w:tc>
          <w:tcPr>
            <w:tcW w:w="1905"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营业执照号</w:t>
            </w:r>
          </w:p>
        </w:tc>
        <w:tc>
          <w:tcPr>
            <w:tcW w:w="2701" w:type="dxa"/>
            <w:gridSpan w:val="2"/>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auto"/>
                <w:sz w:val="32"/>
                <w:szCs w:val="32"/>
                <w:highlight w:val="none"/>
              </w:rPr>
            </w:pPr>
          </w:p>
        </w:tc>
        <w:tc>
          <w:tcPr>
            <w:tcW w:w="3962" w:type="dxa"/>
            <w:gridSpan w:val="3"/>
            <w:tcBorders>
              <w:top w:val="single" w:color="auto" w:sz="4" w:space="0"/>
              <w:left w:val="single" w:color="auto" w:sz="4" w:space="0"/>
              <w:bottom w:val="single" w:color="auto" w:sz="4" w:space="0"/>
              <w:right w:val="single" w:color="auto" w:sz="4" w:space="0"/>
            </w:tcBorders>
            <w:vAlign w:val="center"/>
          </w:tcPr>
          <w:p>
            <w:pPr>
              <w:topLinePunct/>
              <w:spacing w:line="440" w:lineRule="exact"/>
              <w:rPr>
                <w:rFonts w:ascii="宋体" w:hAnsi="宋体" w:cs="宋体"/>
                <w:color w:val="auto"/>
                <w:sz w:val="32"/>
                <w:szCs w:val="32"/>
                <w:highlight w:val="none"/>
              </w:rPr>
            </w:pPr>
            <w:r>
              <w:rPr>
                <w:rFonts w:hint="eastAsia" w:ascii="宋体" w:hAnsi="宋体" w:cs="宋体"/>
                <w:color w:val="auto"/>
                <w:sz w:val="32"/>
                <w:szCs w:val="32"/>
                <w:highlight w:val="none"/>
              </w:rPr>
              <w:t>注册资金：</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trPr>
        <w:tc>
          <w:tcPr>
            <w:tcW w:w="1905"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开户银行</w:t>
            </w:r>
          </w:p>
        </w:tc>
        <w:tc>
          <w:tcPr>
            <w:tcW w:w="2701" w:type="dxa"/>
            <w:gridSpan w:val="2"/>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auto"/>
                <w:sz w:val="32"/>
                <w:szCs w:val="32"/>
                <w:highlight w:val="none"/>
              </w:rPr>
            </w:pPr>
          </w:p>
        </w:tc>
        <w:tc>
          <w:tcPr>
            <w:tcW w:w="3962" w:type="dxa"/>
            <w:gridSpan w:val="3"/>
            <w:tcBorders>
              <w:top w:val="single" w:color="auto" w:sz="4" w:space="0"/>
              <w:left w:val="single" w:color="auto" w:sz="4" w:space="0"/>
              <w:bottom w:val="single" w:color="auto" w:sz="4" w:space="0"/>
              <w:right w:val="single" w:color="auto" w:sz="4" w:space="0"/>
            </w:tcBorders>
            <w:vAlign w:val="center"/>
          </w:tcPr>
          <w:p>
            <w:pPr>
              <w:topLinePunct/>
              <w:spacing w:line="440" w:lineRule="exact"/>
              <w:rPr>
                <w:rFonts w:ascii="宋体" w:hAnsi="宋体" w:cs="宋体"/>
                <w:color w:val="auto"/>
                <w:sz w:val="32"/>
                <w:szCs w:val="32"/>
                <w:highlight w:val="none"/>
              </w:rPr>
            </w:pPr>
            <w:r>
              <w:rPr>
                <w:rFonts w:hint="eastAsia" w:ascii="宋体" w:hAnsi="宋体" w:cs="宋体"/>
                <w:color w:val="auto"/>
                <w:sz w:val="32"/>
                <w:szCs w:val="32"/>
                <w:highlight w:val="none"/>
              </w:rPr>
              <w:t>账号：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687" w:hRule="atLeast"/>
        </w:trPr>
        <w:tc>
          <w:tcPr>
            <w:tcW w:w="1905" w:type="dxa"/>
            <w:tcBorders>
              <w:top w:val="single" w:color="auto" w:sz="4" w:space="0"/>
              <w:left w:val="single" w:color="auto" w:sz="4" w:space="0"/>
              <w:right w:val="single" w:color="auto" w:sz="4" w:space="0"/>
            </w:tcBorders>
            <w:vAlign w:val="center"/>
          </w:tcPr>
          <w:p>
            <w:pPr>
              <w:topLinePunct/>
              <w:spacing w:line="440" w:lineRule="exact"/>
              <w:ind w:firstLine="320" w:firstLineChars="100"/>
              <w:jc w:val="center"/>
              <w:rPr>
                <w:rFonts w:ascii="宋体" w:hAnsi="宋体" w:cs="宋体"/>
                <w:color w:val="auto"/>
                <w:sz w:val="32"/>
                <w:szCs w:val="32"/>
                <w:highlight w:val="none"/>
              </w:rPr>
            </w:pPr>
            <w:r>
              <w:rPr>
                <w:rFonts w:hint="eastAsia" w:ascii="宋体" w:hAnsi="宋体" w:cs="宋体"/>
                <w:color w:val="auto"/>
                <w:sz w:val="32"/>
                <w:szCs w:val="32"/>
                <w:highlight w:val="none"/>
              </w:rPr>
              <w:t>核定的经营范围</w:t>
            </w:r>
          </w:p>
        </w:tc>
        <w:tc>
          <w:tcPr>
            <w:tcW w:w="6663" w:type="dxa"/>
            <w:gridSpan w:val="5"/>
            <w:tcBorders>
              <w:top w:val="single" w:color="auto" w:sz="4" w:space="0"/>
              <w:left w:val="single" w:color="auto" w:sz="4" w:space="0"/>
              <w:right w:val="single" w:color="auto" w:sz="4" w:space="0"/>
            </w:tcBorders>
            <w:vAlign w:val="center"/>
          </w:tcPr>
          <w:p>
            <w:pPr>
              <w:topLinePunct/>
              <w:spacing w:line="440" w:lineRule="exact"/>
              <w:rPr>
                <w:rFonts w:ascii="宋体" w:hAnsi="宋体" w:cs="宋体"/>
                <w:color w:val="auto"/>
                <w:sz w:val="32"/>
                <w:szCs w:val="32"/>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1905"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备注</w:t>
            </w:r>
          </w:p>
        </w:tc>
        <w:tc>
          <w:tcPr>
            <w:tcW w:w="6663" w:type="dxa"/>
            <w:gridSpan w:val="5"/>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cs="宋体"/>
                <w:color w:val="auto"/>
                <w:sz w:val="32"/>
                <w:szCs w:val="32"/>
                <w:highlight w:val="none"/>
              </w:rPr>
            </w:pPr>
          </w:p>
        </w:tc>
      </w:tr>
    </w:tbl>
    <w:p>
      <w:pPr>
        <w:tabs>
          <w:tab w:val="left" w:pos="8280"/>
        </w:tabs>
        <w:spacing w:line="480" w:lineRule="exact"/>
        <w:ind w:right="6"/>
        <w:rPr>
          <w:rFonts w:ascii="宋体" w:hAnsi="宋体" w:cs="宋体"/>
          <w:b/>
          <w:color w:val="auto"/>
          <w:sz w:val="32"/>
          <w:szCs w:val="32"/>
          <w:highlight w:val="none"/>
        </w:rPr>
      </w:pPr>
    </w:p>
    <w:p>
      <w:pPr>
        <w:numPr>
          <w:ilvl w:val="0"/>
          <w:numId w:val="12"/>
        </w:numPr>
        <w:jc w:val="center"/>
        <w:rPr>
          <w:rFonts w:ascii="宋体" w:hAnsi="宋体" w:cs="宋体"/>
          <w:b/>
          <w:color w:val="auto"/>
          <w:sz w:val="32"/>
          <w:szCs w:val="32"/>
          <w:highlight w:val="none"/>
        </w:rPr>
      </w:pPr>
      <w:r>
        <w:rPr>
          <w:rFonts w:hint="eastAsia" w:ascii="宋体" w:hAnsi="宋体" w:cs="宋体"/>
          <w:b/>
          <w:color w:val="auto"/>
          <w:sz w:val="32"/>
          <w:szCs w:val="32"/>
          <w:highlight w:val="none"/>
        </w:rPr>
        <w:br w:type="page"/>
      </w:r>
      <w:r>
        <w:rPr>
          <w:rFonts w:hint="eastAsia" w:ascii="宋体" w:hAnsi="宋体" w:cs="宋体"/>
          <w:b/>
          <w:color w:val="auto"/>
          <w:sz w:val="32"/>
          <w:szCs w:val="32"/>
          <w:highlight w:val="none"/>
        </w:rPr>
        <w:t>资格证明材料</w:t>
      </w:r>
    </w:p>
    <w:p>
      <w:pPr>
        <w:ind w:left="479" w:leftChars="228" w:firstLine="160" w:firstLineChars="50"/>
        <w:rPr>
          <w:rFonts w:ascii="宋体" w:hAnsi="宋体"/>
          <w:color w:val="auto"/>
          <w:sz w:val="32"/>
          <w:szCs w:val="32"/>
          <w:highlight w:val="none"/>
        </w:rPr>
      </w:pPr>
    </w:p>
    <w:p>
      <w:pPr>
        <w:pStyle w:val="33"/>
        <w:ind w:left="0" w:leftChars="0" w:firstLine="640" w:firstLineChars="200"/>
        <w:rPr>
          <w:color w:val="auto"/>
          <w:highlight w:val="none"/>
        </w:rPr>
      </w:pPr>
      <w:r>
        <w:rPr>
          <w:rFonts w:hint="eastAsia" w:ascii="宋体" w:hAnsi="宋体"/>
          <w:color w:val="auto"/>
          <w:sz w:val="32"/>
          <w:szCs w:val="32"/>
          <w:highlight w:val="none"/>
        </w:rPr>
        <w:t>说明：</w:t>
      </w:r>
    </w:p>
    <w:p>
      <w:pPr>
        <w:rPr>
          <w:rFonts w:ascii="宋体" w:hAnsi="宋体"/>
          <w:color w:val="auto"/>
          <w:sz w:val="32"/>
          <w:szCs w:val="32"/>
          <w:highlight w:val="none"/>
        </w:rPr>
      </w:pPr>
      <w:r>
        <w:rPr>
          <w:rFonts w:hint="eastAsia" w:ascii="宋体" w:hAnsi="宋体"/>
          <w:color w:val="auto"/>
          <w:sz w:val="32"/>
          <w:szCs w:val="32"/>
          <w:highlight w:val="none"/>
        </w:rPr>
        <w:t>　　1、供应商在此处完整提供“供应商资格要求”的全部资格证明材料，否则，自行承担资格审查不通过的风险责任。</w:t>
      </w:r>
    </w:p>
    <w:p>
      <w:pPr>
        <w:ind w:firstLine="640" w:firstLineChars="200"/>
        <w:rPr>
          <w:rFonts w:ascii="宋体" w:hAnsi="宋体"/>
          <w:color w:val="auto"/>
          <w:sz w:val="32"/>
          <w:szCs w:val="32"/>
          <w:highlight w:val="none"/>
        </w:rPr>
      </w:pPr>
      <w:r>
        <w:rPr>
          <w:rFonts w:hint="eastAsia" w:ascii="宋体" w:hAnsi="宋体"/>
          <w:color w:val="auto"/>
          <w:sz w:val="32"/>
          <w:szCs w:val="32"/>
          <w:highlight w:val="none"/>
        </w:rPr>
        <w:t>2、《供应商开标前三年内在经营活动中无重大违法记录的书面声明》和《供应商具备履行合同所必需的设备和专业技术能力的承诺书》格式见后附参考格式。</w:t>
      </w:r>
    </w:p>
    <w:p>
      <w:pPr>
        <w:ind w:firstLine="640" w:firstLineChars="200"/>
        <w:rPr>
          <w:rFonts w:ascii="宋体" w:hAnsi="宋体"/>
          <w:color w:val="auto"/>
          <w:sz w:val="32"/>
          <w:szCs w:val="32"/>
          <w:highlight w:val="none"/>
        </w:rPr>
      </w:pPr>
      <w:r>
        <w:rPr>
          <w:rFonts w:hint="eastAsia" w:ascii="宋体" w:hAnsi="宋体"/>
          <w:color w:val="auto"/>
          <w:sz w:val="32"/>
          <w:szCs w:val="32"/>
          <w:highlight w:val="none"/>
        </w:rPr>
        <w:t>3、只面向中小企业采购的项目（以资格要求为准），须在此处提供《中小企业声明函》或《残疾人福利性单位声明函》或《监狱企业证明》。参考格式见“相关证明材料”附件。</w:t>
      </w:r>
    </w:p>
    <w:p>
      <w:pPr>
        <w:pStyle w:val="31"/>
        <w:spacing w:line="300" w:lineRule="atLeast"/>
        <w:jc w:val="center"/>
        <w:rPr>
          <w:color w:val="auto"/>
          <w:sz w:val="32"/>
          <w:szCs w:val="32"/>
          <w:highlight w:val="none"/>
        </w:rPr>
      </w:pPr>
      <w:r>
        <w:rPr>
          <w:rFonts w:hint="eastAsia"/>
          <w:color w:val="auto"/>
          <w:sz w:val="32"/>
          <w:szCs w:val="32"/>
          <w:highlight w:val="none"/>
        </w:rPr>
        <w:br w:type="page"/>
      </w:r>
    </w:p>
    <w:p>
      <w:pPr>
        <w:pStyle w:val="31"/>
        <w:spacing w:line="300" w:lineRule="atLeast"/>
        <w:jc w:val="center"/>
        <w:rPr>
          <w:b/>
          <w:color w:val="auto"/>
          <w:sz w:val="36"/>
          <w:szCs w:val="36"/>
          <w:highlight w:val="none"/>
        </w:rPr>
      </w:pPr>
      <w:r>
        <w:rPr>
          <w:rFonts w:hint="eastAsia"/>
          <w:b/>
          <w:color w:val="auto"/>
          <w:sz w:val="36"/>
          <w:szCs w:val="36"/>
          <w:highlight w:val="none"/>
        </w:rPr>
        <w:t>供应商参与采购活动前三年内在经营活动中没有重大违法记录的书面声明函（</w:t>
      </w:r>
      <w:r>
        <w:rPr>
          <w:rFonts w:hint="eastAsia"/>
          <w:b/>
          <w:color w:val="auto"/>
          <w:kern w:val="44"/>
          <w:sz w:val="32"/>
          <w:szCs w:val="32"/>
          <w:highlight w:val="none"/>
        </w:rPr>
        <w:t>参考格式</w:t>
      </w:r>
      <w:r>
        <w:rPr>
          <w:rFonts w:hint="eastAsia"/>
          <w:b/>
          <w:color w:val="auto"/>
          <w:sz w:val="36"/>
          <w:szCs w:val="36"/>
          <w:highlight w:val="none"/>
        </w:rPr>
        <w:t>）</w:t>
      </w:r>
    </w:p>
    <w:p>
      <w:pPr>
        <w:spacing w:before="156" w:beforeLines="50" w:after="156" w:afterLines="50" w:line="480" w:lineRule="auto"/>
        <w:rPr>
          <w:rFonts w:ascii="宋体" w:hAnsi="宋体"/>
          <w:color w:val="auto"/>
          <w:sz w:val="32"/>
          <w:szCs w:val="32"/>
          <w:highlight w:val="none"/>
        </w:rPr>
      </w:pPr>
    </w:p>
    <w:p>
      <w:pPr>
        <w:spacing w:before="156" w:beforeLines="50" w:after="156" w:afterLines="50" w:line="480" w:lineRule="auto"/>
        <w:ind w:firstLine="640" w:firstLineChars="200"/>
        <w:rPr>
          <w:rFonts w:ascii="宋体" w:hAnsi="宋体"/>
          <w:color w:val="auto"/>
          <w:sz w:val="32"/>
          <w:szCs w:val="32"/>
          <w:highlight w:val="none"/>
        </w:rPr>
      </w:pPr>
      <w:r>
        <w:rPr>
          <w:rFonts w:hint="eastAsia" w:ascii="宋体" w:hAnsi="宋体"/>
          <w:color w:val="auto"/>
          <w:sz w:val="32"/>
          <w:szCs w:val="32"/>
          <w:highlight w:val="none"/>
        </w:rPr>
        <w:t>我公司声明：在参与本项目采购活动前三年内（截至投标截止时间），没有重大违法记录（因违法经营受到刑事处罚或者责令停产停业、吊销许可证或者执照、较大数额罚款等行政处罚）。若发现我公司承诺不实，我公司投标无效，并承担由此造成的提供虚假材料等一切后果。</w:t>
      </w:r>
    </w:p>
    <w:p>
      <w:pPr>
        <w:spacing w:before="156" w:beforeLines="50" w:after="156" w:afterLines="50" w:line="480" w:lineRule="auto"/>
        <w:ind w:firstLine="640" w:firstLineChars="200"/>
        <w:rPr>
          <w:rFonts w:ascii="宋体" w:hAnsi="宋体"/>
          <w:color w:val="auto"/>
          <w:sz w:val="32"/>
          <w:szCs w:val="32"/>
          <w:highlight w:val="none"/>
        </w:rPr>
      </w:pPr>
      <w:r>
        <w:rPr>
          <w:rFonts w:hint="eastAsia" w:ascii="宋体" w:hAnsi="宋体"/>
          <w:color w:val="auto"/>
          <w:sz w:val="32"/>
          <w:szCs w:val="32"/>
          <w:highlight w:val="none"/>
        </w:rPr>
        <w:t>特此声明。</w:t>
      </w:r>
    </w:p>
    <w:p>
      <w:pPr>
        <w:spacing w:before="156" w:beforeLines="50" w:after="156" w:afterLines="50" w:line="480" w:lineRule="auto"/>
        <w:rPr>
          <w:rFonts w:ascii="宋体" w:hAnsi="宋体"/>
          <w:color w:val="auto"/>
          <w:sz w:val="32"/>
          <w:szCs w:val="32"/>
          <w:highlight w:val="none"/>
        </w:rPr>
      </w:pPr>
    </w:p>
    <w:p>
      <w:pPr>
        <w:spacing w:before="156" w:beforeLines="50" w:after="156" w:afterLines="50" w:line="480" w:lineRule="auto"/>
        <w:rPr>
          <w:rFonts w:ascii="宋体" w:hAnsi="宋体"/>
          <w:color w:val="auto"/>
          <w:sz w:val="32"/>
          <w:szCs w:val="32"/>
          <w:highlight w:val="none"/>
        </w:rPr>
      </w:pPr>
    </w:p>
    <w:p>
      <w:pPr>
        <w:spacing w:before="156" w:beforeLines="50" w:after="156" w:afterLines="50" w:line="480" w:lineRule="auto"/>
        <w:rPr>
          <w:rFonts w:ascii="宋体" w:hAnsi="宋体"/>
          <w:color w:val="auto"/>
          <w:sz w:val="32"/>
          <w:szCs w:val="32"/>
          <w:highlight w:val="none"/>
        </w:rPr>
      </w:pPr>
      <w:r>
        <w:rPr>
          <w:rFonts w:hint="eastAsia" w:ascii="宋体" w:hAnsi="宋体"/>
          <w:color w:val="auto"/>
          <w:sz w:val="32"/>
          <w:szCs w:val="32"/>
          <w:highlight w:val="none"/>
        </w:rPr>
        <w:t xml:space="preserve">                  投标单位：</w:t>
      </w:r>
    </w:p>
    <w:p>
      <w:pPr>
        <w:spacing w:before="156" w:beforeLines="50" w:after="156" w:afterLines="50" w:line="480" w:lineRule="auto"/>
        <w:rPr>
          <w:rFonts w:ascii="宋体" w:hAnsi="宋体"/>
          <w:color w:val="auto"/>
          <w:sz w:val="32"/>
          <w:szCs w:val="32"/>
          <w:highlight w:val="none"/>
        </w:rPr>
      </w:pPr>
      <w:r>
        <w:rPr>
          <w:rFonts w:hint="eastAsia" w:ascii="宋体" w:hAnsi="宋体"/>
          <w:color w:val="auto"/>
          <w:sz w:val="32"/>
          <w:szCs w:val="32"/>
          <w:highlight w:val="none"/>
        </w:rPr>
        <w:t xml:space="preserve">                   时间：     年   月   日 </w:t>
      </w:r>
    </w:p>
    <w:p>
      <w:pPr>
        <w:spacing w:before="156" w:beforeLines="50" w:after="156" w:afterLines="50" w:line="480" w:lineRule="auto"/>
        <w:rPr>
          <w:rFonts w:ascii="宋体" w:hAnsi="宋体"/>
          <w:color w:val="auto"/>
          <w:sz w:val="32"/>
          <w:szCs w:val="32"/>
          <w:highlight w:val="none"/>
        </w:rPr>
      </w:pPr>
    </w:p>
    <w:p>
      <w:pPr>
        <w:spacing w:before="156" w:beforeLines="50" w:after="156" w:afterLines="50" w:line="480" w:lineRule="auto"/>
        <w:ind w:firstLine="640" w:firstLineChars="200"/>
        <w:rPr>
          <w:rFonts w:ascii="宋体" w:hAnsi="宋体"/>
          <w:color w:val="auto"/>
          <w:sz w:val="32"/>
          <w:szCs w:val="32"/>
          <w:highlight w:val="none"/>
        </w:rPr>
      </w:pPr>
      <w:r>
        <w:rPr>
          <w:rFonts w:hint="eastAsia" w:ascii="宋体" w:hAnsi="宋体"/>
          <w:color w:val="auto"/>
          <w:sz w:val="32"/>
          <w:szCs w:val="32"/>
          <w:highlight w:val="none"/>
        </w:rPr>
        <w:t>注：供应商在参加政府采购活动前三年内因违法经营被禁止在一定期限内参加政府采购活动，期限届满的，可以参加政府采购活动，但应在此处详细注明。</w:t>
      </w:r>
    </w:p>
    <w:p>
      <w:pPr>
        <w:spacing w:before="156" w:beforeLines="50" w:after="156" w:afterLines="50" w:line="480" w:lineRule="auto"/>
        <w:rPr>
          <w:b/>
          <w:color w:val="auto"/>
          <w:kern w:val="44"/>
          <w:sz w:val="32"/>
          <w:szCs w:val="32"/>
          <w:highlight w:val="none"/>
        </w:rPr>
      </w:pPr>
      <w:r>
        <w:rPr>
          <w:b/>
          <w:color w:val="auto"/>
          <w:kern w:val="44"/>
          <w:sz w:val="32"/>
          <w:szCs w:val="32"/>
          <w:highlight w:val="none"/>
        </w:rPr>
        <w:br w:type="page"/>
      </w:r>
    </w:p>
    <w:p>
      <w:pPr>
        <w:spacing w:before="156" w:beforeLines="50" w:after="156" w:afterLines="50" w:line="480" w:lineRule="auto"/>
        <w:jc w:val="center"/>
        <w:rPr>
          <w:b/>
          <w:color w:val="auto"/>
          <w:sz w:val="36"/>
          <w:szCs w:val="36"/>
          <w:highlight w:val="none"/>
        </w:rPr>
      </w:pPr>
      <w:r>
        <w:rPr>
          <w:rFonts w:hint="eastAsia"/>
          <w:b/>
          <w:color w:val="auto"/>
          <w:sz w:val="36"/>
          <w:szCs w:val="36"/>
          <w:highlight w:val="none"/>
        </w:rPr>
        <w:t>供应商具备履行合同所必需的设备和专业技术能力的承诺书</w:t>
      </w:r>
      <w:r>
        <w:rPr>
          <w:rFonts w:hint="eastAsia" w:ascii="宋体" w:hAnsi="宋体"/>
          <w:b/>
          <w:color w:val="auto"/>
          <w:sz w:val="36"/>
          <w:szCs w:val="36"/>
          <w:highlight w:val="none"/>
        </w:rPr>
        <w:t>（</w:t>
      </w:r>
      <w:r>
        <w:rPr>
          <w:rFonts w:hint="eastAsia" w:ascii="宋体" w:hAnsi="宋体"/>
          <w:b/>
          <w:color w:val="auto"/>
          <w:kern w:val="44"/>
          <w:sz w:val="32"/>
          <w:szCs w:val="32"/>
          <w:highlight w:val="none"/>
        </w:rPr>
        <w:t>参考格式</w:t>
      </w:r>
      <w:r>
        <w:rPr>
          <w:rFonts w:hint="eastAsia" w:ascii="宋体" w:hAnsi="宋体"/>
          <w:b/>
          <w:color w:val="auto"/>
          <w:sz w:val="36"/>
          <w:szCs w:val="36"/>
          <w:highlight w:val="none"/>
        </w:rPr>
        <w:t>）</w:t>
      </w:r>
    </w:p>
    <w:p>
      <w:pPr>
        <w:spacing w:before="156" w:beforeLines="50" w:after="156" w:afterLines="50" w:line="480" w:lineRule="auto"/>
        <w:rPr>
          <w:rFonts w:ascii="宋体" w:hAnsi="宋体"/>
          <w:color w:val="auto"/>
          <w:sz w:val="32"/>
          <w:szCs w:val="32"/>
          <w:highlight w:val="none"/>
        </w:rPr>
      </w:pPr>
      <w:r>
        <w:rPr>
          <w:rFonts w:hint="eastAsia" w:ascii="宋体" w:hAnsi="宋体"/>
          <w:color w:val="auto"/>
          <w:sz w:val="32"/>
          <w:szCs w:val="32"/>
          <w:highlight w:val="none"/>
        </w:rPr>
        <w:t>我单位承诺：</w:t>
      </w:r>
    </w:p>
    <w:p>
      <w:pPr>
        <w:spacing w:before="156" w:beforeLines="50" w:after="156" w:afterLines="50" w:line="480" w:lineRule="auto"/>
        <w:ind w:firstLine="640" w:firstLineChars="200"/>
        <w:rPr>
          <w:rFonts w:ascii="宋体" w:hAnsi="宋体"/>
          <w:color w:val="auto"/>
          <w:sz w:val="32"/>
          <w:szCs w:val="32"/>
          <w:highlight w:val="none"/>
        </w:rPr>
      </w:pPr>
      <w:r>
        <w:rPr>
          <w:rFonts w:hint="eastAsia" w:ascii="宋体" w:hAnsi="宋体"/>
          <w:color w:val="auto"/>
          <w:sz w:val="32"/>
          <w:szCs w:val="32"/>
          <w:highlight w:val="none"/>
        </w:rPr>
        <w:t>我们已认真阅读本项目采购文件，对照项目要求，具备履行采购项目合同必须的设备和专业技术能力，并按照采购文件要求提供相关证明材料。如我方中标、成交，保证能够优质高效完成本项目，如因设备和专业能力不足而影响项目质量和进度，我方愿接受采购人的处罚并承担与之有关的责任和损失。</w:t>
      </w:r>
    </w:p>
    <w:p>
      <w:pPr>
        <w:spacing w:before="156" w:beforeLines="50" w:after="156" w:afterLines="50" w:line="480" w:lineRule="auto"/>
        <w:ind w:firstLine="640" w:firstLineChars="200"/>
        <w:rPr>
          <w:rFonts w:ascii="宋体" w:hAnsi="宋体"/>
          <w:color w:val="auto"/>
          <w:sz w:val="32"/>
          <w:szCs w:val="32"/>
          <w:highlight w:val="none"/>
        </w:rPr>
      </w:pPr>
      <w:r>
        <w:rPr>
          <w:rFonts w:hint="eastAsia" w:ascii="宋体" w:hAnsi="宋体"/>
          <w:color w:val="auto"/>
          <w:sz w:val="32"/>
          <w:szCs w:val="32"/>
          <w:highlight w:val="none"/>
        </w:rPr>
        <w:t>特此承诺。</w:t>
      </w:r>
    </w:p>
    <w:p>
      <w:pPr>
        <w:pStyle w:val="31"/>
        <w:spacing w:line="300" w:lineRule="atLeast"/>
        <w:ind w:firstLine="642"/>
        <w:rPr>
          <w:rFonts w:cs="Times New Roman"/>
          <w:color w:val="auto"/>
          <w:kern w:val="44"/>
          <w:sz w:val="32"/>
          <w:szCs w:val="32"/>
          <w:highlight w:val="none"/>
        </w:rPr>
      </w:pPr>
    </w:p>
    <w:p>
      <w:pPr>
        <w:pStyle w:val="31"/>
        <w:wordWrap w:val="0"/>
        <w:spacing w:line="300" w:lineRule="atLeast"/>
        <w:ind w:right="1365" w:rightChars="650" w:firstLine="642"/>
        <w:jc w:val="right"/>
        <w:rPr>
          <w:rFonts w:cs="Times New Roman"/>
          <w:color w:val="auto"/>
          <w:kern w:val="44"/>
          <w:sz w:val="32"/>
          <w:szCs w:val="32"/>
          <w:highlight w:val="none"/>
          <w:u w:val="single"/>
        </w:rPr>
      </w:pPr>
      <w:r>
        <w:rPr>
          <w:rFonts w:hint="eastAsia" w:cs="Times New Roman"/>
          <w:color w:val="auto"/>
          <w:kern w:val="44"/>
          <w:sz w:val="32"/>
          <w:szCs w:val="32"/>
          <w:highlight w:val="none"/>
        </w:rPr>
        <w:t>承诺供应商：</w:t>
      </w:r>
      <w:r>
        <w:rPr>
          <w:rFonts w:hint="eastAsia" w:cs="Times New Roman"/>
          <w:color w:val="auto"/>
          <w:kern w:val="44"/>
          <w:sz w:val="32"/>
          <w:szCs w:val="32"/>
          <w:highlight w:val="none"/>
          <w:u w:val="single"/>
        </w:rPr>
        <w:t xml:space="preserve">            </w:t>
      </w:r>
    </w:p>
    <w:p>
      <w:pPr>
        <w:pStyle w:val="31"/>
        <w:spacing w:line="300" w:lineRule="atLeast"/>
        <w:ind w:right="1365" w:rightChars="650" w:firstLine="642"/>
        <w:jc w:val="right"/>
        <w:rPr>
          <w:color w:val="auto"/>
          <w:sz w:val="32"/>
          <w:szCs w:val="32"/>
          <w:highlight w:val="none"/>
        </w:rPr>
        <w:sectPr>
          <w:headerReference r:id="rId7" w:type="first"/>
          <w:footerReference r:id="rId9" w:type="first"/>
          <w:footerReference r:id="rId8" w:type="default"/>
          <w:pgSz w:w="11906" w:h="16838"/>
          <w:pgMar w:top="1440" w:right="1800" w:bottom="1440" w:left="1800" w:header="851" w:footer="992" w:gutter="0"/>
          <w:pgNumType w:start="1"/>
          <w:cols w:space="720" w:num="1"/>
          <w:titlePg/>
          <w:docGrid w:type="lines" w:linePitch="312" w:charSpace="0"/>
        </w:sectPr>
      </w:pPr>
      <w:r>
        <w:rPr>
          <w:rFonts w:hint="eastAsia" w:cs="Times New Roman"/>
          <w:color w:val="auto"/>
          <w:kern w:val="44"/>
          <w:sz w:val="32"/>
          <w:szCs w:val="32"/>
          <w:highlight w:val="none"/>
        </w:rPr>
        <w:t>年  月  日</w:t>
      </w:r>
    </w:p>
    <w:bookmarkEnd w:id="736"/>
    <w:bookmarkEnd w:id="737"/>
    <w:bookmarkEnd w:id="738"/>
    <w:bookmarkEnd w:id="739"/>
    <w:bookmarkEnd w:id="740"/>
    <w:bookmarkEnd w:id="741"/>
    <w:bookmarkEnd w:id="742"/>
    <w:bookmarkEnd w:id="743"/>
    <w:bookmarkEnd w:id="744"/>
    <w:bookmarkEnd w:id="745"/>
    <w:p>
      <w:pPr>
        <w:jc w:val="center"/>
        <w:rPr>
          <w:rFonts w:ascii="宋体" w:hAnsi="宋体"/>
          <w:b/>
          <w:bCs/>
          <w:color w:val="auto"/>
          <w:kern w:val="44"/>
          <w:sz w:val="44"/>
          <w:szCs w:val="44"/>
          <w:highlight w:val="none"/>
        </w:rPr>
      </w:pPr>
      <w:bookmarkStart w:id="746" w:name="_Toc338840262"/>
      <w:bookmarkStart w:id="747" w:name="_Toc289182817"/>
      <w:bookmarkStart w:id="748" w:name="_Toc289182439"/>
      <w:bookmarkStart w:id="749" w:name="_Toc289241359"/>
      <w:bookmarkStart w:id="750" w:name="_Toc289238788"/>
      <w:bookmarkStart w:id="751" w:name="_Toc338840471"/>
      <w:bookmarkStart w:id="752" w:name="_Toc338840510"/>
      <w:bookmarkStart w:id="753" w:name="_Toc289241536"/>
      <w:bookmarkStart w:id="754" w:name="_Toc289096743"/>
      <w:bookmarkStart w:id="755" w:name="_Toc288748128"/>
      <w:r>
        <w:rPr>
          <w:rFonts w:hint="eastAsia" w:ascii="宋体" w:hAnsi="宋体"/>
          <w:b/>
          <w:bCs/>
          <w:color w:val="auto"/>
          <w:kern w:val="44"/>
          <w:sz w:val="44"/>
          <w:szCs w:val="44"/>
          <w:highlight w:val="none"/>
        </w:rPr>
        <w:t>四　投标内容及报价明细表</w:t>
      </w:r>
    </w:p>
    <w:p>
      <w:pPr>
        <w:rPr>
          <w:rFonts w:ascii="宋体" w:hAnsi="宋体"/>
          <w:b/>
          <w:bCs/>
          <w:color w:val="auto"/>
          <w:kern w:val="44"/>
          <w:sz w:val="44"/>
          <w:szCs w:val="44"/>
          <w:highlight w:val="none"/>
        </w:rPr>
      </w:pPr>
    </w:p>
    <w:tbl>
      <w:tblPr>
        <w:tblStyle w:val="34"/>
        <w:tblpPr w:leftFromText="180" w:rightFromText="180" w:vertAnchor="text" w:horzAnchor="margin" w:tblpY="3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
        <w:gridCol w:w="4290"/>
        <w:gridCol w:w="755"/>
        <w:gridCol w:w="1260"/>
        <w:gridCol w:w="18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826" w:type="dxa"/>
            <w:vAlign w:val="center"/>
          </w:tcPr>
          <w:p>
            <w:pPr>
              <w:spacing w:line="400" w:lineRule="exact"/>
              <w:jc w:val="center"/>
              <w:rPr>
                <w:rFonts w:ascii="宋体" w:hAnsi="宋体"/>
                <w:color w:val="auto"/>
                <w:highlight w:val="none"/>
              </w:rPr>
            </w:pPr>
            <w:r>
              <w:rPr>
                <w:rFonts w:hint="eastAsia" w:ascii="宋体" w:hAnsi="宋体"/>
                <w:color w:val="auto"/>
                <w:highlight w:val="none"/>
              </w:rPr>
              <w:t>序号</w:t>
            </w:r>
          </w:p>
        </w:tc>
        <w:tc>
          <w:tcPr>
            <w:tcW w:w="4290" w:type="dxa"/>
            <w:vAlign w:val="center"/>
          </w:tcPr>
          <w:p>
            <w:pPr>
              <w:spacing w:line="400" w:lineRule="exact"/>
              <w:ind w:left="223" w:hanging="223"/>
              <w:jc w:val="center"/>
              <w:rPr>
                <w:rFonts w:ascii="宋体" w:hAnsi="宋体"/>
                <w:color w:val="auto"/>
                <w:highlight w:val="none"/>
              </w:rPr>
            </w:pPr>
            <w:r>
              <w:rPr>
                <w:rFonts w:hint="eastAsia" w:ascii="宋体" w:hAnsi="宋体" w:cs="chs_boot"/>
                <w:color w:val="auto"/>
                <w:highlight w:val="none"/>
              </w:rPr>
              <w:t>报价内容明细</w:t>
            </w:r>
          </w:p>
        </w:tc>
        <w:tc>
          <w:tcPr>
            <w:tcW w:w="755" w:type="dxa"/>
            <w:vAlign w:val="center"/>
          </w:tcPr>
          <w:p>
            <w:pPr>
              <w:spacing w:line="400" w:lineRule="exact"/>
              <w:ind w:left="223" w:hanging="223"/>
              <w:jc w:val="center"/>
              <w:rPr>
                <w:rFonts w:ascii="宋体" w:hAnsi="宋体" w:cs="chs_boot"/>
                <w:color w:val="auto"/>
                <w:highlight w:val="none"/>
              </w:rPr>
            </w:pPr>
            <w:r>
              <w:rPr>
                <w:rFonts w:hint="eastAsia" w:ascii="宋体" w:hAnsi="宋体" w:cs="chs_boot"/>
                <w:color w:val="auto"/>
                <w:highlight w:val="none"/>
              </w:rPr>
              <w:t>单价</w:t>
            </w:r>
          </w:p>
        </w:tc>
        <w:tc>
          <w:tcPr>
            <w:tcW w:w="1260" w:type="dxa"/>
            <w:vAlign w:val="center"/>
          </w:tcPr>
          <w:p>
            <w:pPr>
              <w:spacing w:line="400" w:lineRule="exact"/>
              <w:jc w:val="center"/>
              <w:rPr>
                <w:rFonts w:ascii="宋体" w:hAnsi="宋体"/>
                <w:color w:val="auto"/>
                <w:highlight w:val="none"/>
              </w:rPr>
            </w:pPr>
            <w:r>
              <w:rPr>
                <w:rFonts w:hint="eastAsia" w:ascii="宋体" w:hAnsi="宋体"/>
                <w:color w:val="auto"/>
                <w:highlight w:val="none"/>
              </w:rPr>
              <w:t>价格合计</w:t>
            </w:r>
          </w:p>
        </w:tc>
        <w:tc>
          <w:tcPr>
            <w:tcW w:w="1800" w:type="dxa"/>
            <w:vAlign w:val="center"/>
          </w:tcPr>
          <w:p>
            <w:pPr>
              <w:spacing w:line="400" w:lineRule="exact"/>
              <w:jc w:val="center"/>
              <w:rPr>
                <w:rFonts w:ascii="宋体" w:hAnsi="宋体"/>
                <w:color w:val="auto"/>
                <w:highlight w:val="none"/>
              </w:rPr>
            </w:pPr>
            <w:r>
              <w:rPr>
                <w:rFonts w:hint="eastAsia" w:ascii="宋体" w:hAnsi="宋体"/>
                <w:color w:val="auto"/>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26" w:type="dxa"/>
          </w:tcPr>
          <w:p>
            <w:pPr>
              <w:spacing w:line="400" w:lineRule="exact"/>
              <w:jc w:val="center"/>
              <w:rPr>
                <w:rFonts w:ascii="宋体" w:hAnsi="宋体"/>
                <w:color w:val="auto"/>
                <w:sz w:val="28"/>
                <w:highlight w:val="none"/>
              </w:rPr>
            </w:pPr>
            <w:r>
              <w:rPr>
                <w:rFonts w:hint="eastAsia" w:ascii="宋体" w:hAnsi="宋体"/>
                <w:color w:val="auto"/>
                <w:sz w:val="28"/>
                <w:highlight w:val="none"/>
              </w:rPr>
              <w:t>1</w:t>
            </w:r>
          </w:p>
        </w:tc>
        <w:tc>
          <w:tcPr>
            <w:tcW w:w="4290" w:type="dxa"/>
          </w:tcPr>
          <w:p>
            <w:pPr>
              <w:spacing w:line="400" w:lineRule="exact"/>
              <w:jc w:val="center"/>
              <w:rPr>
                <w:rFonts w:ascii="宋体" w:hAnsi="宋体"/>
                <w:color w:val="auto"/>
                <w:sz w:val="28"/>
                <w:highlight w:val="none"/>
              </w:rPr>
            </w:pPr>
          </w:p>
        </w:tc>
        <w:tc>
          <w:tcPr>
            <w:tcW w:w="755" w:type="dxa"/>
          </w:tcPr>
          <w:p>
            <w:pPr>
              <w:spacing w:line="400" w:lineRule="exact"/>
              <w:jc w:val="center"/>
              <w:rPr>
                <w:rFonts w:ascii="宋体" w:hAnsi="宋体"/>
                <w:color w:val="auto"/>
                <w:sz w:val="28"/>
                <w:highlight w:val="none"/>
              </w:rPr>
            </w:pPr>
          </w:p>
        </w:tc>
        <w:tc>
          <w:tcPr>
            <w:tcW w:w="1260" w:type="dxa"/>
          </w:tcPr>
          <w:p>
            <w:pPr>
              <w:spacing w:line="400" w:lineRule="exact"/>
              <w:jc w:val="center"/>
              <w:rPr>
                <w:rFonts w:ascii="宋体" w:hAnsi="宋体"/>
                <w:color w:val="auto"/>
                <w:sz w:val="28"/>
                <w:highlight w:val="none"/>
              </w:rPr>
            </w:pPr>
          </w:p>
        </w:tc>
        <w:tc>
          <w:tcPr>
            <w:tcW w:w="1800" w:type="dxa"/>
          </w:tcPr>
          <w:p>
            <w:pPr>
              <w:spacing w:line="400" w:lineRule="exact"/>
              <w:jc w:val="center"/>
              <w:rPr>
                <w:rFonts w:ascii="宋体" w:hAnsi="宋体"/>
                <w:color w:val="auto"/>
                <w:sz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826" w:type="dxa"/>
          </w:tcPr>
          <w:p>
            <w:pPr>
              <w:spacing w:line="400" w:lineRule="exact"/>
              <w:jc w:val="center"/>
              <w:rPr>
                <w:rFonts w:ascii="宋体" w:hAnsi="宋体"/>
                <w:color w:val="auto"/>
                <w:sz w:val="28"/>
                <w:highlight w:val="none"/>
              </w:rPr>
            </w:pPr>
            <w:r>
              <w:rPr>
                <w:rFonts w:hint="eastAsia" w:ascii="宋体" w:hAnsi="宋体"/>
                <w:color w:val="auto"/>
                <w:sz w:val="28"/>
                <w:highlight w:val="none"/>
              </w:rPr>
              <w:t>2</w:t>
            </w:r>
          </w:p>
        </w:tc>
        <w:tc>
          <w:tcPr>
            <w:tcW w:w="4290" w:type="dxa"/>
          </w:tcPr>
          <w:p>
            <w:pPr>
              <w:spacing w:line="400" w:lineRule="exact"/>
              <w:jc w:val="center"/>
              <w:rPr>
                <w:rFonts w:ascii="宋体" w:hAnsi="宋体"/>
                <w:color w:val="auto"/>
                <w:sz w:val="28"/>
                <w:highlight w:val="none"/>
              </w:rPr>
            </w:pPr>
          </w:p>
        </w:tc>
        <w:tc>
          <w:tcPr>
            <w:tcW w:w="755" w:type="dxa"/>
          </w:tcPr>
          <w:p>
            <w:pPr>
              <w:spacing w:line="400" w:lineRule="exact"/>
              <w:jc w:val="center"/>
              <w:rPr>
                <w:rFonts w:ascii="宋体" w:hAnsi="宋体"/>
                <w:color w:val="auto"/>
                <w:sz w:val="28"/>
                <w:highlight w:val="none"/>
              </w:rPr>
            </w:pPr>
          </w:p>
        </w:tc>
        <w:tc>
          <w:tcPr>
            <w:tcW w:w="1260" w:type="dxa"/>
          </w:tcPr>
          <w:p>
            <w:pPr>
              <w:spacing w:line="400" w:lineRule="exact"/>
              <w:jc w:val="center"/>
              <w:rPr>
                <w:rFonts w:ascii="宋体" w:hAnsi="宋体"/>
                <w:color w:val="auto"/>
                <w:sz w:val="28"/>
                <w:highlight w:val="none"/>
              </w:rPr>
            </w:pPr>
          </w:p>
        </w:tc>
        <w:tc>
          <w:tcPr>
            <w:tcW w:w="1800" w:type="dxa"/>
          </w:tcPr>
          <w:p>
            <w:pPr>
              <w:spacing w:line="400" w:lineRule="exact"/>
              <w:jc w:val="center"/>
              <w:rPr>
                <w:rFonts w:ascii="宋体" w:hAnsi="宋体"/>
                <w:color w:val="auto"/>
                <w:sz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trPr>
        <w:tc>
          <w:tcPr>
            <w:tcW w:w="826" w:type="dxa"/>
          </w:tcPr>
          <w:p>
            <w:pPr>
              <w:spacing w:line="400" w:lineRule="exact"/>
              <w:jc w:val="center"/>
              <w:rPr>
                <w:rFonts w:ascii="宋体" w:hAnsi="宋体"/>
                <w:color w:val="auto"/>
                <w:sz w:val="28"/>
                <w:highlight w:val="none"/>
              </w:rPr>
            </w:pPr>
            <w:r>
              <w:rPr>
                <w:rFonts w:ascii="宋体" w:hAnsi="宋体"/>
                <w:color w:val="auto"/>
                <w:sz w:val="28"/>
                <w:highlight w:val="none"/>
              </w:rPr>
              <w:t>…</w:t>
            </w:r>
          </w:p>
        </w:tc>
        <w:tc>
          <w:tcPr>
            <w:tcW w:w="4290" w:type="dxa"/>
          </w:tcPr>
          <w:p>
            <w:pPr>
              <w:spacing w:line="400" w:lineRule="exact"/>
              <w:jc w:val="center"/>
              <w:rPr>
                <w:rFonts w:ascii="宋体" w:hAnsi="宋体"/>
                <w:color w:val="auto"/>
                <w:sz w:val="28"/>
                <w:highlight w:val="none"/>
              </w:rPr>
            </w:pPr>
          </w:p>
        </w:tc>
        <w:tc>
          <w:tcPr>
            <w:tcW w:w="755" w:type="dxa"/>
          </w:tcPr>
          <w:p>
            <w:pPr>
              <w:spacing w:line="400" w:lineRule="exact"/>
              <w:jc w:val="center"/>
              <w:rPr>
                <w:rFonts w:ascii="宋体" w:hAnsi="宋体"/>
                <w:color w:val="auto"/>
                <w:sz w:val="28"/>
                <w:highlight w:val="none"/>
              </w:rPr>
            </w:pPr>
          </w:p>
        </w:tc>
        <w:tc>
          <w:tcPr>
            <w:tcW w:w="1260" w:type="dxa"/>
          </w:tcPr>
          <w:p>
            <w:pPr>
              <w:spacing w:line="400" w:lineRule="exact"/>
              <w:jc w:val="center"/>
              <w:rPr>
                <w:rFonts w:ascii="宋体" w:hAnsi="宋体"/>
                <w:color w:val="auto"/>
                <w:sz w:val="28"/>
                <w:highlight w:val="none"/>
              </w:rPr>
            </w:pPr>
          </w:p>
        </w:tc>
        <w:tc>
          <w:tcPr>
            <w:tcW w:w="1800" w:type="dxa"/>
          </w:tcPr>
          <w:p>
            <w:pPr>
              <w:spacing w:line="400" w:lineRule="exact"/>
              <w:jc w:val="center"/>
              <w:rPr>
                <w:rFonts w:ascii="宋体" w:hAnsi="宋体"/>
                <w:color w:val="auto"/>
                <w:sz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trPr>
        <w:tc>
          <w:tcPr>
            <w:tcW w:w="5871" w:type="dxa"/>
            <w:gridSpan w:val="3"/>
          </w:tcPr>
          <w:p>
            <w:pPr>
              <w:spacing w:line="400" w:lineRule="exact"/>
              <w:jc w:val="center"/>
              <w:rPr>
                <w:rFonts w:ascii="宋体" w:hAnsi="宋体"/>
                <w:color w:val="auto"/>
                <w:sz w:val="28"/>
                <w:highlight w:val="none"/>
              </w:rPr>
            </w:pPr>
            <w:r>
              <w:rPr>
                <w:rFonts w:hint="eastAsia" w:ascii="宋体" w:hAnsi="宋体"/>
                <w:b/>
                <w:bCs/>
                <w:color w:val="auto"/>
                <w:sz w:val="24"/>
                <w:szCs w:val="22"/>
                <w:highlight w:val="none"/>
              </w:rPr>
              <w:t>价格总合计</w:t>
            </w:r>
            <w:r>
              <w:rPr>
                <w:rFonts w:hint="eastAsia" w:ascii="宋体" w:hAnsi="宋体"/>
                <w:color w:val="auto"/>
                <w:sz w:val="24"/>
                <w:szCs w:val="22"/>
                <w:highlight w:val="none"/>
              </w:rPr>
              <w:t>（应与投标函中的“投标报价”相同）</w:t>
            </w:r>
          </w:p>
        </w:tc>
        <w:tc>
          <w:tcPr>
            <w:tcW w:w="3060" w:type="dxa"/>
            <w:gridSpan w:val="2"/>
          </w:tcPr>
          <w:p>
            <w:pPr>
              <w:spacing w:line="400" w:lineRule="exact"/>
              <w:jc w:val="center"/>
              <w:rPr>
                <w:rFonts w:ascii="宋体" w:hAnsi="宋体"/>
                <w:b/>
                <w:bCs/>
                <w:color w:val="auto"/>
                <w:sz w:val="24"/>
                <w:szCs w:val="22"/>
                <w:highlight w:val="none"/>
              </w:rPr>
            </w:pPr>
            <w:r>
              <w:rPr>
                <w:rFonts w:hint="eastAsia" w:ascii="宋体" w:hAnsi="宋体"/>
                <w:color w:val="auto"/>
                <w:kern w:val="0"/>
                <w:sz w:val="28"/>
                <w:szCs w:val="28"/>
                <w:highlight w:val="none"/>
              </w:rPr>
              <w:t>¥</w:t>
            </w:r>
            <w:r>
              <w:rPr>
                <w:rFonts w:hint="eastAsia" w:ascii="宋体" w:hAnsi="宋体"/>
                <w:color w:val="auto"/>
                <w:sz w:val="24"/>
                <w:szCs w:val="22"/>
                <w:highlight w:val="none"/>
              </w:rPr>
              <w:t>：</w:t>
            </w:r>
            <w:r>
              <w:rPr>
                <w:rFonts w:hint="eastAsia" w:ascii="宋体" w:hAnsi="宋体"/>
                <w:color w:val="auto"/>
                <w:sz w:val="24"/>
                <w:szCs w:val="22"/>
                <w:highlight w:val="none"/>
                <w:u w:val="single"/>
              </w:rPr>
              <w:t xml:space="preserve"> 　　　    </w:t>
            </w:r>
            <w:r>
              <w:rPr>
                <w:rFonts w:hint="eastAsia" w:ascii="宋体" w:hAnsi="宋体"/>
                <w:color w:val="auto"/>
                <w:sz w:val="24"/>
                <w:szCs w:val="22"/>
                <w:highlight w:val="none"/>
              </w:rPr>
              <w:t>元</w:t>
            </w:r>
          </w:p>
        </w:tc>
      </w:tr>
    </w:tbl>
    <w:p>
      <w:pPr>
        <w:spacing w:line="340" w:lineRule="exact"/>
        <w:ind w:left="-315" w:leftChars="-150" w:right="-525" w:rightChars="-250"/>
        <w:rPr>
          <w:rFonts w:ascii="宋体" w:hAnsi="宋体"/>
          <w:b/>
          <w:color w:val="auto"/>
          <w:szCs w:val="21"/>
          <w:highlight w:val="none"/>
        </w:rPr>
      </w:pPr>
    </w:p>
    <w:p>
      <w:pPr>
        <w:spacing w:line="340" w:lineRule="exact"/>
        <w:ind w:left="-315" w:leftChars="-150" w:right="-525" w:rightChars="-250"/>
        <w:rPr>
          <w:rFonts w:ascii="宋体" w:hAnsi="宋体"/>
          <w:b/>
          <w:color w:val="auto"/>
          <w:szCs w:val="21"/>
          <w:highlight w:val="none"/>
        </w:rPr>
      </w:pPr>
    </w:p>
    <w:p>
      <w:pPr>
        <w:spacing w:line="340" w:lineRule="exact"/>
        <w:ind w:left="-315" w:leftChars="-150" w:right="-525" w:rightChars="-250"/>
        <w:rPr>
          <w:rFonts w:ascii="宋体" w:hAnsi="宋体"/>
          <w:b/>
          <w:color w:val="auto"/>
          <w:szCs w:val="21"/>
          <w:highlight w:val="none"/>
        </w:rPr>
      </w:pPr>
      <w:r>
        <w:rPr>
          <w:rFonts w:hint="eastAsia" w:ascii="宋体" w:hAnsi="宋体"/>
          <w:b/>
          <w:color w:val="auto"/>
          <w:szCs w:val="21"/>
          <w:highlight w:val="none"/>
        </w:rPr>
        <w:t>注：“报价内容明细”由供应商根据项目情况自行填写，如：人员工资、设备费用、材料、利润、税金</w:t>
      </w:r>
      <w:r>
        <w:rPr>
          <w:rFonts w:ascii="宋体" w:hAnsi="宋体"/>
          <w:b/>
          <w:color w:val="auto"/>
          <w:szCs w:val="21"/>
          <w:highlight w:val="none"/>
        </w:rPr>
        <w:t>……</w:t>
      </w:r>
      <w:r>
        <w:rPr>
          <w:rFonts w:hint="eastAsia" w:ascii="宋体" w:hAnsi="宋体"/>
          <w:b/>
          <w:color w:val="auto"/>
          <w:szCs w:val="21"/>
          <w:highlight w:val="none"/>
        </w:rPr>
        <w:t>。</w:t>
      </w:r>
    </w:p>
    <w:p>
      <w:pPr>
        <w:jc w:val="center"/>
        <w:rPr>
          <w:rFonts w:ascii="宋体" w:hAnsi="宋体"/>
          <w:bCs/>
          <w:color w:val="auto"/>
          <w:kern w:val="44"/>
          <w:sz w:val="44"/>
          <w:szCs w:val="44"/>
          <w:highlight w:val="none"/>
        </w:rPr>
      </w:pPr>
      <w:r>
        <w:rPr>
          <w:rFonts w:hint="eastAsia" w:ascii="宋体" w:hAnsi="宋体"/>
          <w:b/>
          <w:bCs/>
          <w:color w:val="auto"/>
          <w:kern w:val="44"/>
          <w:sz w:val="32"/>
          <w:szCs w:val="32"/>
          <w:highlight w:val="none"/>
        </w:rPr>
        <w:br w:type="page"/>
      </w:r>
      <w:r>
        <w:rPr>
          <w:rFonts w:hint="eastAsia" w:ascii="宋体" w:hAnsi="宋体"/>
          <w:b/>
          <w:bCs/>
          <w:color w:val="auto"/>
          <w:kern w:val="44"/>
          <w:sz w:val="44"/>
          <w:szCs w:val="44"/>
          <w:highlight w:val="none"/>
        </w:rPr>
        <w:t>五　技术及商务偏差表</w:t>
      </w:r>
      <w:bookmarkEnd w:id="746"/>
      <w:bookmarkEnd w:id="747"/>
      <w:bookmarkEnd w:id="748"/>
      <w:bookmarkEnd w:id="749"/>
      <w:bookmarkEnd w:id="750"/>
      <w:bookmarkEnd w:id="751"/>
      <w:bookmarkEnd w:id="752"/>
      <w:bookmarkEnd w:id="753"/>
      <w:bookmarkEnd w:id="754"/>
      <w:bookmarkEnd w:id="755"/>
    </w:p>
    <w:p>
      <w:pPr>
        <w:rPr>
          <w:rFonts w:ascii="宋体" w:hAnsi="宋体"/>
          <w:color w:val="auto"/>
          <w:sz w:val="28"/>
          <w:highlight w:val="none"/>
          <w:u w:val="single"/>
        </w:rPr>
      </w:pPr>
      <w:r>
        <w:rPr>
          <w:rFonts w:hint="eastAsia" w:ascii="宋体" w:hAnsi="宋体"/>
          <w:color w:val="auto"/>
          <w:sz w:val="32"/>
          <w:szCs w:val="32"/>
          <w:highlight w:val="none"/>
        </w:rPr>
        <w:t xml:space="preserve"> </w:t>
      </w:r>
      <w:r>
        <w:rPr>
          <w:rFonts w:hint="eastAsia" w:ascii="宋体" w:hAnsi="宋体"/>
          <w:color w:val="auto"/>
          <w:sz w:val="28"/>
          <w:highlight w:val="none"/>
        </w:rPr>
        <w:t xml:space="preserve">           </w:t>
      </w: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9"/>
        <w:gridCol w:w="1089"/>
        <w:gridCol w:w="2700"/>
        <w:gridCol w:w="2520"/>
        <w:gridCol w:w="1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exact"/>
          <w:jc w:val="center"/>
        </w:trPr>
        <w:tc>
          <w:tcPr>
            <w:tcW w:w="639" w:type="dxa"/>
            <w:vAlign w:val="center"/>
          </w:tcPr>
          <w:p>
            <w:pPr>
              <w:spacing w:line="440" w:lineRule="exact"/>
              <w:jc w:val="center"/>
              <w:rPr>
                <w:rFonts w:ascii="宋体" w:hAnsi="宋体"/>
                <w:color w:val="auto"/>
                <w:sz w:val="24"/>
                <w:highlight w:val="none"/>
              </w:rPr>
            </w:pPr>
            <w:r>
              <w:rPr>
                <w:rFonts w:hint="eastAsia" w:ascii="宋体" w:hAnsi="宋体"/>
                <w:color w:val="auto"/>
                <w:sz w:val="24"/>
                <w:highlight w:val="none"/>
              </w:rPr>
              <w:t>序号</w:t>
            </w:r>
          </w:p>
        </w:tc>
        <w:tc>
          <w:tcPr>
            <w:tcW w:w="1089" w:type="dxa"/>
            <w:vAlign w:val="center"/>
          </w:tcPr>
          <w:p>
            <w:pPr>
              <w:jc w:val="center"/>
              <w:rPr>
                <w:rFonts w:ascii="宋体" w:hAnsi="宋体"/>
                <w:color w:val="auto"/>
                <w:sz w:val="24"/>
                <w:highlight w:val="none"/>
              </w:rPr>
            </w:pPr>
            <w:r>
              <w:rPr>
                <w:rFonts w:hint="eastAsia" w:ascii="宋体" w:hAnsi="宋体"/>
                <w:color w:val="auto"/>
                <w:sz w:val="24"/>
                <w:highlight w:val="none"/>
              </w:rPr>
              <w:t>名称</w:t>
            </w:r>
          </w:p>
        </w:tc>
        <w:tc>
          <w:tcPr>
            <w:tcW w:w="2700" w:type="dxa"/>
            <w:vAlign w:val="center"/>
          </w:tcPr>
          <w:p>
            <w:pPr>
              <w:jc w:val="center"/>
              <w:rPr>
                <w:rFonts w:ascii="宋体" w:hAnsi="宋体"/>
                <w:color w:val="auto"/>
                <w:sz w:val="24"/>
                <w:highlight w:val="none"/>
              </w:rPr>
            </w:pPr>
            <w:r>
              <w:rPr>
                <w:rFonts w:hint="eastAsia" w:ascii="宋体" w:hAnsi="宋体"/>
                <w:color w:val="auto"/>
                <w:sz w:val="24"/>
                <w:highlight w:val="none"/>
              </w:rPr>
              <w:t>招标文件要求</w:t>
            </w:r>
          </w:p>
        </w:tc>
        <w:tc>
          <w:tcPr>
            <w:tcW w:w="2520" w:type="dxa"/>
            <w:vAlign w:val="center"/>
          </w:tcPr>
          <w:p>
            <w:pPr>
              <w:jc w:val="center"/>
              <w:rPr>
                <w:rFonts w:ascii="宋体" w:hAnsi="宋体"/>
                <w:color w:val="auto"/>
                <w:sz w:val="24"/>
                <w:highlight w:val="none"/>
              </w:rPr>
            </w:pPr>
            <w:r>
              <w:rPr>
                <w:rFonts w:hint="eastAsia" w:ascii="宋体" w:hAnsi="宋体"/>
                <w:color w:val="auto"/>
                <w:sz w:val="24"/>
                <w:highlight w:val="none"/>
              </w:rPr>
              <w:t>投标文件内容</w:t>
            </w:r>
          </w:p>
        </w:tc>
        <w:tc>
          <w:tcPr>
            <w:tcW w:w="1980" w:type="dxa"/>
            <w:vAlign w:val="center"/>
          </w:tcPr>
          <w:p>
            <w:pPr>
              <w:jc w:val="center"/>
              <w:rPr>
                <w:rFonts w:ascii="宋体" w:hAnsi="宋体"/>
                <w:color w:val="auto"/>
                <w:sz w:val="24"/>
                <w:highlight w:val="none"/>
              </w:rPr>
            </w:pPr>
            <w:r>
              <w:rPr>
                <w:rFonts w:hint="eastAsia" w:ascii="宋体" w:hAnsi="宋体"/>
                <w:color w:val="auto"/>
                <w:sz w:val="24"/>
                <w:highlight w:val="none"/>
              </w:rPr>
              <w:t>偏差说明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exact"/>
          <w:jc w:val="center"/>
        </w:trPr>
        <w:tc>
          <w:tcPr>
            <w:tcW w:w="639" w:type="dxa"/>
          </w:tcPr>
          <w:p>
            <w:pPr>
              <w:rPr>
                <w:rFonts w:ascii="宋体" w:hAnsi="宋体"/>
                <w:color w:val="auto"/>
                <w:highlight w:val="none"/>
              </w:rPr>
            </w:pPr>
          </w:p>
        </w:tc>
        <w:tc>
          <w:tcPr>
            <w:tcW w:w="1089" w:type="dxa"/>
          </w:tcPr>
          <w:p>
            <w:pPr>
              <w:rPr>
                <w:rFonts w:ascii="宋体" w:hAnsi="宋体"/>
                <w:color w:val="auto"/>
                <w:highlight w:val="none"/>
              </w:rPr>
            </w:pPr>
          </w:p>
        </w:tc>
        <w:tc>
          <w:tcPr>
            <w:tcW w:w="2700" w:type="dxa"/>
          </w:tcPr>
          <w:p>
            <w:pPr>
              <w:rPr>
                <w:rFonts w:ascii="宋体" w:hAnsi="宋体"/>
                <w:color w:val="auto"/>
                <w:highlight w:val="none"/>
              </w:rPr>
            </w:pPr>
          </w:p>
        </w:tc>
        <w:tc>
          <w:tcPr>
            <w:tcW w:w="2520" w:type="dxa"/>
          </w:tcPr>
          <w:p>
            <w:pPr>
              <w:rPr>
                <w:rFonts w:ascii="宋体" w:hAnsi="宋体"/>
                <w:color w:val="auto"/>
                <w:highlight w:val="none"/>
              </w:rPr>
            </w:pPr>
          </w:p>
        </w:tc>
        <w:tc>
          <w:tcPr>
            <w:tcW w:w="1980" w:type="dxa"/>
          </w:tcPr>
          <w:p>
            <w:pPr>
              <w:rPr>
                <w:rFonts w:ascii="宋体"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exact"/>
          <w:jc w:val="center"/>
        </w:trPr>
        <w:tc>
          <w:tcPr>
            <w:tcW w:w="639" w:type="dxa"/>
          </w:tcPr>
          <w:p>
            <w:pPr>
              <w:rPr>
                <w:rFonts w:ascii="宋体" w:hAnsi="宋体"/>
                <w:color w:val="auto"/>
                <w:highlight w:val="none"/>
              </w:rPr>
            </w:pPr>
          </w:p>
        </w:tc>
        <w:tc>
          <w:tcPr>
            <w:tcW w:w="1089" w:type="dxa"/>
          </w:tcPr>
          <w:p>
            <w:pPr>
              <w:rPr>
                <w:rFonts w:ascii="宋体" w:hAnsi="宋体"/>
                <w:color w:val="auto"/>
                <w:highlight w:val="none"/>
              </w:rPr>
            </w:pPr>
          </w:p>
        </w:tc>
        <w:tc>
          <w:tcPr>
            <w:tcW w:w="2700" w:type="dxa"/>
          </w:tcPr>
          <w:p>
            <w:pPr>
              <w:rPr>
                <w:rFonts w:ascii="宋体" w:hAnsi="宋体"/>
                <w:color w:val="auto"/>
                <w:highlight w:val="none"/>
              </w:rPr>
            </w:pPr>
          </w:p>
        </w:tc>
        <w:tc>
          <w:tcPr>
            <w:tcW w:w="2520" w:type="dxa"/>
          </w:tcPr>
          <w:p>
            <w:pPr>
              <w:rPr>
                <w:rFonts w:ascii="宋体" w:hAnsi="宋体"/>
                <w:color w:val="auto"/>
                <w:highlight w:val="none"/>
              </w:rPr>
            </w:pPr>
          </w:p>
        </w:tc>
        <w:tc>
          <w:tcPr>
            <w:tcW w:w="1980" w:type="dxa"/>
          </w:tcPr>
          <w:p>
            <w:pPr>
              <w:rPr>
                <w:rFonts w:ascii="宋体"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exact"/>
          <w:jc w:val="center"/>
        </w:trPr>
        <w:tc>
          <w:tcPr>
            <w:tcW w:w="639" w:type="dxa"/>
          </w:tcPr>
          <w:p>
            <w:pPr>
              <w:rPr>
                <w:rFonts w:ascii="宋体" w:hAnsi="宋体"/>
                <w:color w:val="auto"/>
                <w:highlight w:val="none"/>
              </w:rPr>
            </w:pPr>
          </w:p>
        </w:tc>
        <w:tc>
          <w:tcPr>
            <w:tcW w:w="1089" w:type="dxa"/>
          </w:tcPr>
          <w:p>
            <w:pPr>
              <w:rPr>
                <w:rFonts w:ascii="宋体" w:hAnsi="宋体"/>
                <w:color w:val="auto"/>
                <w:highlight w:val="none"/>
              </w:rPr>
            </w:pPr>
          </w:p>
        </w:tc>
        <w:tc>
          <w:tcPr>
            <w:tcW w:w="2700" w:type="dxa"/>
          </w:tcPr>
          <w:p>
            <w:pPr>
              <w:rPr>
                <w:rFonts w:ascii="宋体" w:hAnsi="宋体"/>
                <w:color w:val="auto"/>
                <w:highlight w:val="none"/>
              </w:rPr>
            </w:pPr>
          </w:p>
        </w:tc>
        <w:tc>
          <w:tcPr>
            <w:tcW w:w="2520" w:type="dxa"/>
          </w:tcPr>
          <w:p>
            <w:pPr>
              <w:rPr>
                <w:rFonts w:ascii="宋体" w:hAnsi="宋体"/>
                <w:color w:val="auto"/>
                <w:highlight w:val="none"/>
              </w:rPr>
            </w:pPr>
          </w:p>
        </w:tc>
        <w:tc>
          <w:tcPr>
            <w:tcW w:w="1980" w:type="dxa"/>
          </w:tcPr>
          <w:p>
            <w:pPr>
              <w:rPr>
                <w:rFonts w:ascii="宋体"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exact"/>
          <w:jc w:val="center"/>
        </w:trPr>
        <w:tc>
          <w:tcPr>
            <w:tcW w:w="639" w:type="dxa"/>
          </w:tcPr>
          <w:p>
            <w:pPr>
              <w:rPr>
                <w:rFonts w:ascii="宋体" w:hAnsi="宋体"/>
                <w:color w:val="auto"/>
                <w:highlight w:val="none"/>
              </w:rPr>
            </w:pPr>
          </w:p>
        </w:tc>
        <w:tc>
          <w:tcPr>
            <w:tcW w:w="1089" w:type="dxa"/>
          </w:tcPr>
          <w:p>
            <w:pPr>
              <w:rPr>
                <w:rFonts w:ascii="宋体" w:hAnsi="宋体"/>
                <w:color w:val="auto"/>
                <w:highlight w:val="none"/>
              </w:rPr>
            </w:pPr>
          </w:p>
        </w:tc>
        <w:tc>
          <w:tcPr>
            <w:tcW w:w="2700" w:type="dxa"/>
          </w:tcPr>
          <w:p>
            <w:pPr>
              <w:rPr>
                <w:rFonts w:ascii="宋体" w:hAnsi="宋体"/>
                <w:color w:val="auto"/>
                <w:highlight w:val="none"/>
              </w:rPr>
            </w:pPr>
          </w:p>
        </w:tc>
        <w:tc>
          <w:tcPr>
            <w:tcW w:w="2520" w:type="dxa"/>
          </w:tcPr>
          <w:p>
            <w:pPr>
              <w:rPr>
                <w:rFonts w:ascii="宋体" w:hAnsi="宋体"/>
                <w:color w:val="auto"/>
                <w:highlight w:val="none"/>
              </w:rPr>
            </w:pPr>
          </w:p>
        </w:tc>
        <w:tc>
          <w:tcPr>
            <w:tcW w:w="1980" w:type="dxa"/>
          </w:tcPr>
          <w:p>
            <w:pPr>
              <w:rPr>
                <w:rFonts w:ascii="宋体"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exact"/>
          <w:jc w:val="center"/>
        </w:trPr>
        <w:tc>
          <w:tcPr>
            <w:tcW w:w="639" w:type="dxa"/>
          </w:tcPr>
          <w:p>
            <w:pPr>
              <w:rPr>
                <w:rFonts w:ascii="宋体" w:hAnsi="宋体"/>
                <w:color w:val="auto"/>
                <w:highlight w:val="none"/>
              </w:rPr>
            </w:pPr>
          </w:p>
        </w:tc>
        <w:tc>
          <w:tcPr>
            <w:tcW w:w="1089" w:type="dxa"/>
          </w:tcPr>
          <w:p>
            <w:pPr>
              <w:rPr>
                <w:rFonts w:ascii="宋体" w:hAnsi="宋体"/>
                <w:color w:val="auto"/>
                <w:highlight w:val="none"/>
              </w:rPr>
            </w:pPr>
          </w:p>
        </w:tc>
        <w:tc>
          <w:tcPr>
            <w:tcW w:w="2700" w:type="dxa"/>
          </w:tcPr>
          <w:p>
            <w:pPr>
              <w:rPr>
                <w:rFonts w:ascii="宋体" w:hAnsi="宋体"/>
                <w:color w:val="auto"/>
                <w:highlight w:val="none"/>
              </w:rPr>
            </w:pPr>
          </w:p>
        </w:tc>
        <w:tc>
          <w:tcPr>
            <w:tcW w:w="2520" w:type="dxa"/>
          </w:tcPr>
          <w:p>
            <w:pPr>
              <w:rPr>
                <w:rFonts w:ascii="宋体" w:hAnsi="宋体"/>
                <w:color w:val="auto"/>
                <w:highlight w:val="none"/>
              </w:rPr>
            </w:pPr>
          </w:p>
        </w:tc>
        <w:tc>
          <w:tcPr>
            <w:tcW w:w="1980" w:type="dxa"/>
          </w:tcPr>
          <w:p>
            <w:pPr>
              <w:rPr>
                <w:rFonts w:ascii="宋体"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exact"/>
          <w:jc w:val="center"/>
        </w:trPr>
        <w:tc>
          <w:tcPr>
            <w:tcW w:w="639" w:type="dxa"/>
          </w:tcPr>
          <w:p>
            <w:pPr>
              <w:rPr>
                <w:rFonts w:ascii="宋体" w:hAnsi="宋体"/>
                <w:color w:val="auto"/>
                <w:highlight w:val="none"/>
              </w:rPr>
            </w:pPr>
          </w:p>
        </w:tc>
        <w:tc>
          <w:tcPr>
            <w:tcW w:w="1089" w:type="dxa"/>
          </w:tcPr>
          <w:p>
            <w:pPr>
              <w:rPr>
                <w:rFonts w:ascii="宋体" w:hAnsi="宋体"/>
                <w:color w:val="auto"/>
                <w:highlight w:val="none"/>
              </w:rPr>
            </w:pPr>
          </w:p>
        </w:tc>
        <w:tc>
          <w:tcPr>
            <w:tcW w:w="2700" w:type="dxa"/>
          </w:tcPr>
          <w:p>
            <w:pPr>
              <w:rPr>
                <w:rFonts w:ascii="宋体" w:hAnsi="宋体"/>
                <w:color w:val="auto"/>
                <w:highlight w:val="none"/>
              </w:rPr>
            </w:pPr>
          </w:p>
        </w:tc>
        <w:tc>
          <w:tcPr>
            <w:tcW w:w="2520" w:type="dxa"/>
          </w:tcPr>
          <w:p>
            <w:pPr>
              <w:rPr>
                <w:rFonts w:ascii="宋体" w:hAnsi="宋体"/>
                <w:color w:val="auto"/>
                <w:highlight w:val="none"/>
              </w:rPr>
            </w:pPr>
          </w:p>
        </w:tc>
        <w:tc>
          <w:tcPr>
            <w:tcW w:w="1980" w:type="dxa"/>
          </w:tcPr>
          <w:p>
            <w:pPr>
              <w:rPr>
                <w:rFonts w:ascii="宋体"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exact"/>
          <w:jc w:val="center"/>
        </w:trPr>
        <w:tc>
          <w:tcPr>
            <w:tcW w:w="639" w:type="dxa"/>
          </w:tcPr>
          <w:p>
            <w:pPr>
              <w:rPr>
                <w:rFonts w:ascii="宋体" w:hAnsi="宋体"/>
                <w:color w:val="auto"/>
                <w:highlight w:val="none"/>
              </w:rPr>
            </w:pPr>
          </w:p>
        </w:tc>
        <w:tc>
          <w:tcPr>
            <w:tcW w:w="1089" w:type="dxa"/>
          </w:tcPr>
          <w:p>
            <w:pPr>
              <w:rPr>
                <w:rFonts w:ascii="宋体" w:hAnsi="宋体"/>
                <w:color w:val="auto"/>
                <w:highlight w:val="none"/>
              </w:rPr>
            </w:pPr>
          </w:p>
        </w:tc>
        <w:tc>
          <w:tcPr>
            <w:tcW w:w="2700" w:type="dxa"/>
          </w:tcPr>
          <w:p>
            <w:pPr>
              <w:rPr>
                <w:rFonts w:ascii="宋体" w:hAnsi="宋体"/>
                <w:color w:val="auto"/>
                <w:highlight w:val="none"/>
              </w:rPr>
            </w:pPr>
          </w:p>
        </w:tc>
        <w:tc>
          <w:tcPr>
            <w:tcW w:w="2520" w:type="dxa"/>
          </w:tcPr>
          <w:p>
            <w:pPr>
              <w:rPr>
                <w:rFonts w:ascii="宋体" w:hAnsi="宋体"/>
                <w:color w:val="auto"/>
                <w:highlight w:val="none"/>
              </w:rPr>
            </w:pPr>
          </w:p>
        </w:tc>
        <w:tc>
          <w:tcPr>
            <w:tcW w:w="1980" w:type="dxa"/>
          </w:tcPr>
          <w:p>
            <w:pPr>
              <w:rPr>
                <w:rFonts w:ascii="宋体" w:hAnsi="宋体"/>
                <w:color w:val="auto"/>
                <w:highlight w:val="none"/>
              </w:rPr>
            </w:pPr>
          </w:p>
        </w:tc>
      </w:tr>
    </w:tbl>
    <w:p>
      <w:pPr>
        <w:rPr>
          <w:rFonts w:ascii="宋体" w:hAnsi="宋体"/>
          <w:color w:val="auto"/>
          <w:sz w:val="28"/>
          <w:highlight w:val="none"/>
        </w:rPr>
      </w:pPr>
    </w:p>
    <w:p>
      <w:pPr>
        <w:pStyle w:val="53"/>
        <w:rPr>
          <w:rFonts w:ascii="宋体" w:hAnsi="宋体"/>
          <w:color w:val="auto"/>
          <w:sz w:val="32"/>
          <w:szCs w:val="32"/>
          <w:highlight w:val="none"/>
        </w:rPr>
      </w:pPr>
      <w:bookmarkStart w:id="756" w:name="_Toc289182819"/>
      <w:bookmarkStart w:id="757" w:name="_Toc289241538"/>
      <w:bookmarkStart w:id="758" w:name="_Toc338840264"/>
      <w:bookmarkStart w:id="759" w:name="_Toc288748130"/>
      <w:bookmarkStart w:id="760" w:name="_Toc338840512"/>
      <w:bookmarkStart w:id="761" w:name="_Toc289241361"/>
      <w:bookmarkStart w:id="762" w:name="_Toc289096745"/>
      <w:bookmarkStart w:id="763" w:name="_Toc289182441"/>
      <w:bookmarkStart w:id="764" w:name="_Toc338840473"/>
      <w:bookmarkStart w:id="765" w:name="_Toc289238790"/>
      <w:r>
        <w:rPr>
          <w:rFonts w:hint="eastAsia" w:ascii="宋体" w:hAnsi="宋体" w:cs="宋体"/>
          <w:color w:val="auto"/>
          <w:sz w:val="32"/>
          <w:szCs w:val="32"/>
          <w:highlight w:val="none"/>
        </w:rPr>
        <w:t>注：1、投标文件内容与招标文件技术、商务要求有偏差时，</w:t>
      </w:r>
      <w:r>
        <w:rPr>
          <w:rFonts w:hint="eastAsia" w:ascii="宋体" w:hAnsi="宋体"/>
          <w:color w:val="auto"/>
          <w:sz w:val="32"/>
          <w:szCs w:val="32"/>
          <w:highlight w:val="none"/>
        </w:rPr>
        <w:t>应在上表中分别列明，填写偏差说明（注明正偏差或负偏差情况），</w:t>
      </w:r>
      <w:r>
        <w:rPr>
          <w:rFonts w:ascii="宋体" w:hAnsi="宋体"/>
          <w:color w:val="auto"/>
          <w:sz w:val="32"/>
          <w:szCs w:val="32"/>
          <w:highlight w:val="none"/>
        </w:rPr>
        <w:t>保证除列出的偏差外</w:t>
      </w:r>
      <w:r>
        <w:rPr>
          <w:rFonts w:hint="eastAsia" w:ascii="宋体" w:hAnsi="宋体"/>
          <w:color w:val="auto"/>
          <w:sz w:val="32"/>
          <w:szCs w:val="32"/>
          <w:highlight w:val="none"/>
        </w:rPr>
        <w:t>无其他偏差</w:t>
      </w:r>
      <w:r>
        <w:rPr>
          <w:rFonts w:ascii="宋体" w:hAnsi="宋体"/>
          <w:color w:val="auto"/>
          <w:sz w:val="32"/>
          <w:szCs w:val="32"/>
          <w:highlight w:val="none"/>
        </w:rPr>
        <w:t>。</w:t>
      </w:r>
    </w:p>
    <w:p>
      <w:pPr>
        <w:ind w:firstLine="640" w:firstLineChars="200"/>
        <w:rPr>
          <w:rFonts w:ascii="宋体" w:hAnsi="宋体"/>
          <w:color w:val="auto"/>
          <w:sz w:val="32"/>
          <w:szCs w:val="32"/>
          <w:highlight w:val="none"/>
        </w:rPr>
      </w:pPr>
      <w:r>
        <w:rPr>
          <w:rFonts w:hint="eastAsia" w:ascii="宋体" w:hAnsi="宋体"/>
          <w:color w:val="auto"/>
          <w:sz w:val="32"/>
          <w:szCs w:val="32"/>
          <w:highlight w:val="none"/>
        </w:rPr>
        <w:t>2、无偏差时可不填列具体内容，只在“偏差说明”栏内注明“无偏差”。</w:t>
      </w:r>
    </w:p>
    <w:p>
      <w:pPr>
        <w:jc w:val="center"/>
        <w:rPr>
          <w:rFonts w:ascii="宋体" w:hAnsi="宋体"/>
          <w:b/>
          <w:color w:val="auto"/>
          <w:sz w:val="32"/>
          <w:szCs w:val="32"/>
          <w:highlight w:val="none"/>
        </w:rPr>
      </w:pPr>
      <w:r>
        <w:rPr>
          <w:rFonts w:ascii="宋体" w:hAnsi="宋体"/>
          <w:color w:val="auto"/>
          <w:sz w:val="32"/>
          <w:szCs w:val="32"/>
          <w:highlight w:val="none"/>
        </w:rPr>
        <w:br w:type="page"/>
      </w:r>
      <w:r>
        <w:rPr>
          <w:rFonts w:hint="eastAsia" w:ascii="宋体" w:hAnsi="宋体" w:cs="宋体"/>
          <w:b/>
          <w:color w:val="auto"/>
          <w:kern w:val="44"/>
          <w:sz w:val="44"/>
          <w:szCs w:val="44"/>
          <w:highlight w:val="none"/>
        </w:rPr>
        <w:t>六　备品备件及附送工具清单</w:t>
      </w:r>
      <w:bookmarkEnd w:id="756"/>
      <w:bookmarkEnd w:id="757"/>
      <w:bookmarkEnd w:id="758"/>
      <w:bookmarkEnd w:id="759"/>
      <w:bookmarkEnd w:id="760"/>
      <w:bookmarkEnd w:id="761"/>
      <w:bookmarkEnd w:id="762"/>
      <w:bookmarkEnd w:id="763"/>
      <w:bookmarkEnd w:id="764"/>
      <w:bookmarkEnd w:id="765"/>
    </w:p>
    <w:p>
      <w:pPr>
        <w:rPr>
          <w:rFonts w:ascii="宋体" w:hAnsi="宋体"/>
          <w:color w:val="auto"/>
          <w:highlight w:val="none"/>
        </w:rPr>
      </w:pPr>
      <w:r>
        <w:rPr>
          <w:rFonts w:hint="eastAsia" w:ascii="宋体" w:hAnsi="宋体"/>
          <w:color w:val="auto"/>
          <w:highlight w:val="none"/>
        </w:rPr>
        <w:t>　　　　　　　　　　　　　</w:t>
      </w:r>
    </w:p>
    <w:p>
      <w:pPr>
        <w:widowControl/>
        <w:spacing w:line="240" w:lineRule="atLeast"/>
        <w:jc w:val="left"/>
        <w:rPr>
          <w:rFonts w:ascii="宋体" w:hAnsi="宋体" w:cs="宋体"/>
          <w:color w:val="auto"/>
          <w:kern w:val="0"/>
          <w:sz w:val="32"/>
          <w:szCs w:val="32"/>
          <w:highlight w:val="none"/>
        </w:rPr>
      </w:pPr>
    </w:p>
    <w:p>
      <w:pPr>
        <w:widowControl/>
        <w:rPr>
          <w:rFonts w:ascii="宋体" w:hAnsi="宋体"/>
          <w:color w:val="auto"/>
          <w:sz w:val="32"/>
          <w:szCs w:val="32"/>
          <w:highlight w:val="none"/>
        </w:rPr>
      </w:pPr>
      <w:r>
        <w:rPr>
          <w:rFonts w:hint="eastAsia" w:ascii="宋体" w:hAnsi="宋体"/>
          <w:color w:val="auto"/>
          <w:kern w:val="0"/>
          <w:sz w:val="32"/>
          <w:szCs w:val="32"/>
          <w:highlight w:val="none"/>
        </w:rPr>
        <w:t>说明：如有附送专用工具和附送备品备件，此处应列明名称、数量、单价、生产商等情况。</w:t>
      </w:r>
    </w:p>
    <w:p>
      <w:pPr>
        <w:widowControl/>
        <w:ind w:firstLine="640" w:firstLineChars="200"/>
        <w:rPr>
          <w:rFonts w:ascii="宋体" w:hAnsi="宋体"/>
          <w:color w:val="auto"/>
          <w:kern w:val="0"/>
          <w:sz w:val="32"/>
          <w:szCs w:val="32"/>
          <w:highlight w:val="none"/>
        </w:rPr>
      </w:pPr>
    </w:p>
    <w:p>
      <w:pPr>
        <w:ind w:firstLine="640" w:firstLineChars="200"/>
        <w:rPr>
          <w:rFonts w:ascii="宋体" w:hAnsi="宋体"/>
          <w:color w:val="auto"/>
          <w:sz w:val="32"/>
          <w:szCs w:val="32"/>
          <w:highlight w:val="none"/>
        </w:rPr>
      </w:pPr>
    </w:p>
    <w:p>
      <w:pPr>
        <w:ind w:firstLine="640" w:firstLineChars="200"/>
        <w:rPr>
          <w:rFonts w:ascii="宋体" w:hAnsi="宋体"/>
          <w:color w:val="auto"/>
          <w:sz w:val="32"/>
          <w:szCs w:val="32"/>
          <w:highlight w:val="none"/>
        </w:rPr>
      </w:pPr>
    </w:p>
    <w:p>
      <w:pPr>
        <w:rPr>
          <w:rFonts w:ascii="宋体" w:hAnsi="宋体"/>
          <w:bCs/>
          <w:color w:val="auto"/>
          <w:sz w:val="32"/>
          <w:szCs w:val="32"/>
          <w:highlight w:val="none"/>
        </w:rPr>
      </w:pPr>
    </w:p>
    <w:p>
      <w:pPr>
        <w:rPr>
          <w:rFonts w:ascii="宋体" w:hAnsi="宋体"/>
          <w:bCs/>
          <w:color w:val="auto"/>
          <w:sz w:val="32"/>
          <w:szCs w:val="32"/>
          <w:highlight w:val="none"/>
        </w:rPr>
      </w:pPr>
    </w:p>
    <w:p>
      <w:pPr>
        <w:rPr>
          <w:rFonts w:ascii="宋体" w:hAnsi="宋体"/>
          <w:bCs/>
          <w:color w:val="auto"/>
          <w:sz w:val="32"/>
          <w:szCs w:val="32"/>
          <w:highlight w:val="none"/>
        </w:rPr>
      </w:pPr>
    </w:p>
    <w:p>
      <w:pPr>
        <w:rPr>
          <w:rFonts w:ascii="宋体" w:hAnsi="宋体"/>
          <w:bCs/>
          <w:color w:val="auto"/>
          <w:sz w:val="32"/>
          <w:szCs w:val="32"/>
          <w:highlight w:val="none"/>
        </w:rPr>
      </w:pPr>
      <w:bookmarkStart w:id="766" w:name="_Toc288115070"/>
      <w:bookmarkStart w:id="767" w:name="_Toc288115095"/>
    </w:p>
    <w:bookmarkEnd w:id="766"/>
    <w:bookmarkEnd w:id="767"/>
    <w:p>
      <w:pPr>
        <w:jc w:val="center"/>
        <w:rPr>
          <w:rFonts w:ascii="宋体" w:hAnsi="宋体"/>
          <w:b/>
          <w:color w:val="auto"/>
          <w:kern w:val="44"/>
          <w:sz w:val="44"/>
          <w:szCs w:val="44"/>
          <w:highlight w:val="none"/>
        </w:rPr>
      </w:pPr>
      <w:bookmarkStart w:id="768" w:name="_Toc289238794"/>
      <w:bookmarkStart w:id="769" w:name="_Toc289241542"/>
      <w:bookmarkStart w:id="770" w:name="_Toc288748134"/>
      <w:bookmarkStart w:id="771" w:name="_Toc289182445"/>
      <w:bookmarkStart w:id="772" w:name="_Toc289241365"/>
      <w:bookmarkStart w:id="773" w:name="_Toc289096749"/>
      <w:bookmarkStart w:id="774" w:name="_Toc338840474"/>
      <w:bookmarkStart w:id="775" w:name="_Toc338840265"/>
      <w:bookmarkStart w:id="776" w:name="_Toc289182823"/>
      <w:bookmarkStart w:id="777" w:name="_Toc338840513"/>
      <w:r>
        <w:rPr>
          <w:rFonts w:hint="eastAsia" w:ascii="宋体" w:hAnsi="宋体"/>
          <w:b/>
          <w:color w:val="auto"/>
          <w:kern w:val="44"/>
          <w:sz w:val="44"/>
          <w:szCs w:val="44"/>
          <w:highlight w:val="none"/>
        </w:rPr>
        <w:br w:type="page"/>
      </w:r>
      <w:r>
        <w:rPr>
          <w:rFonts w:hint="eastAsia" w:ascii="宋体" w:hAnsi="宋体"/>
          <w:b/>
          <w:color w:val="auto"/>
          <w:kern w:val="44"/>
          <w:sz w:val="44"/>
          <w:szCs w:val="44"/>
          <w:highlight w:val="none"/>
        </w:rPr>
        <w:t xml:space="preserve">七  </w:t>
      </w:r>
      <w:bookmarkEnd w:id="768"/>
      <w:bookmarkEnd w:id="769"/>
      <w:bookmarkEnd w:id="770"/>
      <w:bookmarkEnd w:id="771"/>
      <w:bookmarkEnd w:id="772"/>
      <w:bookmarkEnd w:id="773"/>
      <w:bookmarkEnd w:id="774"/>
      <w:bookmarkEnd w:id="775"/>
      <w:bookmarkEnd w:id="776"/>
      <w:bookmarkEnd w:id="777"/>
      <w:r>
        <w:rPr>
          <w:rFonts w:hint="eastAsia" w:ascii="宋体" w:hAnsi="宋体"/>
          <w:b/>
          <w:color w:val="auto"/>
          <w:kern w:val="44"/>
          <w:sz w:val="44"/>
          <w:szCs w:val="44"/>
          <w:highlight w:val="none"/>
        </w:rPr>
        <w:t>业绩合同</w:t>
      </w:r>
    </w:p>
    <w:p>
      <w:pPr>
        <w:rPr>
          <w:rFonts w:ascii="宋体" w:hAnsi="宋体"/>
          <w:b/>
          <w:color w:val="auto"/>
          <w:kern w:val="44"/>
          <w:sz w:val="44"/>
          <w:szCs w:val="44"/>
          <w:highlight w:val="none"/>
        </w:rPr>
      </w:pPr>
      <w:r>
        <w:rPr>
          <w:rFonts w:hint="eastAsia" w:ascii="宋体" w:hAnsi="宋体"/>
          <w:b/>
          <w:color w:val="auto"/>
          <w:kern w:val="44"/>
          <w:sz w:val="44"/>
          <w:szCs w:val="44"/>
          <w:highlight w:val="none"/>
        </w:rPr>
        <w:br w:type="page"/>
      </w:r>
    </w:p>
    <w:p>
      <w:pPr>
        <w:jc w:val="center"/>
        <w:rPr>
          <w:rFonts w:ascii="宋体" w:hAnsi="宋体"/>
          <w:b/>
          <w:color w:val="auto"/>
          <w:kern w:val="44"/>
          <w:sz w:val="44"/>
          <w:szCs w:val="44"/>
          <w:highlight w:val="none"/>
        </w:rPr>
      </w:pPr>
    </w:p>
    <w:p>
      <w:pPr>
        <w:jc w:val="center"/>
        <w:rPr>
          <w:rFonts w:hint="eastAsia" w:ascii="宋体" w:hAnsi="宋体"/>
          <w:b/>
          <w:color w:val="auto"/>
          <w:kern w:val="44"/>
          <w:sz w:val="44"/>
          <w:szCs w:val="44"/>
          <w:highlight w:val="none"/>
        </w:rPr>
      </w:pPr>
      <w:r>
        <w:rPr>
          <w:rFonts w:hint="eastAsia" w:ascii="宋体" w:hAnsi="宋体"/>
          <w:b/>
          <w:color w:val="auto"/>
          <w:kern w:val="44"/>
          <w:sz w:val="44"/>
          <w:szCs w:val="44"/>
          <w:highlight w:val="none"/>
        </w:rPr>
        <w:t>八  企业实力</w:t>
      </w:r>
    </w:p>
    <w:p>
      <w:pPr>
        <w:pStyle w:val="2"/>
        <w:rPr>
          <w:rFonts w:hint="eastAsia" w:ascii="宋体" w:hAnsi="宋体"/>
          <w:b/>
          <w:color w:val="auto"/>
          <w:kern w:val="44"/>
          <w:sz w:val="44"/>
          <w:szCs w:val="44"/>
          <w:highlight w:val="none"/>
        </w:rPr>
      </w:pPr>
    </w:p>
    <w:p>
      <w:pPr>
        <w:pStyle w:val="5"/>
        <w:rPr>
          <w:rFonts w:hint="eastAsia" w:ascii="宋体" w:hAnsi="宋体"/>
          <w:b/>
          <w:color w:val="auto"/>
          <w:kern w:val="44"/>
          <w:sz w:val="44"/>
          <w:szCs w:val="44"/>
          <w:highlight w:val="none"/>
        </w:rPr>
      </w:pPr>
    </w:p>
    <w:p>
      <w:pPr>
        <w:rPr>
          <w:rFonts w:hint="eastAsia"/>
          <w:color w:val="auto"/>
          <w:highlight w:val="none"/>
        </w:rPr>
      </w:pPr>
      <w:r>
        <w:rPr>
          <w:rFonts w:hint="eastAsia"/>
          <w:color w:val="auto"/>
          <w:highlight w:val="none"/>
        </w:rPr>
        <w:br w:type="page"/>
      </w:r>
    </w:p>
    <w:p>
      <w:pPr>
        <w:pStyle w:val="2"/>
        <w:rPr>
          <w:rFonts w:hint="eastAsia"/>
          <w:color w:val="auto"/>
          <w:highlight w:val="none"/>
        </w:rPr>
      </w:pPr>
    </w:p>
    <w:p>
      <w:pPr>
        <w:jc w:val="center"/>
        <w:rPr>
          <w:rFonts w:hint="eastAsia" w:ascii="宋体" w:hAnsi="宋体"/>
          <w:b/>
          <w:color w:val="auto"/>
          <w:kern w:val="44"/>
          <w:sz w:val="44"/>
          <w:szCs w:val="44"/>
          <w:highlight w:val="none"/>
        </w:rPr>
      </w:pPr>
      <w:r>
        <w:rPr>
          <w:rFonts w:hint="eastAsia" w:ascii="宋体" w:hAnsi="宋体"/>
          <w:b/>
          <w:color w:val="auto"/>
          <w:kern w:val="44"/>
          <w:sz w:val="44"/>
          <w:szCs w:val="44"/>
          <w:highlight w:val="none"/>
        </w:rPr>
        <w:t>九</w:t>
      </w:r>
      <w:r>
        <w:rPr>
          <w:rFonts w:hint="eastAsia" w:ascii="宋体" w:hAnsi="宋体"/>
          <w:b/>
          <w:color w:val="auto"/>
          <w:kern w:val="44"/>
          <w:sz w:val="44"/>
          <w:szCs w:val="44"/>
          <w:highlight w:val="none"/>
          <w:lang w:val="en-US" w:eastAsia="zh-CN"/>
        </w:rPr>
        <w:t xml:space="preserve">  </w:t>
      </w:r>
      <w:r>
        <w:rPr>
          <w:rFonts w:hint="eastAsia" w:ascii="宋体" w:hAnsi="宋体"/>
          <w:b/>
          <w:color w:val="auto"/>
          <w:kern w:val="44"/>
          <w:sz w:val="44"/>
          <w:szCs w:val="44"/>
          <w:highlight w:val="none"/>
        </w:rPr>
        <w:t>服务方案</w:t>
      </w:r>
    </w:p>
    <w:p>
      <w:pPr>
        <w:pStyle w:val="2"/>
        <w:rPr>
          <w:rFonts w:hint="eastAsia" w:ascii="宋体" w:hAnsi="宋体"/>
          <w:b/>
          <w:color w:val="auto"/>
          <w:kern w:val="44"/>
          <w:sz w:val="44"/>
          <w:szCs w:val="44"/>
          <w:highlight w:val="none"/>
        </w:rPr>
      </w:pPr>
    </w:p>
    <w:p>
      <w:pPr>
        <w:rPr>
          <w:rFonts w:hint="eastAsia"/>
          <w:color w:val="auto"/>
          <w:highlight w:val="none"/>
        </w:rPr>
      </w:pPr>
      <w:r>
        <w:rPr>
          <w:rFonts w:hint="eastAsia"/>
          <w:color w:val="auto"/>
          <w:highlight w:val="none"/>
        </w:rPr>
        <w:br w:type="page"/>
      </w:r>
    </w:p>
    <w:p>
      <w:pPr>
        <w:rPr>
          <w:rFonts w:hint="eastAsia"/>
          <w:color w:val="auto"/>
          <w:highlight w:val="none"/>
        </w:rPr>
      </w:pPr>
    </w:p>
    <w:p>
      <w:pPr>
        <w:jc w:val="center"/>
        <w:rPr>
          <w:rFonts w:ascii="宋体" w:hAnsi="宋体"/>
          <w:b/>
          <w:color w:val="auto"/>
          <w:kern w:val="44"/>
          <w:sz w:val="44"/>
          <w:szCs w:val="44"/>
          <w:highlight w:val="none"/>
        </w:rPr>
      </w:pPr>
      <w:r>
        <w:rPr>
          <w:rFonts w:hint="eastAsia" w:ascii="宋体" w:hAnsi="宋体"/>
          <w:b/>
          <w:color w:val="auto"/>
          <w:kern w:val="44"/>
          <w:sz w:val="44"/>
          <w:szCs w:val="44"/>
          <w:highlight w:val="none"/>
        </w:rPr>
        <w:t>十</w:t>
      </w:r>
      <w:r>
        <w:rPr>
          <w:rFonts w:hint="eastAsia" w:ascii="宋体" w:hAnsi="宋体"/>
          <w:b/>
          <w:color w:val="auto"/>
          <w:kern w:val="44"/>
          <w:sz w:val="44"/>
          <w:szCs w:val="44"/>
          <w:highlight w:val="none"/>
          <w:lang w:val="en-US" w:eastAsia="zh-CN"/>
        </w:rPr>
        <w:t xml:space="preserve">  </w:t>
      </w:r>
      <w:r>
        <w:rPr>
          <w:rFonts w:hint="eastAsia" w:ascii="宋体" w:hAnsi="宋体"/>
          <w:b/>
          <w:color w:val="auto"/>
          <w:kern w:val="44"/>
          <w:sz w:val="44"/>
          <w:szCs w:val="44"/>
          <w:highlight w:val="none"/>
        </w:rPr>
        <w:t>拟投入人员</w:t>
      </w:r>
    </w:p>
    <w:p>
      <w:pPr>
        <w:jc w:val="center"/>
        <w:rPr>
          <w:rFonts w:ascii="宋体" w:hAnsi="宋体"/>
          <w:b/>
          <w:color w:val="auto"/>
          <w:kern w:val="44"/>
          <w:sz w:val="44"/>
          <w:szCs w:val="44"/>
          <w:highlight w:val="none"/>
        </w:rPr>
      </w:pPr>
    </w:p>
    <w:p>
      <w:pPr>
        <w:rPr>
          <w:rFonts w:ascii="宋体" w:hAnsi="宋体"/>
          <w:b/>
          <w:color w:val="auto"/>
          <w:kern w:val="44"/>
          <w:sz w:val="44"/>
          <w:szCs w:val="44"/>
          <w:highlight w:val="none"/>
        </w:rPr>
      </w:pPr>
      <w:r>
        <w:rPr>
          <w:rFonts w:hint="eastAsia" w:ascii="宋体" w:hAnsi="宋体"/>
          <w:b/>
          <w:color w:val="auto"/>
          <w:kern w:val="44"/>
          <w:sz w:val="44"/>
          <w:szCs w:val="44"/>
          <w:highlight w:val="none"/>
        </w:rPr>
        <w:br w:type="page"/>
      </w:r>
    </w:p>
    <w:p>
      <w:pPr>
        <w:jc w:val="center"/>
        <w:rPr>
          <w:rFonts w:ascii="宋体" w:hAnsi="宋体" w:cs="宋体"/>
          <w:b/>
          <w:color w:val="auto"/>
          <w:kern w:val="44"/>
          <w:sz w:val="32"/>
          <w:szCs w:val="32"/>
          <w:highlight w:val="none"/>
        </w:rPr>
      </w:pPr>
      <w:r>
        <w:rPr>
          <w:rFonts w:hint="eastAsia" w:ascii="宋体" w:hAnsi="宋体" w:cs="宋体"/>
          <w:b/>
          <w:color w:val="auto"/>
          <w:kern w:val="44"/>
          <w:sz w:val="44"/>
          <w:szCs w:val="44"/>
          <w:highlight w:val="none"/>
        </w:rPr>
        <w:t>十</w:t>
      </w:r>
      <w:r>
        <w:rPr>
          <w:rFonts w:hint="eastAsia" w:ascii="宋体" w:hAnsi="宋体" w:cs="宋体"/>
          <w:b/>
          <w:color w:val="auto"/>
          <w:kern w:val="44"/>
          <w:sz w:val="44"/>
          <w:szCs w:val="44"/>
          <w:highlight w:val="none"/>
          <w:lang w:val="en-US" w:eastAsia="zh-CN"/>
        </w:rPr>
        <w:t>一</w:t>
      </w:r>
      <w:r>
        <w:rPr>
          <w:rFonts w:hint="eastAsia" w:ascii="宋体" w:hAnsi="宋体" w:cs="宋体"/>
          <w:b/>
          <w:color w:val="auto"/>
          <w:kern w:val="44"/>
          <w:sz w:val="44"/>
          <w:szCs w:val="44"/>
          <w:highlight w:val="none"/>
        </w:rPr>
        <w:t xml:space="preserve">  </w:t>
      </w:r>
      <w:r>
        <w:rPr>
          <w:rFonts w:hint="eastAsia" w:ascii="宋体" w:hAnsi="宋体"/>
          <w:b/>
          <w:color w:val="auto"/>
          <w:kern w:val="44"/>
          <w:sz w:val="44"/>
          <w:szCs w:val="44"/>
          <w:highlight w:val="none"/>
        </w:rPr>
        <w:t>相关证明材料</w:t>
      </w:r>
    </w:p>
    <w:p>
      <w:pPr>
        <w:widowControl/>
        <w:snapToGrid w:val="0"/>
        <w:spacing w:line="480" w:lineRule="exact"/>
        <w:ind w:left="420" w:leftChars="200" w:firstLine="160" w:firstLineChars="50"/>
        <w:jc w:val="left"/>
        <w:rPr>
          <w:rFonts w:ascii="宋体" w:hAnsi="宋体"/>
          <w:color w:val="auto"/>
          <w:sz w:val="32"/>
          <w:szCs w:val="32"/>
          <w:highlight w:val="none"/>
        </w:rPr>
      </w:pPr>
    </w:p>
    <w:p>
      <w:pPr>
        <w:widowControl/>
        <w:tabs>
          <w:tab w:val="left" w:pos="1571"/>
        </w:tabs>
        <w:snapToGrid w:val="0"/>
        <w:spacing w:line="480" w:lineRule="exact"/>
        <w:ind w:firstLine="640" w:firstLineChars="200"/>
        <w:jc w:val="left"/>
        <w:rPr>
          <w:rFonts w:ascii="宋体" w:hAnsi="宋体"/>
          <w:color w:val="auto"/>
          <w:kern w:val="0"/>
          <w:sz w:val="32"/>
          <w:szCs w:val="32"/>
          <w:highlight w:val="none"/>
        </w:rPr>
      </w:pPr>
    </w:p>
    <w:p>
      <w:pPr>
        <w:spacing w:line="480" w:lineRule="exact"/>
        <w:ind w:firstLine="640" w:firstLineChars="200"/>
        <w:rPr>
          <w:rFonts w:ascii="宋体" w:hAnsi="宋体"/>
          <w:color w:val="auto"/>
          <w:sz w:val="32"/>
          <w:szCs w:val="32"/>
          <w:highlight w:val="none"/>
        </w:rPr>
      </w:pPr>
      <w:r>
        <w:rPr>
          <w:rFonts w:hint="eastAsia" w:ascii="宋体" w:hAnsi="宋体"/>
          <w:color w:val="auto"/>
          <w:sz w:val="32"/>
          <w:szCs w:val="32"/>
          <w:highlight w:val="none"/>
        </w:rPr>
        <w:t>1、供应商结合项目要求和自身情况提供相关证明材料。</w:t>
      </w:r>
    </w:p>
    <w:p>
      <w:pPr>
        <w:spacing w:line="480" w:lineRule="exact"/>
        <w:ind w:firstLine="640" w:firstLineChars="200"/>
        <w:rPr>
          <w:rFonts w:ascii="宋体" w:hAnsi="宋体"/>
          <w:color w:val="auto"/>
          <w:sz w:val="32"/>
          <w:szCs w:val="32"/>
          <w:highlight w:val="none"/>
        </w:rPr>
      </w:pPr>
    </w:p>
    <w:p>
      <w:pPr>
        <w:spacing w:line="480" w:lineRule="exact"/>
        <w:ind w:firstLine="640" w:firstLineChars="200"/>
        <w:rPr>
          <w:rFonts w:ascii="宋体" w:hAnsi="宋体"/>
          <w:color w:val="auto"/>
          <w:sz w:val="32"/>
          <w:szCs w:val="32"/>
          <w:highlight w:val="none"/>
        </w:rPr>
      </w:pPr>
      <w:r>
        <w:rPr>
          <w:rFonts w:hint="eastAsia" w:ascii="宋体" w:hAnsi="宋体"/>
          <w:color w:val="auto"/>
          <w:sz w:val="32"/>
          <w:szCs w:val="32"/>
          <w:highlight w:val="none"/>
        </w:rPr>
        <w:t>2、中小微企业相关材料（格式见附件）：</w:t>
      </w:r>
    </w:p>
    <w:p>
      <w:pPr>
        <w:spacing w:line="480" w:lineRule="exact"/>
        <w:ind w:firstLine="640" w:firstLineChars="200"/>
        <w:rPr>
          <w:rFonts w:ascii="宋体" w:hAnsi="宋体"/>
          <w:color w:val="auto"/>
          <w:sz w:val="32"/>
          <w:szCs w:val="32"/>
          <w:highlight w:val="none"/>
        </w:rPr>
      </w:pPr>
      <w:r>
        <w:rPr>
          <w:rFonts w:hint="eastAsia" w:ascii="宋体" w:hAnsi="宋体"/>
          <w:color w:val="auto"/>
          <w:sz w:val="32"/>
          <w:szCs w:val="32"/>
          <w:highlight w:val="none"/>
        </w:rPr>
        <w:t>只面向中小微企业采购项目。中型、小型、微型企业须在“三　供应商基本情况和资格证明材料”处按要求提供《中小企业声明函》[若为货物类采购项目，其全部标的（产品）应均为中型、小型、微型企业生产，并在声明函中分别列明与“投标内容及报价明细表”中对应的每一标的（产品）及其生产制造商情况]，作为资格审查内容。</w:t>
      </w:r>
    </w:p>
    <w:p>
      <w:pPr>
        <w:spacing w:line="480" w:lineRule="exact"/>
        <w:ind w:firstLine="640" w:firstLineChars="200"/>
        <w:rPr>
          <w:rFonts w:ascii="宋体" w:hAnsi="宋体"/>
          <w:color w:val="auto"/>
          <w:sz w:val="32"/>
          <w:szCs w:val="32"/>
          <w:highlight w:val="none"/>
        </w:rPr>
      </w:pPr>
      <w:r>
        <w:rPr>
          <w:rFonts w:hint="eastAsia" w:ascii="宋体" w:hAnsi="宋体"/>
          <w:color w:val="auto"/>
          <w:sz w:val="32"/>
          <w:szCs w:val="32"/>
          <w:highlight w:val="none"/>
        </w:rPr>
        <w:t>非专门面向中小微企业采购项目。小型、微型企业按要求提供《中小企业声明函》的[若为货物类采购项目，其全部标的（产品）应均为小型、微型企业生产，并在声明函中分别列明与“投标内容及报价明细表”中对应的每一标的（产品）及其生产制造商情况]，符合要求者在评标时给予价格扣除。</w:t>
      </w:r>
    </w:p>
    <w:p>
      <w:pPr>
        <w:spacing w:line="480" w:lineRule="exact"/>
        <w:ind w:firstLine="640" w:firstLineChars="200"/>
        <w:rPr>
          <w:rFonts w:ascii="宋体" w:hAnsi="宋体"/>
          <w:color w:val="auto"/>
          <w:sz w:val="32"/>
          <w:szCs w:val="32"/>
          <w:highlight w:val="none"/>
        </w:rPr>
      </w:pPr>
      <w:r>
        <w:rPr>
          <w:rFonts w:hint="eastAsia" w:ascii="宋体" w:hAnsi="宋体"/>
          <w:color w:val="auto"/>
          <w:sz w:val="32"/>
          <w:szCs w:val="32"/>
          <w:highlight w:val="none"/>
        </w:rPr>
        <w:t>监狱企业、残疾人福利性单位提供符合要求的《监狱企业证明文件》或《残疾人福利性单位声明函》，视同小型、微型企业。多重身份者不重复计算。</w:t>
      </w:r>
    </w:p>
    <w:p>
      <w:pPr>
        <w:spacing w:before="120" w:beforeLines="50" w:after="120" w:afterLines="50"/>
        <w:ind w:firstLine="630" w:firstLineChars="196"/>
        <w:rPr>
          <w:rFonts w:ascii="宋体" w:hAnsi="宋体"/>
          <w:b/>
          <w:color w:val="auto"/>
          <w:kern w:val="44"/>
          <w:sz w:val="32"/>
          <w:szCs w:val="32"/>
          <w:highlight w:val="none"/>
        </w:rPr>
      </w:pPr>
      <w:r>
        <w:rPr>
          <w:rFonts w:hint="eastAsia"/>
          <w:b/>
          <w:color w:val="auto"/>
          <w:kern w:val="44"/>
          <w:sz w:val="32"/>
          <w:szCs w:val="32"/>
          <w:highlight w:val="none"/>
        </w:rPr>
        <w:br w:type="page"/>
      </w:r>
      <w:r>
        <w:rPr>
          <w:rFonts w:hint="eastAsia" w:ascii="宋体" w:hAnsi="宋体"/>
          <w:b/>
          <w:color w:val="auto"/>
          <w:kern w:val="44"/>
          <w:sz w:val="32"/>
          <w:szCs w:val="32"/>
          <w:highlight w:val="none"/>
        </w:rPr>
        <w:t>附件1</w:t>
      </w:r>
      <w:r>
        <w:rPr>
          <w:rFonts w:hint="eastAsia" w:ascii="宋体" w:hAnsi="宋体"/>
          <w:b/>
          <w:color w:val="auto"/>
          <w:sz w:val="28"/>
          <w:szCs w:val="28"/>
          <w:highlight w:val="none"/>
        </w:rPr>
        <w:t>（符合政策要求，并申请按小型微型企业投标者提供）</w:t>
      </w:r>
      <w:r>
        <w:rPr>
          <w:rFonts w:hint="eastAsia" w:ascii="宋体" w:hAnsi="宋体"/>
          <w:b/>
          <w:color w:val="auto"/>
          <w:kern w:val="44"/>
          <w:sz w:val="28"/>
          <w:szCs w:val="28"/>
          <w:highlight w:val="none"/>
        </w:rPr>
        <w:t>：</w:t>
      </w:r>
    </w:p>
    <w:p>
      <w:pPr>
        <w:pStyle w:val="6"/>
        <w:spacing w:after="340" w:line="360" w:lineRule="auto"/>
        <w:jc w:val="center"/>
        <w:rPr>
          <w:rFonts w:ascii="宋体" w:hAnsi="宋体"/>
          <w:bCs w:val="0"/>
          <w:color w:val="auto"/>
          <w:kern w:val="2"/>
          <w:sz w:val="36"/>
          <w:szCs w:val="36"/>
          <w:highlight w:val="none"/>
        </w:rPr>
      </w:pPr>
      <w:bookmarkStart w:id="778" w:name="_Toc28255"/>
      <w:bookmarkStart w:id="779" w:name="_Toc16214"/>
      <w:r>
        <w:rPr>
          <w:rFonts w:hint="eastAsia" w:ascii="宋体" w:hAnsi="宋体"/>
          <w:bCs w:val="0"/>
          <w:color w:val="auto"/>
          <w:kern w:val="2"/>
          <w:sz w:val="36"/>
          <w:szCs w:val="36"/>
          <w:highlight w:val="none"/>
        </w:rPr>
        <w:t>中小企业声明函（工程、服务）</w:t>
      </w:r>
      <w:bookmarkEnd w:id="778"/>
      <w:bookmarkEnd w:id="779"/>
    </w:p>
    <w:p>
      <w:pPr>
        <w:spacing w:before="120" w:beforeLines="50" w:after="120" w:afterLines="50" w:line="440" w:lineRule="exact"/>
        <w:ind w:firstLine="600" w:firstLineChars="200"/>
        <w:jc w:val="left"/>
        <w:rPr>
          <w:rFonts w:ascii="宋体" w:hAnsi="宋体"/>
          <w:color w:val="auto"/>
          <w:sz w:val="30"/>
          <w:szCs w:val="30"/>
          <w:highlight w:val="none"/>
        </w:rPr>
      </w:pPr>
      <w:r>
        <w:rPr>
          <w:rFonts w:hint="eastAsia" w:ascii="宋体" w:hAnsi="宋体"/>
          <w:color w:val="auto"/>
          <w:sz w:val="30"/>
          <w:szCs w:val="30"/>
          <w:highlight w:val="none"/>
        </w:rPr>
        <w:t>本公司（联合体）郑重声明，根据《政府采购促进中小企业发展管理办法》（财库﹝2020﹞46 号）的规定，本公司（联合体）参加</w:t>
      </w:r>
      <w:r>
        <w:rPr>
          <w:rFonts w:hint="eastAsia" w:ascii="宋体" w:hAnsi="宋体"/>
          <w:i/>
          <w:iCs/>
          <w:color w:val="auto"/>
          <w:sz w:val="30"/>
          <w:szCs w:val="30"/>
          <w:highlight w:val="none"/>
          <w:u w:val="single"/>
        </w:rPr>
        <w:t>（单位名称）</w:t>
      </w:r>
      <w:r>
        <w:rPr>
          <w:rFonts w:hint="eastAsia" w:ascii="宋体" w:hAnsi="宋体"/>
          <w:color w:val="auto"/>
          <w:sz w:val="30"/>
          <w:szCs w:val="30"/>
          <w:highlight w:val="none"/>
        </w:rPr>
        <w:t>的</w:t>
      </w:r>
      <w:r>
        <w:rPr>
          <w:rFonts w:hint="eastAsia" w:ascii="宋体" w:hAnsi="宋体"/>
          <w:i/>
          <w:iCs/>
          <w:color w:val="auto"/>
          <w:sz w:val="30"/>
          <w:szCs w:val="30"/>
          <w:highlight w:val="none"/>
          <w:u w:val="single"/>
        </w:rPr>
        <w:t>（项目名称）</w:t>
      </w:r>
      <w:r>
        <w:rPr>
          <w:rFonts w:hint="eastAsia" w:ascii="宋体" w:hAnsi="宋体"/>
          <w:color w:val="auto"/>
          <w:sz w:val="30"/>
          <w:szCs w:val="30"/>
          <w:highlight w:val="none"/>
        </w:rPr>
        <w:t>采购活动，工程的施工单位全部为符合政策要求的中小企业（或者：服务全部由符合政策要求的中小企业承接）。相关企业（含联合体中的中小企业、签订分包意向协议的中小企业）的具体情况如下：</w:t>
      </w:r>
    </w:p>
    <w:p>
      <w:pPr>
        <w:spacing w:before="120" w:beforeLines="50" w:after="120" w:afterLines="50" w:line="440" w:lineRule="exact"/>
        <w:ind w:firstLine="900" w:firstLineChars="300"/>
        <w:jc w:val="left"/>
        <w:rPr>
          <w:rFonts w:ascii="宋体" w:hAnsi="宋体"/>
          <w:color w:val="auto"/>
          <w:sz w:val="30"/>
          <w:szCs w:val="30"/>
          <w:highlight w:val="none"/>
        </w:rPr>
      </w:pPr>
      <w:r>
        <w:rPr>
          <w:rFonts w:hint="eastAsia" w:ascii="宋体" w:hAnsi="宋体"/>
          <w:i/>
          <w:iCs/>
          <w:color w:val="auto"/>
          <w:sz w:val="30"/>
          <w:szCs w:val="30"/>
          <w:highlight w:val="none"/>
          <w:u w:val="single"/>
        </w:rPr>
        <w:t xml:space="preserve">    （标的名称）</w:t>
      </w:r>
      <w:r>
        <w:rPr>
          <w:rFonts w:hint="eastAsia" w:ascii="宋体" w:hAnsi="宋体"/>
          <w:color w:val="auto"/>
          <w:sz w:val="30"/>
          <w:szCs w:val="30"/>
          <w:highlight w:val="none"/>
        </w:rPr>
        <w:t>，</w:t>
      </w:r>
      <w:r>
        <w:rPr>
          <w:rFonts w:hint="eastAsia" w:ascii="宋体" w:hAnsi="宋体" w:eastAsia="Calibri"/>
          <w:color w:val="auto"/>
          <w:sz w:val="30"/>
          <w:szCs w:val="30"/>
          <w:highlight w:val="none"/>
        </w:rPr>
        <w:t>属于</w:t>
      </w:r>
      <w:r>
        <w:rPr>
          <w:rFonts w:hint="eastAsia" w:ascii="宋体" w:hAnsi="宋体"/>
          <w:color w:val="auto"/>
          <w:sz w:val="30"/>
          <w:szCs w:val="30"/>
          <w:highlight w:val="none"/>
          <w:u w:val="single"/>
        </w:rPr>
        <w:t xml:space="preserve">              </w:t>
      </w:r>
      <w:r>
        <w:rPr>
          <w:rFonts w:hint="eastAsia" w:ascii="宋体" w:hAnsi="宋体" w:eastAsia="Calibri"/>
          <w:color w:val="auto"/>
          <w:sz w:val="30"/>
          <w:szCs w:val="30"/>
          <w:highlight w:val="none"/>
        </w:rPr>
        <w:t>行业</w:t>
      </w:r>
      <w:r>
        <w:rPr>
          <w:rFonts w:hint="eastAsia" w:ascii="宋体" w:hAnsi="宋体"/>
          <w:color w:val="auto"/>
          <w:sz w:val="30"/>
          <w:szCs w:val="30"/>
          <w:highlight w:val="none"/>
        </w:rPr>
        <w:t>；承建（承接）企业为</w:t>
      </w:r>
      <w:r>
        <w:rPr>
          <w:rFonts w:hint="eastAsia" w:ascii="宋体" w:hAnsi="宋体"/>
          <w:i/>
          <w:iCs/>
          <w:color w:val="auto"/>
          <w:sz w:val="30"/>
          <w:szCs w:val="30"/>
          <w:highlight w:val="none"/>
          <w:u w:val="single"/>
        </w:rPr>
        <w:t>（企业名称）</w:t>
      </w:r>
      <w:r>
        <w:rPr>
          <w:rFonts w:hint="eastAsia" w:ascii="宋体" w:hAnsi="宋体"/>
          <w:color w:val="auto"/>
          <w:sz w:val="30"/>
          <w:szCs w:val="30"/>
          <w:highlight w:val="none"/>
        </w:rPr>
        <w:t>，从业人员</w:t>
      </w:r>
      <w:r>
        <w:rPr>
          <w:rFonts w:hint="eastAsia" w:ascii="宋体" w:hAnsi="宋体"/>
          <w:color w:val="auto"/>
          <w:sz w:val="30"/>
          <w:szCs w:val="30"/>
          <w:highlight w:val="none"/>
          <w:u w:val="single"/>
        </w:rPr>
        <w:t xml:space="preserve"> </w:t>
      </w:r>
      <w:r>
        <w:rPr>
          <w:rFonts w:hint="eastAsia" w:ascii="宋体" w:hAnsi="宋体"/>
          <w:color w:val="auto"/>
          <w:sz w:val="30"/>
          <w:szCs w:val="30"/>
          <w:highlight w:val="none"/>
          <w:u w:val="single"/>
        </w:rPr>
        <w:tab/>
      </w:r>
      <w:r>
        <w:rPr>
          <w:rFonts w:hint="eastAsia" w:ascii="宋体" w:hAnsi="宋体"/>
          <w:color w:val="auto"/>
          <w:sz w:val="30"/>
          <w:szCs w:val="30"/>
          <w:highlight w:val="none"/>
        </w:rPr>
        <w:t>人，营业收入为</w:t>
      </w:r>
      <w:r>
        <w:rPr>
          <w:rFonts w:hint="eastAsia" w:ascii="宋体" w:hAnsi="宋体"/>
          <w:color w:val="auto"/>
          <w:sz w:val="30"/>
          <w:szCs w:val="30"/>
          <w:highlight w:val="none"/>
          <w:u w:val="single"/>
        </w:rPr>
        <w:t xml:space="preserve"> </w:t>
      </w:r>
      <w:r>
        <w:rPr>
          <w:rFonts w:hint="eastAsia" w:ascii="宋体" w:hAnsi="宋体"/>
          <w:color w:val="auto"/>
          <w:sz w:val="30"/>
          <w:szCs w:val="30"/>
          <w:highlight w:val="none"/>
          <w:u w:val="single"/>
        </w:rPr>
        <w:tab/>
      </w:r>
      <w:r>
        <w:rPr>
          <w:rFonts w:hint="eastAsia" w:ascii="宋体" w:hAnsi="宋体"/>
          <w:color w:val="auto"/>
          <w:sz w:val="30"/>
          <w:szCs w:val="30"/>
          <w:highlight w:val="none"/>
        </w:rPr>
        <w:t>万元，资产总额为</w:t>
      </w:r>
      <w:r>
        <w:rPr>
          <w:rFonts w:hint="eastAsia" w:ascii="宋体" w:hAnsi="宋体"/>
          <w:color w:val="auto"/>
          <w:sz w:val="30"/>
          <w:szCs w:val="30"/>
          <w:highlight w:val="none"/>
          <w:u w:val="single"/>
        </w:rPr>
        <w:t xml:space="preserve"> </w:t>
      </w:r>
      <w:r>
        <w:rPr>
          <w:rFonts w:hint="eastAsia" w:ascii="宋体" w:hAnsi="宋体"/>
          <w:color w:val="auto"/>
          <w:sz w:val="30"/>
          <w:szCs w:val="30"/>
          <w:highlight w:val="none"/>
          <w:u w:val="single"/>
        </w:rPr>
        <w:tab/>
      </w:r>
      <w:r>
        <w:rPr>
          <w:rFonts w:hint="eastAsia" w:ascii="宋体" w:hAnsi="宋体"/>
          <w:color w:val="auto"/>
          <w:sz w:val="30"/>
          <w:szCs w:val="30"/>
          <w:highlight w:val="none"/>
        </w:rPr>
        <w:t>万元，属于</w:t>
      </w:r>
      <w:r>
        <w:rPr>
          <w:rFonts w:hint="eastAsia" w:ascii="宋体" w:hAnsi="宋体"/>
          <w:color w:val="auto"/>
          <w:sz w:val="30"/>
          <w:szCs w:val="30"/>
          <w:highlight w:val="none"/>
          <w:u w:val="single"/>
        </w:rPr>
        <w:t xml:space="preserve">         </w:t>
      </w:r>
      <w:r>
        <w:rPr>
          <w:rFonts w:hint="eastAsia" w:ascii="宋体" w:hAnsi="宋体"/>
          <w:i/>
          <w:iCs/>
          <w:color w:val="auto"/>
          <w:sz w:val="30"/>
          <w:szCs w:val="30"/>
          <w:highlight w:val="none"/>
          <w:u w:val="single"/>
        </w:rPr>
        <w:t>（中型企业、小型企业、微型企业）</w:t>
      </w:r>
      <w:r>
        <w:rPr>
          <w:rFonts w:hint="eastAsia" w:ascii="宋体" w:hAnsi="宋体"/>
          <w:color w:val="auto"/>
          <w:sz w:val="30"/>
          <w:szCs w:val="30"/>
          <w:highlight w:val="none"/>
        </w:rPr>
        <w:t>；</w:t>
      </w:r>
    </w:p>
    <w:p>
      <w:pPr>
        <w:spacing w:before="120" w:beforeLines="50" w:after="120" w:afterLines="50" w:line="440" w:lineRule="exact"/>
        <w:ind w:firstLine="600" w:firstLineChars="200"/>
        <w:jc w:val="left"/>
        <w:rPr>
          <w:rFonts w:ascii="宋体" w:hAnsi="宋体"/>
          <w:color w:val="auto"/>
          <w:sz w:val="30"/>
          <w:szCs w:val="30"/>
          <w:highlight w:val="none"/>
        </w:rPr>
      </w:pPr>
    </w:p>
    <w:p>
      <w:pPr>
        <w:spacing w:before="120" w:beforeLines="50" w:after="120" w:afterLines="50" w:line="440" w:lineRule="exact"/>
        <w:ind w:firstLine="600" w:firstLineChars="200"/>
        <w:jc w:val="left"/>
        <w:rPr>
          <w:rFonts w:ascii="宋体" w:hAnsi="宋体"/>
          <w:color w:val="auto"/>
          <w:sz w:val="30"/>
          <w:szCs w:val="30"/>
          <w:highlight w:val="none"/>
        </w:rPr>
      </w:pPr>
      <w:r>
        <w:rPr>
          <w:rFonts w:hint="eastAsia" w:ascii="宋体" w:hAnsi="宋体"/>
          <w:color w:val="auto"/>
          <w:sz w:val="30"/>
          <w:szCs w:val="30"/>
          <w:highlight w:val="none"/>
        </w:rPr>
        <w:t>以上企业，不属于大企业的分支机构，不存在控股股东为大企业的情形，也不存在与大企业的负责人为同一人的情形。</w:t>
      </w:r>
    </w:p>
    <w:p>
      <w:pPr>
        <w:spacing w:before="120" w:beforeLines="50" w:after="120" w:afterLines="50" w:line="440" w:lineRule="exact"/>
        <w:ind w:firstLine="600" w:firstLineChars="200"/>
        <w:jc w:val="left"/>
        <w:rPr>
          <w:rFonts w:ascii="宋体" w:hAnsi="宋体"/>
          <w:color w:val="auto"/>
          <w:sz w:val="30"/>
          <w:szCs w:val="30"/>
          <w:highlight w:val="none"/>
        </w:rPr>
      </w:pPr>
      <w:r>
        <w:rPr>
          <w:rFonts w:hint="eastAsia" w:ascii="宋体" w:hAnsi="宋体"/>
          <w:color w:val="auto"/>
          <w:sz w:val="30"/>
          <w:szCs w:val="30"/>
          <w:highlight w:val="none"/>
        </w:rPr>
        <w:t>本企业对上述声明内容的真实性负责。如有虚假，将依法承担相应责任。</w:t>
      </w:r>
    </w:p>
    <w:p>
      <w:pPr>
        <w:spacing w:before="120" w:beforeLines="50" w:after="120" w:afterLines="50" w:line="440" w:lineRule="exact"/>
        <w:ind w:right="968" w:rightChars="461" w:firstLine="600" w:firstLineChars="200"/>
        <w:jc w:val="right"/>
        <w:rPr>
          <w:rFonts w:ascii="宋体" w:hAnsi="宋体"/>
          <w:color w:val="auto"/>
          <w:sz w:val="30"/>
          <w:szCs w:val="30"/>
          <w:highlight w:val="none"/>
        </w:rPr>
      </w:pPr>
      <w:r>
        <w:rPr>
          <w:rFonts w:hint="eastAsia" w:ascii="宋体" w:hAnsi="宋体"/>
          <w:color w:val="auto"/>
          <w:sz w:val="30"/>
          <w:szCs w:val="30"/>
          <w:highlight w:val="none"/>
        </w:rPr>
        <w:t>企业名称（盖章）：</w:t>
      </w:r>
    </w:p>
    <w:p>
      <w:pPr>
        <w:spacing w:before="120" w:beforeLines="50" w:after="120" w:afterLines="50" w:line="440" w:lineRule="exact"/>
        <w:ind w:right="968" w:rightChars="461" w:firstLine="600" w:firstLineChars="200"/>
        <w:jc w:val="center"/>
        <w:rPr>
          <w:rFonts w:ascii="宋体" w:hAnsi="宋体"/>
          <w:color w:val="auto"/>
          <w:sz w:val="30"/>
          <w:szCs w:val="30"/>
          <w:highlight w:val="none"/>
        </w:rPr>
      </w:pPr>
      <w:r>
        <w:rPr>
          <w:rFonts w:hint="eastAsia" w:ascii="宋体" w:hAnsi="宋体"/>
          <w:color w:val="auto"/>
          <w:sz w:val="30"/>
          <w:szCs w:val="30"/>
          <w:highlight w:val="none"/>
        </w:rPr>
        <w:t xml:space="preserve">                   日期：</w:t>
      </w:r>
    </w:p>
    <w:p>
      <w:pPr>
        <w:spacing w:before="120" w:beforeLines="50" w:after="120" w:afterLines="50" w:line="400" w:lineRule="exact"/>
        <w:ind w:right="-92" w:rightChars="-44"/>
        <w:rPr>
          <w:rFonts w:ascii="宋体" w:hAnsi="宋体"/>
          <w:b/>
          <w:color w:val="auto"/>
          <w:sz w:val="24"/>
          <w:highlight w:val="none"/>
        </w:rPr>
      </w:pPr>
      <w:r>
        <w:rPr>
          <w:rFonts w:hint="eastAsia" w:ascii="宋体" w:hAnsi="宋体"/>
          <w:b/>
          <w:color w:val="auto"/>
          <w:sz w:val="24"/>
          <w:highlight w:val="none"/>
        </w:rPr>
        <w:t>注：1、本采购标的对应的中小企业划分标准所属行业为</w:t>
      </w:r>
      <w:r>
        <w:rPr>
          <w:rFonts w:hint="eastAsia" w:ascii="宋体" w:hAnsi="宋体"/>
          <w:b/>
          <w:color w:val="auto"/>
          <w:sz w:val="24"/>
          <w:highlight w:val="none"/>
          <w:u w:val="single"/>
        </w:rPr>
        <w:t xml:space="preserve">：物业管理 </w:t>
      </w:r>
      <w:r>
        <w:rPr>
          <w:rFonts w:hint="eastAsia" w:ascii="宋体" w:hAnsi="宋体"/>
          <w:b/>
          <w:color w:val="auto"/>
          <w:sz w:val="24"/>
          <w:highlight w:val="none"/>
        </w:rPr>
        <w:t>行业。供应商应按该行业，对照《中小企业划型标准规定》判定标的承接企业是否属于中小微企业。在本声明函中写明标的及承接企业情况。</w:t>
      </w:r>
    </w:p>
    <w:p>
      <w:pPr>
        <w:spacing w:before="120" w:beforeLines="50" w:after="120" w:afterLines="50" w:line="400" w:lineRule="exact"/>
        <w:ind w:right="-92" w:rightChars="-44"/>
        <w:rPr>
          <w:rFonts w:ascii="宋体" w:hAnsi="宋体"/>
          <w:b/>
          <w:color w:val="auto"/>
          <w:sz w:val="24"/>
          <w:highlight w:val="none"/>
        </w:rPr>
      </w:pPr>
      <w:r>
        <w:rPr>
          <w:rFonts w:hint="eastAsia" w:ascii="宋体" w:hAnsi="宋体"/>
          <w:b/>
          <w:color w:val="auto"/>
          <w:sz w:val="24"/>
          <w:highlight w:val="none"/>
        </w:rPr>
        <w:t>2、从业人员、营业收入、资产总额填报上一年度数据，无上一年度数据的新成立企业可不填报。</w:t>
      </w:r>
    </w:p>
    <w:p>
      <w:pPr>
        <w:spacing w:before="120" w:beforeLines="50" w:after="120" w:afterLines="50" w:line="400" w:lineRule="exact"/>
        <w:ind w:right="-92" w:rightChars="-44"/>
        <w:rPr>
          <w:rFonts w:ascii="宋体" w:hAnsi="宋体"/>
          <w:b/>
          <w:color w:val="auto"/>
          <w:sz w:val="24"/>
          <w:highlight w:val="none"/>
        </w:rPr>
      </w:pPr>
      <w:r>
        <w:rPr>
          <w:rFonts w:hint="eastAsia" w:ascii="宋体" w:hAnsi="宋体"/>
          <w:b/>
          <w:color w:val="auto"/>
          <w:sz w:val="24"/>
          <w:highlight w:val="none"/>
        </w:rPr>
        <w:t>3、中标人的本声明函随中标结果同时公布，接受其他供应商和社会监督。</w:t>
      </w:r>
    </w:p>
    <w:p>
      <w:pPr>
        <w:spacing w:before="120" w:beforeLines="50" w:after="120" w:afterLines="50" w:line="400" w:lineRule="exact"/>
        <w:ind w:right="-92" w:rightChars="-44"/>
        <w:rPr>
          <w:rFonts w:ascii="宋体" w:hAnsi="宋体"/>
          <w:b/>
          <w:color w:val="auto"/>
          <w:sz w:val="24"/>
          <w:highlight w:val="none"/>
        </w:rPr>
        <w:sectPr>
          <w:footerReference r:id="rId10" w:type="default"/>
          <w:pgSz w:w="11910" w:h="16840"/>
          <w:pgMar w:top="1500" w:right="1380" w:bottom="1780" w:left="1580" w:header="0" w:footer="1595" w:gutter="0"/>
          <w:cols w:space="720" w:num="1"/>
        </w:sectPr>
      </w:pPr>
    </w:p>
    <w:p>
      <w:pPr>
        <w:rPr>
          <w:rFonts w:ascii="宋体" w:hAnsi="宋体"/>
          <w:b/>
          <w:color w:val="auto"/>
          <w:kern w:val="44"/>
          <w:sz w:val="32"/>
          <w:szCs w:val="32"/>
          <w:highlight w:val="none"/>
        </w:rPr>
      </w:pPr>
      <w:r>
        <w:rPr>
          <w:rFonts w:hint="eastAsia" w:ascii="宋体" w:hAnsi="宋体"/>
          <w:b/>
          <w:color w:val="auto"/>
          <w:kern w:val="44"/>
          <w:sz w:val="32"/>
          <w:szCs w:val="32"/>
          <w:highlight w:val="none"/>
        </w:rPr>
        <w:t>附件2</w:t>
      </w:r>
      <w:r>
        <w:rPr>
          <w:rFonts w:hint="eastAsia" w:ascii="宋体" w:hAnsi="宋体"/>
          <w:b/>
          <w:color w:val="auto"/>
          <w:sz w:val="28"/>
          <w:szCs w:val="28"/>
          <w:highlight w:val="none"/>
        </w:rPr>
        <w:t>（符合政策要求，并申请按残疾人福利性单位投标者提供）</w:t>
      </w:r>
      <w:r>
        <w:rPr>
          <w:rFonts w:hint="eastAsia" w:ascii="宋体" w:hAnsi="宋体"/>
          <w:b/>
          <w:color w:val="auto"/>
          <w:kern w:val="44"/>
          <w:sz w:val="28"/>
          <w:szCs w:val="28"/>
          <w:highlight w:val="none"/>
        </w:rPr>
        <w:t>：</w:t>
      </w:r>
    </w:p>
    <w:p>
      <w:pPr>
        <w:spacing w:line="588" w:lineRule="exact"/>
        <w:rPr>
          <w:rFonts w:ascii="宋体" w:hAnsi="宋体"/>
          <w:color w:val="auto"/>
          <w:spacing w:val="6"/>
          <w:sz w:val="30"/>
          <w:szCs w:val="30"/>
          <w:highlight w:val="none"/>
        </w:rPr>
      </w:pPr>
    </w:p>
    <w:p>
      <w:pPr>
        <w:spacing w:line="588" w:lineRule="exact"/>
        <w:jc w:val="center"/>
        <w:rPr>
          <w:rFonts w:ascii="宋体" w:hAnsi="宋体"/>
          <w:b/>
          <w:color w:val="auto"/>
          <w:spacing w:val="6"/>
          <w:sz w:val="32"/>
          <w:szCs w:val="32"/>
          <w:highlight w:val="none"/>
        </w:rPr>
      </w:pPr>
      <w:bookmarkStart w:id="780" w:name="OLE_LINK13"/>
      <w:bookmarkStart w:id="781" w:name="OLE_LINK14"/>
      <w:r>
        <w:rPr>
          <w:rFonts w:hint="eastAsia" w:ascii="宋体" w:hAnsi="宋体"/>
          <w:b/>
          <w:color w:val="auto"/>
          <w:spacing w:val="6"/>
          <w:sz w:val="32"/>
          <w:szCs w:val="32"/>
          <w:highlight w:val="none"/>
        </w:rPr>
        <w:t>残疾人福利性单位声明函</w:t>
      </w:r>
      <w:bookmarkEnd w:id="780"/>
      <w:bookmarkEnd w:id="781"/>
    </w:p>
    <w:p>
      <w:pPr>
        <w:spacing w:line="588" w:lineRule="exact"/>
        <w:ind w:firstLine="624" w:firstLineChars="200"/>
        <w:rPr>
          <w:rFonts w:ascii="宋体" w:hAnsi="宋体"/>
          <w:color w:val="auto"/>
          <w:spacing w:val="6"/>
          <w:sz w:val="30"/>
          <w:szCs w:val="30"/>
          <w:highlight w:val="none"/>
        </w:rPr>
      </w:pPr>
      <w:r>
        <w:rPr>
          <w:rFonts w:hint="eastAsia" w:ascii="宋体" w:hAnsi="宋体"/>
          <w:color w:val="auto"/>
          <w:spacing w:val="6"/>
          <w:sz w:val="30"/>
          <w:szCs w:val="30"/>
          <w:highlight w:val="none"/>
        </w:rPr>
        <w:t>本单位郑重声明，根据《财政部</w:t>
      </w:r>
      <w:r>
        <w:rPr>
          <w:rFonts w:ascii="宋体" w:hAnsi="宋体"/>
          <w:color w:val="auto"/>
          <w:spacing w:val="6"/>
          <w:sz w:val="30"/>
          <w:szCs w:val="30"/>
          <w:highlight w:val="none"/>
        </w:rPr>
        <w:t xml:space="preserve"> </w:t>
      </w:r>
      <w:r>
        <w:rPr>
          <w:rFonts w:hint="eastAsia" w:ascii="宋体" w:hAnsi="宋体"/>
          <w:color w:val="auto"/>
          <w:spacing w:val="6"/>
          <w:sz w:val="30"/>
          <w:szCs w:val="30"/>
          <w:highlight w:val="none"/>
        </w:rPr>
        <w:t>民政部</w:t>
      </w:r>
      <w:r>
        <w:rPr>
          <w:rFonts w:ascii="宋体" w:hAnsi="宋体"/>
          <w:color w:val="auto"/>
          <w:spacing w:val="6"/>
          <w:sz w:val="30"/>
          <w:szCs w:val="30"/>
          <w:highlight w:val="none"/>
        </w:rPr>
        <w:t xml:space="preserve"> </w:t>
      </w:r>
      <w:r>
        <w:rPr>
          <w:rFonts w:hint="eastAsia" w:ascii="宋体" w:hAnsi="宋体"/>
          <w:color w:val="auto"/>
          <w:spacing w:val="6"/>
          <w:sz w:val="30"/>
          <w:szCs w:val="30"/>
          <w:highlight w:val="none"/>
        </w:rPr>
        <w:t>中国残疾人联合会关于促进残疾人就业政府采购政策的通知》（财库</w:t>
      </w:r>
      <w:r>
        <w:rPr>
          <w:rFonts w:hint="eastAsia" w:ascii="宋体" w:hAnsi="宋体"/>
          <w:color w:val="auto"/>
          <w:sz w:val="32"/>
          <w:szCs w:val="32"/>
          <w:highlight w:val="none"/>
        </w:rPr>
        <w:t>〔</w:t>
      </w:r>
      <w:r>
        <w:rPr>
          <w:rFonts w:ascii="宋体" w:hAnsi="宋体"/>
          <w:color w:val="auto"/>
          <w:sz w:val="32"/>
          <w:szCs w:val="32"/>
          <w:highlight w:val="none"/>
        </w:rPr>
        <w:t>2017</w:t>
      </w:r>
      <w:r>
        <w:rPr>
          <w:rFonts w:hint="eastAsia" w:ascii="宋体" w:hAnsi="宋体"/>
          <w:color w:val="auto"/>
          <w:sz w:val="32"/>
          <w:szCs w:val="32"/>
          <w:highlight w:val="none"/>
        </w:rPr>
        <w:t>〕</w:t>
      </w:r>
      <w:r>
        <w:rPr>
          <w:rFonts w:ascii="宋体" w:hAnsi="宋体"/>
          <w:color w:val="auto"/>
          <w:sz w:val="32"/>
          <w:szCs w:val="32"/>
          <w:highlight w:val="none"/>
        </w:rPr>
        <w:t xml:space="preserve"> 141</w:t>
      </w:r>
      <w:r>
        <w:rPr>
          <w:rFonts w:hint="eastAsia" w:ascii="宋体" w:hAnsi="宋体"/>
          <w:color w:val="auto"/>
          <w:spacing w:val="6"/>
          <w:sz w:val="30"/>
          <w:szCs w:val="30"/>
          <w:highlight w:val="none"/>
        </w:rPr>
        <w:t>号）的规定，本单位为符合条件的残疾人福利性单位，且本单位参加</w:t>
      </w:r>
      <w:r>
        <w:rPr>
          <w:rFonts w:hint="eastAsia" w:ascii="宋体" w:hAnsi="宋体"/>
          <w:color w:val="auto"/>
          <w:spacing w:val="6"/>
          <w:sz w:val="30"/>
          <w:szCs w:val="30"/>
          <w:highlight w:val="none"/>
          <w:u w:val="single"/>
        </w:rPr>
        <w:t xml:space="preserve">        </w:t>
      </w:r>
      <w:r>
        <w:rPr>
          <w:rFonts w:hint="eastAsia" w:ascii="宋体" w:hAnsi="宋体"/>
          <w:color w:val="auto"/>
          <w:spacing w:val="6"/>
          <w:sz w:val="30"/>
          <w:szCs w:val="30"/>
          <w:highlight w:val="none"/>
        </w:rPr>
        <w:t>单位的</w:t>
      </w:r>
      <w:r>
        <w:rPr>
          <w:rFonts w:hint="eastAsia" w:ascii="宋体" w:hAnsi="宋体"/>
          <w:color w:val="auto"/>
          <w:spacing w:val="6"/>
          <w:sz w:val="30"/>
          <w:szCs w:val="30"/>
          <w:highlight w:val="none"/>
          <w:u w:val="single"/>
        </w:rPr>
        <w:t xml:space="preserve">        </w:t>
      </w:r>
      <w:r>
        <w:rPr>
          <w:rFonts w:hint="eastAsia" w:ascii="宋体" w:hAnsi="宋体"/>
          <w:color w:val="auto"/>
          <w:spacing w:val="6"/>
          <w:sz w:val="30"/>
          <w:szCs w:val="30"/>
          <w:highlight w:val="none"/>
        </w:rPr>
        <w:t>项目采购活动提供本单位制造的货物（由本单位承担工程</w:t>
      </w:r>
      <w:r>
        <w:rPr>
          <w:rFonts w:ascii="宋体" w:hAnsi="宋体"/>
          <w:color w:val="auto"/>
          <w:spacing w:val="6"/>
          <w:sz w:val="30"/>
          <w:szCs w:val="30"/>
          <w:highlight w:val="none"/>
        </w:rPr>
        <w:t>/</w:t>
      </w:r>
      <w:r>
        <w:rPr>
          <w:rFonts w:hint="eastAsia" w:ascii="宋体" w:hAnsi="宋体"/>
          <w:color w:val="auto"/>
          <w:spacing w:val="6"/>
          <w:sz w:val="30"/>
          <w:szCs w:val="30"/>
          <w:highlight w:val="none"/>
        </w:rPr>
        <w:t>提供服务），或者提供其他残疾人福利性单位制造的货物（不包括使用非残疾人福利性单位注册商标的货物）。</w:t>
      </w:r>
    </w:p>
    <w:p>
      <w:pPr>
        <w:spacing w:line="588" w:lineRule="exact"/>
        <w:ind w:firstLine="624" w:firstLineChars="200"/>
        <w:rPr>
          <w:rFonts w:ascii="宋体" w:hAnsi="宋体"/>
          <w:color w:val="auto"/>
          <w:spacing w:val="6"/>
          <w:sz w:val="30"/>
          <w:szCs w:val="30"/>
          <w:highlight w:val="none"/>
        </w:rPr>
      </w:pPr>
      <w:r>
        <w:rPr>
          <w:rFonts w:hint="eastAsia" w:ascii="宋体" w:hAnsi="宋体"/>
          <w:color w:val="auto"/>
          <w:spacing w:val="6"/>
          <w:sz w:val="30"/>
          <w:szCs w:val="30"/>
          <w:highlight w:val="none"/>
        </w:rPr>
        <w:t>本单位对上述声明的真实性负责。如有虚假，将依法承担相应责任。</w:t>
      </w:r>
    </w:p>
    <w:p>
      <w:pPr>
        <w:tabs>
          <w:tab w:val="left" w:pos="4860"/>
        </w:tabs>
        <w:spacing w:line="588" w:lineRule="exact"/>
        <w:ind w:right="1560" w:firstLine="3432" w:firstLineChars="1100"/>
        <w:rPr>
          <w:rFonts w:ascii="宋体" w:hAnsi="宋体"/>
          <w:color w:val="auto"/>
          <w:spacing w:val="6"/>
          <w:sz w:val="30"/>
          <w:szCs w:val="30"/>
          <w:highlight w:val="none"/>
        </w:rPr>
      </w:pPr>
    </w:p>
    <w:p>
      <w:pPr>
        <w:tabs>
          <w:tab w:val="left" w:pos="4860"/>
        </w:tabs>
        <w:spacing w:line="588" w:lineRule="exact"/>
        <w:ind w:right="1560" w:firstLine="3432" w:firstLineChars="1100"/>
        <w:rPr>
          <w:rFonts w:ascii="宋体" w:hAnsi="宋体"/>
          <w:color w:val="auto"/>
          <w:spacing w:val="6"/>
          <w:sz w:val="30"/>
          <w:szCs w:val="30"/>
          <w:highlight w:val="none"/>
        </w:rPr>
      </w:pPr>
    </w:p>
    <w:p>
      <w:pPr>
        <w:tabs>
          <w:tab w:val="left" w:pos="4860"/>
        </w:tabs>
        <w:spacing w:line="588" w:lineRule="exact"/>
        <w:ind w:right="1560" w:firstLine="3432" w:firstLineChars="1100"/>
        <w:rPr>
          <w:rFonts w:ascii="宋体" w:hAnsi="宋体"/>
          <w:color w:val="auto"/>
          <w:spacing w:val="6"/>
          <w:sz w:val="30"/>
          <w:szCs w:val="30"/>
          <w:highlight w:val="none"/>
        </w:rPr>
      </w:pPr>
      <w:r>
        <w:rPr>
          <w:rFonts w:hint="eastAsia" w:ascii="宋体" w:hAnsi="宋体"/>
          <w:color w:val="auto"/>
          <w:spacing w:val="6"/>
          <w:sz w:val="30"/>
          <w:szCs w:val="30"/>
          <w:highlight w:val="none"/>
        </w:rPr>
        <w:t>单位名称（盖章）：</w:t>
      </w:r>
    </w:p>
    <w:p>
      <w:pPr>
        <w:tabs>
          <w:tab w:val="left" w:pos="4860"/>
        </w:tabs>
        <w:spacing w:line="588" w:lineRule="exact"/>
        <w:ind w:right="1560" w:firstLine="4680" w:firstLineChars="1500"/>
        <w:rPr>
          <w:rFonts w:ascii="宋体" w:hAnsi="宋体"/>
          <w:color w:val="auto"/>
          <w:spacing w:val="6"/>
          <w:sz w:val="30"/>
          <w:szCs w:val="30"/>
          <w:highlight w:val="none"/>
        </w:rPr>
      </w:pPr>
      <w:r>
        <w:rPr>
          <w:rFonts w:hint="eastAsia" w:ascii="宋体" w:hAnsi="宋体"/>
          <w:color w:val="auto"/>
          <w:spacing w:val="6"/>
          <w:sz w:val="30"/>
          <w:szCs w:val="30"/>
          <w:highlight w:val="none"/>
        </w:rPr>
        <w:t>日</w:t>
      </w:r>
      <w:r>
        <w:rPr>
          <w:rFonts w:ascii="宋体" w:hAnsi="宋体"/>
          <w:color w:val="auto"/>
          <w:spacing w:val="6"/>
          <w:sz w:val="30"/>
          <w:szCs w:val="30"/>
          <w:highlight w:val="none"/>
        </w:rPr>
        <w:t xml:space="preserve">  </w:t>
      </w:r>
      <w:r>
        <w:rPr>
          <w:rFonts w:hint="eastAsia" w:ascii="宋体" w:hAnsi="宋体"/>
          <w:color w:val="auto"/>
          <w:spacing w:val="6"/>
          <w:sz w:val="30"/>
          <w:szCs w:val="30"/>
          <w:highlight w:val="none"/>
        </w:rPr>
        <w:t>期：</w:t>
      </w:r>
    </w:p>
    <w:p>
      <w:pPr>
        <w:spacing w:line="440" w:lineRule="exact"/>
        <w:ind w:firstLine="506" w:firstLineChars="200"/>
        <w:rPr>
          <w:rFonts w:ascii="宋体" w:hAnsi="宋体"/>
          <w:b/>
          <w:bCs/>
          <w:color w:val="auto"/>
          <w:spacing w:val="6"/>
          <w:sz w:val="24"/>
          <w:highlight w:val="none"/>
        </w:rPr>
      </w:pPr>
    </w:p>
    <w:p>
      <w:pPr>
        <w:spacing w:line="440" w:lineRule="exact"/>
        <w:ind w:firstLine="506" w:firstLineChars="200"/>
        <w:rPr>
          <w:rFonts w:ascii="宋体" w:hAnsi="宋体"/>
          <w:b/>
          <w:bCs/>
          <w:color w:val="auto"/>
          <w:spacing w:val="6"/>
          <w:sz w:val="24"/>
          <w:highlight w:val="none"/>
        </w:rPr>
      </w:pPr>
      <w:r>
        <w:rPr>
          <w:rFonts w:hint="eastAsia" w:ascii="宋体" w:hAnsi="宋体"/>
          <w:b/>
          <w:bCs/>
          <w:color w:val="auto"/>
          <w:spacing w:val="6"/>
          <w:sz w:val="24"/>
          <w:highlight w:val="none"/>
        </w:rPr>
        <w:t>注：1、享受政府采购支持政策的残疾人福利性单位应当同时满足以下条件：①残疾证（不少于10人，不低于单位职工人数的25%），②劳务合同（期限一年以上），③社会保险金缴纳票据或清单，④银行代发工资证明。（供应商属残疾人福利性单位，提供其他残疾人福利性单位制造的货物时，需同时提供该制造企业出具的《残疾人福利性单位声明函》）。</w:t>
      </w:r>
    </w:p>
    <w:p>
      <w:pPr>
        <w:spacing w:line="440" w:lineRule="exact"/>
        <w:ind w:firstLine="506" w:firstLineChars="200"/>
        <w:rPr>
          <w:rFonts w:ascii="宋体" w:hAnsi="宋体"/>
          <w:b/>
          <w:bCs/>
          <w:color w:val="auto"/>
          <w:spacing w:val="6"/>
          <w:sz w:val="24"/>
          <w:highlight w:val="none"/>
        </w:rPr>
      </w:pPr>
      <w:r>
        <w:rPr>
          <w:rFonts w:hint="eastAsia" w:ascii="宋体" w:hAnsi="宋体"/>
          <w:b/>
          <w:bCs/>
          <w:color w:val="auto"/>
          <w:spacing w:val="6"/>
          <w:sz w:val="24"/>
          <w:highlight w:val="none"/>
        </w:rPr>
        <w:t>2、中标人本声明函随中标结果同时公布，接受其他供应商和社会监督。</w:t>
      </w:r>
    </w:p>
    <w:p>
      <w:pPr>
        <w:rPr>
          <w:rFonts w:ascii="宋体" w:hAnsi="宋体"/>
          <w:b/>
          <w:color w:val="auto"/>
          <w:kern w:val="44"/>
          <w:sz w:val="32"/>
          <w:szCs w:val="32"/>
          <w:highlight w:val="none"/>
        </w:rPr>
      </w:pPr>
      <w:r>
        <w:rPr>
          <w:rFonts w:ascii="宋体" w:hAnsi="宋体"/>
          <w:color w:val="auto"/>
          <w:highlight w:val="none"/>
        </w:rPr>
        <w:br w:type="page"/>
      </w:r>
      <w:r>
        <w:rPr>
          <w:rFonts w:hint="eastAsia" w:ascii="宋体" w:hAnsi="宋体"/>
          <w:b/>
          <w:color w:val="auto"/>
          <w:kern w:val="44"/>
          <w:sz w:val="32"/>
          <w:szCs w:val="32"/>
          <w:highlight w:val="none"/>
        </w:rPr>
        <w:t>附件3</w:t>
      </w:r>
      <w:r>
        <w:rPr>
          <w:rFonts w:hint="eastAsia" w:ascii="宋体" w:hAnsi="宋体"/>
          <w:b/>
          <w:color w:val="auto"/>
          <w:sz w:val="28"/>
          <w:szCs w:val="28"/>
          <w:highlight w:val="none"/>
        </w:rPr>
        <w:t>（符合政策要求，并申请按监狱企业投标者提供）</w:t>
      </w:r>
      <w:r>
        <w:rPr>
          <w:rFonts w:hint="eastAsia" w:ascii="宋体" w:hAnsi="宋体"/>
          <w:b/>
          <w:color w:val="auto"/>
          <w:kern w:val="44"/>
          <w:sz w:val="28"/>
          <w:szCs w:val="28"/>
          <w:highlight w:val="none"/>
        </w:rPr>
        <w:t>：</w:t>
      </w:r>
    </w:p>
    <w:p>
      <w:pPr>
        <w:spacing w:line="588" w:lineRule="exact"/>
        <w:rPr>
          <w:rFonts w:ascii="宋体" w:hAnsi="宋体"/>
          <w:color w:val="auto"/>
          <w:spacing w:val="6"/>
          <w:sz w:val="30"/>
          <w:szCs w:val="30"/>
          <w:highlight w:val="none"/>
        </w:rPr>
      </w:pPr>
    </w:p>
    <w:p>
      <w:pPr>
        <w:spacing w:line="588" w:lineRule="exact"/>
        <w:jc w:val="center"/>
        <w:rPr>
          <w:rFonts w:ascii="宋体" w:hAnsi="宋体"/>
          <w:b/>
          <w:color w:val="auto"/>
          <w:spacing w:val="6"/>
          <w:sz w:val="32"/>
          <w:szCs w:val="32"/>
          <w:highlight w:val="none"/>
        </w:rPr>
      </w:pPr>
      <w:r>
        <w:rPr>
          <w:rFonts w:hint="eastAsia" w:ascii="宋体" w:hAnsi="宋体"/>
          <w:b/>
          <w:color w:val="auto"/>
          <w:spacing w:val="6"/>
          <w:sz w:val="32"/>
          <w:szCs w:val="32"/>
          <w:highlight w:val="none"/>
        </w:rPr>
        <w:t>监狱企业证明</w:t>
      </w:r>
    </w:p>
    <w:p>
      <w:pPr>
        <w:spacing w:line="340" w:lineRule="exact"/>
        <w:ind w:firstLine="560" w:firstLineChars="200"/>
        <w:rPr>
          <w:rFonts w:ascii="宋体" w:hAnsi="宋体"/>
          <w:color w:val="auto"/>
          <w:sz w:val="28"/>
          <w:szCs w:val="28"/>
          <w:highlight w:val="none"/>
        </w:rPr>
      </w:pPr>
    </w:p>
    <w:p>
      <w:pPr>
        <w:spacing w:line="340" w:lineRule="exact"/>
        <w:ind w:firstLine="560" w:firstLineChars="200"/>
        <w:rPr>
          <w:rFonts w:ascii="宋体" w:hAnsi="宋体"/>
          <w:color w:val="auto"/>
          <w:sz w:val="28"/>
          <w:szCs w:val="28"/>
          <w:highlight w:val="none"/>
        </w:rPr>
      </w:pPr>
    </w:p>
    <w:p>
      <w:pPr>
        <w:spacing w:line="340" w:lineRule="exact"/>
        <w:ind w:firstLine="560" w:firstLineChars="200"/>
        <w:rPr>
          <w:rFonts w:ascii="宋体" w:hAnsi="宋体"/>
          <w:color w:val="auto"/>
          <w:sz w:val="28"/>
          <w:szCs w:val="28"/>
          <w:highlight w:val="none"/>
        </w:rPr>
      </w:pPr>
    </w:p>
    <w:p>
      <w:pPr>
        <w:spacing w:line="340" w:lineRule="exact"/>
        <w:ind w:firstLine="560" w:firstLineChars="200"/>
        <w:rPr>
          <w:rFonts w:ascii="宋体" w:hAnsi="宋体"/>
          <w:color w:val="auto"/>
          <w:sz w:val="28"/>
          <w:szCs w:val="28"/>
          <w:highlight w:val="none"/>
        </w:rPr>
      </w:pPr>
    </w:p>
    <w:p>
      <w:pPr>
        <w:spacing w:line="340" w:lineRule="exact"/>
        <w:ind w:firstLine="580" w:firstLineChars="200"/>
        <w:rPr>
          <w:rFonts w:ascii="宋体" w:hAnsi="宋体"/>
          <w:color w:val="auto"/>
          <w:sz w:val="28"/>
          <w:szCs w:val="28"/>
          <w:highlight w:val="none"/>
        </w:rPr>
      </w:pPr>
      <w:r>
        <w:rPr>
          <w:rFonts w:hint="eastAsia" w:ascii="宋体" w:hAnsi="宋体"/>
          <w:color w:val="auto"/>
          <w:sz w:val="29"/>
          <w:szCs w:val="29"/>
          <w:highlight w:val="none"/>
        </w:rPr>
        <w:t>提供由省级以上监狱管理局、戒毒管理局（含新疆生产建设兵团）出具的属于监狱企业的证明文件。</w:t>
      </w:r>
    </w:p>
    <w:p>
      <w:pPr>
        <w:spacing w:line="480" w:lineRule="exact"/>
        <w:jc w:val="center"/>
        <w:rPr>
          <w:rFonts w:ascii="宋体" w:hAnsi="宋体" w:cs="仿宋_GB2312"/>
          <w:b/>
          <w:color w:val="auto"/>
          <w:sz w:val="44"/>
          <w:szCs w:val="44"/>
          <w:highlight w:val="none"/>
        </w:rPr>
      </w:pPr>
    </w:p>
    <w:p>
      <w:pPr>
        <w:spacing w:line="480" w:lineRule="exact"/>
        <w:jc w:val="center"/>
        <w:rPr>
          <w:rFonts w:ascii="宋体" w:hAnsi="宋体" w:cs="仿宋_GB2312"/>
          <w:b/>
          <w:color w:val="auto"/>
          <w:sz w:val="44"/>
          <w:szCs w:val="44"/>
          <w:highlight w:val="none"/>
        </w:rPr>
      </w:pPr>
    </w:p>
    <w:p>
      <w:pPr>
        <w:spacing w:line="480" w:lineRule="exact"/>
        <w:jc w:val="center"/>
        <w:rPr>
          <w:rFonts w:ascii="宋体" w:hAnsi="宋体" w:cs="仿宋_GB2312"/>
          <w:b/>
          <w:color w:val="auto"/>
          <w:sz w:val="44"/>
          <w:szCs w:val="44"/>
          <w:highlight w:val="none"/>
        </w:rPr>
      </w:pPr>
    </w:p>
    <w:p>
      <w:pPr>
        <w:spacing w:line="480" w:lineRule="exact"/>
        <w:jc w:val="center"/>
        <w:rPr>
          <w:rFonts w:ascii="宋体" w:hAnsi="宋体" w:cs="仿宋_GB2312"/>
          <w:b/>
          <w:color w:val="auto"/>
          <w:sz w:val="44"/>
          <w:szCs w:val="44"/>
          <w:highlight w:val="none"/>
        </w:rPr>
      </w:pPr>
    </w:p>
    <w:p>
      <w:pPr>
        <w:spacing w:line="480" w:lineRule="exact"/>
        <w:jc w:val="center"/>
        <w:rPr>
          <w:rFonts w:ascii="宋体" w:hAnsi="宋体" w:cs="仿宋_GB2312"/>
          <w:b/>
          <w:color w:val="auto"/>
          <w:sz w:val="44"/>
          <w:szCs w:val="44"/>
          <w:highlight w:val="none"/>
        </w:rPr>
      </w:pPr>
    </w:p>
    <w:p>
      <w:pPr>
        <w:spacing w:line="480" w:lineRule="exact"/>
        <w:jc w:val="center"/>
        <w:rPr>
          <w:rFonts w:ascii="宋体" w:hAnsi="宋体" w:cs="仿宋_GB2312"/>
          <w:b/>
          <w:color w:val="auto"/>
          <w:sz w:val="44"/>
          <w:szCs w:val="44"/>
          <w:highlight w:val="none"/>
        </w:rPr>
      </w:pPr>
    </w:p>
    <w:p>
      <w:pPr>
        <w:spacing w:line="480" w:lineRule="exact"/>
        <w:jc w:val="center"/>
        <w:rPr>
          <w:rFonts w:ascii="宋体" w:hAnsi="宋体" w:cs="仿宋_GB2312"/>
          <w:b/>
          <w:color w:val="auto"/>
          <w:sz w:val="44"/>
          <w:szCs w:val="44"/>
          <w:highlight w:val="none"/>
        </w:rPr>
      </w:pPr>
    </w:p>
    <w:p>
      <w:pPr>
        <w:spacing w:line="480" w:lineRule="exact"/>
        <w:jc w:val="center"/>
        <w:rPr>
          <w:rFonts w:ascii="宋体" w:hAnsi="宋体" w:cs="仿宋_GB2312"/>
          <w:b/>
          <w:color w:val="auto"/>
          <w:sz w:val="44"/>
          <w:szCs w:val="44"/>
          <w:highlight w:val="none"/>
        </w:rPr>
      </w:pPr>
    </w:p>
    <w:p>
      <w:pPr>
        <w:spacing w:line="480" w:lineRule="exact"/>
        <w:jc w:val="center"/>
        <w:rPr>
          <w:rFonts w:ascii="宋体" w:hAnsi="宋体" w:cs="仿宋_GB2312"/>
          <w:b/>
          <w:color w:val="auto"/>
          <w:sz w:val="44"/>
          <w:szCs w:val="44"/>
          <w:highlight w:val="none"/>
        </w:rPr>
      </w:pPr>
    </w:p>
    <w:p>
      <w:pPr>
        <w:autoSpaceDE w:val="0"/>
        <w:autoSpaceDN w:val="0"/>
        <w:adjustRightInd w:val="0"/>
        <w:ind w:firstLine="482" w:firstLineChars="200"/>
        <w:jc w:val="left"/>
        <w:rPr>
          <w:rFonts w:ascii="宋体" w:hAnsi="宋体" w:cs="仿宋_GB2312"/>
          <w:color w:val="auto"/>
          <w:sz w:val="32"/>
          <w:szCs w:val="32"/>
          <w:highlight w:val="none"/>
        </w:rPr>
      </w:pPr>
      <w:r>
        <w:rPr>
          <w:rFonts w:hint="eastAsia" w:ascii="宋体" w:hAnsi="宋体"/>
          <w:b/>
          <w:color w:val="auto"/>
          <w:sz w:val="24"/>
          <w:highlight w:val="none"/>
        </w:rPr>
        <w:t>注：中标人的本证明文件随中标结果同时公布，接受其他供应商和社会监督。</w:t>
      </w:r>
    </w:p>
    <w:p>
      <w:pPr>
        <w:widowControl/>
        <w:spacing w:line="400" w:lineRule="exact"/>
        <w:jc w:val="left"/>
        <w:rPr>
          <w:rFonts w:ascii="宋体" w:hAnsi="宋体" w:cs="宋体"/>
          <w:bCs/>
          <w:color w:val="auto"/>
          <w:kern w:val="0"/>
          <w:sz w:val="32"/>
          <w:szCs w:val="32"/>
          <w:highlight w:val="none"/>
        </w:rPr>
      </w:pPr>
    </w:p>
    <w:p>
      <w:pPr>
        <w:widowControl/>
        <w:jc w:val="left"/>
        <w:rPr>
          <w:rFonts w:ascii="仿宋_GB2312" w:eastAsia="仿宋_GB2312"/>
          <w:color w:val="auto"/>
          <w:sz w:val="32"/>
          <w:szCs w:val="32"/>
          <w:highlight w:val="none"/>
        </w:rPr>
      </w:pPr>
    </w:p>
    <w:sectPr>
      <w:footerReference r:id="rId11" w:type="default"/>
      <w:pgSz w:w="11906" w:h="16838"/>
      <w:pgMar w:top="1440" w:right="1800" w:bottom="1869"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楷体_GB2312">
    <w:altName w:val="楷体"/>
    <w:panose1 w:val="00000000000000000000"/>
    <w:charset w:val="86"/>
    <w:family w:val="modern"/>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chs_boot">
    <w:altName w:val="宋体"/>
    <w:panose1 w:val="00000000000000000000"/>
    <w:charset w:val="00"/>
    <w:family w:val="swiss"/>
    <w:pitch w:val="default"/>
    <w:sig w:usb0="00000000" w:usb1="00000000" w:usb2="00000016" w:usb3="00000000" w:csb0="00140001"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jc w:val="center"/>
    </w:pPr>
    <w:r>
      <w:rPr>
        <w:rFonts w:hint="eastAsia"/>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jc w:val="center"/>
    </w:pPr>
    <w:r>
      <w:rPr>
        <w:rFonts w:hint="eastAsia"/>
      </w:rPr>
      <w:t>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84292184"/>
    </w:sdtPr>
    <w:sdtContent>
      <w:p>
        <w:pPr>
          <w:pStyle w:val="21"/>
          <w:jc w:val="center"/>
        </w:pPr>
        <w:r>
          <w:fldChar w:fldCharType="begin"/>
        </w:r>
        <w:r>
          <w:instrText xml:space="preserve">PAGE   \* MERGEFORMAT</w:instrText>
        </w:r>
        <w:r>
          <w:fldChar w:fldCharType="separate"/>
        </w:r>
        <w:r>
          <w:rPr>
            <w:lang w:val="zh-CN"/>
          </w:rPr>
          <w:t>2</w:t>
        </w:r>
        <w:r>
          <w:fldChar w:fldCharType="end"/>
        </w:r>
      </w:p>
    </w:sdtContent>
  </w:sdt>
  <w:p>
    <w:pPr>
      <w:pStyle w:val="21"/>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258802951" name="文本框 13"/>
              <wp:cNvGraphicFramePr/>
              <a:graphic xmlns:a="http://schemas.openxmlformats.org/drawingml/2006/main">
                <a:graphicData uri="http://schemas.microsoft.com/office/word/2010/wordprocessingShape">
                  <wps:wsp>
                    <wps:cNvSpPr txBox="1">
                      <a:spLocks noChangeArrowheads="1"/>
                    </wps:cNvSpPr>
                    <wps:spPr bwMode="auto">
                      <a:xfrm>
                        <a:off x="0" y="0"/>
                        <a:ext cx="57785" cy="131445"/>
                      </a:xfrm>
                      <a:prstGeom prst="rect">
                        <a:avLst/>
                      </a:prstGeom>
                      <a:noFill/>
                      <a:ln>
                        <a:noFill/>
                      </a:ln>
                    </wps:spPr>
                    <wps:txbx>
                      <w:txbxContent>
                        <w:p>
                          <w:pPr>
                            <w:pStyle w:val="21"/>
                          </w:pPr>
                          <w:r>
                            <w:fldChar w:fldCharType="begin"/>
                          </w:r>
                          <w:r>
                            <w:instrText xml:space="preserve"> PAGE  \* MERGEFORMAT </w:instrText>
                          </w:r>
                          <w:r>
                            <w:fldChar w:fldCharType="separate"/>
                          </w:r>
                          <w:r>
                            <w:t>1</w:t>
                          </w:r>
                          <w:r>
                            <w:fldChar w:fldCharType="end"/>
                          </w:r>
                        </w:p>
                      </w:txbxContent>
                    </wps:txbx>
                    <wps:bodyPr rot="0" vert="horz" wrap="none" lIns="0" tIns="0" rIns="0" bIns="0" anchor="t" anchorCtr="0" upright="1">
                      <a:spAutoFit/>
                    </wps:bodyPr>
                  </wps:wsp>
                </a:graphicData>
              </a:graphic>
            </wp:anchor>
          </w:drawing>
        </mc:Choice>
        <mc:Fallback>
          <w:pict>
            <v:shape id="文本框 13" o:spid="_x0000_s1026" o:spt="202" type="#_x0000_t202" style="position:absolute;left:0pt;margin-top:0pt;height:10.35pt;width:4.55pt;mso-position-horizontal:center;mso-position-horizontal-relative:margin;mso-wrap-style:none;z-index:251659264;mso-width-relative:page;mso-height-relative:page;" filled="f" stroked="f" coordsize="21600,21600" o:gfxdata="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z4vdRNAAAAACAQAADwAAAAAAAAABACAAAAAi&#10;AAAAZHJzL2Rvd25yZXYueG1sUEsBAhQAFAAAAAgAh07iQJE1aD4SAgAACgQAAA4AAAAAAAAAAQAg&#10;AAAAHwEAAGRycy9lMm9Eb2MueG1sUEsFBgAAAAAGAAYAWQEAAKMFAAAAAA==&#10;">
              <v:fill on="f" focussize="0,0"/>
              <v:stroke on="f"/>
              <v:imagedata o:title=""/>
              <o:lock v:ext="edit" aspectratio="f"/>
              <v:textbox inset="0mm,0mm,0mm,0mm" style="mso-fit-shape-to-text:t;">
                <w:txbxContent>
                  <w:p>
                    <w:pPr>
                      <w:pStyle w:val="2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0"/>
      </w:rPr>
    </w:pP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390507527" name="文本框 15"/>
              <wp:cNvGraphicFramePr/>
              <a:graphic xmlns:a="http://schemas.openxmlformats.org/drawingml/2006/main">
                <a:graphicData uri="http://schemas.microsoft.com/office/word/2010/wordprocessingShape">
                  <wps:wsp>
                    <wps:cNvSpPr txBox="1">
                      <a:spLocks noChangeArrowheads="1"/>
                    </wps:cNvSpPr>
                    <wps:spPr bwMode="auto">
                      <a:xfrm>
                        <a:off x="0" y="0"/>
                        <a:ext cx="114935" cy="131445"/>
                      </a:xfrm>
                      <a:prstGeom prst="rect">
                        <a:avLst/>
                      </a:prstGeom>
                      <a:noFill/>
                      <a:ln>
                        <a:noFill/>
                      </a:ln>
                    </wps:spPr>
                    <wps:txbx>
                      <w:txbxContent>
                        <w:p>
                          <w:pPr>
                            <w:pStyle w:val="21"/>
                          </w:pPr>
                          <w:r>
                            <w:fldChar w:fldCharType="begin"/>
                          </w:r>
                          <w:r>
                            <w:instrText xml:space="preserve"> PAGE  \* MERGEFORMAT </w:instrText>
                          </w:r>
                          <w:r>
                            <w:fldChar w:fldCharType="separate"/>
                          </w:r>
                          <w:r>
                            <w:t>9</w:t>
                          </w:r>
                          <w:r>
                            <w:fldChar w:fldCharType="end"/>
                          </w:r>
                        </w:p>
                      </w:txbxContent>
                    </wps:txbx>
                    <wps:bodyPr rot="0" vert="horz" wrap="none" lIns="0" tIns="0" rIns="0" bIns="0" anchor="t" anchorCtr="0" upright="1">
                      <a:spAutoFit/>
                    </wps:bodyPr>
                  </wps:wsp>
                </a:graphicData>
              </a:graphic>
            </wp:anchor>
          </w:drawing>
        </mc:Choice>
        <mc:Fallback>
          <w:pict>
            <v:shape id="文本框 15" o:spid="_x0000_s1026" o:spt="202" type="#_x0000_t202" style="position:absolute;left:0pt;margin-top:0pt;height:10.35pt;width:9.05pt;mso-position-horizontal:center;mso-position-horizontal-relative:margin;mso-wrap-style:none;z-index:251660288;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Q+V+SdAAAAADAQAADwAAAAAAAAABACAAAAAi&#10;AAAAZHJzL2Rvd25yZXYueG1sUEsBAhQAFAAAAAgAh07iQKclsQgSAgAACwQAAA4AAAAAAAAAAQAg&#10;AAAAHwEAAGRycy9lMm9Eb2MueG1sUEsFBgAAAAAGAAYAWQEAAKMFAAAAAA==&#10;">
              <v:fill on="f" focussize="0,0"/>
              <v:stroke on="f"/>
              <v:imagedata o:title=""/>
              <o:lock v:ext="edit" aspectratio="f"/>
              <v:textbox inset="0mm,0mm,0mm,0mm" style="mso-fit-shape-to-text:t;">
                <w:txbxContent>
                  <w:p>
                    <w:pPr>
                      <w:pStyle w:val="21"/>
                    </w:pPr>
                    <w:r>
                      <w:fldChar w:fldCharType="begin"/>
                    </w:r>
                    <w:r>
                      <w:instrText xml:space="preserve"> PAGE  \* MERGEFORMAT </w:instrText>
                    </w:r>
                    <w:r>
                      <w:fldChar w:fldCharType="separate"/>
                    </w:r>
                    <w:r>
                      <w:t>9</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0"/>
      </w:rPr>
    </w:pPr>
    <w:r>
      <w:rPr>
        <w:sz w:val="20"/>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131445"/>
              <wp:effectExtent l="0" t="0" r="0" b="0"/>
              <wp:wrapNone/>
              <wp:docPr id="2050397720" name="文本框 16"/>
              <wp:cNvGraphicFramePr/>
              <a:graphic xmlns:a="http://schemas.openxmlformats.org/drawingml/2006/main">
                <a:graphicData uri="http://schemas.microsoft.com/office/word/2010/wordprocessingShape">
                  <wps:wsp>
                    <wps:cNvSpPr txBox="1">
                      <a:spLocks noChangeArrowheads="1"/>
                    </wps:cNvSpPr>
                    <wps:spPr bwMode="auto">
                      <a:xfrm>
                        <a:off x="0" y="0"/>
                        <a:ext cx="114935" cy="131445"/>
                      </a:xfrm>
                      <a:prstGeom prst="rect">
                        <a:avLst/>
                      </a:prstGeom>
                      <a:noFill/>
                      <a:ln>
                        <a:noFill/>
                      </a:ln>
                    </wps:spPr>
                    <wps:txbx>
                      <w:txbxContent>
                        <w:p>
                          <w:pPr>
                            <w:pStyle w:val="21"/>
                          </w:pPr>
                          <w:r>
                            <w:fldChar w:fldCharType="begin"/>
                          </w:r>
                          <w:r>
                            <w:instrText xml:space="preserve"> PAGE  \* MERGEFORMAT </w:instrText>
                          </w:r>
                          <w:r>
                            <w:fldChar w:fldCharType="separate"/>
                          </w:r>
                          <w:r>
                            <w:t>65</w:t>
                          </w:r>
                          <w:r>
                            <w:fldChar w:fldCharType="end"/>
                          </w:r>
                        </w:p>
                      </w:txbxContent>
                    </wps:txbx>
                    <wps:bodyPr rot="0" vert="horz" wrap="none" lIns="0" tIns="0" rIns="0" bIns="0" anchor="t" anchorCtr="0" upright="1">
                      <a:spAutoFit/>
                    </wps:bodyPr>
                  </wps:wsp>
                </a:graphicData>
              </a:graphic>
            </wp:anchor>
          </w:drawing>
        </mc:Choice>
        <mc:Fallback>
          <w:pict>
            <v:shape id="文本框 16" o:spid="_x0000_s1026" o:spt="202" type="#_x0000_t202" style="position:absolute;left:0pt;margin-top:0pt;height:10.35pt;width:9.05pt;mso-position-horizontal:center;mso-position-horizontal-relative:margin;mso-wrap-style:none;z-index:251661312;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EPlfknQAAAAAwEAAA8AAAAAAAAAAQAgAAAA&#10;IgAAAGRycy9kb3ducmV2LnhtbFBLAQIUABQAAAAIAIdO4kBEpsO7EwIAAAwEAAAOAAAAAAAAAAEA&#10;IAAAAB8BAABkcnMvZTJvRG9jLnhtbFBLBQYAAAAABgAGAFkBAACkBQAAAAA=&#10;">
              <v:fill on="f" focussize="0,0"/>
              <v:stroke on="f"/>
              <v:imagedata o:title=""/>
              <o:lock v:ext="edit" aspectratio="f"/>
              <v:textbox inset="0mm,0mm,0mm,0mm" style="mso-fit-shape-to-text:t;">
                <w:txbxContent>
                  <w:p>
                    <w:pPr>
                      <w:pStyle w:val="21"/>
                    </w:pPr>
                    <w:r>
                      <w:fldChar w:fldCharType="begin"/>
                    </w:r>
                    <w:r>
                      <w:instrText xml:space="preserve"> PAGE  \* MERGEFORMAT </w:instrText>
                    </w:r>
                    <w:r>
                      <w:fldChar w:fldCharType="separate"/>
                    </w:r>
                    <w:r>
                      <w:t>65</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pPr>
    <w:r>
      <w:rPr>
        <w:rFonts w:hint="eastAsia" w:ascii="仿宋_GB2312" w:eastAsia="仿宋_GB2312"/>
      </w:rPr>
      <w:t>开封市政府采购中心政府采购招标文件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rPr>
        <w:rFonts w:ascii="仿宋_GB2312" w:eastAsia="仿宋_GB2312"/>
      </w:rPr>
    </w:pPr>
    <w:r>
      <w:rPr>
        <w:rFonts w:hint="eastAsia" w:ascii="仿宋_GB2312" w:eastAsia="仿宋_GB2312"/>
      </w:rPr>
      <w:t>开封市政府采购中心政府采购招标文件</w:t>
    </w:r>
  </w:p>
  <w:p>
    <w:pPr>
      <w:pStyle w:val="23"/>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CF7DA9"/>
    <w:multiLevelType w:val="singleLevel"/>
    <w:tmpl w:val="80CF7DA9"/>
    <w:lvl w:ilvl="0" w:tentative="0">
      <w:start w:val="1"/>
      <w:numFmt w:val="decimal"/>
      <w:suff w:val="nothing"/>
      <w:lvlText w:val="%1．"/>
      <w:lvlJc w:val="left"/>
      <w:pPr>
        <w:ind w:left="0" w:firstLine="400"/>
      </w:pPr>
      <w:rPr>
        <w:rFonts w:hint="default"/>
      </w:rPr>
    </w:lvl>
  </w:abstractNum>
  <w:abstractNum w:abstractNumId="1">
    <w:nsid w:val="85437088"/>
    <w:multiLevelType w:val="singleLevel"/>
    <w:tmpl w:val="85437088"/>
    <w:lvl w:ilvl="0" w:tentative="0">
      <w:start w:val="1"/>
      <w:numFmt w:val="chineseCounting"/>
      <w:suff w:val="nothing"/>
      <w:lvlText w:val="第%1章　"/>
      <w:lvlJc w:val="left"/>
      <w:rPr>
        <w:rFonts w:hint="eastAsia"/>
      </w:rPr>
    </w:lvl>
  </w:abstractNum>
  <w:abstractNum w:abstractNumId="2">
    <w:nsid w:val="993D3DE8"/>
    <w:multiLevelType w:val="singleLevel"/>
    <w:tmpl w:val="993D3DE8"/>
    <w:lvl w:ilvl="0" w:tentative="0">
      <w:start w:val="1"/>
      <w:numFmt w:val="decimal"/>
      <w:suff w:val="nothing"/>
      <w:lvlText w:val="%1、"/>
      <w:lvlJc w:val="left"/>
    </w:lvl>
  </w:abstractNum>
  <w:abstractNum w:abstractNumId="3">
    <w:nsid w:val="ADC82848"/>
    <w:multiLevelType w:val="singleLevel"/>
    <w:tmpl w:val="ADC82848"/>
    <w:lvl w:ilvl="0" w:tentative="0">
      <w:start w:val="5"/>
      <w:numFmt w:val="decimal"/>
      <w:suff w:val="nothing"/>
      <w:lvlText w:val="%1、"/>
      <w:lvlJc w:val="left"/>
    </w:lvl>
  </w:abstractNum>
  <w:abstractNum w:abstractNumId="4">
    <w:nsid w:val="C5D989B7"/>
    <w:multiLevelType w:val="singleLevel"/>
    <w:tmpl w:val="C5D989B7"/>
    <w:lvl w:ilvl="0" w:tentative="0">
      <w:start w:val="1"/>
      <w:numFmt w:val="decimal"/>
      <w:lvlText w:val="%1)"/>
      <w:lvlJc w:val="left"/>
      <w:pPr>
        <w:tabs>
          <w:tab w:val="left" w:pos="420"/>
        </w:tabs>
        <w:ind w:left="845" w:hanging="425"/>
      </w:pPr>
      <w:rPr>
        <w:rFonts w:hint="default"/>
      </w:rPr>
    </w:lvl>
  </w:abstractNum>
  <w:abstractNum w:abstractNumId="5">
    <w:nsid w:val="D097A72B"/>
    <w:multiLevelType w:val="singleLevel"/>
    <w:tmpl w:val="D097A72B"/>
    <w:lvl w:ilvl="0" w:tentative="0">
      <w:start w:val="12"/>
      <w:numFmt w:val="decimal"/>
      <w:suff w:val="nothing"/>
      <w:lvlText w:val="%1、"/>
      <w:lvlJc w:val="left"/>
    </w:lvl>
  </w:abstractNum>
  <w:abstractNum w:abstractNumId="6">
    <w:nsid w:val="DE81DB27"/>
    <w:multiLevelType w:val="singleLevel"/>
    <w:tmpl w:val="DE81DB27"/>
    <w:lvl w:ilvl="0" w:tentative="0">
      <w:start w:val="1"/>
      <w:numFmt w:val="decimal"/>
      <w:lvlText w:val="(%1)"/>
      <w:lvlJc w:val="left"/>
      <w:pPr>
        <w:tabs>
          <w:tab w:val="left" w:pos="420"/>
        </w:tabs>
        <w:ind w:left="845" w:hanging="425"/>
      </w:pPr>
      <w:rPr>
        <w:rFonts w:hint="default"/>
      </w:rPr>
    </w:lvl>
  </w:abstractNum>
  <w:abstractNum w:abstractNumId="7">
    <w:nsid w:val="29C65DBA"/>
    <w:multiLevelType w:val="multilevel"/>
    <w:tmpl w:val="29C65DBA"/>
    <w:lvl w:ilvl="0" w:tentative="0">
      <w:start w:val="2"/>
      <w:numFmt w:val="japaneseCounting"/>
      <w:lvlText w:val="（%1）"/>
      <w:lvlJc w:val="left"/>
      <w:pPr>
        <w:tabs>
          <w:tab w:val="left" w:pos="1080"/>
        </w:tabs>
        <w:ind w:left="1080" w:hanging="108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2AEC5AC3"/>
    <w:multiLevelType w:val="multilevel"/>
    <w:tmpl w:val="2AEC5AC3"/>
    <w:lvl w:ilvl="0" w:tentative="0">
      <w:start w:val="1"/>
      <w:numFmt w:val="decimal"/>
      <w:lvlText w:val="%1、"/>
      <w:lvlJc w:val="left"/>
      <w:pPr>
        <w:tabs>
          <w:tab w:val="left" w:pos="1360"/>
        </w:tabs>
        <w:ind w:left="1360" w:hanging="720"/>
      </w:pPr>
      <w:rPr>
        <w:rFonts w:hint="default"/>
      </w:rPr>
    </w:lvl>
    <w:lvl w:ilvl="1" w:tentative="0">
      <w:start w:val="1"/>
      <w:numFmt w:val="lowerLetter"/>
      <w:lvlText w:val="%2)"/>
      <w:lvlJc w:val="left"/>
      <w:pPr>
        <w:tabs>
          <w:tab w:val="left" w:pos="1480"/>
        </w:tabs>
        <w:ind w:left="1480" w:hanging="420"/>
      </w:pPr>
    </w:lvl>
    <w:lvl w:ilvl="2" w:tentative="0">
      <w:start w:val="1"/>
      <w:numFmt w:val="lowerRoman"/>
      <w:lvlText w:val="%3."/>
      <w:lvlJc w:val="right"/>
      <w:pPr>
        <w:tabs>
          <w:tab w:val="left" w:pos="1900"/>
        </w:tabs>
        <w:ind w:left="1900" w:hanging="420"/>
      </w:pPr>
    </w:lvl>
    <w:lvl w:ilvl="3" w:tentative="0">
      <w:start w:val="1"/>
      <w:numFmt w:val="decimal"/>
      <w:lvlText w:val="%4."/>
      <w:lvlJc w:val="left"/>
      <w:pPr>
        <w:tabs>
          <w:tab w:val="left" w:pos="2320"/>
        </w:tabs>
        <w:ind w:left="2320" w:hanging="420"/>
      </w:pPr>
    </w:lvl>
    <w:lvl w:ilvl="4" w:tentative="0">
      <w:start w:val="1"/>
      <w:numFmt w:val="lowerLetter"/>
      <w:lvlText w:val="%5)"/>
      <w:lvlJc w:val="left"/>
      <w:pPr>
        <w:tabs>
          <w:tab w:val="left" w:pos="2740"/>
        </w:tabs>
        <w:ind w:left="2740" w:hanging="420"/>
      </w:pPr>
    </w:lvl>
    <w:lvl w:ilvl="5" w:tentative="0">
      <w:start w:val="1"/>
      <w:numFmt w:val="lowerRoman"/>
      <w:lvlText w:val="%6."/>
      <w:lvlJc w:val="right"/>
      <w:pPr>
        <w:tabs>
          <w:tab w:val="left" w:pos="3160"/>
        </w:tabs>
        <w:ind w:left="3160" w:hanging="420"/>
      </w:pPr>
    </w:lvl>
    <w:lvl w:ilvl="6" w:tentative="0">
      <w:start w:val="1"/>
      <w:numFmt w:val="decimal"/>
      <w:lvlText w:val="%7."/>
      <w:lvlJc w:val="left"/>
      <w:pPr>
        <w:tabs>
          <w:tab w:val="left" w:pos="3580"/>
        </w:tabs>
        <w:ind w:left="3580" w:hanging="420"/>
      </w:pPr>
    </w:lvl>
    <w:lvl w:ilvl="7" w:tentative="0">
      <w:start w:val="1"/>
      <w:numFmt w:val="lowerLetter"/>
      <w:lvlText w:val="%8)"/>
      <w:lvlJc w:val="left"/>
      <w:pPr>
        <w:tabs>
          <w:tab w:val="left" w:pos="4000"/>
        </w:tabs>
        <w:ind w:left="4000" w:hanging="420"/>
      </w:pPr>
    </w:lvl>
    <w:lvl w:ilvl="8" w:tentative="0">
      <w:start w:val="1"/>
      <w:numFmt w:val="lowerRoman"/>
      <w:lvlText w:val="%9."/>
      <w:lvlJc w:val="right"/>
      <w:pPr>
        <w:tabs>
          <w:tab w:val="left" w:pos="4420"/>
        </w:tabs>
        <w:ind w:left="4420" w:hanging="420"/>
      </w:pPr>
    </w:lvl>
  </w:abstractNum>
  <w:abstractNum w:abstractNumId="9">
    <w:nsid w:val="326FAE77"/>
    <w:multiLevelType w:val="singleLevel"/>
    <w:tmpl w:val="326FAE77"/>
    <w:lvl w:ilvl="0" w:tentative="0">
      <w:start w:val="1"/>
      <w:numFmt w:val="decimal"/>
      <w:suff w:val="space"/>
      <w:lvlText w:val="%1."/>
      <w:lvlJc w:val="left"/>
    </w:lvl>
  </w:abstractNum>
  <w:abstractNum w:abstractNumId="10">
    <w:nsid w:val="64CF817D"/>
    <w:multiLevelType w:val="singleLevel"/>
    <w:tmpl w:val="64CF817D"/>
    <w:lvl w:ilvl="0" w:tentative="0">
      <w:start w:val="1"/>
      <w:numFmt w:val="chineseCounting"/>
      <w:suff w:val="nothing"/>
      <w:lvlText w:val="%1、"/>
      <w:lvlJc w:val="left"/>
      <w:pPr>
        <w:ind w:left="0" w:firstLine="420"/>
      </w:pPr>
      <w:rPr>
        <w:rFonts w:hint="eastAsia"/>
      </w:rPr>
    </w:lvl>
  </w:abstractNum>
  <w:abstractNum w:abstractNumId="11">
    <w:nsid w:val="790079DA"/>
    <w:multiLevelType w:val="singleLevel"/>
    <w:tmpl w:val="790079DA"/>
    <w:lvl w:ilvl="0" w:tentative="0">
      <w:start w:val="3"/>
      <w:numFmt w:val="chineseCounting"/>
      <w:suff w:val="nothing"/>
      <w:lvlText w:val="%1、"/>
      <w:lvlJc w:val="left"/>
      <w:rPr>
        <w:rFonts w:hint="eastAsia"/>
      </w:rPr>
    </w:lvl>
  </w:abstractNum>
  <w:num w:numId="1">
    <w:abstractNumId w:val="1"/>
  </w:num>
  <w:num w:numId="2">
    <w:abstractNumId w:val="3"/>
  </w:num>
  <w:num w:numId="3">
    <w:abstractNumId w:val="4"/>
  </w:num>
  <w:num w:numId="4">
    <w:abstractNumId w:val="6"/>
  </w:num>
  <w:num w:numId="5">
    <w:abstractNumId w:val="2"/>
  </w:num>
  <w:num w:numId="6">
    <w:abstractNumId w:val="9"/>
  </w:num>
  <w:num w:numId="7">
    <w:abstractNumId w:val="8"/>
  </w:num>
  <w:num w:numId="8">
    <w:abstractNumId w:val="11"/>
  </w:num>
  <w:num w:numId="9">
    <w:abstractNumId w:val="5"/>
  </w:num>
  <w:num w:numId="10">
    <w:abstractNumId w:val="10"/>
  </w:num>
  <w:num w:numId="11">
    <w:abstractNumId w:val="0"/>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BlODJmM2IxZDBhODExZGZiODFhMmIyMDVmYTc2ZGQifQ=="/>
  </w:docVars>
  <w:rsids>
    <w:rsidRoot w:val="00774BDA"/>
    <w:rsid w:val="00000197"/>
    <w:rsid w:val="000006AD"/>
    <w:rsid w:val="00000853"/>
    <w:rsid w:val="00000E7D"/>
    <w:rsid w:val="00001182"/>
    <w:rsid w:val="000012A6"/>
    <w:rsid w:val="000014A7"/>
    <w:rsid w:val="000023FF"/>
    <w:rsid w:val="000030CC"/>
    <w:rsid w:val="00003118"/>
    <w:rsid w:val="000034B5"/>
    <w:rsid w:val="000039AC"/>
    <w:rsid w:val="00003A38"/>
    <w:rsid w:val="00003CE4"/>
    <w:rsid w:val="00003DAF"/>
    <w:rsid w:val="00004727"/>
    <w:rsid w:val="00004A3F"/>
    <w:rsid w:val="00004D5B"/>
    <w:rsid w:val="000069DD"/>
    <w:rsid w:val="00006B53"/>
    <w:rsid w:val="000070BF"/>
    <w:rsid w:val="0000717E"/>
    <w:rsid w:val="00010986"/>
    <w:rsid w:val="0001104C"/>
    <w:rsid w:val="000120B2"/>
    <w:rsid w:val="00012A11"/>
    <w:rsid w:val="00013636"/>
    <w:rsid w:val="0001456D"/>
    <w:rsid w:val="000147CA"/>
    <w:rsid w:val="000150DC"/>
    <w:rsid w:val="00015444"/>
    <w:rsid w:val="00015B8B"/>
    <w:rsid w:val="000162E3"/>
    <w:rsid w:val="0001642C"/>
    <w:rsid w:val="00016B0A"/>
    <w:rsid w:val="00016E6A"/>
    <w:rsid w:val="00017216"/>
    <w:rsid w:val="000175E9"/>
    <w:rsid w:val="000179BF"/>
    <w:rsid w:val="000201EB"/>
    <w:rsid w:val="00020773"/>
    <w:rsid w:val="000208D2"/>
    <w:rsid w:val="00020AF7"/>
    <w:rsid w:val="00020B15"/>
    <w:rsid w:val="000211DD"/>
    <w:rsid w:val="00021454"/>
    <w:rsid w:val="00021986"/>
    <w:rsid w:val="00021AB5"/>
    <w:rsid w:val="000220C7"/>
    <w:rsid w:val="00022211"/>
    <w:rsid w:val="000223B0"/>
    <w:rsid w:val="000225C1"/>
    <w:rsid w:val="00022F5D"/>
    <w:rsid w:val="0002396C"/>
    <w:rsid w:val="00023BDF"/>
    <w:rsid w:val="00024303"/>
    <w:rsid w:val="00024933"/>
    <w:rsid w:val="00024C81"/>
    <w:rsid w:val="0002563F"/>
    <w:rsid w:val="00025676"/>
    <w:rsid w:val="0002597C"/>
    <w:rsid w:val="0002623D"/>
    <w:rsid w:val="000262C6"/>
    <w:rsid w:val="00026528"/>
    <w:rsid w:val="00026C8F"/>
    <w:rsid w:val="00026C94"/>
    <w:rsid w:val="0003032D"/>
    <w:rsid w:val="000303D9"/>
    <w:rsid w:val="00030595"/>
    <w:rsid w:val="000305EF"/>
    <w:rsid w:val="00030CD5"/>
    <w:rsid w:val="00030E70"/>
    <w:rsid w:val="00031545"/>
    <w:rsid w:val="00031830"/>
    <w:rsid w:val="0003197E"/>
    <w:rsid w:val="000322D2"/>
    <w:rsid w:val="0003279B"/>
    <w:rsid w:val="000330E6"/>
    <w:rsid w:val="0003312F"/>
    <w:rsid w:val="00033287"/>
    <w:rsid w:val="00034029"/>
    <w:rsid w:val="00034058"/>
    <w:rsid w:val="000341C7"/>
    <w:rsid w:val="00035242"/>
    <w:rsid w:val="00035C5C"/>
    <w:rsid w:val="00035C8D"/>
    <w:rsid w:val="000365E4"/>
    <w:rsid w:val="00036FDB"/>
    <w:rsid w:val="000372B2"/>
    <w:rsid w:val="00037718"/>
    <w:rsid w:val="00040C94"/>
    <w:rsid w:val="0004131B"/>
    <w:rsid w:val="000414DD"/>
    <w:rsid w:val="00041986"/>
    <w:rsid w:val="000419FE"/>
    <w:rsid w:val="00041B64"/>
    <w:rsid w:val="0004222C"/>
    <w:rsid w:val="00042510"/>
    <w:rsid w:val="00042DC4"/>
    <w:rsid w:val="00043689"/>
    <w:rsid w:val="000438F5"/>
    <w:rsid w:val="00043AE7"/>
    <w:rsid w:val="000442E1"/>
    <w:rsid w:val="00044B31"/>
    <w:rsid w:val="00044D31"/>
    <w:rsid w:val="00044DEE"/>
    <w:rsid w:val="00045659"/>
    <w:rsid w:val="000457ED"/>
    <w:rsid w:val="000460E1"/>
    <w:rsid w:val="000467EE"/>
    <w:rsid w:val="00046A9C"/>
    <w:rsid w:val="0004736C"/>
    <w:rsid w:val="00047417"/>
    <w:rsid w:val="00047ACE"/>
    <w:rsid w:val="00047D2F"/>
    <w:rsid w:val="0005069E"/>
    <w:rsid w:val="000507E5"/>
    <w:rsid w:val="00050978"/>
    <w:rsid w:val="00050D4A"/>
    <w:rsid w:val="000514D2"/>
    <w:rsid w:val="000519FC"/>
    <w:rsid w:val="00051D6C"/>
    <w:rsid w:val="0005233B"/>
    <w:rsid w:val="00052B8A"/>
    <w:rsid w:val="00052E71"/>
    <w:rsid w:val="00053215"/>
    <w:rsid w:val="00053247"/>
    <w:rsid w:val="00053411"/>
    <w:rsid w:val="00053EA2"/>
    <w:rsid w:val="00053F6D"/>
    <w:rsid w:val="00053F72"/>
    <w:rsid w:val="00054389"/>
    <w:rsid w:val="00055DE6"/>
    <w:rsid w:val="0005659B"/>
    <w:rsid w:val="00056768"/>
    <w:rsid w:val="000567D5"/>
    <w:rsid w:val="00056B10"/>
    <w:rsid w:val="00056C80"/>
    <w:rsid w:val="00056CDF"/>
    <w:rsid w:val="00057D51"/>
    <w:rsid w:val="000606B0"/>
    <w:rsid w:val="00060AC6"/>
    <w:rsid w:val="00061121"/>
    <w:rsid w:val="00061A28"/>
    <w:rsid w:val="00061F97"/>
    <w:rsid w:val="00061FD5"/>
    <w:rsid w:val="0006275B"/>
    <w:rsid w:val="00062D61"/>
    <w:rsid w:val="00063851"/>
    <w:rsid w:val="000641F7"/>
    <w:rsid w:val="000651E7"/>
    <w:rsid w:val="00065C00"/>
    <w:rsid w:val="00070394"/>
    <w:rsid w:val="000706A0"/>
    <w:rsid w:val="000707AC"/>
    <w:rsid w:val="00070EBF"/>
    <w:rsid w:val="00070ED5"/>
    <w:rsid w:val="00070F6C"/>
    <w:rsid w:val="000710FC"/>
    <w:rsid w:val="00072E05"/>
    <w:rsid w:val="00073620"/>
    <w:rsid w:val="0007429F"/>
    <w:rsid w:val="00074BD4"/>
    <w:rsid w:val="00074E9C"/>
    <w:rsid w:val="0007513C"/>
    <w:rsid w:val="000757B8"/>
    <w:rsid w:val="0007592D"/>
    <w:rsid w:val="00075BA5"/>
    <w:rsid w:val="00075DD0"/>
    <w:rsid w:val="000767CF"/>
    <w:rsid w:val="00076A78"/>
    <w:rsid w:val="00076D2C"/>
    <w:rsid w:val="00076F12"/>
    <w:rsid w:val="00077B34"/>
    <w:rsid w:val="00077F0E"/>
    <w:rsid w:val="00080051"/>
    <w:rsid w:val="00080C8C"/>
    <w:rsid w:val="0008231C"/>
    <w:rsid w:val="000824AF"/>
    <w:rsid w:val="000826D6"/>
    <w:rsid w:val="000826F7"/>
    <w:rsid w:val="00082942"/>
    <w:rsid w:val="00082E16"/>
    <w:rsid w:val="00082F09"/>
    <w:rsid w:val="000831E2"/>
    <w:rsid w:val="000837E4"/>
    <w:rsid w:val="00083A7B"/>
    <w:rsid w:val="000848CA"/>
    <w:rsid w:val="00084B86"/>
    <w:rsid w:val="00084B94"/>
    <w:rsid w:val="00086493"/>
    <w:rsid w:val="000864D0"/>
    <w:rsid w:val="000868F3"/>
    <w:rsid w:val="00087271"/>
    <w:rsid w:val="0008790A"/>
    <w:rsid w:val="00087D2C"/>
    <w:rsid w:val="0009066C"/>
    <w:rsid w:val="0009139B"/>
    <w:rsid w:val="000918D5"/>
    <w:rsid w:val="00091929"/>
    <w:rsid w:val="00092F1D"/>
    <w:rsid w:val="00093013"/>
    <w:rsid w:val="000933FA"/>
    <w:rsid w:val="00093C41"/>
    <w:rsid w:val="000941A7"/>
    <w:rsid w:val="000941B5"/>
    <w:rsid w:val="00094302"/>
    <w:rsid w:val="00094624"/>
    <w:rsid w:val="00094800"/>
    <w:rsid w:val="00094863"/>
    <w:rsid w:val="00094ACE"/>
    <w:rsid w:val="0009594D"/>
    <w:rsid w:val="000965D0"/>
    <w:rsid w:val="00097080"/>
    <w:rsid w:val="00097D06"/>
    <w:rsid w:val="000A04B4"/>
    <w:rsid w:val="000A172F"/>
    <w:rsid w:val="000A1E6E"/>
    <w:rsid w:val="000A1FED"/>
    <w:rsid w:val="000A2806"/>
    <w:rsid w:val="000A2B25"/>
    <w:rsid w:val="000A2E6E"/>
    <w:rsid w:val="000A381C"/>
    <w:rsid w:val="000A3836"/>
    <w:rsid w:val="000A4C06"/>
    <w:rsid w:val="000A518A"/>
    <w:rsid w:val="000A5B29"/>
    <w:rsid w:val="000A6785"/>
    <w:rsid w:val="000A7617"/>
    <w:rsid w:val="000A7FD0"/>
    <w:rsid w:val="000B023E"/>
    <w:rsid w:val="000B13F7"/>
    <w:rsid w:val="000B16B6"/>
    <w:rsid w:val="000B234C"/>
    <w:rsid w:val="000B25FB"/>
    <w:rsid w:val="000B2749"/>
    <w:rsid w:val="000B29E1"/>
    <w:rsid w:val="000B4C16"/>
    <w:rsid w:val="000B510B"/>
    <w:rsid w:val="000B5422"/>
    <w:rsid w:val="000B5996"/>
    <w:rsid w:val="000B6710"/>
    <w:rsid w:val="000B67C7"/>
    <w:rsid w:val="000B737C"/>
    <w:rsid w:val="000C0FA3"/>
    <w:rsid w:val="000C1297"/>
    <w:rsid w:val="000C17FC"/>
    <w:rsid w:val="000C1B10"/>
    <w:rsid w:val="000C20DE"/>
    <w:rsid w:val="000C3CFD"/>
    <w:rsid w:val="000C47F4"/>
    <w:rsid w:val="000C4E93"/>
    <w:rsid w:val="000C5044"/>
    <w:rsid w:val="000C58E8"/>
    <w:rsid w:val="000C5FA0"/>
    <w:rsid w:val="000C60E1"/>
    <w:rsid w:val="000C6175"/>
    <w:rsid w:val="000C61ED"/>
    <w:rsid w:val="000C6797"/>
    <w:rsid w:val="000C7114"/>
    <w:rsid w:val="000C79E7"/>
    <w:rsid w:val="000C7E15"/>
    <w:rsid w:val="000D01C7"/>
    <w:rsid w:val="000D0403"/>
    <w:rsid w:val="000D0681"/>
    <w:rsid w:val="000D2650"/>
    <w:rsid w:val="000D297E"/>
    <w:rsid w:val="000D2F98"/>
    <w:rsid w:val="000D35A0"/>
    <w:rsid w:val="000D36A9"/>
    <w:rsid w:val="000D3A55"/>
    <w:rsid w:val="000D438A"/>
    <w:rsid w:val="000D497A"/>
    <w:rsid w:val="000D4BC7"/>
    <w:rsid w:val="000D5477"/>
    <w:rsid w:val="000D54B6"/>
    <w:rsid w:val="000D631E"/>
    <w:rsid w:val="000D66D8"/>
    <w:rsid w:val="000D6C39"/>
    <w:rsid w:val="000D729F"/>
    <w:rsid w:val="000D75A6"/>
    <w:rsid w:val="000D7E31"/>
    <w:rsid w:val="000E067E"/>
    <w:rsid w:val="000E09C0"/>
    <w:rsid w:val="000E0F43"/>
    <w:rsid w:val="000E18AF"/>
    <w:rsid w:val="000E1F13"/>
    <w:rsid w:val="000E1FD0"/>
    <w:rsid w:val="000E2290"/>
    <w:rsid w:val="000E2455"/>
    <w:rsid w:val="000E2EAC"/>
    <w:rsid w:val="000E39EB"/>
    <w:rsid w:val="000E39F1"/>
    <w:rsid w:val="000E3D6C"/>
    <w:rsid w:val="000E3F86"/>
    <w:rsid w:val="000E4634"/>
    <w:rsid w:val="000E4F26"/>
    <w:rsid w:val="000E58BA"/>
    <w:rsid w:val="000E5AC3"/>
    <w:rsid w:val="000E5EB8"/>
    <w:rsid w:val="000E75CC"/>
    <w:rsid w:val="000F08C1"/>
    <w:rsid w:val="000F0C9F"/>
    <w:rsid w:val="000F0CF3"/>
    <w:rsid w:val="000F0F3D"/>
    <w:rsid w:val="000F1158"/>
    <w:rsid w:val="000F1B48"/>
    <w:rsid w:val="000F1B83"/>
    <w:rsid w:val="000F287A"/>
    <w:rsid w:val="000F2AEA"/>
    <w:rsid w:val="000F3AE7"/>
    <w:rsid w:val="000F3B34"/>
    <w:rsid w:val="000F3CCD"/>
    <w:rsid w:val="000F403E"/>
    <w:rsid w:val="000F4205"/>
    <w:rsid w:val="000F429F"/>
    <w:rsid w:val="000F483F"/>
    <w:rsid w:val="000F49F1"/>
    <w:rsid w:val="000F4D81"/>
    <w:rsid w:val="000F5DCB"/>
    <w:rsid w:val="000F6480"/>
    <w:rsid w:val="000F667C"/>
    <w:rsid w:val="000F6704"/>
    <w:rsid w:val="000F6881"/>
    <w:rsid w:val="000F68AB"/>
    <w:rsid w:val="000F6CDA"/>
    <w:rsid w:val="000F72B2"/>
    <w:rsid w:val="000F75AA"/>
    <w:rsid w:val="00100369"/>
    <w:rsid w:val="0010066F"/>
    <w:rsid w:val="001016C1"/>
    <w:rsid w:val="0010180C"/>
    <w:rsid w:val="00101E26"/>
    <w:rsid w:val="00101ED8"/>
    <w:rsid w:val="00101EE3"/>
    <w:rsid w:val="00102F52"/>
    <w:rsid w:val="00103A06"/>
    <w:rsid w:val="00103D69"/>
    <w:rsid w:val="00104946"/>
    <w:rsid w:val="00104960"/>
    <w:rsid w:val="001053BA"/>
    <w:rsid w:val="00105B28"/>
    <w:rsid w:val="00106926"/>
    <w:rsid w:val="00106ACF"/>
    <w:rsid w:val="0010719F"/>
    <w:rsid w:val="00107A57"/>
    <w:rsid w:val="00107BFB"/>
    <w:rsid w:val="001100CC"/>
    <w:rsid w:val="0011087A"/>
    <w:rsid w:val="00110D01"/>
    <w:rsid w:val="00111173"/>
    <w:rsid w:val="00111325"/>
    <w:rsid w:val="0011159C"/>
    <w:rsid w:val="00111637"/>
    <w:rsid w:val="00111718"/>
    <w:rsid w:val="00111795"/>
    <w:rsid w:val="00111B01"/>
    <w:rsid w:val="00112041"/>
    <w:rsid w:val="00112303"/>
    <w:rsid w:val="00112D84"/>
    <w:rsid w:val="00113088"/>
    <w:rsid w:val="00113535"/>
    <w:rsid w:val="0011440F"/>
    <w:rsid w:val="00115038"/>
    <w:rsid w:val="0011517C"/>
    <w:rsid w:val="00115808"/>
    <w:rsid w:val="00115E37"/>
    <w:rsid w:val="001165D0"/>
    <w:rsid w:val="00116A5C"/>
    <w:rsid w:val="00116DC2"/>
    <w:rsid w:val="00117127"/>
    <w:rsid w:val="0011738A"/>
    <w:rsid w:val="00117A39"/>
    <w:rsid w:val="00117CD3"/>
    <w:rsid w:val="00117DA2"/>
    <w:rsid w:val="00120197"/>
    <w:rsid w:val="00120959"/>
    <w:rsid w:val="00120D4A"/>
    <w:rsid w:val="00121929"/>
    <w:rsid w:val="00122154"/>
    <w:rsid w:val="00122157"/>
    <w:rsid w:val="001228F4"/>
    <w:rsid w:val="00122D5D"/>
    <w:rsid w:val="00122D5F"/>
    <w:rsid w:val="0012317A"/>
    <w:rsid w:val="00123AD2"/>
    <w:rsid w:val="00124321"/>
    <w:rsid w:val="0012501D"/>
    <w:rsid w:val="001256D4"/>
    <w:rsid w:val="00126069"/>
    <w:rsid w:val="00126565"/>
    <w:rsid w:val="0012674E"/>
    <w:rsid w:val="00127539"/>
    <w:rsid w:val="00130716"/>
    <w:rsid w:val="00130810"/>
    <w:rsid w:val="00131E56"/>
    <w:rsid w:val="00132502"/>
    <w:rsid w:val="001328B9"/>
    <w:rsid w:val="001328F3"/>
    <w:rsid w:val="0013315E"/>
    <w:rsid w:val="0013334E"/>
    <w:rsid w:val="001333C2"/>
    <w:rsid w:val="001333E7"/>
    <w:rsid w:val="001339C9"/>
    <w:rsid w:val="0013470A"/>
    <w:rsid w:val="001354B3"/>
    <w:rsid w:val="00135584"/>
    <w:rsid w:val="0013567F"/>
    <w:rsid w:val="001358BB"/>
    <w:rsid w:val="00135A92"/>
    <w:rsid w:val="00135CD5"/>
    <w:rsid w:val="00136437"/>
    <w:rsid w:val="001365BE"/>
    <w:rsid w:val="00136B9A"/>
    <w:rsid w:val="00137F04"/>
    <w:rsid w:val="00140102"/>
    <w:rsid w:val="00141C7B"/>
    <w:rsid w:val="00142CC7"/>
    <w:rsid w:val="00143A9B"/>
    <w:rsid w:val="0014412B"/>
    <w:rsid w:val="00144262"/>
    <w:rsid w:val="001454E0"/>
    <w:rsid w:val="00145B0A"/>
    <w:rsid w:val="00145D92"/>
    <w:rsid w:val="00146BAB"/>
    <w:rsid w:val="00147834"/>
    <w:rsid w:val="00147CEC"/>
    <w:rsid w:val="00147EA9"/>
    <w:rsid w:val="0015029C"/>
    <w:rsid w:val="00150311"/>
    <w:rsid w:val="00150928"/>
    <w:rsid w:val="00150970"/>
    <w:rsid w:val="00150AC7"/>
    <w:rsid w:val="00150C37"/>
    <w:rsid w:val="00151115"/>
    <w:rsid w:val="00152482"/>
    <w:rsid w:val="00152E81"/>
    <w:rsid w:val="001534C0"/>
    <w:rsid w:val="00154FFE"/>
    <w:rsid w:val="00155921"/>
    <w:rsid w:val="001559B3"/>
    <w:rsid w:val="00155B15"/>
    <w:rsid w:val="00155C4D"/>
    <w:rsid w:val="00155E2F"/>
    <w:rsid w:val="001563E5"/>
    <w:rsid w:val="001565F8"/>
    <w:rsid w:val="001574EE"/>
    <w:rsid w:val="00157589"/>
    <w:rsid w:val="001579BF"/>
    <w:rsid w:val="00157B00"/>
    <w:rsid w:val="00157B3E"/>
    <w:rsid w:val="001601EA"/>
    <w:rsid w:val="00162437"/>
    <w:rsid w:val="0016275A"/>
    <w:rsid w:val="0016275D"/>
    <w:rsid w:val="0016290F"/>
    <w:rsid w:val="00163067"/>
    <w:rsid w:val="00164116"/>
    <w:rsid w:val="00164C04"/>
    <w:rsid w:val="001656B6"/>
    <w:rsid w:val="00165CB2"/>
    <w:rsid w:val="0016619E"/>
    <w:rsid w:val="00166236"/>
    <w:rsid w:val="00166756"/>
    <w:rsid w:val="00166D2D"/>
    <w:rsid w:val="001679A4"/>
    <w:rsid w:val="00167C44"/>
    <w:rsid w:val="00167DEF"/>
    <w:rsid w:val="00167F76"/>
    <w:rsid w:val="001701C4"/>
    <w:rsid w:val="00170247"/>
    <w:rsid w:val="001709A0"/>
    <w:rsid w:val="00170ACE"/>
    <w:rsid w:val="00171788"/>
    <w:rsid w:val="00171A9D"/>
    <w:rsid w:val="001721A5"/>
    <w:rsid w:val="00172A69"/>
    <w:rsid w:val="00172B7C"/>
    <w:rsid w:val="00172B9D"/>
    <w:rsid w:val="00172EFD"/>
    <w:rsid w:val="00173830"/>
    <w:rsid w:val="00173B59"/>
    <w:rsid w:val="00173C98"/>
    <w:rsid w:val="00173E97"/>
    <w:rsid w:val="0017411F"/>
    <w:rsid w:val="001746CC"/>
    <w:rsid w:val="00174BE8"/>
    <w:rsid w:val="001754A8"/>
    <w:rsid w:val="0017561E"/>
    <w:rsid w:val="00175DDC"/>
    <w:rsid w:val="0017635F"/>
    <w:rsid w:val="00176812"/>
    <w:rsid w:val="00176D76"/>
    <w:rsid w:val="001777C8"/>
    <w:rsid w:val="00177EDF"/>
    <w:rsid w:val="00180151"/>
    <w:rsid w:val="0018067A"/>
    <w:rsid w:val="00180C47"/>
    <w:rsid w:val="00180D7B"/>
    <w:rsid w:val="00180DA5"/>
    <w:rsid w:val="00180DB5"/>
    <w:rsid w:val="00181FB9"/>
    <w:rsid w:val="00182782"/>
    <w:rsid w:val="00182F6D"/>
    <w:rsid w:val="001831AE"/>
    <w:rsid w:val="00183B3E"/>
    <w:rsid w:val="00183E3B"/>
    <w:rsid w:val="00184D6A"/>
    <w:rsid w:val="00184DC6"/>
    <w:rsid w:val="00185055"/>
    <w:rsid w:val="00185543"/>
    <w:rsid w:val="00185C7F"/>
    <w:rsid w:val="001863E4"/>
    <w:rsid w:val="00186761"/>
    <w:rsid w:val="00186794"/>
    <w:rsid w:val="00186819"/>
    <w:rsid w:val="00186BA5"/>
    <w:rsid w:val="001873C6"/>
    <w:rsid w:val="001875F7"/>
    <w:rsid w:val="00187DEA"/>
    <w:rsid w:val="00190A3E"/>
    <w:rsid w:val="00190CF3"/>
    <w:rsid w:val="00190FBE"/>
    <w:rsid w:val="00191129"/>
    <w:rsid w:val="001911F0"/>
    <w:rsid w:val="00191A71"/>
    <w:rsid w:val="00191D2A"/>
    <w:rsid w:val="00191FD6"/>
    <w:rsid w:val="00192A02"/>
    <w:rsid w:val="00192CB3"/>
    <w:rsid w:val="00192D87"/>
    <w:rsid w:val="00193241"/>
    <w:rsid w:val="00193339"/>
    <w:rsid w:val="00193AFB"/>
    <w:rsid w:val="00193BC6"/>
    <w:rsid w:val="00194F05"/>
    <w:rsid w:val="001950EF"/>
    <w:rsid w:val="00195E24"/>
    <w:rsid w:val="00195F77"/>
    <w:rsid w:val="00195F93"/>
    <w:rsid w:val="001963AA"/>
    <w:rsid w:val="00196698"/>
    <w:rsid w:val="00197011"/>
    <w:rsid w:val="001971BC"/>
    <w:rsid w:val="00197235"/>
    <w:rsid w:val="0019744B"/>
    <w:rsid w:val="001978F3"/>
    <w:rsid w:val="00197B08"/>
    <w:rsid w:val="00197C7C"/>
    <w:rsid w:val="001A05BA"/>
    <w:rsid w:val="001A08F6"/>
    <w:rsid w:val="001A1285"/>
    <w:rsid w:val="001A2FA6"/>
    <w:rsid w:val="001A333F"/>
    <w:rsid w:val="001A34CB"/>
    <w:rsid w:val="001A3A79"/>
    <w:rsid w:val="001A3DC4"/>
    <w:rsid w:val="001A419C"/>
    <w:rsid w:val="001A4601"/>
    <w:rsid w:val="001A483C"/>
    <w:rsid w:val="001A4A14"/>
    <w:rsid w:val="001A5A73"/>
    <w:rsid w:val="001A5FA1"/>
    <w:rsid w:val="001A62BE"/>
    <w:rsid w:val="001A62F1"/>
    <w:rsid w:val="001A635D"/>
    <w:rsid w:val="001A63B1"/>
    <w:rsid w:val="001A77E6"/>
    <w:rsid w:val="001B0261"/>
    <w:rsid w:val="001B0BAA"/>
    <w:rsid w:val="001B148D"/>
    <w:rsid w:val="001B1B58"/>
    <w:rsid w:val="001B2E89"/>
    <w:rsid w:val="001B3DBB"/>
    <w:rsid w:val="001B41EE"/>
    <w:rsid w:val="001B4B0F"/>
    <w:rsid w:val="001B5110"/>
    <w:rsid w:val="001B5A2D"/>
    <w:rsid w:val="001B5E33"/>
    <w:rsid w:val="001B6090"/>
    <w:rsid w:val="001B61D3"/>
    <w:rsid w:val="001B6BE2"/>
    <w:rsid w:val="001B7BBE"/>
    <w:rsid w:val="001B7C7F"/>
    <w:rsid w:val="001B7CC7"/>
    <w:rsid w:val="001B7E60"/>
    <w:rsid w:val="001C0362"/>
    <w:rsid w:val="001C086F"/>
    <w:rsid w:val="001C1402"/>
    <w:rsid w:val="001C1887"/>
    <w:rsid w:val="001C193E"/>
    <w:rsid w:val="001C2986"/>
    <w:rsid w:val="001C2BEA"/>
    <w:rsid w:val="001C2C38"/>
    <w:rsid w:val="001C2C9A"/>
    <w:rsid w:val="001C2F2E"/>
    <w:rsid w:val="001C2F39"/>
    <w:rsid w:val="001C2F3B"/>
    <w:rsid w:val="001C3477"/>
    <w:rsid w:val="001C3FA8"/>
    <w:rsid w:val="001C44A4"/>
    <w:rsid w:val="001C45E6"/>
    <w:rsid w:val="001C4711"/>
    <w:rsid w:val="001C4C6B"/>
    <w:rsid w:val="001C4E1B"/>
    <w:rsid w:val="001C51E5"/>
    <w:rsid w:val="001C6026"/>
    <w:rsid w:val="001C637C"/>
    <w:rsid w:val="001C66BD"/>
    <w:rsid w:val="001C6835"/>
    <w:rsid w:val="001C71BB"/>
    <w:rsid w:val="001C72E5"/>
    <w:rsid w:val="001C759F"/>
    <w:rsid w:val="001C7BCD"/>
    <w:rsid w:val="001C7E14"/>
    <w:rsid w:val="001D0A95"/>
    <w:rsid w:val="001D0FF8"/>
    <w:rsid w:val="001D1461"/>
    <w:rsid w:val="001D148C"/>
    <w:rsid w:val="001D2678"/>
    <w:rsid w:val="001D273C"/>
    <w:rsid w:val="001D2798"/>
    <w:rsid w:val="001D33F0"/>
    <w:rsid w:val="001D3C25"/>
    <w:rsid w:val="001D3DAC"/>
    <w:rsid w:val="001D412B"/>
    <w:rsid w:val="001D58B7"/>
    <w:rsid w:val="001D5966"/>
    <w:rsid w:val="001D6155"/>
    <w:rsid w:val="001D64E2"/>
    <w:rsid w:val="001D6B17"/>
    <w:rsid w:val="001D756E"/>
    <w:rsid w:val="001D7595"/>
    <w:rsid w:val="001D76E4"/>
    <w:rsid w:val="001D78C9"/>
    <w:rsid w:val="001D7ADF"/>
    <w:rsid w:val="001D7E36"/>
    <w:rsid w:val="001E0D0F"/>
    <w:rsid w:val="001E1A5A"/>
    <w:rsid w:val="001E208F"/>
    <w:rsid w:val="001E239B"/>
    <w:rsid w:val="001E249C"/>
    <w:rsid w:val="001E294B"/>
    <w:rsid w:val="001E2BCE"/>
    <w:rsid w:val="001E2F66"/>
    <w:rsid w:val="001E306D"/>
    <w:rsid w:val="001E3856"/>
    <w:rsid w:val="001E390D"/>
    <w:rsid w:val="001E39DE"/>
    <w:rsid w:val="001E4362"/>
    <w:rsid w:val="001E44B3"/>
    <w:rsid w:val="001E485F"/>
    <w:rsid w:val="001E4A48"/>
    <w:rsid w:val="001E562D"/>
    <w:rsid w:val="001E5B6C"/>
    <w:rsid w:val="001E5D1D"/>
    <w:rsid w:val="001E5DE5"/>
    <w:rsid w:val="001E63B1"/>
    <w:rsid w:val="001E7138"/>
    <w:rsid w:val="001E73C5"/>
    <w:rsid w:val="001E74B5"/>
    <w:rsid w:val="001E78A8"/>
    <w:rsid w:val="001F0077"/>
    <w:rsid w:val="001F01F8"/>
    <w:rsid w:val="001F1107"/>
    <w:rsid w:val="001F1A2D"/>
    <w:rsid w:val="001F1F89"/>
    <w:rsid w:val="001F217C"/>
    <w:rsid w:val="001F22C3"/>
    <w:rsid w:val="001F2B2F"/>
    <w:rsid w:val="001F3AF9"/>
    <w:rsid w:val="001F3EBA"/>
    <w:rsid w:val="001F48B7"/>
    <w:rsid w:val="001F4F07"/>
    <w:rsid w:val="001F4FAF"/>
    <w:rsid w:val="001F555A"/>
    <w:rsid w:val="001F62B2"/>
    <w:rsid w:val="001F6379"/>
    <w:rsid w:val="001F6985"/>
    <w:rsid w:val="001F746C"/>
    <w:rsid w:val="001F7759"/>
    <w:rsid w:val="002000E6"/>
    <w:rsid w:val="00200497"/>
    <w:rsid w:val="00201062"/>
    <w:rsid w:val="0020348F"/>
    <w:rsid w:val="00204509"/>
    <w:rsid w:val="0020453E"/>
    <w:rsid w:val="00204A1F"/>
    <w:rsid w:val="0020544A"/>
    <w:rsid w:val="00205C3D"/>
    <w:rsid w:val="00205E38"/>
    <w:rsid w:val="00206001"/>
    <w:rsid w:val="002064B2"/>
    <w:rsid w:val="00206C2E"/>
    <w:rsid w:val="00206DA8"/>
    <w:rsid w:val="00207028"/>
    <w:rsid w:val="00207498"/>
    <w:rsid w:val="002103C5"/>
    <w:rsid w:val="00210404"/>
    <w:rsid w:val="0021063B"/>
    <w:rsid w:val="0021198C"/>
    <w:rsid w:val="00212579"/>
    <w:rsid w:val="00212B18"/>
    <w:rsid w:val="00212D1C"/>
    <w:rsid w:val="00213689"/>
    <w:rsid w:val="00213BA0"/>
    <w:rsid w:val="00213FD4"/>
    <w:rsid w:val="00214153"/>
    <w:rsid w:val="002141A1"/>
    <w:rsid w:val="00214408"/>
    <w:rsid w:val="00214AB5"/>
    <w:rsid w:val="002150CD"/>
    <w:rsid w:val="002151A2"/>
    <w:rsid w:val="00215360"/>
    <w:rsid w:val="00215A20"/>
    <w:rsid w:val="00215FDC"/>
    <w:rsid w:val="0021643B"/>
    <w:rsid w:val="00216D64"/>
    <w:rsid w:val="002173E3"/>
    <w:rsid w:val="002178DF"/>
    <w:rsid w:val="00220927"/>
    <w:rsid w:val="002209BD"/>
    <w:rsid w:val="00220CE5"/>
    <w:rsid w:val="00220E35"/>
    <w:rsid w:val="00221167"/>
    <w:rsid w:val="00221FBB"/>
    <w:rsid w:val="00222553"/>
    <w:rsid w:val="00222876"/>
    <w:rsid w:val="00222922"/>
    <w:rsid w:val="00222AEA"/>
    <w:rsid w:val="00222B92"/>
    <w:rsid w:val="00222F8C"/>
    <w:rsid w:val="00223C19"/>
    <w:rsid w:val="00223CBD"/>
    <w:rsid w:val="00223F59"/>
    <w:rsid w:val="00224BD2"/>
    <w:rsid w:val="00224D61"/>
    <w:rsid w:val="00224E91"/>
    <w:rsid w:val="00225A72"/>
    <w:rsid w:val="00226081"/>
    <w:rsid w:val="002261EB"/>
    <w:rsid w:val="002262BA"/>
    <w:rsid w:val="002265F7"/>
    <w:rsid w:val="00227D78"/>
    <w:rsid w:val="0023103B"/>
    <w:rsid w:val="00231910"/>
    <w:rsid w:val="00231C0C"/>
    <w:rsid w:val="00232198"/>
    <w:rsid w:val="00233CA1"/>
    <w:rsid w:val="00233F30"/>
    <w:rsid w:val="002350DD"/>
    <w:rsid w:val="00235E9E"/>
    <w:rsid w:val="002366BF"/>
    <w:rsid w:val="00236CDB"/>
    <w:rsid w:val="0023748C"/>
    <w:rsid w:val="002378D0"/>
    <w:rsid w:val="00240379"/>
    <w:rsid w:val="002404E1"/>
    <w:rsid w:val="0024053D"/>
    <w:rsid w:val="0024089B"/>
    <w:rsid w:val="002408A7"/>
    <w:rsid w:val="00240A5A"/>
    <w:rsid w:val="00240DB9"/>
    <w:rsid w:val="00241597"/>
    <w:rsid w:val="0024190A"/>
    <w:rsid w:val="00241BAF"/>
    <w:rsid w:val="00241E86"/>
    <w:rsid w:val="00241FB2"/>
    <w:rsid w:val="00243583"/>
    <w:rsid w:val="0024385C"/>
    <w:rsid w:val="002447DE"/>
    <w:rsid w:val="0024481E"/>
    <w:rsid w:val="00244C93"/>
    <w:rsid w:val="00244DFC"/>
    <w:rsid w:val="00245614"/>
    <w:rsid w:val="00245BE6"/>
    <w:rsid w:val="00246225"/>
    <w:rsid w:val="002465C4"/>
    <w:rsid w:val="002465C7"/>
    <w:rsid w:val="00246742"/>
    <w:rsid w:val="00246912"/>
    <w:rsid w:val="002476B8"/>
    <w:rsid w:val="00247C87"/>
    <w:rsid w:val="00247E12"/>
    <w:rsid w:val="00247F5C"/>
    <w:rsid w:val="002500F1"/>
    <w:rsid w:val="00250E92"/>
    <w:rsid w:val="00251BA2"/>
    <w:rsid w:val="00252339"/>
    <w:rsid w:val="00252487"/>
    <w:rsid w:val="00252726"/>
    <w:rsid w:val="00252D71"/>
    <w:rsid w:val="00252EBE"/>
    <w:rsid w:val="00253C38"/>
    <w:rsid w:val="00253EEE"/>
    <w:rsid w:val="00253FA3"/>
    <w:rsid w:val="00254015"/>
    <w:rsid w:val="00254380"/>
    <w:rsid w:val="0025479D"/>
    <w:rsid w:val="00254A0B"/>
    <w:rsid w:val="00254B9B"/>
    <w:rsid w:val="00255019"/>
    <w:rsid w:val="00255B28"/>
    <w:rsid w:val="00255FC7"/>
    <w:rsid w:val="002561FD"/>
    <w:rsid w:val="00256879"/>
    <w:rsid w:val="002569E8"/>
    <w:rsid w:val="00256B82"/>
    <w:rsid w:val="00256C01"/>
    <w:rsid w:val="00256C8A"/>
    <w:rsid w:val="00256CB5"/>
    <w:rsid w:val="00260782"/>
    <w:rsid w:val="002608E8"/>
    <w:rsid w:val="002609D8"/>
    <w:rsid w:val="00260E45"/>
    <w:rsid w:val="00260E79"/>
    <w:rsid w:val="002611D4"/>
    <w:rsid w:val="002617C7"/>
    <w:rsid w:val="00261A54"/>
    <w:rsid w:val="00263180"/>
    <w:rsid w:val="002633E3"/>
    <w:rsid w:val="00263669"/>
    <w:rsid w:val="002637CF"/>
    <w:rsid w:val="00263842"/>
    <w:rsid w:val="0026387B"/>
    <w:rsid w:val="00263A4D"/>
    <w:rsid w:val="0026400B"/>
    <w:rsid w:val="0026400C"/>
    <w:rsid w:val="002647C2"/>
    <w:rsid w:val="00265038"/>
    <w:rsid w:val="0026548A"/>
    <w:rsid w:val="002654CE"/>
    <w:rsid w:val="00265D41"/>
    <w:rsid w:val="00266ADC"/>
    <w:rsid w:val="00267103"/>
    <w:rsid w:val="00270639"/>
    <w:rsid w:val="002710E2"/>
    <w:rsid w:val="002720BF"/>
    <w:rsid w:val="002728B0"/>
    <w:rsid w:val="00272AF3"/>
    <w:rsid w:val="002739B5"/>
    <w:rsid w:val="00273B6C"/>
    <w:rsid w:val="002742D5"/>
    <w:rsid w:val="002749CF"/>
    <w:rsid w:val="00274B25"/>
    <w:rsid w:val="002753BD"/>
    <w:rsid w:val="00275BDD"/>
    <w:rsid w:val="00275E73"/>
    <w:rsid w:val="002762B8"/>
    <w:rsid w:val="002763A9"/>
    <w:rsid w:val="00276E5E"/>
    <w:rsid w:val="002808FF"/>
    <w:rsid w:val="00280B86"/>
    <w:rsid w:val="002814F1"/>
    <w:rsid w:val="0028255B"/>
    <w:rsid w:val="00282A61"/>
    <w:rsid w:val="00282F89"/>
    <w:rsid w:val="00283365"/>
    <w:rsid w:val="00284BA6"/>
    <w:rsid w:val="00285773"/>
    <w:rsid w:val="002858A5"/>
    <w:rsid w:val="002869A9"/>
    <w:rsid w:val="00286F1F"/>
    <w:rsid w:val="00287CD6"/>
    <w:rsid w:val="002903F3"/>
    <w:rsid w:val="002905B2"/>
    <w:rsid w:val="002909AC"/>
    <w:rsid w:val="002911E8"/>
    <w:rsid w:val="00292490"/>
    <w:rsid w:val="00292E08"/>
    <w:rsid w:val="0029335F"/>
    <w:rsid w:val="0029343D"/>
    <w:rsid w:val="0029361C"/>
    <w:rsid w:val="00293730"/>
    <w:rsid w:val="002951A1"/>
    <w:rsid w:val="00295807"/>
    <w:rsid w:val="002964F0"/>
    <w:rsid w:val="0029670B"/>
    <w:rsid w:val="00296949"/>
    <w:rsid w:val="00296CC2"/>
    <w:rsid w:val="00296ED3"/>
    <w:rsid w:val="0029750A"/>
    <w:rsid w:val="002977FD"/>
    <w:rsid w:val="00297888"/>
    <w:rsid w:val="002A0089"/>
    <w:rsid w:val="002A0483"/>
    <w:rsid w:val="002A0720"/>
    <w:rsid w:val="002A0D0C"/>
    <w:rsid w:val="002A136D"/>
    <w:rsid w:val="002A1C0E"/>
    <w:rsid w:val="002A1FD9"/>
    <w:rsid w:val="002A259A"/>
    <w:rsid w:val="002A2C11"/>
    <w:rsid w:val="002A3490"/>
    <w:rsid w:val="002A34BE"/>
    <w:rsid w:val="002A35DB"/>
    <w:rsid w:val="002A36E4"/>
    <w:rsid w:val="002A4957"/>
    <w:rsid w:val="002A4B97"/>
    <w:rsid w:val="002A4C35"/>
    <w:rsid w:val="002A501A"/>
    <w:rsid w:val="002A5098"/>
    <w:rsid w:val="002A5099"/>
    <w:rsid w:val="002A5C20"/>
    <w:rsid w:val="002A5C55"/>
    <w:rsid w:val="002A5FA8"/>
    <w:rsid w:val="002A6145"/>
    <w:rsid w:val="002A6D65"/>
    <w:rsid w:val="002A7283"/>
    <w:rsid w:val="002A7551"/>
    <w:rsid w:val="002A75BA"/>
    <w:rsid w:val="002A7C22"/>
    <w:rsid w:val="002A7CF8"/>
    <w:rsid w:val="002B0489"/>
    <w:rsid w:val="002B08C3"/>
    <w:rsid w:val="002B14F3"/>
    <w:rsid w:val="002B162E"/>
    <w:rsid w:val="002B1956"/>
    <w:rsid w:val="002B1A16"/>
    <w:rsid w:val="002B1E39"/>
    <w:rsid w:val="002B20B1"/>
    <w:rsid w:val="002B2385"/>
    <w:rsid w:val="002B2AE4"/>
    <w:rsid w:val="002B329E"/>
    <w:rsid w:val="002B406C"/>
    <w:rsid w:val="002B548E"/>
    <w:rsid w:val="002B555F"/>
    <w:rsid w:val="002B591F"/>
    <w:rsid w:val="002B5F24"/>
    <w:rsid w:val="002B5FC3"/>
    <w:rsid w:val="002B6440"/>
    <w:rsid w:val="002B658D"/>
    <w:rsid w:val="002B7984"/>
    <w:rsid w:val="002B7BA7"/>
    <w:rsid w:val="002B7ED4"/>
    <w:rsid w:val="002C160F"/>
    <w:rsid w:val="002C176E"/>
    <w:rsid w:val="002C1814"/>
    <w:rsid w:val="002C1B4D"/>
    <w:rsid w:val="002C2769"/>
    <w:rsid w:val="002C2A42"/>
    <w:rsid w:val="002C2B8B"/>
    <w:rsid w:val="002C2EC4"/>
    <w:rsid w:val="002C2FC5"/>
    <w:rsid w:val="002C2FCF"/>
    <w:rsid w:val="002C315F"/>
    <w:rsid w:val="002C38E0"/>
    <w:rsid w:val="002C41A9"/>
    <w:rsid w:val="002C41CB"/>
    <w:rsid w:val="002C4991"/>
    <w:rsid w:val="002C4B08"/>
    <w:rsid w:val="002C5C4C"/>
    <w:rsid w:val="002C600B"/>
    <w:rsid w:val="002C643D"/>
    <w:rsid w:val="002C6BB9"/>
    <w:rsid w:val="002C6D7A"/>
    <w:rsid w:val="002C6EDF"/>
    <w:rsid w:val="002C7195"/>
    <w:rsid w:val="002C74E8"/>
    <w:rsid w:val="002C7657"/>
    <w:rsid w:val="002C765A"/>
    <w:rsid w:val="002C7B35"/>
    <w:rsid w:val="002C7B57"/>
    <w:rsid w:val="002D053B"/>
    <w:rsid w:val="002D188C"/>
    <w:rsid w:val="002D199D"/>
    <w:rsid w:val="002D1BFF"/>
    <w:rsid w:val="002D4502"/>
    <w:rsid w:val="002D45B7"/>
    <w:rsid w:val="002D51D4"/>
    <w:rsid w:val="002D53EF"/>
    <w:rsid w:val="002D5447"/>
    <w:rsid w:val="002D56E0"/>
    <w:rsid w:val="002D5B19"/>
    <w:rsid w:val="002D65EE"/>
    <w:rsid w:val="002D6835"/>
    <w:rsid w:val="002D7C12"/>
    <w:rsid w:val="002D7F90"/>
    <w:rsid w:val="002E094F"/>
    <w:rsid w:val="002E0DC1"/>
    <w:rsid w:val="002E0DCE"/>
    <w:rsid w:val="002E1DB4"/>
    <w:rsid w:val="002E21DB"/>
    <w:rsid w:val="002E25D0"/>
    <w:rsid w:val="002E3400"/>
    <w:rsid w:val="002E3C45"/>
    <w:rsid w:val="002E3ECE"/>
    <w:rsid w:val="002E4110"/>
    <w:rsid w:val="002E4684"/>
    <w:rsid w:val="002E4A18"/>
    <w:rsid w:val="002E5195"/>
    <w:rsid w:val="002E5918"/>
    <w:rsid w:val="002E6018"/>
    <w:rsid w:val="002E65D8"/>
    <w:rsid w:val="002E66AE"/>
    <w:rsid w:val="002E66FF"/>
    <w:rsid w:val="002E7B5B"/>
    <w:rsid w:val="002F017F"/>
    <w:rsid w:val="002F0611"/>
    <w:rsid w:val="002F0762"/>
    <w:rsid w:val="002F08FC"/>
    <w:rsid w:val="002F0A52"/>
    <w:rsid w:val="002F1370"/>
    <w:rsid w:val="002F27C2"/>
    <w:rsid w:val="002F28FF"/>
    <w:rsid w:val="002F2E95"/>
    <w:rsid w:val="002F2F08"/>
    <w:rsid w:val="002F3AA5"/>
    <w:rsid w:val="002F3CDA"/>
    <w:rsid w:val="002F4089"/>
    <w:rsid w:val="002F4876"/>
    <w:rsid w:val="002F4A2E"/>
    <w:rsid w:val="002F517F"/>
    <w:rsid w:val="002F568E"/>
    <w:rsid w:val="002F575C"/>
    <w:rsid w:val="002F5941"/>
    <w:rsid w:val="002F59EC"/>
    <w:rsid w:val="002F5A40"/>
    <w:rsid w:val="002F5D61"/>
    <w:rsid w:val="002F687E"/>
    <w:rsid w:val="002F6B40"/>
    <w:rsid w:val="002F6D6A"/>
    <w:rsid w:val="002F70D4"/>
    <w:rsid w:val="002F72E9"/>
    <w:rsid w:val="002F7790"/>
    <w:rsid w:val="002F7D1D"/>
    <w:rsid w:val="00300C88"/>
    <w:rsid w:val="00300FF5"/>
    <w:rsid w:val="00301397"/>
    <w:rsid w:val="0030198A"/>
    <w:rsid w:val="00301D54"/>
    <w:rsid w:val="00302148"/>
    <w:rsid w:val="003022EF"/>
    <w:rsid w:val="00303006"/>
    <w:rsid w:val="0030431C"/>
    <w:rsid w:val="0030569C"/>
    <w:rsid w:val="00305726"/>
    <w:rsid w:val="003058B0"/>
    <w:rsid w:val="0030698A"/>
    <w:rsid w:val="00306E14"/>
    <w:rsid w:val="003071E0"/>
    <w:rsid w:val="0030725F"/>
    <w:rsid w:val="003074E8"/>
    <w:rsid w:val="00307A6A"/>
    <w:rsid w:val="00307EBA"/>
    <w:rsid w:val="0031037A"/>
    <w:rsid w:val="00311AAD"/>
    <w:rsid w:val="00311B50"/>
    <w:rsid w:val="00311D53"/>
    <w:rsid w:val="0031250E"/>
    <w:rsid w:val="0031268F"/>
    <w:rsid w:val="0031310B"/>
    <w:rsid w:val="003134A1"/>
    <w:rsid w:val="00314CB1"/>
    <w:rsid w:val="00314F0F"/>
    <w:rsid w:val="00315B40"/>
    <w:rsid w:val="0031610B"/>
    <w:rsid w:val="003165CA"/>
    <w:rsid w:val="00316C5C"/>
    <w:rsid w:val="0031711C"/>
    <w:rsid w:val="003178BD"/>
    <w:rsid w:val="00317B92"/>
    <w:rsid w:val="0032014A"/>
    <w:rsid w:val="003213B5"/>
    <w:rsid w:val="00321D61"/>
    <w:rsid w:val="0032216B"/>
    <w:rsid w:val="00322870"/>
    <w:rsid w:val="00322D47"/>
    <w:rsid w:val="003236A6"/>
    <w:rsid w:val="00323AE5"/>
    <w:rsid w:val="00324A08"/>
    <w:rsid w:val="00324E9B"/>
    <w:rsid w:val="00324F30"/>
    <w:rsid w:val="003250C9"/>
    <w:rsid w:val="00325754"/>
    <w:rsid w:val="0032660B"/>
    <w:rsid w:val="0032733B"/>
    <w:rsid w:val="0032770C"/>
    <w:rsid w:val="00327EA0"/>
    <w:rsid w:val="00332012"/>
    <w:rsid w:val="00332397"/>
    <w:rsid w:val="00332673"/>
    <w:rsid w:val="0033297D"/>
    <w:rsid w:val="00332A1F"/>
    <w:rsid w:val="00333DAF"/>
    <w:rsid w:val="003347A0"/>
    <w:rsid w:val="00334AB5"/>
    <w:rsid w:val="00334BA3"/>
    <w:rsid w:val="00334C1F"/>
    <w:rsid w:val="003351D1"/>
    <w:rsid w:val="00335255"/>
    <w:rsid w:val="003361A8"/>
    <w:rsid w:val="003361CF"/>
    <w:rsid w:val="00336642"/>
    <w:rsid w:val="003366DC"/>
    <w:rsid w:val="00336809"/>
    <w:rsid w:val="00336DF0"/>
    <w:rsid w:val="0033759A"/>
    <w:rsid w:val="00337B15"/>
    <w:rsid w:val="003406F8"/>
    <w:rsid w:val="003408E1"/>
    <w:rsid w:val="00341E92"/>
    <w:rsid w:val="00341EA7"/>
    <w:rsid w:val="003439C9"/>
    <w:rsid w:val="00343BF3"/>
    <w:rsid w:val="00343C8E"/>
    <w:rsid w:val="00344B40"/>
    <w:rsid w:val="00344B50"/>
    <w:rsid w:val="00345061"/>
    <w:rsid w:val="00345232"/>
    <w:rsid w:val="00345F15"/>
    <w:rsid w:val="00345FF6"/>
    <w:rsid w:val="003465C1"/>
    <w:rsid w:val="00346B51"/>
    <w:rsid w:val="00346F0D"/>
    <w:rsid w:val="00347013"/>
    <w:rsid w:val="00347500"/>
    <w:rsid w:val="00347511"/>
    <w:rsid w:val="00347712"/>
    <w:rsid w:val="00347AFA"/>
    <w:rsid w:val="00347C2C"/>
    <w:rsid w:val="00347DB2"/>
    <w:rsid w:val="00350858"/>
    <w:rsid w:val="003524CF"/>
    <w:rsid w:val="00352AFB"/>
    <w:rsid w:val="00352C98"/>
    <w:rsid w:val="00352E89"/>
    <w:rsid w:val="00352EF8"/>
    <w:rsid w:val="00352FC6"/>
    <w:rsid w:val="00354528"/>
    <w:rsid w:val="00354E76"/>
    <w:rsid w:val="003551A8"/>
    <w:rsid w:val="00355222"/>
    <w:rsid w:val="0035529F"/>
    <w:rsid w:val="003562F7"/>
    <w:rsid w:val="003565A4"/>
    <w:rsid w:val="0035671E"/>
    <w:rsid w:val="003567F7"/>
    <w:rsid w:val="00356996"/>
    <w:rsid w:val="00356B55"/>
    <w:rsid w:val="00356E72"/>
    <w:rsid w:val="00356F89"/>
    <w:rsid w:val="00357343"/>
    <w:rsid w:val="00357708"/>
    <w:rsid w:val="0035787B"/>
    <w:rsid w:val="00357EFD"/>
    <w:rsid w:val="0036042E"/>
    <w:rsid w:val="00360F13"/>
    <w:rsid w:val="003619B3"/>
    <w:rsid w:val="00361D52"/>
    <w:rsid w:val="0036226F"/>
    <w:rsid w:val="00362F45"/>
    <w:rsid w:val="00362F59"/>
    <w:rsid w:val="00365411"/>
    <w:rsid w:val="003656D7"/>
    <w:rsid w:val="00365718"/>
    <w:rsid w:val="00366075"/>
    <w:rsid w:val="00366644"/>
    <w:rsid w:val="003666AC"/>
    <w:rsid w:val="003666E1"/>
    <w:rsid w:val="003667F4"/>
    <w:rsid w:val="0036697B"/>
    <w:rsid w:val="00367957"/>
    <w:rsid w:val="0037083E"/>
    <w:rsid w:val="00370B0F"/>
    <w:rsid w:val="00370C76"/>
    <w:rsid w:val="00370F15"/>
    <w:rsid w:val="00372F0E"/>
    <w:rsid w:val="00373017"/>
    <w:rsid w:val="00373287"/>
    <w:rsid w:val="00373361"/>
    <w:rsid w:val="00373675"/>
    <w:rsid w:val="003738C3"/>
    <w:rsid w:val="00373C63"/>
    <w:rsid w:val="00373D2E"/>
    <w:rsid w:val="00373E03"/>
    <w:rsid w:val="00373E32"/>
    <w:rsid w:val="003746B6"/>
    <w:rsid w:val="00374B3D"/>
    <w:rsid w:val="00374C97"/>
    <w:rsid w:val="00374E63"/>
    <w:rsid w:val="0037507A"/>
    <w:rsid w:val="003759D5"/>
    <w:rsid w:val="00375D0B"/>
    <w:rsid w:val="00376156"/>
    <w:rsid w:val="00376651"/>
    <w:rsid w:val="00376E08"/>
    <w:rsid w:val="00377753"/>
    <w:rsid w:val="00377A64"/>
    <w:rsid w:val="003803FE"/>
    <w:rsid w:val="0038044D"/>
    <w:rsid w:val="00380595"/>
    <w:rsid w:val="00380940"/>
    <w:rsid w:val="00380DF9"/>
    <w:rsid w:val="0038114C"/>
    <w:rsid w:val="003812D0"/>
    <w:rsid w:val="003813C8"/>
    <w:rsid w:val="00382489"/>
    <w:rsid w:val="00382E19"/>
    <w:rsid w:val="003830D8"/>
    <w:rsid w:val="003831F3"/>
    <w:rsid w:val="00383AEF"/>
    <w:rsid w:val="00383C6E"/>
    <w:rsid w:val="00383D2F"/>
    <w:rsid w:val="00383E86"/>
    <w:rsid w:val="00383EBE"/>
    <w:rsid w:val="00384185"/>
    <w:rsid w:val="00384D4D"/>
    <w:rsid w:val="00384F51"/>
    <w:rsid w:val="0038505F"/>
    <w:rsid w:val="00385367"/>
    <w:rsid w:val="00385678"/>
    <w:rsid w:val="003859EC"/>
    <w:rsid w:val="00386252"/>
    <w:rsid w:val="00387393"/>
    <w:rsid w:val="00387886"/>
    <w:rsid w:val="00387896"/>
    <w:rsid w:val="00387900"/>
    <w:rsid w:val="00387B6A"/>
    <w:rsid w:val="00390651"/>
    <w:rsid w:val="00390CC3"/>
    <w:rsid w:val="00390EA3"/>
    <w:rsid w:val="0039102A"/>
    <w:rsid w:val="0039191E"/>
    <w:rsid w:val="00392185"/>
    <w:rsid w:val="003921AB"/>
    <w:rsid w:val="00392233"/>
    <w:rsid w:val="00392C50"/>
    <w:rsid w:val="00392EC6"/>
    <w:rsid w:val="00393373"/>
    <w:rsid w:val="0039342F"/>
    <w:rsid w:val="00393468"/>
    <w:rsid w:val="00394CEF"/>
    <w:rsid w:val="00394E7B"/>
    <w:rsid w:val="003952EE"/>
    <w:rsid w:val="00395FDA"/>
    <w:rsid w:val="00396CEC"/>
    <w:rsid w:val="00397386"/>
    <w:rsid w:val="00397669"/>
    <w:rsid w:val="00397A3E"/>
    <w:rsid w:val="00397FCF"/>
    <w:rsid w:val="003A0C26"/>
    <w:rsid w:val="003A1019"/>
    <w:rsid w:val="003A10FA"/>
    <w:rsid w:val="003A12A6"/>
    <w:rsid w:val="003A138B"/>
    <w:rsid w:val="003A1664"/>
    <w:rsid w:val="003A1B37"/>
    <w:rsid w:val="003A2432"/>
    <w:rsid w:val="003A2B99"/>
    <w:rsid w:val="003A33BE"/>
    <w:rsid w:val="003A373B"/>
    <w:rsid w:val="003A4783"/>
    <w:rsid w:val="003A6169"/>
    <w:rsid w:val="003A6235"/>
    <w:rsid w:val="003A68CB"/>
    <w:rsid w:val="003A6D7E"/>
    <w:rsid w:val="003A72B1"/>
    <w:rsid w:val="003A7643"/>
    <w:rsid w:val="003A7820"/>
    <w:rsid w:val="003B0655"/>
    <w:rsid w:val="003B0BA9"/>
    <w:rsid w:val="003B167E"/>
    <w:rsid w:val="003B18A9"/>
    <w:rsid w:val="003B1ADC"/>
    <w:rsid w:val="003B2584"/>
    <w:rsid w:val="003B25AB"/>
    <w:rsid w:val="003B37A0"/>
    <w:rsid w:val="003B445E"/>
    <w:rsid w:val="003B4BE7"/>
    <w:rsid w:val="003B4D7C"/>
    <w:rsid w:val="003B4E9E"/>
    <w:rsid w:val="003B59EB"/>
    <w:rsid w:val="003B5B8F"/>
    <w:rsid w:val="003B5EC5"/>
    <w:rsid w:val="003B6715"/>
    <w:rsid w:val="003B6824"/>
    <w:rsid w:val="003B6914"/>
    <w:rsid w:val="003B6C77"/>
    <w:rsid w:val="003B706F"/>
    <w:rsid w:val="003B7815"/>
    <w:rsid w:val="003B7B5D"/>
    <w:rsid w:val="003B7DB5"/>
    <w:rsid w:val="003B7DFB"/>
    <w:rsid w:val="003C0176"/>
    <w:rsid w:val="003C04A3"/>
    <w:rsid w:val="003C0565"/>
    <w:rsid w:val="003C0598"/>
    <w:rsid w:val="003C067E"/>
    <w:rsid w:val="003C09CF"/>
    <w:rsid w:val="003C0DAD"/>
    <w:rsid w:val="003C148F"/>
    <w:rsid w:val="003C2C4B"/>
    <w:rsid w:val="003C4E0F"/>
    <w:rsid w:val="003C4E36"/>
    <w:rsid w:val="003C4F8B"/>
    <w:rsid w:val="003C52C8"/>
    <w:rsid w:val="003C5ACA"/>
    <w:rsid w:val="003C5E86"/>
    <w:rsid w:val="003C5EC3"/>
    <w:rsid w:val="003C658F"/>
    <w:rsid w:val="003C7769"/>
    <w:rsid w:val="003D0717"/>
    <w:rsid w:val="003D0CB8"/>
    <w:rsid w:val="003D0F92"/>
    <w:rsid w:val="003D0FDB"/>
    <w:rsid w:val="003D103F"/>
    <w:rsid w:val="003D11A2"/>
    <w:rsid w:val="003D1E05"/>
    <w:rsid w:val="003D1F0D"/>
    <w:rsid w:val="003D23BB"/>
    <w:rsid w:val="003D47D2"/>
    <w:rsid w:val="003D4922"/>
    <w:rsid w:val="003D5156"/>
    <w:rsid w:val="003D525D"/>
    <w:rsid w:val="003D555E"/>
    <w:rsid w:val="003D5721"/>
    <w:rsid w:val="003D651D"/>
    <w:rsid w:val="003D676E"/>
    <w:rsid w:val="003D6E5D"/>
    <w:rsid w:val="003D7220"/>
    <w:rsid w:val="003D77C7"/>
    <w:rsid w:val="003E0042"/>
    <w:rsid w:val="003E0671"/>
    <w:rsid w:val="003E06DF"/>
    <w:rsid w:val="003E082C"/>
    <w:rsid w:val="003E08F7"/>
    <w:rsid w:val="003E1179"/>
    <w:rsid w:val="003E12FB"/>
    <w:rsid w:val="003E1460"/>
    <w:rsid w:val="003E14AF"/>
    <w:rsid w:val="003E1510"/>
    <w:rsid w:val="003E19F6"/>
    <w:rsid w:val="003E2B89"/>
    <w:rsid w:val="003E2C66"/>
    <w:rsid w:val="003E2F96"/>
    <w:rsid w:val="003E2FE1"/>
    <w:rsid w:val="003E3B3E"/>
    <w:rsid w:val="003E3FDE"/>
    <w:rsid w:val="003E457C"/>
    <w:rsid w:val="003E4FE0"/>
    <w:rsid w:val="003E500D"/>
    <w:rsid w:val="003E519F"/>
    <w:rsid w:val="003E6F8D"/>
    <w:rsid w:val="003E7770"/>
    <w:rsid w:val="003F0140"/>
    <w:rsid w:val="003F2055"/>
    <w:rsid w:val="003F2059"/>
    <w:rsid w:val="003F2486"/>
    <w:rsid w:val="003F28D5"/>
    <w:rsid w:val="003F2D39"/>
    <w:rsid w:val="003F2E0C"/>
    <w:rsid w:val="003F2EE6"/>
    <w:rsid w:val="003F3338"/>
    <w:rsid w:val="003F36D0"/>
    <w:rsid w:val="003F3AF0"/>
    <w:rsid w:val="003F3B23"/>
    <w:rsid w:val="003F3C2A"/>
    <w:rsid w:val="003F4A6D"/>
    <w:rsid w:val="003F4D48"/>
    <w:rsid w:val="003F5869"/>
    <w:rsid w:val="003F5ED7"/>
    <w:rsid w:val="003F696C"/>
    <w:rsid w:val="003F7841"/>
    <w:rsid w:val="003F7DAC"/>
    <w:rsid w:val="00400DC7"/>
    <w:rsid w:val="00401DEA"/>
    <w:rsid w:val="004020F7"/>
    <w:rsid w:val="004022E8"/>
    <w:rsid w:val="004023ED"/>
    <w:rsid w:val="004038FE"/>
    <w:rsid w:val="00403BC5"/>
    <w:rsid w:val="00403F0C"/>
    <w:rsid w:val="004046B2"/>
    <w:rsid w:val="0040491A"/>
    <w:rsid w:val="00404D30"/>
    <w:rsid w:val="00404D42"/>
    <w:rsid w:val="00404FC7"/>
    <w:rsid w:val="0040500F"/>
    <w:rsid w:val="004059F4"/>
    <w:rsid w:val="00405AFC"/>
    <w:rsid w:val="00406195"/>
    <w:rsid w:val="00406613"/>
    <w:rsid w:val="0040663C"/>
    <w:rsid w:val="00406715"/>
    <w:rsid w:val="0040693C"/>
    <w:rsid w:val="004079E7"/>
    <w:rsid w:val="00407ABC"/>
    <w:rsid w:val="004100C7"/>
    <w:rsid w:val="00410583"/>
    <w:rsid w:val="00410BC0"/>
    <w:rsid w:val="00410F8B"/>
    <w:rsid w:val="00411293"/>
    <w:rsid w:val="00411E7A"/>
    <w:rsid w:val="0041206D"/>
    <w:rsid w:val="004122B7"/>
    <w:rsid w:val="00412715"/>
    <w:rsid w:val="00412A21"/>
    <w:rsid w:val="00412C6C"/>
    <w:rsid w:val="00412E32"/>
    <w:rsid w:val="00412FBA"/>
    <w:rsid w:val="004134F5"/>
    <w:rsid w:val="0041353F"/>
    <w:rsid w:val="0041390E"/>
    <w:rsid w:val="00413B6D"/>
    <w:rsid w:val="004142F2"/>
    <w:rsid w:val="00414753"/>
    <w:rsid w:val="00414B87"/>
    <w:rsid w:val="00415A6F"/>
    <w:rsid w:val="0041641C"/>
    <w:rsid w:val="00416AD1"/>
    <w:rsid w:val="004174F3"/>
    <w:rsid w:val="0041758C"/>
    <w:rsid w:val="00417DBA"/>
    <w:rsid w:val="004201D2"/>
    <w:rsid w:val="00420989"/>
    <w:rsid w:val="004209C8"/>
    <w:rsid w:val="00420E7D"/>
    <w:rsid w:val="004212BA"/>
    <w:rsid w:val="00421446"/>
    <w:rsid w:val="00421AB2"/>
    <w:rsid w:val="00421CC1"/>
    <w:rsid w:val="00421CEE"/>
    <w:rsid w:val="00421FA1"/>
    <w:rsid w:val="0042235C"/>
    <w:rsid w:val="00422391"/>
    <w:rsid w:val="00422ACD"/>
    <w:rsid w:val="00422C86"/>
    <w:rsid w:val="004233BD"/>
    <w:rsid w:val="0042378F"/>
    <w:rsid w:val="00423850"/>
    <w:rsid w:val="00423D5E"/>
    <w:rsid w:val="00424600"/>
    <w:rsid w:val="00424982"/>
    <w:rsid w:val="004257C5"/>
    <w:rsid w:val="0042592F"/>
    <w:rsid w:val="004262BE"/>
    <w:rsid w:val="00426432"/>
    <w:rsid w:val="00426784"/>
    <w:rsid w:val="00426C8B"/>
    <w:rsid w:val="00427841"/>
    <w:rsid w:val="00430480"/>
    <w:rsid w:val="004311E7"/>
    <w:rsid w:val="00431553"/>
    <w:rsid w:val="00432197"/>
    <w:rsid w:val="00432660"/>
    <w:rsid w:val="00432A0F"/>
    <w:rsid w:val="00432F80"/>
    <w:rsid w:val="0043345B"/>
    <w:rsid w:val="004334DF"/>
    <w:rsid w:val="004334ED"/>
    <w:rsid w:val="004335D1"/>
    <w:rsid w:val="00433DF7"/>
    <w:rsid w:val="00434259"/>
    <w:rsid w:val="00434881"/>
    <w:rsid w:val="00434C35"/>
    <w:rsid w:val="00434CB4"/>
    <w:rsid w:val="004358F5"/>
    <w:rsid w:val="00436C32"/>
    <w:rsid w:val="004374B4"/>
    <w:rsid w:val="00437AF5"/>
    <w:rsid w:val="0044094D"/>
    <w:rsid w:val="00440CD6"/>
    <w:rsid w:val="00441783"/>
    <w:rsid w:val="00441D3C"/>
    <w:rsid w:val="00442C7C"/>
    <w:rsid w:val="00442DE8"/>
    <w:rsid w:val="004432FB"/>
    <w:rsid w:val="00443413"/>
    <w:rsid w:val="0044404B"/>
    <w:rsid w:val="004444D4"/>
    <w:rsid w:val="004450FE"/>
    <w:rsid w:val="00445C13"/>
    <w:rsid w:val="00445D7A"/>
    <w:rsid w:val="00445DE2"/>
    <w:rsid w:val="00446A23"/>
    <w:rsid w:val="00446EA0"/>
    <w:rsid w:val="00447012"/>
    <w:rsid w:val="0044705A"/>
    <w:rsid w:val="0044797B"/>
    <w:rsid w:val="00450255"/>
    <w:rsid w:val="00450566"/>
    <w:rsid w:val="0045157F"/>
    <w:rsid w:val="00451ECE"/>
    <w:rsid w:val="00452EDE"/>
    <w:rsid w:val="004539E5"/>
    <w:rsid w:val="00453E57"/>
    <w:rsid w:val="00454797"/>
    <w:rsid w:val="00454A4C"/>
    <w:rsid w:val="004552A7"/>
    <w:rsid w:val="00455958"/>
    <w:rsid w:val="004560AE"/>
    <w:rsid w:val="00456E2E"/>
    <w:rsid w:val="0045741D"/>
    <w:rsid w:val="00457574"/>
    <w:rsid w:val="00457641"/>
    <w:rsid w:val="00457A77"/>
    <w:rsid w:val="004600AA"/>
    <w:rsid w:val="004602BB"/>
    <w:rsid w:val="00460514"/>
    <w:rsid w:val="00460B1E"/>
    <w:rsid w:val="004612AC"/>
    <w:rsid w:val="004615F7"/>
    <w:rsid w:val="004617CF"/>
    <w:rsid w:val="00461C6A"/>
    <w:rsid w:val="004622AB"/>
    <w:rsid w:val="00462325"/>
    <w:rsid w:val="004623D7"/>
    <w:rsid w:val="0046414F"/>
    <w:rsid w:val="004642F0"/>
    <w:rsid w:val="00464ECE"/>
    <w:rsid w:val="0046514A"/>
    <w:rsid w:val="0046571C"/>
    <w:rsid w:val="00465ACB"/>
    <w:rsid w:val="00465AD9"/>
    <w:rsid w:val="0046603F"/>
    <w:rsid w:val="004663B1"/>
    <w:rsid w:val="004667B7"/>
    <w:rsid w:val="0046680E"/>
    <w:rsid w:val="00466C20"/>
    <w:rsid w:val="00466D9B"/>
    <w:rsid w:val="00466EFD"/>
    <w:rsid w:val="004676CB"/>
    <w:rsid w:val="00467A94"/>
    <w:rsid w:val="004700D9"/>
    <w:rsid w:val="004704D0"/>
    <w:rsid w:val="004707EA"/>
    <w:rsid w:val="004712C4"/>
    <w:rsid w:val="0047145D"/>
    <w:rsid w:val="00471E8B"/>
    <w:rsid w:val="0047447D"/>
    <w:rsid w:val="004755FC"/>
    <w:rsid w:val="0047617C"/>
    <w:rsid w:val="004765E1"/>
    <w:rsid w:val="004770A7"/>
    <w:rsid w:val="004770FE"/>
    <w:rsid w:val="00477BAB"/>
    <w:rsid w:val="00477BBA"/>
    <w:rsid w:val="00477CE2"/>
    <w:rsid w:val="0048016E"/>
    <w:rsid w:val="00480E02"/>
    <w:rsid w:val="0048109E"/>
    <w:rsid w:val="00481128"/>
    <w:rsid w:val="00481A34"/>
    <w:rsid w:val="00481CC3"/>
    <w:rsid w:val="0048205F"/>
    <w:rsid w:val="00482331"/>
    <w:rsid w:val="00482BF3"/>
    <w:rsid w:val="00482DC6"/>
    <w:rsid w:val="0048504A"/>
    <w:rsid w:val="0048532E"/>
    <w:rsid w:val="00485867"/>
    <w:rsid w:val="0048626F"/>
    <w:rsid w:val="0048660D"/>
    <w:rsid w:val="00486829"/>
    <w:rsid w:val="0049086A"/>
    <w:rsid w:val="00491199"/>
    <w:rsid w:val="004918E1"/>
    <w:rsid w:val="00491B75"/>
    <w:rsid w:val="004923D7"/>
    <w:rsid w:val="004926DD"/>
    <w:rsid w:val="00493158"/>
    <w:rsid w:val="0049353D"/>
    <w:rsid w:val="004935AC"/>
    <w:rsid w:val="00493D4F"/>
    <w:rsid w:val="00494DA7"/>
    <w:rsid w:val="00494E45"/>
    <w:rsid w:val="00494E71"/>
    <w:rsid w:val="00495032"/>
    <w:rsid w:val="004950FE"/>
    <w:rsid w:val="004953CA"/>
    <w:rsid w:val="00495FB2"/>
    <w:rsid w:val="00496097"/>
    <w:rsid w:val="0049622A"/>
    <w:rsid w:val="004968FC"/>
    <w:rsid w:val="00496FE3"/>
    <w:rsid w:val="004A0B9E"/>
    <w:rsid w:val="004A0EA9"/>
    <w:rsid w:val="004A1935"/>
    <w:rsid w:val="004A1D70"/>
    <w:rsid w:val="004A2B20"/>
    <w:rsid w:val="004A2B48"/>
    <w:rsid w:val="004A431E"/>
    <w:rsid w:val="004A48D3"/>
    <w:rsid w:val="004A4BFA"/>
    <w:rsid w:val="004A4DFC"/>
    <w:rsid w:val="004A5230"/>
    <w:rsid w:val="004A56B2"/>
    <w:rsid w:val="004A5B2D"/>
    <w:rsid w:val="004A5E1D"/>
    <w:rsid w:val="004A657E"/>
    <w:rsid w:val="004A670C"/>
    <w:rsid w:val="004A6B69"/>
    <w:rsid w:val="004A718E"/>
    <w:rsid w:val="004A7F43"/>
    <w:rsid w:val="004B02A0"/>
    <w:rsid w:val="004B04C6"/>
    <w:rsid w:val="004B05CE"/>
    <w:rsid w:val="004B0755"/>
    <w:rsid w:val="004B108E"/>
    <w:rsid w:val="004B134F"/>
    <w:rsid w:val="004B179D"/>
    <w:rsid w:val="004B17AE"/>
    <w:rsid w:val="004B1FE9"/>
    <w:rsid w:val="004B29F7"/>
    <w:rsid w:val="004B2ED1"/>
    <w:rsid w:val="004B3DE2"/>
    <w:rsid w:val="004B4ED9"/>
    <w:rsid w:val="004B5201"/>
    <w:rsid w:val="004B5360"/>
    <w:rsid w:val="004B5947"/>
    <w:rsid w:val="004B5A96"/>
    <w:rsid w:val="004B63F3"/>
    <w:rsid w:val="004B66D5"/>
    <w:rsid w:val="004B6E93"/>
    <w:rsid w:val="004B6F02"/>
    <w:rsid w:val="004B73A4"/>
    <w:rsid w:val="004B7A34"/>
    <w:rsid w:val="004C06EF"/>
    <w:rsid w:val="004C0C35"/>
    <w:rsid w:val="004C0D35"/>
    <w:rsid w:val="004C137E"/>
    <w:rsid w:val="004C1401"/>
    <w:rsid w:val="004C1674"/>
    <w:rsid w:val="004C1747"/>
    <w:rsid w:val="004C2C44"/>
    <w:rsid w:val="004C304B"/>
    <w:rsid w:val="004C3B9D"/>
    <w:rsid w:val="004C3C45"/>
    <w:rsid w:val="004C3DD3"/>
    <w:rsid w:val="004C4308"/>
    <w:rsid w:val="004C4CC4"/>
    <w:rsid w:val="004C5145"/>
    <w:rsid w:val="004C560B"/>
    <w:rsid w:val="004C58A9"/>
    <w:rsid w:val="004C5963"/>
    <w:rsid w:val="004C5D90"/>
    <w:rsid w:val="004C683D"/>
    <w:rsid w:val="004C71A9"/>
    <w:rsid w:val="004C733C"/>
    <w:rsid w:val="004C74D7"/>
    <w:rsid w:val="004C7687"/>
    <w:rsid w:val="004C7B87"/>
    <w:rsid w:val="004D01E6"/>
    <w:rsid w:val="004D025B"/>
    <w:rsid w:val="004D03BC"/>
    <w:rsid w:val="004D03D7"/>
    <w:rsid w:val="004D16A1"/>
    <w:rsid w:val="004D179B"/>
    <w:rsid w:val="004D1C45"/>
    <w:rsid w:val="004D1D3D"/>
    <w:rsid w:val="004D1E3A"/>
    <w:rsid w:val="004D2967"/>
    <w:rsid w:val="004D30FC"/>
    <w:rsid w:val="004D31CA"/>
    <w:rsid w:val="004D3992"/>
    <w:rsid w:val="004D44EA"/>
    <w:rsid w:val="004D4BEA"/>
    <w:rsid w:val="004D4D70"/>
    <w:rsid w:val="004D4DD7"/>
    <w:rsid w:val="004D51AF"/>
    <w:rsid w:val="004D6B8B"/>
    <w:rsid w:val="004D752F"/>
    <w:rsid w:val="004D76AE"/>
    <w:rsid w:val="004D7AF2"/>
    <w:rsid w:val="004D7EA4"/>
    <w:rsid w:val="004E0671"/>
    <w:rsid w:val="004E06FA"/>
    <w:rsid w:val="004E0A0D"/>
    <w:rsid w:val="004E17B7"/>
    <w:rsid w:val="004E25D4"/>
    <w:rsid w:val="004E25F4"/>
    <w:rsid w:val="004E3163"/>
    <w:rsid w:val="004E363B"/>
    <w:rsid w:val="004E370F"/>
    <w:rsid w:val="004E3948"/>
    <w:rsid w:val="004E3AB2"/>
    <w:rsid w:val="004E3CA6"/>
    <w:rsid w:val="004E3F4F"/>
    <w:rsid w:val="004E4D2F"/>
    <w:rsid w:val="004E4F06"/>
    <w:rsid w:val="004E56DD"/>
    <w:rsid w:val="004E57A9"/>
    <w:rsid w:val="004E5A67"/>
    <w:rsid w:val="004E5C66"/>
    <w:rsid w:val="004E677E"/>
    <w:rsid w:val="004E70C9"/>
    <w:rsid w:val="004E736B"/>
    <w:rsid w:val="004E7C94"/>
    <w:rsid w:val="004F00A4"/>
    <w:rsid w:val="004F0AA5"/>
    <w:rsid w:val="004F133B"/>
    <w:rsid w:val="004F159E"/>
    <w:rsid w:val="004F17B1"/>
    <w:rsid w:val="004F27B1"/>
    <w:rsid w:val="004F2897"/>
    <w:rsid w:val="004F3149"/>
    <w:rsid w:val="004F315F"/>
    <w:rsid w:val="004F3AE1"/>
    <w:rsid w:val="004F3CD3"/>
    <w:rsid w:val="004F417C"/>
    <w:rsid w:val="004F42AC"/>
    <w:rsid w:val="004F451A"/>
    <w:rsid w:val="004F5231"/>
    <w:rsid w:val="004F5802"/>
    <w:rsid w:val="004F6510"/>
    <w:rsid w:val="004F690A"/>
    <w:rsid w:val="004F71CA"/>
    <w:rsid w:val="004F77FA"/>
    <w:rsid w:val="00500154"/>
    <w:rsid w:val="00500A7A"/>
    <w:rsid w:val="00500EBD"/>
    <w:rsid w:val="00501536"/>
    <w:rsid w:val="0050323C"/>
    <w:rsid w:val="00503744"/>
    <w:rsid w:val="00503ACF"/>
    <w:rsid w:val="005049C7"/>
    <w:rsid w:val="00504BBB"/>
    <w:rsid w:val="00505224"/>
    <w:rsid w:val="00505824"/>
    <w:rsid w:val="005059E6"/>
    <w:rsid w:val="00505F9D"/>
    <w:rsid w:val="00506965"/>
    <w:rsid w:val="00506CD0"/>
    <w:rsid w:val="00507717"/>
    <w:rsid w:val="00510322"/>
    <w:rsid w:val="00511B10"/>
    <w:rsid w:val="00511BCA"/>
    <w:rsid w:val="00511D1E"/>
    <w:rsid w:val="00511D32"/>
    <w:rsid w:val="0051230B"/>
    <w:rsid w:val="005123CB"/>
    <w:rsid w:val="00512DEE"/>
    <w:rsid w:val="005136AD"/>
    <w:rsid w:val="00514213"/>
    <w:rsid w:val="005144E0"/>
    <w:rsid w:val="00514500"/>
    <w:rsid w:val="00514BB6"/>
    <w:rsid w:val="00514D45"/>
    <w:rsid w:val="0051551F"/>
    <w:rsid w:val="00515799"/>
    <w:rsid w:val="005165D9"/>
    <w:rsid w:val="005168D3"/>
    <w:rsid w:val="00520106"/>
    <w:rsid w:val="0052042E"/>
    <w:rsid w:val="0052052F"/>
    <w:rsid w:val="00520570"/>
    <w:rsid w:val="00520BBD"/>
    <w:rsid w:val="005218D7"/>
    <w:rsid w:val="00521AB8"/>
    <w:rsid w:val="00521FAA"/>
    <w:rsid w:val="0052303D"/>
    <w:rsid w:val="005232F1"/>
    <w:rsid w:val="0052356D"/>
    <w:rsid w:val="005247D1"/>
    <w:rsid w:val="00525004"/>
    <w:rsid w:val="00525285"/>
    <w:rsid w:val="005258B6"/>
    <w:rsid w:val="00525CF2"/>
    <w:rsid w:val="005261A6"/>
    <w:rsid w:val="005268B5"/>
    <w:rsid w:val="00526BC3"/>
    <w:rsid w:val="00527030"/>
    <w:rsid w:val="0052707D"/>
    <w:rsid w:val="005270D1"/>
    <w:rsid w:val="00530055"/>
    <w:rsid w:val="00530185"/>
    <w:rsid w:val="00530372"/>
    <w:rsid w:val="0053101A"/>
    <w:rsid w:val="005315D4"/>
    <w:rsid w:val="00531E25"/>
    <w:rsid w:val="00533082"/>
    <w:rsid w:val="00533148"/>
    <w:rsid w:val="005334C1"/>
    <w:rsid w:val="00534236"/>
    <w:rsid w:val="00534454"/>
    <w:rsid w:val="00534C91"/>
    <w:rsid w:val="00535597"/>
    <w:rsid w:val="00535B58"/>
    <w:rsid w:val="00536CC5"/>
    <w:rsid w:val="005379CF"/>
    <w:rsid w:val="00541234"/>
    <w:rsid w:val="005414A4"/>
    <w:rsid w:val="00541654"/>
    <w:rsid w:val="005418B8"/>
    <w:rsid w:val="00541CD3"/>
    <w:rsid w:val="00541F35"/>
    <w:rsid w:val="00541FB2"/>
    <w:rsid w:val="00542413"/>
    <w:rsid w:val="00542EEE"/>
    <w:rsid w:val="0054372E"/>
    <w:rsid w:val="00543943"/>
    <w:rsid w:val="00543A02"/>
    <w:rsid w:val="0054491B"/>
    <w:rsid w:val="00544CE7"/>
    <w:rsid w:val="005456CB"/>
    <w:rsid w:val="00545CDE"/>
    <w:rsid w:val="005461FE"/>
    <w:rsid w:val="0054658A"/>
    <w:rsid w:val="00546A01"/>
    <w:rsid w:val="00546BD8"/>
    <w:rsid w:val="00546F74"/>
    <w:rsid w:val="00546FF7"/>
    <w:rsid w:val="00550135"/>
    <w:rsid w:val="0055065C"/>
    <w:rsid w:val="00550E7E"/>
    <w:rsid w:val="00552022"/>
    <w:rsid w:val="00552B75"/>
    <w:rsid w:val="0055350D"/>
    <w:rsid w:val="00553A60"/>
    <w:rsid w:val="00553B0A"/>
    <w:rsid w:val="00553CA3"/>
    <w:rsid w:val="00553F3F"/>
    <w:rsid w:val="00554160"/>
    <w:rsid w:val="005545EA"/>
    <w:rsid w:val="00554E37"/>
    <w:rsid w:val="00555101"/>
    <w:rsid w:val="00555105"/>
    <w:rsid w:val="0055651A"/>
    <w:rsid w:val="00556984"/>
    <w:rsid w:val="00556E3E"/>
    <w:rsid w:val="0055710A"/>
    <w:rsid w:val="00557727"/>
    <w:rsid w:val="00560109"/>
    <w:rsid w:val="00560451"/>
    <w:rsid w:val="00560475"/>
    <w:rsid w:val="005604CB"/>
    <w:rsid w:val="0056065F"/>
    <w:rsid w:val="00560812"/>
    <w:rsid w:val="00560934"/>
    <w:rsid w:val="00561687"/>
    <w:rsid w:val="00561A4F"/>
    <w:rsid w:val="00561E55"/>
    <w:rsid w:val="00562073"/>
    <w:rsid w:val="00562475"/>
    <w:rsid w:val="00562557"/>
    <w:rsid w:val="00562626"/>
    <w:rsid w:val="00562E5F"/>
    <w:rsid w:val="00563473"/>
    <w:rsid w:val="00563823"/>
    <w:rsid w:val="0056391F"/>
    <w:rsid w:val="00563B56"/>
    <w:rsid w:val="00563EED"/>
    <w:rsid w:val="0056543A"/>
    <w:rsid w:val="00565732"/>
    <w:rsid w:val="00566019"/>
    <w:rsid w:val="0056634F"/>
    <w:rsid w:val="00566413"/>
    <w:rsid w:val="00566E57"/>
    <w:rsid w:val="00567053"/>
    <w:rsid w:val="00567BDE"/>
    <w:rsid w:val="00567E09"/>
    <w:rsid w:val="005700BB"/>
    <w:rsid w:val="005702F3"/>
    <w:rsid w:val="00570304"/>
    <w:rsid w:val="00570696"/>
    <w:rsid w:val="00570C8B"/>
    <w:rsid w:val="005710CA"/>
    <w:rsid w:val="00571E37"/>
    <w:rsid w:val="005723E1"/>
    <w:rsid w:val="00573105"/>
    <w:rsid w:val="00573AAB"/>
    <w:rsid w:val="00573B2A"/>
    <w:rsid w:val="00573FE3"/>
    <w:rsid w:val="00575531"/>
    <w:rsid w:val="005756CC"/>
    <w:rsid w:val="00575917"/>
    <w:rsid w:val="00575BBD"/>
    <w:rsid w:val="00575EE9"/>
    <w:rsid w:val="00575FA0"/>
    <w:rsid w:val="00576574"/>
    <w:rsid w:val="005775E5"/>
    <w:rsid w:val="00577D2E"/>
    <w:rsid w:val="005804A7"/>
    <w:rsid w:val="005804BD"/>
    <w:rsid w:val="00581884"/>
    <w:rsid w:val="0058459F"/>
    <w:rsid w:val="0058469E"/>
    <w:rsid w:val="00585109"/>
    <w:rsid w:val="005853DB"/>
    <w:rsid w:val="005854B7"/>
    <w:rsid w:val="00585838"/>
    <w:rsid w:val="00585B88"/>
    <w:rsid w:val="00585F93"/>
    <w:rsid w:val="00586ED2"/>
    <w:rsid w:val="00587DBD"/>
    <w:rsid w:val="005906D9"/>
    <w:rsid w:val="00590A3E"/>
    <w:rsid w:val="00590B10"/>
    <w:rsid w:val="00590BD3"/>
    <w:rsid w:val="00590DDA"/>
    <w:rsid w:val="00591310"/>
    <w:rsid w:val="00591316"/>
    <w:rsid w:val="0059176B"/>
    <w:rsid w:val="00591D4C"/>
    <w:rsid w:val="00591E59"/>
    <w:rsid w:val="00592685"/>
    <w:rsid w:val="00592B5A"/>
    <w:rsid w:val="00592DA5"/>
    <w:rsid w:val="00592FEB"/>
    <w:rsid w:val="005930FF"/>
    <w:rsid w:val="0059404C"/>
    <w:rsid w:val="00594351"/>
    <w:rsid w:val="0059438D"/>
    <w:rsid w:val="00594555"/>
    <w:rsid w:val="00594676"/>
    <w:rsid w:val="005956F0"/>
    <w:rsid w:val="0059712C"/>
    <w:rsid w:val="00597361"/>
    <w:rsid w:val="00597DF7"/>
    <w:rsid w:val="005A03A9"/>
    <w:rsid w:val="005A08F0"/>
    <w:rsid w:val="005A137D"/>
    <w:rsid w:val="005A1E28"/>
    <w:rsid w:val="005A2CD1"/>
    <w:rsid w:val="005A2DEE"/>
    <w:rsid w:val="005A2F74"/>
    <w:rsid w:val="005A360F"/>
    <w:rsid w:val="005A39A1"/>
    <w:rsid w:val="005A3EAD"/>
    <w:rsid w:val="005A44F8"/>
    <w:rsid w:val="005A4602"/>
    <w:rsid w:val="005A4769"/>
    <w:rsid w:val="005A4837"/>
    <w:rsid w:val="005A4AC2"/>
    <w:rsid w:val="005A4ED6"/>
    <w:rsid w:val="005A4FAC"/>
    <w:rsid w:val="005A5605"/>
    <w:rsid w:val="005A56A8"/>
    <w:rsid w:val="005A5A10"/>
    <w:rsid w:val="005A7675"/>
    <w:rsid w:val="005A7A2E"/>
    <w:rsid w:val="005B008B"/>
    <w:rsid w:val="005B0120"/>
    <w:rsid w:val="005B0D90"/>
    <w:rsid w:val="005B165A"/>
    <w:rsid w:val="005B1A49"/>
    <w:rsid w:val="005B1AFB"/>
    <w:rsid w:val="005B2C27"/>
    <w:rsid w:val="005B2E47"/>
    <w:rsid w:val="005B31B9"/>
    <w:rsid w:val="005B35D6"/>
    <w:rsid w:val="005B3628"/>
    <w:rsid w:val="005B3CAC"/>
    <w:rsid w:val="005B4A05"/>
    <w:rsid w:val="005B5253"/>
    <w:rsid w:val="005B58BE"/>
    <w:rsid w:val="005B59E1"/>
    <w:rsid w:val="005B5A71"/>
    <w:rsid w:val="005B64D2"/>
    <w:rsid w:val="005B7239"/>
    <w:rsid w:val="005B72CA"/>
    <w:rsid w:val="005B7850"/>
    <w:rsid w:val="005B7AB4"/>
    <w:rsid w:val="005B7CD4"/>
    <w:rsid w:val="005C08AB"/>
    <w:rsid w:val="005C1415"/>
    <w:rsid w:val="005C14A0"/>
    <w:rsid w:val="005C1A52"/>
    <w:rsid w:val="005C1A76"/>
    <w:rsid w:val="005C1D71"/>
    <w:rsid w:val="005C1ED8"/>
    <w:rsid w:val="005C222A"/>
    <w:rsid w:val="005C24D8"/>
    <w:rsid w:val="005C310F"/>
    <w:rsid w:val="005C316F"/>
    <w:rsid w:val="005C3704"/>
    <w:rsid w:val="005C3D96"/>
    <w:rsid w:val="005C44D8"/>
    <w:rsid w:val="005C51FA"/>
    <w:rsid w:val="005C57C9"/>
    <w:rsid w:val="005C59F0"/>
    <w:rsid w:val="005C6C7D"/>
    <w:rsid w:val="005C7098"/>
    <w:rsid w:val="005C7113"/>
    <w:rsid w:val="005C722E"/>
    <w:rsid w:val="005C7512"/>
    <w:rsid w:val="005C762C"/>
    <w:rsid w:val="005C77FF"/>
    <w:rsid w:val="005D10F2"/>
    <w:rsid w:val="005D1414"/>
    <w:rsid w:val="005D1B44"/>
    <w:rsid w:val="005D20CA"/>
    <w:rsid w:val="005D2721"/>
    <w:rsid w:val="005D2836"/>
    <w:rsid w:val="005D33FD"/>
    <w:rsid w:val="005D3811"/>
    <w:rsid w:val="005D3B13"/>
    <w:rsid w:val="005D3C72"/>
    <w:rsid w:val="005D45A4"/>
    <w:rsid w:val="005D48B4"/>
    <w:rsid w:val="005D61E3"/>
    <w:rsid w:val="005D68AD"/>
    <w:rsid w:val="005D6942"/>
    <w:rsid w:val="005D6D3B"/>
    <w:rsid w:val="005D6D46"/>
    <w:rsid w:val="005D724E"/>
    <w:rsid w:val="005D7264"/>
    <w:rsid w:val="005D7CEF"/>
    <w:rsid w:val="005E0464"/>
    <w:rsid w:val="005E198E"/>
    <w:rsid w:val="005E1B33"/>
    <w:rsid w:val="005E2022"/>
    <w:rsid w:val="005E2315"/>
    <w:rsid w:val="005E2EE9"/>
    <w:rsid w:val="005E30ED"/>
    <w:rsid w:val="005E3FED"/>
    <w:rsid w:val="005E4251"/>
    <w:rsid w:val="005E4B3D"/>
    <w:rsid w:val="005E4B93"/>
    <w:rsid w:val="005E4CCE"/>
    <w:rsid w:val="005E520B"/>
    <w:rsid w:val="005E5346"/>
    <w:rsid w:val="005E5909"/>
    <w:rsid w:val="005E5FDC"/>
    <w:rsid w:val="005E64C8"/>
    <w:rsid w:val="005E6F9A"/>
    <w:rsid w:val="005E76B8"/>
    <w:rsid w:val="005F032E"/>
    <w:rsid w:val="005F090F"/>
    <w:rsid w:val="005F119A"/>
    <w:rsid w:val="005F34EE"/>
    <w:rsid w:val="005F3779"/>
    <w:rsid w:val="005F4243"/>
    <w:rsid w:val="005F4816"/>
    <w:rsid w:val="005F602C"/>
    <w:rsid w:val="005F6267"/>
    <w:rsid w:val="005F62AB"/>
    <w:rsid w:val="005F64ED"/>
    <w:rsid w:val="005F69D7"/>
    <w:rsid w:val="005F6C59"/>
    <w:rsid w:val="005F710A"/>
    <w:rsid w:val="005F723E"/>
    <w:rsid w:val="005F79AE"/>
    <w:rsid w:val="00601416"/>
    <w:rsid w:val="0060175C"/>
    <w:rsid w:val="00601983"/>
    <w:rsid w:val="006019BD"/>
    <w:rsid w:val="00602C6E"/>
    <w:rsid w:val="00603CF9"/>
    <w:rsid w:val="00604009"/>
    <w:rsid w:val="00604132"/>
    <w:rsid w:val="006043A5"/>
    <w:rsid w:val="00604A06"/>
    <w:rsid w:val="00604BCE"/>
    <w:rsid w:val="00604C59"/>
    <w:rsid w:val="0060522B"/>
    <w:rsid w:val="00605718"/>
    <w:rsid w:val="0060580E"/>
    <w:rsid w:val="00605B7C"/>
    <w:rsid w:val="00605D2A"/>
    <w:rsid w:val="00605FBD"/>
    <w:rsid w:val="006064A5"/>
    <w:rsid w:val="00606A2A"/>
    <w:rsid w:val="00607100"/>
    <w:rsid w:val="00607267"/>
    <w:rsid w:val="006072EB"/>
    <w:rsid w:val="00607425"/>
    <w:rsid w:val="00607FEA"/>
    <w:rsid w:val="00610D97"/>
    <w:rsid w:val="00610DCA"/>
    <w:rsid w:val="00611B77"/>
    <w:rsid w:val="00611E94"/>
    <w:rsid w:val="00612AE6"/>
    <w:rsid w:val="00613069"/>
    <w:rsid w:val="0061353E"/>
    <w:rsid w:val="006136F6"/>
    <w:rsid w:val="00613BC0"/>
    <w:rsid w:val="00613BFD"/>
    <w:rsid w:val="00614403"/>
    <w:rsid w:val="00614FDE"/>
    <w:rsid w:val="00615060"/>
    <w:rsid w:val="006158F7"/>
    <w:rsid w:val="0061606D"/>
    <w:rsid w:val="006161DA"/>
    <w:rsid w:val="00616641"/>
    <w:rsid w:val="00616AEF"/>
    <w:rsid w:val="006172FA"/>
    <w:rsid w:val="006174C2"/>
    <w:rsid w:val="00617972"/>
    <w:rsid w:val="006203C3"/>
    <w:rsid w:val="00620832"/>
    <w:rsid w:val="00620CF5"/>
    <w:rsid w:val="00620D4D"/>
    <w:rsid w:val="00620FE6"/>
    <w:rsid w:val="006222A6"/>
    <w:rsid w:val="00622C67"/>
    <w:rsid w:val="00623037"/>
    <w:rsid w:val="006231D0"/>
    <w:rsid w:val="006234E6"/>
    <w:rsid w:val="006236D9"/>
    <w:rsid w:val="00623E00"/>
    <w:rsid w:val="00625999"/>
    <w:rsid w:val="00625D7E"/>
    <w:rsid w:val="00626163"/>
    <w:rsid w:val="00626209"/>
    <w:rsid w:val="006264D5"/>
    <w:rsid w:val="00626E67"/>
    <w:rsid w:val="00627208"/>
    <w:rsid w:val="00630270"/>
    <w:rsid w:val="00631CF5"/>
    <w:rsid w:val="00631EF2"/>
    <w:rsid w:val="0063233A"/>
    <w:rsid w:val="006323DA"/>
    <w:rsid w:val="00632626"/>
    <w:rsid w:val="0063390A"/>
    <w:rsid w:val="00633917"/>
    <w:rsid w:val="00633B40"/>
    <w:rsid w:val="00633F58"/>
    <w:rsid w:val="00634CFD"/>
    <w:rsid w:val="006354FC"/>
    <w:rsid w:val="006358E0"/>
    <w:rsid w:val="00636728"/>
    <w:rsid w:val="00637294"/>
    <w:rsid w:val="006400AE"/>
    <w:rsid w:val="006401AC"/>
    <w:rsid w:val="0064090C"/>
    <w:rsid w:val="006413F0"/>
    <w:rsid w:val="00641725"/>
    <w:rsid w:val="006418BB"/>
    <w:rsid w:val="00641DC2"/>
    <w:rsid w:val="00642130"/>
    <w:rsid w:val="00642518"/>
    <w:rsid w:val="0064352A"/>
    <w:rsid w:val="00643579"/>
    <w:rsid w:val="006436BD"/>
    <w:rsid w:val="006437AF"/>
    <w:rsid w:val="00643A13"/>
    <w:rsid w:val="00643C7A"/>
    <w:rsid w:val="006441C4"/>
    <w:rsid w:val="00644649"/>
    <w:rsid w:val="0064487E"/>
    <w:rsid w:val="00644917"/>
    <w:rsid w:val="00644B0B"/>
    <w:rsid w:val="00645698"/>
    <w:rsid w:val="0064571B"/>
    <w:rsid w:val="00646126"/>
    <w:rsid w:val="0064689B"/>
    <w:rsid w:val="00646C4E"/>
    <w:rsid w:val="00646E49"/>
    <w:rsid w:val="00647A17"/>
    <w:rsid w:val="00647D91"/>
    <w:rsid w:val="00647F79"/>
    <w:rsid w:val="00650416"/>
    <w:rsid w:val="0065060A"/>
    <w:rsid w:val="006508F7"/>
    <w:rsid w:val="00651188"/>
    <w:rsid w:val="006512FC"/>
    <w:rsid w:val="00651416"/>
    <w:rsid w:val="00651850"/>
    <w:rsid w:val="00651DFB"/>
    <w:rsid w:val="0065258D"/>
    <w:rsid w:val="00654083"/>
    <w:rsid w:val="00654F7E"/>
    <w:rsid w:val="00655891"/>
    <w:rsid w:val="00655BB2"/>
    <w:rsid w:val="00657761"/>
    <w:rsid w:val="0065789C"/>
    <w:rsid w:val="0066042B"/>
    <w:rsid w:val="006606D4"/>
    <w:rsid w:val="0066092D"/>
    <w:rsid w:val="00660E0C"/>
    <w:rsid w:val="00660FDD"/>
    <w:rsid w:val="00661310"/>
    <w:rsid w:val="00661BCD"/>
    <w:rsid w:val="006624C9"/>
    <w:rsid w:val="006625AB"/>
    <w:rsid w:val="00662873"/>
    <w:rsid w:val="00662B96"/>
    <w:rsid w:val="00663129"/>
    <w:rsid w:val="006635A4"/>
    <w:rsid w:val="006637C0"/>
    <w:rsid w:val="00663BD2"/>
    <w:rsid w:val="00663D33"/>
    <w:rsid w:val="00663ED2"/>
    <w:rsid w:val="00663F33"/>
    <w:rsid w:val="00663FF1"/>
    <w:rsid w:val="0066402B"/>
    <w:rsid w:val="00664765"/>
    <w:rsid w:val="00665198"/>
    <w:rsid w:val="006652B4"/>
    <w:rsid w:val="0066641C"/>
    <w:rsid w:val="006705C5"/>
    <w:rsid w:val="00671284"/>
    <w:rsid w:val="00672372"/>
    <w:rsid w:val="006726DB"/>
    <w:rsid w:val="00672A70"/>
    <w:rsid w:val="00672CD7"/>
    <w:rsid w:val="006735ED"/>
    <w:rsid w:val="006738E4"/>
    <w:rsid w:val="00674D15"/>
    <w:rsid w:val="006756F7"/>
    <w:rsid w:val="006765CA"/>
    <w:rsid w:val="0067697D"/>
    <w:rsid w:val="00676E42"/>
    <w:rsid w:val="00676EDC"/>
    <w:rsid w:val="0067795A"/>
    <w:rsid w:val="00677A0E"/>
    <w:rsid w:val="00677AF4"/>
    <w:rsid w:val="00677F86"/>
    <w:rsid w:val="00681529"/>
    <w:rsid w:val="00681602"/>
    <w:rsid w:val="0068306C"/>
    <w:rsid w:val="00683B75"/>
    <w:rsid w:val="00683F84"/>
    <w:rsid w:val="00684226"/>
    <w:rsid w:val="00685003"/>
    <w:rsid w:val="0068517D"/>
    <w:rsid w:val="006851AE"/>
    <w:rsid w:val="006851C4"/>
    <w:rsid w:val="00685274"/>
    <w:rsid w:val="006855D6"/>
    <w:rsid w:val="006866DB"/>
    <w:rsid w:val="00686C8E"/>
    <w:rsid w:val="00686EC0"/>
    <w:rsid w:val="00687035"/>
    <w:rsid w:val="006878B9"/>
    <w:rsid w:val="0069178B"/>
    <w:rsid w:val="00691CC5"/>
    <w:rsid w:val="00691F99"/>
    <w:rsid w:val="0069235D"/>
    <w:rsid w:val="006930AD"/>
    <w:rsid w:val="006932D5"/>
    <w:rsid w:val="00693520"/>
    <w:rsid w:val="00693E23"/>
    <w:rsid w:val="0069422F"/>
    <w:rsid w:val="006964E2"/>
    <w:rsid w:val="00696D2C"/>
    <w:rsid w:val="00696E28"/>
    <w:rsid w:val="006973D0"/>
    <w:rsid w:val="0069743D"/>
    <w:rsid w:val="00697842"/>
    <w:rsid w:val="00697982"/>
    <w:rsid w:val="00697EC1"/>
    <w:rsid w:val="00697F07"/>
    <w:rsid w:val="006A00FC"/>
    <w:rsid w:val="006A0737"/>
    <w:rsid w:val="006A0929"/>
    <w:rsid w:val="006A12AA"/>
    <w:rsid w:val="006A1937"/>
    <w:rsid w:val="006A220F"/>
    <w:rsid w:val="006A25C3"/>
    <w:rsid w:val="006A2674"/>
    <w:rsid w:val="006A2E41"/>
    <w:rsid w:val="006A3238"/>
    <w:rsid w:val="006A35F7"/>
    <w:rsid w:val="006A3B71"/>
    <w:rsid w:val="006A3BB4"/>
    <w:rsid w:val="006A4A31"/>
    <w:rsid w:val="006A4AA6"/>
    <w:rsid w:val="006A5646"/>
    <w:rsid w:val="006A5AEC"/>
    <w:rsid w:val="006A5E9F"/>
    <w:rsid w:val="006A61AA"/>
    <w:rsid w:val="006A6725"/>
    <w:rsid w:val="006A6A4E"/>
    <w:rsid w:val="006A6B51"/>
    <w:rsid w:val="006A6B74"/>
    <w:rsid w:val="006B0008"/>
    <w:rsid w:val="006B0419"/>
    <w:rsid w:val="006B0763"/>
    <w:rsid w:val="006B13D2"/>
    <w:rsid w:val="006B24F7"/>
    <w:rsid w:val="006B2CCF"/>
    <w:rsid w:val="006B2F32"/>
    <w:rsid w:val="006B38F0"/>
    <w:rsid w:val="006B3929"/>
    <w:rsid w:val="006B39DF"/>
    <w:rsid w:val="006B3E6B"/>
    <w:rsid w:val="006B3EF4"/>
    <w:rsid w:val="006B443A"/>
    <w:rsid w:val="006B47E3"/>
    <w:rsid w:val="006B4F11"/>
    <w:rsid w:val="006B5B26"/>
    <w:rsid w:val="006B5F23"/>
    <w:rsid w:val="006B678B"/>
    <w:rsid w:val="006B69CA"/>
    <w:rsid w:val="006B6CA1"/>
    <w:rsid w:val="006B6F70"/>
    <w:rsid w:val="006B7528"/>
    <w:rsid w:val="006B7AA8"/>
    <w:rsid w:val="006B7B47"/>
    <w:rsid w:val="006B7DA9"/>
    <w:rsid w:val="006C0531"/>
    <w:rsid w:val="006C06EE"/>
    <w:rsid w:val="006C08C7"/>
    <w:rsid w:val="006C10C0"/>
    <w:rsid w:val="006C11E1"/>
    <w:rsid w:val="006C1269"/>
    <w:rsid w:val="006C1402"/>
    <w:rsid w:val="006C1AC0"/>
    <w:rsid w:val="006C2A8F"/>
    <w:rsid w:val="006C2EA5"/>
    <w:rsid w:val="006C3C24"/>
    <w:rsid w:val="006C3E39"/>
    <w:rsid w:val="006C4847"/>
    <w:rsid w:val="006C5079"/>
    <w:rsid w:val="006C525E"/>
    <w:rsid w:val="006C58F3"/>
    <w:rsid w:val="006C5B9A"/>
    <w:rsid w:val="006C6196"/>
    <w:rsid w:val="006C631E"/>
    <w:rsid w:val="006C6467"/>
    <w:rsid w:val="006C6CF5"/>
    <w:rsid w:val="006C73A6"/>
    <w:rsid w:val="006C73CB"/>
    <w:rsid w:val="006D0364"/>
    <w:rsid w:val="006D08E8"/>
    <w:rsid w:val="006D0B9E"/>
    <w:rsid w:val="006D0C11"/>
    <w:rsid w:val="006D0E62"/>
    <w:rsid w:val="006D11AD"/>
    <w:rsid w:val="006D19DF"/>
    <w:rsid w:val="006D21AF"/>
    <w:rsid w:val="006D220B"/>
    <w:rsid w:val="006D2D91"/>
    <w:rsid w:val="006D30E6"/>
    <w:rsid w:val="006D36D1"/>
    <w:rsid w:val="006D43A9"/>
    <w:rsid w:val="006D4C07"/>
    <w:rsid w:val="006D5A05"/>
    <w:rsid w:val="006D612C"/>
    <w:rsid w:val="006D62F0"/>
    <w:rsid w:val="006D66D4"/>
    <w:rsid w:val="006D694B"/>
    <w:rsid w:val="006D6C45"/>
    <w:rsid w:val="006D6FBA"/>
    <w:rsid w:val="006D6FFF"/>
    <w:rsid w:val="006E0D45"/>
    <w:rsid w:val="006E0E64"/>
    <w:rsid w:val="006E101D"/>
    <w:rsid w:val="006E15C6"/>
    <w:rsid w:val="006E1CE8"/>
    <w:rsid w:val="006E2312"/>
    <w:rsid w:val="006E2E7E"/>
    <w:rsid w:val="006E2EA6"/>
    <w:rsid w:val="006E4E8A"/>
    <w:rsid w:val="006E4F30"/>
    <w:rsid w:val="006E5160"/>
    <w:rsid w:val="006E564C"/>
    <w:rsid w:val="006E60B5"/>
    <w:rsid w:val="006E770C"/>
    <w:rsid w:val="006F0163"/>
    <w:rsid w:val="006F0746"/>
    <w:rsid w:val="006F099B"/>
    <w:rsid w:val="006F0C2E"/>
    <w:rsid w:val="006F0F77"/>
    <w:rsid w:val="006F1307"/>
    <w:rsid w:val="006F1560"/>
    <w:rsid w:val="006F15D7"/>
    <w:rsid w:val="006F16B2"/>
    <w:rsid w:val="006F1A28"/>
    <w:rsid w:val="006F1A8F"/>
    <w:rsid w:val="006F1DB5"/>
    <w:rsid w:val="006F1FC7"/>
    <w:rsid w:val="006F23A3"/>
    <w:rsid w:val="006F23D4"/>
    <w:rsid w:val="006F2A78"/>
    <w:rsid w:val="006F2B9B"/>
    <w:rsid w:val="006F30C4"/>
    <w:rsid w:val="006F3995"/>
    <w:rsid w:val="006F3FBA"/>
    <w:rsid w:val="006F4E50"/>
    <w:rsid w:val="006F53A7"/>
    <w:rsid w:val="006F5747"/>
    <w:rsid w:val="006F64DF"/>
    <w:rsid w:val="006F6C43"/>
    <w:rsid w:val="006F72CE"/>
    <w:rsid w:val="006F72D1"/>
    <w:rsid w:val="006F74E6"/>
    <w:rsid w:val="006F756C"/>
    <w:rsid w:val="006F7E91"/>
    <w:rsid w:val="0070028A"/>
    <w:rsid w:val="00700695"/>
    <w:rsid w:val="00700C4B"/>
    <w:rsid w:val="00700FB1"/>
    <w:rsid w:val="00701598"/>
    <w:rsid w:val="0070235D"/>
    <w:rsid w:val="007029F5"/>
    <w:rsid w:val="0070320F"/>
    <w:rsid w:val="0070372A"/>
    <w:rsid w:val="007037C5"/>
    <w:rsid w:val="00704A73"/>
    <w:rsid w:val="00704C73"/>
    <w:rsid w:val="00705073"/>
    <w:rsid w:val="007054DA"/>
    <w:rsid w:val="0070589F"/>
    <w:rsid w:val="0070600D"/>
    <w:rsid w:val="00707921"/>
    <w:rsid w:val="00707A1E"/>
    <w:rsid w:val="00707B9F"/>
    <w:rsid w:val="00707C2A"/>
    <w:rsid w:val="00707F60"/>
    <w:rsid w:val="007118B0"/>
    <w:rsid w:val="00711F3B"/>
    <w:rsid w:val="00712D4B"/>
    <w:rsid w:val="00713314"/>
    <w:rsid w:val="00713A1E"/>
    <w:rsid w:val="00714B11"/>
    <w:rsid w:val="00714E8A"/>
    <w:rsid w:val="007151D0"/>
    <w:rsid w:val="0071544C"/>
    <w:rsid w:val="00716882"/>
    <w:rsid w:val="00717757"/>
    <w:rsid w:val="00717D66"/>
    <w:rsid w:val="00720678"/>
    <w:rsid w:val="00721D59"/>
    <w:rsid w:val="00722BEF"/>
    <w:rsid w:val="00723082"/>
    <w:rsid w:val="007232F6"/>
    <w:rsid w:val="0072373F"/>
    <w:rsid w:val="00723D38"/>
    <w:rsid w:val="00723D42"/>
    <w:rsid w:val="00723E23"/>
    <w:rsid w:val="007245CB"/>
    <w:rsid w:val="00724E1F"/>
    <w:rsid w:val="00725B00"/>
    <w:rsid w:val="00725D32"/>
    <w:rsid w:val="007261DE"/>
    <w:rsid w:val="00726592"/>
    <w:rsid w:val="00726C96"/>
    <w:rsid w:val="00726DD7"/>
    <w:rsid w:val="00727120"/>
    <w:rsid w:val="00727491"/>
    <w:rsid w:val="007274F6"/>
    <w:rsid w:val="0072769D"/>
    <w:rsid w:val="00730B16"/>
    <w:rsid w:val="00731B43"/>
    <w:rsid w:val="00731D6E"/>
    <w:rsid w:val="00731E44"/>
    <w:rsid w:val="007324E1"/>
    <w:rsid w:val="00732911"/>
    <w:rsid w:val="00732D62"/>
    <w:rsid w:val="00732FE6"/>
    <w:rsid w:val="00733FBD"/>
    <w:rsid w:val="007340AE"/>
    <w:rsid w:val="007349B8"/>
    <w:rsid w:val="00734C80"/>
    <w:rsid w:val="007350F0"/>
    <w:rsid w:val="0073675C"/>
    <w:rsid w:val="007367E9"/>
    <w:rsid w:val="007369F7"/>
    <w:rsid w:val="007375BD"/>
    <w:rsid w:val="007401A7"/>
    <w:rsid w:val="0074029A"/>
    <w:rsid w:val="00740BAA"/>
    <w:rsid w:val="0074135F"/>
    <w:rsid w:val="00741AC9"/>
    <w:rsid w:val="00741D64"/>
    <w:rsid w:val="00742BAB"/>
    <w:rsid w:val="007431FC"/>
    <w:rsid w:val="007432E5"/>
    <w:rsid w:val="00743572"/>
    <w:rsid w:val="00743CFC"/>
    <w:rsid w:val="0074499F"/>
    <w:rsid w:val="00744C85"/>
    <w:rsid w:val="007456D9"/>
    <w:rsid w:val="00745710"/>
    <w:rsid w:val="007458AF"/>
    <w:rsid w:val="00745B54"/>
    <w:rsid w:val="00745EBE"/>
    <w:rsid w:val="00745F98"/>
    <w:rsid w:val="00746019"/>
    <w:rsid w:val="00746AA8"/>
    <w:rsid w:val="00747412"/>
    <w:rsid w:val="007475E2"/>
    <w:rsid w:val="00747903"/>
    <w:rsid w:val="00747FF1"/>
    <w:rsid w:val="007500FA"/>
    <w:rsid w:val="00750C28"/>
    <w:rsid w:val="00750EB7"/>
    <w:rsid w:val="00751218"/>
    <w:rsid w:val="00751228"/>
    <w:rsid w:val="007517ED"/>
    <w:rsid w:val="00751F67"/>
    <w:rsid w:val="00753170"/>
    <w:rsid w:val="0075339D"/>
    <w:rsid w:val="0075378A"/>
    <w:rsid w:val="00753875"/>
    <w:rsid w:val="00753987"/>
    <w:rsid w:val="00753A98"/>
    <w:rsid w:val="00753ABF"/>
    <w:rsid w:val="00753C52"/>
    <w:rsid w:val="0075400B"/>
    <w:rsid w:val="0075400E"/>
    <w:rsid w:val="007541ED"/>
    <w:rsid w:val="007545E9"/>
    <w:rsid w:val="007547CE"/>
    <w:rsid w:val="007555FF"/>
    <w:rsid w:val="00755A13"/>
    <w:rsid w:val="00755C17"/>
    <w:rsid w:val="007562D2"/>
    <w:rsid w:val="00756596"/>
    <w:rsid w:val="007569A4"/>
    <w:rsid w:val="007569B3"/>
    <w:rsid w:val="00756D36"/>
    <w:rsid w:val="007572A1"/>
    <w:rsid w:val="0075730F"/>
    <w:rsid w:val="007574D3"/>
    <w:rsid w:val="00757756"/>
    <w:rsid w:val="00757ACA"/>
    <w:rsid w:val="00760575"/>
    <w:rsid w:val="00760CCD"/>
    <w:rsid w:val="00761EC4"/>
    <w:rsid w:val="0076240F"/>
    <w:rsid w:val="00762542"/>
    <w:rsid w:val="00762C46"/>
    <w:rsid w:val="00762F84"/>
    <w:rsid w:val="00763601"/>
    <w:rsid w:val="007646F4"/>
    <w:rsid w:val="007647C5"/>
    <w:rsid w:val="00765168"/>
    <w:rsid w:val="00765912"/>
    <w:rsid w:val="00765FF0"/>
    <w:rsid w:val="00767397"/>
    <w:rsid w:val="00770058"/>
    <w:rsid w:val="0077092F"/>
    <w:rsid w:val="0077130C"/>
    <w:rsid w:val="007714DD"/>
    <w:rsid w:val="007715BC"/>
    <w:rsid w:val="00771B73"/>
    <w:rsid w:val="00771BC3"/>
    <w:rsid w:val="00771C2A"/>
    <w:rsid w:val="00771FA2"/>
    <w:rsid w:val="0077208B"/>
    <w:rsid w:val="00773812"/>
    <w:rsid w:val="0077434C"/>
    <w:rsid w:val="007747F8"/>
    <w:rsid w:val="0077480C"/>
    <w:rsid w:val="00774B2C"/>
    <w:rsid w:val="00774BDA"/>
    <w:rsid w:val="00775DA3"/>
    <w:rsid w:val="0077611B"/>
    <w:rsid w:val="007761D5"/>
    <w:rsid w:val="00776397"/>
    <w:rsid w:val="0077660A"/>
    <w:rsid w:val="0077688D"/>
    <w:rsid w:val="00776962"/>
    <w:rsid w:val="00776C74"/>
    <w:rsid w:val="007771A9"/>
    <w:rsid w:val="007776E6"/>
    <w:rsid w:val="007777C3"/>
    <w:rsid w:val="007779EB"/>
    <w:rsid w:val="00777B59"/>
    <w:rsid w:val="00777E52"/>
    <w:rsid w:val="007817BB"/>
    <w:rsid w:val="00781922"/>
    <w:rsid w:val="00781A04"/>
    <w:rsid w:val="00782788"/>
    <w:rsid w:val="00782A55"/>
    <w:rsid w:val="00783352"/>
    <w:rsid w:val="00783D9B"/>
    <w:rsid w:val="0078448E"/>
    <w:rsid w:val="00784CF3"/>
    <w:rsid w:val="00784D0A"/>
    <w:rsid w:val="007852D1"/>
    <w:rsid w:val="007857A7"/>
    <w:rsid w:val="00785E2D"/>
    <w:rsid w:val="00790244"/>
    <w:rsid w:val="007913E9"/>
    <w:rsid w:val="00791BC1"/>
    <w:rsid w:val="0079235A"/>
    <w:rsid w:val="0079288D"/>
    <w:rsid w:val="007929B2"/>
    <w:rsid w:val="00792D3E"/>
    <w:rsid w:val="00792F3B"/>
    <w:rsid w:val="007931C4"/>
    <w:rsid w:val="007932B0"/>
    <w:rsid w:val="0079541D"/>
    <w:rsid w:val="00795F67"/>
    <w:rsid w:val="0079627E"/>
    <w:rsid w:val="007969B2"/>
    <w:rsid w:val="00796F27"/>
    <w:rsid w:val="0079784E"/>
    <w:rsid w:val="007978D5"/>
    <w:rsid w:val="00797ACD"/>
    <w:rsid w:val="007A09E8"/>
    <w:rsid w:val="007A1068"/>
    <w:rsid w:val="007A11BD"/>
    <w:rsid w:val="007A18DC"/>
    <w:rsid w:val="007A1D5B"/>
    <w:rsid w:val="007A3189"/>
    <w:rsid w:val="007A3ABB"/>
    <w:rsid w:val="007A4004"/>
    <w:rsid w:val="007A4994"/>
    <w:rsid w:val="007A5725"/>
    <w:rsid w:val="007A5976"/>
    <w:rsid w:val="007A59A4"/>
    <w:rsid w:val="007A6AE5"/>
    <w:rsid w:val="007A721A"/>
    <w:rsid w:val="007A7CFF"/>
    <w:rsid w:val="007B0E4F"/>
    <w:rsid w:val="007B16CE"/>
    <w:rsid w:val="007B1827"/>
    <w:rsid w:val="007B2B46"/>
    <w:rsid w:val="007B2D75"/>
    <w:rsid w:val="007B32F3"/>
    <w:rsid w:val="007B350E"/>
    <w:rsid w:val="007B35AA"/>
    <w:rsid w:val="007B3840"/>
    <w:rsid w:val="007B3A8E"/>
    <w:rsid w:val="007B3BCB"/>
    <w:rsid w:val="007B3F4A"/>
    <w:rsid w:val="007B3F4F"/>
    <w:rsid w:val="007B3FE1"/>
    <w:rsid w:val="007B4422"/>
    <w:rsid w:val="007B46EE"/>
    <w:rsid w:val="007B47BE"/>
    <w:rsid w:val="007B48D7"/>
    <w:rsid w:val="007B6801"/>
    <w:rsid w:val="007B6B5E"/>
    <w:rsid w:val="007B6CC1"/>
    <w:rsid w:val="007B6ED2"/>
    <w:rsid w:val="007B6FE9"/>
    <w:rsid w:val="007B7203"/>
    <w:rsid w:val="007C0EE0"/>
    <w:rsid w:val="007C138C"/>
    <w:rsid w:val="007C1956"/>
    <w:rsid w:val="007C1A39"/>
    <w:rsid w:val="007C1B89"/>
    <w:rsid w:val="007C2D67"/>
    <w:rsid w:val="007C3144"/>
    <w:rsid w:val="007C32AB"/>
    <w:rsid w:val="007C4387"/>
    <w:rsid w:val="007C469D"/>
    <w:rsid w:val="007C4D7C"/>
    <w:rsid w:val="007C5649"/>
    <w:rsid w:val="007C5AA2"/>
    <w:rsid w:val="007C5B30"/>
    <w:rsid w:val="007C5F37"/>
    <w:rsid w:val="007C6122"/>
    <w:rsid w:val="007C6413"/>
    <w:rsid w:val="007C70A0"/>
    <w:rsid w:val="007C7988"/>
    <w:rsid w:val="007C7BDC"/>
    <w:rsid w:val="007D0647"/>
    <w:rsid w:val="007D07C9"/>
    <w:rsid w:val="007D099B"/>
    <w:rsid w:val="007D122F"/>
    <w:rsid w:val="007D1FD3"/>
    <w:rsid w:val="007D243D"/>
    <w:rsid w:val="007D27CA"/>
    <w:rsid w:val="007D27D4"/>
    <w:rsid w:val="007D456F"/>
    <w:rsid w:val="007D4B59"/>
    <w:rsid w:val="007D5622"/>
    <w:rsid w:val="007D58A9"/>
    <w:rsid w:val="007D6510"/>
    <w:rsid w:val="007D6FC9"/>
    <w:rsid w:val="007D7335"/>
    <w:rsid w:val="007D78C4"/>
    <w:rsid w:val="007D7ADE"/>
    <w:rsid w:val="007E0310"/>
    <w:rsid w:val="007E1009"/>
    <w:rsid w:val="007E118A"/>
    <w:rsid w:val="007E180E"/>
    <w:rsid w:val="007E23D1"/>
    <w:rsid w:val="007E269F"/>
    <w:rsid w:val="007E31A7"/>
    <w:rsid w:val="007E395D"/>
    <w:rsid w:val="007E3C7E"/>
    <w:rsid w:val="007E3CF2"/>
    <w:rsid w:val="007E51D8"/>
    <w:rsid w:val="007E586F"/>
    <w:rsid w:val="007E6E91"/>
    <w:rsid w:val="007E72AC"/>
    <w:rsid w:val="007E7D16"/>
    <w:rsid w:val="007F034E"/>
    <w:rsid w:val="007F0C96"/>
    <w:rsid w:val="007F10D9"/>
    <w:rsid w:val="007F11DE"/>
    <w:rsid w:val="007F1348"/>
    <w:rsid w:val="007F1F80"/>
    <w:rsid w:val="007F242E"/>
    <w:rsid w:val="007F2506"/>
    <w:rsid w:val="007F2B2A"/>
    <w:rsid w:val="007F2D65"/>
    <w:rsid w:val="007F3294"/>
    <w:rsid w:val="007F3C61"/>
    <w:rsid w:val="007F41FA"/>
    <w:rsid w:val="007F47B9"/>
    <w:rsid w:val="007F5A9D"/>
    <w:rsid w:val="007F6734"/>
    <w:rsid w:val="007F67E4"/>
    <w:rsid w:val="007F7052"/>
    <w:rsid w:val="007F7677"/>
    <w:rsid w:val="007F7CEB"/>
    <w:rsid w:val="00800835"/>
    <w:rsid w:val="008008CB"/>
    <w:rsid w:val="00800E91"/>
    <w:rsid w:val="00801692"/>
    <w:rsid w:val="00802170"/>
    <w:rsid w:val="008022B5"/>
    <w:rsid w:val="0080238D"/>
    <w:rsid w:val="008023A8"/>
    <w:rsid w:val="0080255A"/>
    <w:rsid w:val="0080371C"/>
    <w:rsid w:val="00803CD8"/>
    <w:rsid w:val="00803D5E"/>
    <w:rsid w:val="008045D5"/>
    <w:rsid w:val="00804672"/>
    <w:rsid w:val="0080469F"/>
    <w:rsid w:val="00804964"/>
    <w:rsid w:val="00804F4F"/>
    <w:rsid w:val="008051C3"/>
    <w:rsid w:val="008056B2"/>
    <w:rsid w:val="00805D53"/>
    <w:rsid w:val="00806882"/>
    <w:rsid w:val="008069FD"/>
    <w:rsid w:val="00807032"/>
    <w:rsid w:val="00807CC2"/>
    <w:rsid w:val="00811960"/>
    <w:rsid w:val="00812BA1"/>
    <w:rsid w:val="008130E8"/>
    <w:rsid w:val="00813309"/>
    <w:rsid w:val="00813820"/>
    <w:rsid w:val="008138CA"/>
    <w:rsid w:val="00813A8C"/>
    <w:rsid w:val="00813D39"/>
    <w:rsid w:val="00813EC1"/>
    <w:rsid w:val="00814F1C"/>
    <w:rsid w:val="00815ADB"/>
    <w:rsid w:val="008163ED"/>
    <w:rsid w:val="00816766"/>
    <w:rsid w:val="00816BF0"/>
    <w:rsid w:val="00820406"/>
    <w:rsid w:val="008216F0"/>
    <w:rsid w:val="008219A2"/>
    <w:rsid w:val="00822775"/>
    <w:rsid w:val="00822E2E"/>
    <w:rsid w:val="0082309E"/>
    <w:rsid w:val="008234A1"/>
    <w:rsid w:val="00823E06"/>
    <w:rsid w:val="0082489B"/>
    <w:rsid w:val="0082509E"/>
    <w:rsid w:val="00825C5A"/>
    <w:rsid w:val="008267F4"/>
    <w:rsid w:val="00826B37"/>
    <w:rsid w:val="00826DD1"/>
    <w:rsid w:val="0082704B"/>
    <w:rsid w:val="00827271"/>
    <w:rsid w:val="008275A3"/>
    <w:rsid w:val="008276BF"/>
    <w:rsid w:val="008278D8"/>
    <w:rsid w:val="00827E93"/>
    <w:rsid w:val="00830207"/>
    <w:rsid w:val="00830A96"/>
    <w:rsid w:val="00830B6F"/>
    <w:rsid w:val="008310C2"/>
    <w:rsid w:val="008314B8"/>
    <w:rsid w:val="00831770"/>
    <w:rsid w:val="00831A95"/>
    <w:rsid w:val="00831F76"/>
    <w:rsid w:val="008323E2"/>
    <w:rsid w:val="008330C1"/>
    <w:rsid w:val="0083332E"/>
    <w:rsid w:val="0083384B"/>
    <w:rsid w:val="00834061"/>
    <w:rsid w:val="008347FA"/>
    <w:rsid w:val="00834E6D"/>
    <w:rsid w:val="00835553"/>
    <w:rsid w:val="0083617D"/>
    <w:rsid w:val="00836A80"/>
    <w:rsid w:val="00836BB3"/>
    <w:rsid w:val="00836CE1"/>
    <w:rsid w:val="00836E6C"/>
    <w:rsid w:val="008372F5"/>
    <w:rsid w:val="008373BA"/>
    <w:rsid w:val="0084025F"/>
    <w:rsid w:val="00840875"/>
    <w:rsid w:val="00841255"/>
    <w:rsid w:val="008413C1"/>
    <w:rsid w:val="008415DC"/>
    <w:rsid w:val="008426AC"/>
    <w:rsid w:val="00842875"/>
    <w:rsid w:val="00842960"/>
    <w:rsid w:val="00842A88"/>
    <w:rsid w:val="00842AE7"/>
    <w:rsid w:val="00842D88"/>
    <w:rsid w:val="00843611"/>
    <w:rsid w:val="00843D0D"/>
    <w:rsid w:val="0084402C"/>
    <w:rsid w:val="008441DF"/>
    <w:rsid w:val="0084430A"/>
    <w:rsid w:val="00844AAD"/>
    <w:rsid w:val="00844D47"/>
    <w:rsid w:val="00844F0D"/>
    <w:rsid w:val="0084517D"/>
    <w:rsid w:val="008456B3"/>
    <w:rsid w:val="008457C6"/>
    <w:rsid w:val="00845EC2"/>
    <w:rsid w:val="00845F98"/>
    <w:rsid w:val="00845FA3"/>
    <w:rsid w:val="00846E67"/>
    <w:rsid w:val="0084700B"/>
    <w:rsid w:val="00847291"/>
    <w:rsid w:val="00847B60"/>
    <w:rsid w:val="00847DFD"/>
    <w:rsid w:val="00847E88"/>
    <w:rsid w:val="00850510"/>
    <w:rsid w:val="008512BD"/>
    <w:rsid w:val="008513EA"/>
    <w:rsid w:val="008516D5"/>
    <w:rsid w:val="008519C7"/>
    <w:rsid w:val="00852365"/>
    <w:rsid w:val="00852762"/>
    <w:rsid w:val="008529CA"/>
    <w:rsid w:val="00853659"/>
    <w:rsid w:val="00853677"/>
    <w:rsid w:val="00854A89"/>
    <w:rsid w:val="00855108"/>
    <w:rsid w:val="0085529C"/>
    <w:rsid w:val="0085582C"/>
    <w:rsid w:val="00855B12"/>
    <w:rsid w:val="00855F99"/>
    <w:rsid w:val="00856244"/>
    <w:rsid w:val="00856CCA"/>
    <w:rsid w:val="008578BD"/>
    <w:rsid w:val="008609F3"/>
    <w:rsid w:val="00860D2F"/>
    <w:rsid w:val="008616DF"/>
    <w:rsid w:val="00861867"/>
    <w:rsid w:val="008620C5"/>
    <w:rsid w:val="00862E67"/>
    <w:rsid w:val="00862EC2"/>
    <w:rsid w:val="00862F1F"/>
    <w:rsid w:val="00863830"/>
    <w:rsid w:val="008638F0"/>
    <w:rsid w:val="00863986"/>
    <w:rsid w:val="00863AB4"/>
    <w:rsid w:val="008647C0"/>
    <w:rsid w:val="00864CDD"/>
    <w:rsid w:val="00864E56"/>
    <w:rsid w:val="00866AAB"/>
    <w:rsid w:val="00866DBC"/>
    <w:rsid w:val="00867B90"/>
    <w:rsid w:val="008700AC"/>
    <w:rsid w:val="008708D3"/>
    <w:rsid w:val="00870AB0"/>
    <w:rsid w:val="00871A37"/>
    <w:rsid w:val="00871A65"/>
    <w:rsid w:val="00872144"/>
    <w:rsid w:val="0087235C"/>
    <w:rsid w:val="00872873"/>
    <w:rsid w:val="00872ECF"/>
    <w:rsid w:val="00872FA7"/>
    <w:rsid w:val="008752DF"/>
    <w:rsid w:val="00876057"/>
    <w:rsid w:val="008762EE"/>
    <w:rsid w:val="00876B44"/>
    <w:rsid w:val="0087782B"/>
    <w:rsid w:val="00877B34"/>
    <w:rsid w:val="00880AB8"/>
    <w:rsid w:val="00880B21"/>
    <w:rsid w:val="00882230"/>
    <w:rsid w:val="00883D13"/>
    <w:rsid w:val="00885004"/>
    <w:rsid w:val="0088506B"/>
    <w:rsid w:val="00885287"/>
    <w:rsid w:val="008853B1"/>
    <w:rsid w:val="00885400"/>
    <w:rsid w:val="00885412"/>
    <w:rsid w:val="00885B22"/>
    <w:rsid w:val="00885D5A"/>
    <w:rsid w:val="00885E1B"/>
    <w:rsid w:val="00886170"/>
    <w:rsid w:val="00886D8E"/>
    <w:rsid w:val="00887483"/>
    <w:rsid w:val="00887EE7"/>
    <w:rsid w:val="0089076D"/>
    <w:rsid w:val="00891085"/>
    <w:rsid w:val="0089117C"/>
    <w:rsid w:val="0089268F"/>
    <w:rsid w:val="00892AE3"/>
    <w:rsid w:val="00892F1B"/>
    <w:rsid w:val="00892F2D"/>
    <w:rsid w:val="008932A3"/>
    <w:rsid w:val="00893971"/>
    <w:rsid w:val="00893ED8"/>
    <w:rsid w:val="00894330"/>
    <w:rsid w:val="0089473B"/>
    <w:rsid w:val="00894C63"/>
    <w:rsid w:val="00894E94"/>
    <w:rsid w:val="00895048"/>
    <w:rsid w:val="008950EA"/>
    <w:rsid w:val="008951BD"/>
    <w:rsid w:val="00896C70"/>
    <w:rsid w:val="008974F8"/>
    <w:rsid w:val="00897BCC"/>
    <w:rsid w:val="008A09D4"/>
    <w:rsid w:val="008A0AC8"/>
    <w:rsid w:val="008A116D"/>
    <w:rsid w:val="008A171D"/>
    <w:rsid w:val="008A180B"/>
    <w:rsid w:val="008A1A9F"/>
    <w:rsid w:val="008A1C0C"/>
    <w:rsid w:val="008A2BF4"/>
    <w:rsid w:val="008A2F7B"/>
    <w:rsid w:val="008A3C6A"/>
    <w:rsid w:val="008A4604"/>
    <w:rsid w:val="008A4F10"/>
    <w:rsid w:val="008A5A9C"/>
    <w:rsid w:val="008A5C12"/>
    <w:rsid w:val="008A5D65"/>
    <w:rsid w:val="008A660E"/>
    <w:rsid w:val="008A678B"/>
    <w:rsid w:val="008A6E19"/>
    <w:rsid w:val="008A722E"/>
    <w:rsid w:val="008A724D"/>
    <w:rsid w:val="008A72D5"/>
    <w:rsid w:val="008B1111"/>
    <w:rsid w:val="008B215D"/>
    <w:rsid w:val="008B23FE"/>
    <w:rsid w:val="008B4011"/>
    <w:rsid w:val="008B44D4"/>
    <w:rsid w:val="008B47A7"/>
    <w:rsid w:val="008B4B81"/>
    <w:rsid w:val="008B4C0D"/>
    <w:rsid w:val="008B4D81"/>
    <w:rsid w:val="008B5F22"/>
    <w:rsid w:val="008B5FAA"/>
    <w:rsid w:val="008B6133"/>
    <w:rsid w:val="008B67D8"/>
    <w:rsid w:val="008B6AF5"/>
    <w:rsid w:val="008B6F8F"/>
    <w:rsid w:val="008B6FAD"/>
    <w:rsid w:val="008B7C92"/>
    <w:rsid w:val="008B7DE5"/>
    <w:rsid w:val="008B7F7F"/>
    <w:rsid w:val="008C0013"/>
    <w:rsid w:val="008C00CC"/>
    <w:rsid w:val="008C1379"/>
    <w:rsid w:val="008C1442"/>
    <w:rsid w:val="008C1911"/>
    <w:rsid w:val="008C1A00"/>
    <w:rsid w:val="008C24C1"/>
    <w:rsid w:val="008C3157"/>
    <w:rsid w:val="008C3199"/>
    <w:rsid w:val="008C3827"/>
    <w:rsid w:val="008C4D6A"/>
    <w:rsid w:val="008C60B8"/>
    <w:rsid w:val="008D105A"/>
    <w:rsid w:val="008D1500"/>
    <w:rsid w:val="008D27F8"/>
    <w:rsid w:val="008D2A3E"/>
    <w:rsid w:val="008D3025"/>
    <w:rsid w:val="008D3CB2"/>
    <w:rsid w:val="008D3D0F"/>
    <w:rsid w:val="008D4652"/>
    <w:rsid w:val="008D477F"/>
    <w:rsid w:val="008D4BA8"/>
    <w:rsid w:val="008D608A"/>
    <w:rsid w:val="008D6D5A"/>
    <w:rsid w:val="008D6EF5"/>
    <w:rsid w:val="008D6F7C"/>
    <w:rsid w:val="008D736F"/>
    <w:rsid w:val="008E054C"/>
    <w:rsid w:val="008E0EA1"/>
    <w:rsid w:val="008E1023"/>
    <w:rsid w:val="008E137F"/>
    <w:rsid w:val="008E1D79"/>
    <w:rsid w:val="008E2280"/>
    <w:rsid w:val="008E27C8"/>
    <w:rsid w:val="008E29E7"/>
    <w:rsid w:val="008E2ADE"/>
    <w:rsid w:val="008E2CA4"/>
    <w:rsid w:val="008E2E86"/>
    <w:rsid w:val="008E36DE"/>
    <w:rsid w:val="008E3BD4"/>
    <w:rsid w:val="008E3E46"/>
    <w:rsid w:val="008E3EF5"/>
    <w:rsid w:val="008E40B2"/>
    <w:rsid w:val="008E4D27"/>
    <w:rsid w:val="008E500D"/>
    <w:rsid w:val="008E6223"/>
    <w:rsid w:val="008E69A2"/>
    <w:rsid w:val="008E6B6C"/>
    <w:rsid w:val="008E6DBA"/>
    <w:rsid w:val="008E7122"/>
    <w:rsid w:val="008F0324"/>
    <w:rsid w:val="008F06D1"/>
    <w:rsid w:val="008F097F"/>
    <w:rsid w:val="008F1244"/>
    <w:rsid w:val="008F127B"/>
    <w:rsid w:val="008F141F"/>
    <w:rsid w:val="008F1910"/>
    <w:rsid w:val="008F3568"/>
    <w:rsid w:val="008F37F3"/>
    <w:rsid w:val="008F3FEF"/>
    <w:rsid w:val="008F49F1"/>
    <w:rsid w:val="008F5041"/>
    <w:rsid w:val="008F578E"/>
    <w:rsid w:val="008F5CBF"/>
    <w:rsid w:val="008F62C8"/>
    <w:rsid w:val="008F6349"/>
    <w:rsid w:val="008F6460"/>
    <w:rsid w:val="008F6715"/>
    <w:rsid w:val="00900647"/>
    <w:rsid w:val="0090064D"/>
    <w:rsid w:val="00900B80"/>
    <w:rsid w:val="00901132"/>
    <w:rsid w:val="0090246A"/>
    <w:rsid w:val="00902E52"/>
    <w:rsid w:val="009030F6"/>
    <w:rsid w:val="0090366C"/>
    <w:rsid w:val="009037A3"/>
    <w:rsid w:val="00903B91"/>
    <w:rsid w:val="0090415D"/>
    <w:rsid w:val="009047BF"/>
    <w:rsid w:val="00904920"/>
    <w:rsid w:val="00904AEE"/>
    <w:rsid w:val="00904AF0"/>
    <w:rsid w:val="009052C8"/>
    <w:rsid w:val="00905F4D"/>
    <w:rsid w:val="0090622A"/>
    <w:rsid w:val="009065E0"/>
    <w:rsid w:val="00906768"/>
    <w:rsid w:val="0090677F"/>
    <w:rsid w:val="0090679B"/>
    <w:rsid w:val="00906DAF"/>
    <w:rsid w:val="0090786C"/>
    <w:rsid w:val="00907CDA"/>
    <w:rsid w:val="00910079"/>
    <w:rsid w:val="00910996"/>
    <w:rsid w:val="0091164E"/>
    <w:rsid w:val="00912130"/>
    <w:rsid w:val="00912C4E"/>
    <w:rsid w:val="00913133"/>
    <w:rsid w:val="00913A4B"/>
    <w:rsid w:val="00914FA0"/>
    <w:rsid w:val="00915050"/>
    <w:rsid w:val="009158AF"/>
    <w:rsid w:val="00915EAB"/>
    <w:rsid w:val="00916166"/>
    <w:rsid w:val="00916188"/>
    <w:rsid w:val="00916452"/>
    <w:rsid w:val="009172FA"/>
    <w:rsid w:val="009174C0"/>
    <w:rsid w:val="00917D37"/>
    <w:rsid w:val="00917D66"/>
    <w:rsid w:val="00917DFE"/>
    <w:rsid w:val="00920F87"/>
    <w:rsid w:val="009219EE"/>
    <w:rsid w:val="00921EB3"/>
    <w:rsid w:val="00921ED5"/>
    <w:rsid w:val="00922006"/>
    <w:rsid w:val="00922B26"/>
    <w:rsid w:val="00922B3D"/>
    <w:rsid w:val="009232A3"/>
    <w:rsid w:val="0092360E"/>
    <w:rsid w:val="00923746"/>
    <w:rsid w:val="009238C8"/>
    <w:rsid w:val="0092390A"/>
    <w:rsid w:val="00923EA3"/>
    <w:rsid w:val="00924CB6"/>
    <w:rsid w:val="0092502C"/>
    <w:rsid w:val="00925DF8"/>
    <w:rsid w:val="00925F16"/>
    <w:rsid w:val="00926310"/>
    <w:rsid w:val="00926C8E"/>
    <w:rsid w:val="009300AD"/>
    <w:rsid w:val="00930342"/>
    <w:rsid w:val="00930867"/>
    <w:rsid w:val="00930A57"/>
    <w:rsid w:val="00930F25"/>
    <w:rsid w:val="0093148F"/>
    <w:rsid w:val="009321D8"/>
    <w:rsid w:val="0093223F"/>
    <w:rsid w:val="0093238A"/>
    <w:rsid w:val="00932395"/>
    <w:rsid w:val="0093240C"/>
    <w:rsid w:val="009325A4"/>
    <w:rsid w:val="00932E84"/>
    <w:rsid w:val="00933354"/>
    <w:rsid w:val="00934013"/>
    <w:rsid w:val="00934088"/>
    <w:rsid w:val="009341F7"/>
    <w:rsid w:val="00934D02"/>
    <w:rsid w:val="00935A23"/>
    <w:rsid w:val="00935E07"/>
    <w:rsid w:val="00935E0C"/>
    <w:rsid w:val="0093679F"/>
    <w:rsid w:val="00937619"/>
    <w:rsid w:val="00937625"/>
    <w:rsid w:val="009408BC"/>
    <w:rsid w:val="00940FD8"/>
    <w:rsid w:val="009411D9"/>
    <w:rsid w:val="00941923"/>
    <w:rsid w:val="00942337"/>
    <w:rsid w:val="009424B5"/>
    <w:rsid w:val="00942752"/>
    <w:rsid w:val="00942EBF"/>
    <w:rsid w:val="00943A2C"/>
    <w:rsid w:val="009447F3"/>
    <w:rsid w:val="00944872"/>
    <w:rsid w:val="00944882"/>
    <w:rsid w:val="00945977"/>
    <w:rsid w:val="0094599B"/>
    <w:rsid w:val="009477EF"/>
    <w:rsid w:val="00947A41"/>
    <w:rsid w:val="00947C39"/>
    <w:rsid w:val="00947D5D"/>
    <w:rsid w:val="00950181"/>
    <w:rsid w:val="009505BB"/>
    <w:rsid w:val="00950AA2"/>
    <w:rsid w:val="00950F43"/>
    <w:rsid w:val="009516EA"/>
    <w:rsid w:val="00951A9F"/>
    <w:rsid w:val="00952DF6"/>
    <w:rsid w:val="00953270"/>
    <w:rsid w:val="0095341E"/>
    <w:rsid w:val="0095367E"/>
    <w:rsid w:val="0095449C"/>
    <w:rsid w:val="009547EC"/>
    <w:rsid w:val="00954FEE"/>
    <w:rsid w:val="00955377"/>
    <w:rsid w:val="00955E5F"/>
    <w:rsid w:val="00955E97"/>
    <w:rsid w:val="009561FE"/>
    <w:rsid w:val="00956333"/>
    <w:rsid w:val="009568FD"/>
    <w:rsid w:val="009569E4"/>
    <w:rsid w:val="009569FC"/>
    <w:rsid w:val="00960023"/>
    <w:rsid w:val="0096049B"/>
    <w:rsid w:val="00960536"/>
    <w:rsid w:val="00960809"/>
    <w:rsid w:val="009609B7"/>
    <w:rsid w:val="00960A97"/>
    <w:rsid w:val="00961274"/>
    <w:rsid w:val="009613EB"/>
    <w:rsid w:val="0096147F"/>
    <w:rsid w:val="0096204F"/>
    <w:rsid w:val="00962604"/>
    <w:rsid w:val="00962973"/>
    <w:rsid w:val="009633C5"/>
    <w:rsid w:val="0096373E"/>
    <w:rsid w:val="009637B6"/>
    <w:rsid w:val="00963BB5"/>
    <w:rsid w:val="00964103"/>
    <w:rsid w:val="009644F8"/>
    <w:rsid w:val="00964AE4"/>
    <w:rsid w:val="0096654A"/>
    <w:rsid w:val="00966E4D"/>
    <w:rsid w:val="009671EB"/>
    <w:rsid w:val="00967483"/>
    <w:rsid w:val="00967914"/>
    <w:rsid w:val="009703E9"/>
    <w:rsid w:val="00970861"/>
    <w:rsid w:val="00970A19"/>
    <w:rsid w:val="00970B83"/>
    <w:rsid w:val="00970DBC"/>
    <w:rsid w:val="00971625"/>
    <w:rsid w:val="00971C23"/>
    <w:rsid w:val="00971D15"/>
    <w:rsid w:val="0097206F"/>
    <w:rsid w:val="0097282F"/>
    <w:rsid w:val="00972A23"/>
    <w:rsid w:val="00972B6F"/>
    <w:rsid w:val="00973590"/>
    <w:rsid w:val="0097395C"/>
    <w:rsid w:val="00973A36"/>
    <w:rsid w:val="00973F6F"/>
    <w:rsid w:val="0097408A"/>
    <w:rsid w:val="0097443A"/>
    <w:rsid w:val="0097474B"/>
    <w:rsid w:val="00975172"/>
    <w:rsid w:val="00975285"/>
    <w:rsid w:val="0097537F"/>
    <w:rsid w:val="00975D4D"/>
    <w:rsid w:val="00976BCD"/>
    <w:rsid w:val="00977080"/>
    <w:rsid w:val="0097715D"/>
    <w:rsid w:val="0097741D"/>
    <w:rsid w:val="0097792B"/>
    <w:rsid w:val="00977EDE"/>
    <w:rsid w:val="00980EDF"/>
    <w:rsid w:val="00980EE3"/>
    <w:rsid w:val="00980FEB"/>
    <w:rsid w:val="0098130B"/>
    <w:rsid w:val="0098224E"/>
    <w:rsid w:val="00982D07"/>
    <w:rsid w:val="009830B3"/>
    <w:rsid w:val="00983A45"/>
    <w:rsid w:val="00983AAF"/>
    <w:rsid w:val="00983AF6"/>
    <w:rsid w:val="00983FDE"/>
    <w:rsid w:val="009845A4"/>
    <w:rsid w:val="00984FB6"/>
    <w:rsid w:val="00985AAB"/>
    <w:rsid w:val="00986037"/>
    <w:rsid w:val="00986259"/>
    <w:rsid w:val="009865A1"/>
    <w:rsid w:val="00986745"/>
    <w:rsid w:val="009867D1"/>
    <w:rsid w:val="009871AE"/>
    <w:rsid w:val="009877B2"/>
    <w:rsid w:val="00987C3A"/>
    <w:rsid w:val="00990249"/>
    <w:rsid w:val="00992213"/>
    <w:rsid w:val="00992C2A"/>
    <w:rsid w:val="00992E27"/>
    <w:rsid w:val="009931CB"/>
    <w:rsid w:val="00993425"/>
    <w:rsid w:val="009941EC"/>
    <w:rsid w:val="0099498F"/>
    <w:rsid w:val="00994ABE"/>
    <w:rsid w:val="00994BEA"/>
    <w:rsid w:val="00994F29"/>
    <w:rsid w:val="00994FE8"/>
    <w:rsid w:val="009953AC"/>
    <w:rsid w:val="009957A6"/>
    <w:rsid w:val="00995F0C"/>
    <w:rsid w:val="00996DFE"/>
    <w:rsid w:val="00997A92"/>
    <w:rsid w:val="00997D32"/>
    <w:rsid w:val="009A0483"/>
    <w:rsid w:val="009A07D4"/>
    <w:rsid w:val="009A0F1A"/>
    <w:rsid w:val="009A1011"/>
    <w:rsid w:val="009A112F"/>
    <w:rsid w:val="009A26C7"/>
    <w:rsid w:val="009A32B2"/>
    <w:rsid w:val="009A330C"/>
    <w:rsid w:val="009A34C6"/>
    <w:rsid w:val="009A3A24"/>
    <w:rsid w:val="009A4455"/>
    <w:rsid w:val="009A44CF"/>
    <w:rsid w:val="009A4759"/>
    <w:rsid w:val="009A4B57"/>
    <w:rsid w:val="009A4E0C"/>
    <w:rsid w:val="009A63E7"/>
    <w:rsid w:val="009A696E"/>
    <w:rsid w:val="009B30AF"/>
    <w:rsid w:val="009B4177"/>
    <w:rsid w:val="009B4E9B"/>
    <w:rsid w:val="009B53A2"/>
    <w:rsid w:val="009B5BA8"/>
    <w:rsid w:val="009B62FB"/>
    <w:rsid w:val="009B6579"/>
    <w:rsid w:val="009B6908"/>
    <w:rsid w:val="009B714A"/>
    <w:rsid w:val="009B7E34"/>
    <w:rsid w:val="009C00E4"/>
    <w:rsid w:val="009C08D1"/>
    <w:rsid w:val="009C0AD8"/>
    <w:rsid w:val="009C0C30"/>
    <w:rsid w:val="009C0F21"/>
    <w:rsid w:val="009C0FC9"/>
    <w:rsid w:val="009C113D"/>
    <w:rsid w:val="009C1438"/>
    <w:rsid w:val="009C149E"/>
    <w:rsid w:val="009C2210"/>
    <w:rsid w:val="009C28C1"/>
    <w:rsid w:val="009C2DA4"/>
    <w:rsid w:val="009C2DFF"/>
    <w:rsid w:val="009C389D"/>
    <w:rsid w:val="009C3DE4"/>
    <w:rsid w:val="009C4282"/>
    <w:rsid w:val="009C50E6"/>
    <w:rsid w:val="009C54DB"/>
    <w:rsid w:val="009C56B6"/>
    <w:rsid w:val="009C5B4C"/>
    <w:rsid w:val="009C6424"/>
    <w:rsid w:val="009C6D6D"/>
    <w:rsid w:val="009C6DAE"/>
    <w:rsid w:val="009C6F45"/>
    <w:rsid w:val="009C7EF6"/>
    <w:rsid w:val="009D02FA"/>
    <w:rsid w:val="009D038D"/>
    <w:rsid w:val="009D0D44"/>
    <w:rsid w:val="009D169E"/>
    <w:rsid w:val="009D1BBF"/>
    <w:rsid w:val="009D1F1B"/>
    <w:rsid w:val="009D1F5E"/>
    <w:rsid w:val="009D227E"/>
    <w:rsid w:val="009D361A"/>
    <w:rsid w:val="009D3CE1"/>
    <w:rsid w:val="009D3DF4"/>
    <w:rsid w:val="009D3F04"/>
    <w:rsid w:val="009D407B"/>
    <w:rsid w:val="009D4160"/>
    <w:rsid w:val="009D4392"/>
    <w:rsid w:val="009D45E9"/>
    <w:rsid w:val="009D4F6A"/>
    <w:rsid w:val="009D5810"/>
    <w:rsid w:val="009D5B7A"/>
    <w:rsid w:val="009D67CC"/>
    <w:rsid w:val="009D6C73"/>
    <w:rsid w:val="009D784E"/>
    <w:rsid w:val="009E0272"/>
    <w:rsid w:val="009E0499"/>
    <w:rsid w:val="009E0DC6"/>
    <w:rsid w:val="009E12CF"/>
    <w:rsid w:val="009E16B3"/>
    <w:rsid w:val="009E1C0F"/>
    <w:rsid w:val="009E22E9"/>
    <w:rsid w:val="009E2713"/>
    <w:rsid w:val="009E2DE0"/>
    <w:rsid w:val="009E2E52"/>
    <w:rsid w:val="009E3FCD"/>
    <w:rsid w:val="009E4216"/>
    <w:rsid w:val="009E4CCD"/>
    <w:rsid w:val="009E4CEB"/>
    <w:rsid w:val="009E4EB3"/>
    <w:rsid w:val="009E510F"/>
    <w:rsid w:val="009E5656"/>
    <w:rsid w:val="009E57B6"/>
    <w:rsid w:val="009E5A57"/>
    <w:rsid w:val="009E6721"/>
    <w:rsid w:val="009E67A8"/>
    <w:rsid w:val="009E6944"/>
    <w:rsid w:val="009E73AA"/>
    <w:rsid w:val="009E76E7"/>
    <w:rsid w:val="009E7C94"/>
    <w:rsid w:val="009E7F9B"/>
    <w:rsid w:val="009F0232"/>
    <w:rsid w:val="009F0748"/>
    <w:rsid w:val="009F0D22"/>
    <w:rsid w:val="009F1268"/>
    <w:rsid w:val="009F16A1"/>
    <w:rsid w:val="009F1B64"/>
    <w:rsid w:val="009F1E79"/>
    <w:rsid w:val="009F2530"/>
    <w:rsid w:val="009F27AE"/>
    <w:rsid w:val="009F2B87"/>
    <w:rsid w:val="009F305E"/>
    <w:rsid w:val="009F3762"/>
    <w:rsid w:val="009F3B2B"/>
    <w:rsid w:val="009F3EE2"/>
    <w:rsid w:val="009F3F4B"/>
    <w:rsid w:val="009F45AE"/>
    <w:rsid w:val="009F50F2"/>
    <w:rsid w:val="009F52D0"/>
    <w:rsid w:val="009F64B8"/>
    <w:rsid w:val="009F65F2"/>
    <w:rsid w:val="009F7078"/>
    <w:rsid w:val="00A00289"/>
    <w:rsid w:val="00A00C9E"/>
    <w:rsid w:val="00A016D5"/>
    <w:rsid w:val="00A0183B"/>
    <w:rsid w:val="00A0208F"/>
    <w:rsid w:val="00A02838"/>
    <w:rsid w:val="00A02A80"/>
    <w:rsid w:val="00A02CAA"/>
    <w:rsid w:val="00A03002"/>
    <w:rsid w:val="00A03231"/>
    <w:rsid w:val="00A03337"/>
    <w:rsid w:val="00A034CE"/>
    <w:rsid w:val="00A03653"/>
    <w:rsid w:val="00A038FD"/>
    <w:rsid w:val="00A03F94"/>
    <w:rsid w:val="00A0423F"/>
    <w:rsid w:val="00A04432"/>
    <w:rsid w:val="00A049BB"/>
    <w:rsid w:val="00A052A3"/>
    <w:rsid w:val="00A052D9"/>
    <w:rsid w:val="00A05B38"/>
    <w:rsid w:val="00A062D9"/>
    <w:rsid w:val="00A062DB"/>
    <w:rsid w:val="00A069B5"/>
    <w:rsid w:val="00A06B9F"/>
    <w:rsid w:val="00A06E46"/>
    <w:rsid w:val="00A06F95"/>
    <w:rsid w:val="00A079B4"/>
    <w:rsid w:val="00A07AEE"/>
    <w:rsid w:val="00A07D57"/>
    <w:rsid w:val="00A07DE1"/>
    <w:rsid w:val="00A10256"/>
    <w:rsid w:val="00A106DB"/>
    <w:rsid w:val="00A10759"/>
    <w:rsid w:val="00A107FC"/>
    <w:rsid w:val="00A11395"/>
    <w:rsid w:val="00A113BB"/>
    <w:rsid w:val="00A11E7D"/>
    <w:rsid w:val="00A11F0B"/>
    <w:rsid w:val="00A1271A"/>
    <w:rsid w:val="00A13077"/>
    <w:rsid w:val="00A137A4"/>
    <w:rsid w:val="00A14C51"/>
    <w:rsid w:val="00A15438"/>
    <w:rsid w:val="00A15925"/>
    <w:rsid w:val="00A15C6B"/>
    <w:rsid w:val="00A16013"/>
    <w:rsid w:val="00A1611D"/>
    <w:rsid w:val="00A16319"/>
    <w:rsid w:val="00A16AC9"/>
    <w:rsid w:val="00A17627"/>
    <w:rsid w:val="00A17743"/>
    <w:rsid w:val="00A21290"/>
    <w:rsid w:val="00A21314"/>
    <w:rsid w:val="00A2223A"/>
    <w:rsid w:val="00A2231B"/>
    <w:rsid w:val="00A224E3"/>
    <w:rsid w:val="00A2278A"/>
    <w:rsid w:val="00A22B29"/>
    <w:rsid w:val="00A2334D"/>
    <w:rsid w:val="00A2378B"/>
    <w:rsid w:val="00A24373"/>
    <w:rsid w:val="00A254EE"/>
    <w:rsid w:val="00A258AF"/>
    <w:rsid w:val="00A25E4B"/>
    <w:rsid w:val="00A260D4"/>
    <w:rsid w:val="00A26325"/>
    <w:rsid w:val="00A263EB"/>
    <w:rsid w:val="00A2653C"/>
    <w:rsid w:val="00A26B08"/>
    <w:rsid w:val="00A26E10"/>
    <w:rsid w:val="00A27126"/>
    <w:rsid w:val="00A27506"/>
    <w:rsid w:val="00A2751D"/>
    <w:rsid w:val="00A2786D"/>
    <w:rsid w:val="00A278C6"/>
    <w:rsid w:val="00A30574"/>
    <w:rsid w:val="00A30933"/>
    <w:rsid w:val="00A316F0"/>
    <w:rsid w:val="00A31D8D"/>
    <w:rsid w:val="00A327DB"/>
    <w:rsid w:val="00A32CFC"/>
    <w:rsid w:val="00A32FAB"/>
    <w:rsid w:val="00A33839"/>
    <w:rsid w:val="00A34218"/>
    <w:rsid w:val="00A342BD"/>
    <w:rsid w:val="00A34EA3"/>
    <w:rsid w:val="00A35273"/>
    <w:rsid w:val="00A356FB"/>
    <w:rsid w:val="00A36478"/>
    <w:rsid w:val="00A364A7"/>
    <w:rsid w:val="00A364B1"/>
    <w:rsid w:val="00A37BEE"/>
    <w:rsid w:val="00A37FFE"/>
    <w:rsid w:val="00A40381"/>
    <w:rsid w:val="00A4049F"/>
    <w:rsid w:val="00A404F6"/>
    <w:rsid w:val="00A40E00"/>
    <w:rsid w:val="00A41F8C"/>
    <w:rsid w:val="00A42036"/>
    <w:rsid w:val="00A42B4A"/>
    <w:rsid w:val="00A437F4"/>
    <w:rsid w:val="00A44194"/>
    <w:rsid w:val="00A45362"/>
    <w:rsid w:val="00A46024"/>
    <w:rsid w:val="00A46795"/>
    <w:rsid w:val="00A469CD"/>
    <w:rsid w:val="00A46E6A"/>
    <w:rsid w:val="00A476BE"/>
    <w:rsid w:val="00A47A16"/>
    <w:rsid w:val="00A47DCC"/>
    <w:rsid w:val="00A47E39"/>
    <w:rsid w:val="00A50165"/>
    <w:rsid w:val="00A5037B"/>
    <w:rsid w:val="00A50E14"/>
    <w:rsid w:val="00A51470"/>
    <w:rsid w:val="00A5195E"/>
    <w:rsid w:val="00A51CAE"/>
    <w:rsid w:val="00A520ED"/>
    <w:rsid w:val="00A52834"/>
    <w:rsid w:val="00A530DF"/>
    <w:rsid w:val="00A5347D"/>
    <w:rsid w:val="00A53A89"/>
    <w:rsid w:val="00A5427A"/>
    <w:rsid w:val="00A548A6"/>
    <w:rsid w:val="00A54ABA"/>
    <w:rsid w:val="00A55F40"/>
    <w:rsid w:val="00A561D1"/>
    <w:rsid w:val="00A603ED"/>
    <w:rsid w:val="00A60941"/>
    <w:rsid w:val="00A60ED7"/>
    <w:rsid w:val="00A61C00"/>
    <w:rsid w:val="00A623A4"/>
    <w:rsid w:val="00A62D59"/>
    <w:rsid w:val="00A62E30"/>
    <w:rsid w:val="00A62EB1"/>
    <w:rsid w:val="00A63BF4"/>
    <w:rsid w:val="00A64B56"/>
    <w:rsid w:val="00A64BBE"/>
    <w:rsid w:val="00A64BD9"/>
    <w:rsid w:val="00A64DCD"/>
    <w:rsid w:val="00A65680"/>
    <w:rsid w:val="00A65700"/>
    <w:rsid w:val="00A657FE"/>
    <w:rsid w:val="00A65885"/>
    <w:rsid w:val="00A65B80"/>
    <w:rsid w:val="00A66D22"/>
    <w:rsid w:val="00A66F93"/>
    <w:rsid w:val="00A674F4"/>
    <w:rsid w:val="00A702B2"/>
    <w:rsid w:val="00A7084D"/>
    <w:rsid w:val="00A70F32"/>
    <w:rsid w:val="00A71704"/>
    <w:rsid w:val="00A71922"/>
    <w:rsid w:val="00A71C83"/>
    <w:rsid w:val="00A72185"/>
    <w:rsid w:val="00A73076"/>
    <w:rsid w:val="00A73A3B"/>
    <w:rsid w:val="00A73B81"/>
    <w:rsid w:val="00A745B7"/>
    <w:rsid w:val="00A74661"/>
    <w:rsid w:val="00A746BF"/>
    <w:rsid w:val="00A76619"/>
    <w:rsid w:val="00A76D2C"/>
    <w:rsid w:val="00A77054"/>
    <w:rsid w:val="00A77455"/>
    <w:rsid w:val="00A7748A"/>
    <w:rsid w:val="00A809A7"/>
    <w:rsid w:val="00A80B74"/>
    <w:rsid w:val="00A80B89"/>
    <w:rsid w:val="00A80CD2"/>
    <w:rsid w:val="00A8120C"/>
    <w:rsid w:val="00A8179C"/>
    <w:rsid w:val="00A81D99"/>
    <w:rsid w:val="00A8224C"/>
    <w:rsid w:val="00A823CA"/>
    <w:rsid w:val="00A8247F"/>
    <w:rsid w:val="00A82665"/>
    <w:rsid w:val="00A82A49"/>
    <w:rsid w:val="00A82EC3"/>
    <w:rsid w:val="00A83F4C"/>
    <w:rsid w:val="00A848BC"/>
    <w:rsid w:val="00A85716"/>
    <w:rsid w:val="00A85D38"/>
    <w:rsid w:val="00A86060"/>
    <w:rsid w:val="00A8644B"/>
    <w:rsid w:val="00A86CA1"/>
    <w:rsid w:val="00A87180"/>
    <w:rsid w:val="00A874D7"/>
    <w:rsid w:val="00A87974"/>
    <w:rsid w:val="00A87D48"/>
    <w:rsid w:val="00A90055"/>
    <w:rsid w:val="00A901CF"/>
    <w:rsid w:val="00A913A5"/>
    <w:rsid w:val="00A91E1C"/>
    <w:rsid w:val="00A929EA"/>
    <w:rsid w:val="00A930C9"/>
    <w:rsid w:val="00A9318A"/>
    <w:rsid w:val="00A93429"/>
    <w:rsid w:val="00A93B17"/>
    <w:rsid w:val="00A93BD4"/>
    <w:rsid w:val="00A944BF"/>
    <w:rsid w:val="00A95083"/>
    <w:rsid w:val="00A951AE"/>
    <w:rsid w:val="00A95717"/>
    <w:rsid w:val="00A95839"/>
    <w:rsid w:val="00A96061"/>
    <w:rsid w:val="00A96225"/>
    <w:rsid w:val="00A963F9"/>
    <w:rsid w:val="00A96DEA"/>
    <w:rsid w:val="00A97237"/>
    <w:rsid w:val="00A973E6"/>
    <w:rsid w:val="00AA0035"/>
    <w:rsid w:val="00AA0201"/>
    <w:rsid w:val="00AA03C5"/>
    <w:rsid w:val="00AA17B4"/>
    <w:rsid w:val="00AA1A3D"/>
    <w:rsid w:val="00AA1AE6"/>
    <w:rsid w:val="00AA1FE7"/>
    <w:rsid w:val="00AA213B"/>
    <w:rsid w:val="00AA280E"/>
    <w:rsid w:val="00AA2F20"/>
    <w:rsid w:val="00AA2FC9"/>
    <w:rsid w:val="00AA34A8"/>
    <w:rsid w:val="00AA3C26"/>
    <w:rsid w:val="00AA3CEC"/>
    <w:rsid w:val="00AA3E84"/>
    <w:rsid w:val="00AA4136"/>
    <w:rsid w:val="00AA5163"/>
    <w:rsid w:val="00AA5AEC"/>
    <w:rsid w:val="00AA5BFF"/>
    <w:rsid w:val="00AA5C7A"/>
    <w:rsid w:val="00AA5F33"/>
    <w:rsid w:val="00AA6289"/>
    <w:rsid w:val="00AA63D4"/>
    <w:rsid w:val="00AA6C48"/>
    <w:rsid w:val="00AA6F2F"/>
    <w:rsid w:val="00AA78E6"/>
    <w:rsid w:val="00AA79D1"/>
    <w:rsid w:val="00AA7D97"/>
    <w:rsid w:val="00AB038C"/>
    <w:rsid w:val="00AB0506"/>
    <w:rsid w:val="00AB0762"/>
    <w:rsid w:val="00AB0BE3"/>
    <w:rsid w:val="00AB270B"/>
    <w:rsid w:val="00AB2F26"/>
    <w:rsid w:val="00AB326F"/>
    <w:rsid w:val="00AB458A"/>
    <w:rsid w:val="00AB4A2F"/>
    <w:rsid w:val="00AB5124"/>
    <w:rsid w:val="00AB5A59"/>
    <w:rsid w:val="00AB60A7"/>
    <w:rsid w:val="00AB7169"/>
    <w:rsid w:val="00AB7184"/>
    <w:rsid w:val="00AB7922"/>
    <w:rsid w:val="00AB7A7E"/>
    <w:rsid w:val="00AC04DB"/>
    <w:rsid w:val="00AC0F2B"/>
    <w:rsid w:val="00AC0FC7"/>
    <w:rsid w:val="00AC1123"/>
    <w:rsid w:val="00AC1577"/>
    <w:rsid w:val="00AC1970"/>
    <w:rsid w:val="00AC1B40"/>
    <w:rsid w:val="00AC3674"/>
    <w:rsid w:val="00AC5170"/>
    <w:rsid w:val="00AC51B9"/>
    <w:rsid w:val="00AC5765"/>
    <w:rsid w:val="00AC5CA5"/>
    <w:rsid w:val="00AC733C"/>
    <w:rsid w:val="00AD033A"/>
    <w:rsid w:val="00AD046F"/>
    <w:rsid w:val="00AD09A7"/>
    <w:rsid w:val="00AD0E2D"/>
    <w:rsid w:val="00AD1270"/>
    <w:rsid w:val="00AD1651"/>
    <w:rsid w:val="00AD165D"/>
    <w:rsid w:val="00AD21E1"/>
    <w:rsid w:val="00AD2784"/>
    <w:rsid w:val="00AD3460"/>
    <w:rsid w:val="00AD4325"/>
    <w:rsid w:val="00AD43A1"/>
    <w:rsid w:val="00AD479D"/>
    <w:rsid w:val="00AD525C"/>
    <w:rsid w:val="00AD5669"/>
    <w:rsid w:val="00AD5AC1"/>
    <w:rsid w:val="00AD5D94"/>
    <w:rsid w:val="00AD5E00"/>
    <w:rsid w:val="00AD5E1C"/>
    <w:rsid w:val="00AD6593"/>
    <w:rsid w:val="00AD6598"/>
    <w:rsid w:val="00AD7046"/>
    <w:rsid w:val="00AD7500"/>
    <w:rsid w:val="00AD7C51"/>
    <w:rsid w:val="00AD7FE1"/>
    <w:rsid w:val="00AE0253"/>
    <w:rsid w:val="00AE02F8"/>
    <w:rsid w:val="00AE02FA"/>
    <w:rsid w:val="00AE0565"/>
    <w:rsid w:val="00AE0A39"/>
    <w:rsid w:val="00AE1B51"/>
    <w:rsid w:val="00AE1F9E"/>
    <w:rsid w:val="00AE2AF4"/>
    <w:rsid w:val="00AE2F13"/>
    <w:rsid w:val="00AE369C"/>
    <w:rsid w:val="00AE4759"/>
    <w:rsid w:val="00AE47A6"/>
    <w:rsid w:val="00AE4B01"/>
    <w:rsid w:val="00AE5517"/>
    <w:rsid w:val="00AE5552"/>
    <w:rsid w:val="00AE60AB"/>
    <w:rsid w:val="00AE6682"/>
    <w:rsid w:val="00AE6C0E"/>
    <w:rsid w:val="00AF08C2"/>
    <w:rsid w:val="00AF0BCB"/>
    <w:rsid w:val="00AF12C0"/>
    <w:rsid w:val="00AF1C92"/>
    <w:rsid w:val="00AF1DE1"/>
    <w:rsid w:val="00AF1F53"/>
    <w:rsid w:val="00AF32AA"/>
    <w:rsid w:val="00AF39FC"/>
    <w:rsid w:val="00AF3E6B"/>
    <w:rsid w:val="00AF45EA"/>
    <w:rsid w:val="00AF6AE9"/>
    <w:rsid w:val="00AF6D92"/>
    <w:rsid w:val="00AF7396"/>
    <w:rsid w:val="00AF78EB"/>
    <w:rsid w:val="00B022BF"/>
    <w:rsid w:val="00B02F35"/>
    <w:rsid w:val="00B03CC0"/>
    <w:rsid w:val="00B04442"/>
    <w:rsid w:val="00B04BBB"/>
    <w:rsid w:val="00B05031"/>
    <w:rsid w:val="00B0610C"/>
    <w:rsid w:val="00B06F33"/>
    <w:rsid w:val="00B06F92"/>
    <w:rsid w:val="00B072E1"/>
    <w:rsid w:val="00B07328"/>
    <w:rsid w:val="00B0761F"/>
    <w:rsid w:val="00B07782"/>
    <w:rsid w:val="00B103FD"/>
    <w:rsid w:val="00B10BC3"/>
    <w:rsid w:val="00B11369"/>
    <w:rsid w:val="00B115FE"/>
    <w:rsid w:val="00B11B87"/>
    <w:rsid w:val="00B1207E"/>
    <w:rsid w:val="00B13446"/>
    <w:rsid w:val="00B13C64"/>
    <w:rsid w:val="00B147CC"/>
    <w:rsid w:val="00B14B6E"/>
    <w:rsid w:val="00B14EBF"/>
    <w:rsid w:val="00B1519E"/>
    <w:rsid w:val="00B15758"/>
    <w:rsid w:val="00B15A8D"/>
    <w:rsid w:val="00B15D1E"/>
    <w:rsid w:val="00B15D7E"/>
    <w:rsid w:val="00B1612A"/>
    <w:rsid w:val="00B166E9"/>
    <w:rsid w:val="00B169DA"/>
    <w:rsid w:val="00B16B7B"/>
    <w:rsid w:val="00B16CE4"/>
    <w:rsid w:val="00B171B3"/>
    <w:rsid w:val="00B17204"/>
    <w:rsid w:val="00B1741D"/>
    <w:rsid w:val="00B17BCA"/>
    <w:rsid w:val="00B17C6C"/>
    <w:rsid w:val="00B17CCE"/>
    <w:rsid w:val="00B17D6E"/>
    <w:rsid w:val="00B2036A"/>
    <w:rsid w:val="00B21CBD"/>
    <w:rsid w:val="00B21CF7"/>
    <w:rsid w:val="00B232E4"/>
    <w:rsid w:val="00B23942"/>
    <w:rsid w:val="00B24301"/>
    <w:rsid w:val="00B246B6"/>
    <w:rsid w:val="00B250B7"/>
    <w:rsid w:val="00B25203"/>
    <w:rsid w:val="00B25468"/>
    <w:rsid w:val="00B255F7"/>
    <w:rsid w:val="00B2593C"/>
    <w:rsid w:val="00B27618"/>
    <w:rsid w:val="00B2771A"/>
    <w:rsid w:val="00B305AB"/>
    <w:rsid w:val="00B318FD"/>
    <w:rsid w:val="00B31CBD"/>
    <w:rsid w:val="00B31D32"/>
    <w:rsid w:val="00B31D59"/>
    <w:rsid w:val="00B31D74"/>
    <w:rsid w:val="00B31FF8"/>
    <w:rsid w:val="00B32043"/>
    <w:rsid w:val="00B3241F"/>
    <w:rsid w:val="00B32891"/>
    <w:rsid w:val="00B342BA"/>
    <w:rsid w:val="00B34B8D"/>
    <w:rsid w:val="00B351DB"/>
    <w:rsid w:val="00B358BE"/>
    <w:rsid w:val="00B35B36"/>
    <w:rsid w:val="00B35FB5"/>
    <w:rsid w:val="00B371E0"/>
    <w:rsid w:val="00B377C9"/>
    <w:rsid w:val="00B40081"/>
    <w:rsid w:val="00B4055B"/>
    <w:rsid w:val="00B405FA"/>
    <w:rsid w:val="00B40643"/>
    <w:rsid w:val="00B40CEF"/>
    <w:rsid w:val="00B40DF2"/>
    <w:rsid w:val="00B4173B"/>
    <w:rsid w:val="00B42828"/>
    <w:rsid w:val="00B42DAA"/>
    <w:rsid w:val="00B43007"/>
    <w:rsid w:val="00B435F8"/>
    <w:rsid w:val="00B43F92"/>
    <w:rsid w:val="00B44F3A"/>
    <w:rsid w:val="00B44FD9"/>
    <w:rsid w:val="00B4501F"/>
    <w:rsid w:val="00B45D13"/>
    <w:rsid w:val="00B45D4C"/>
    <w:rsid w:val="00B463EE"/>
    <w:rsid w:val="00B46B3C"/>
    <w:rsid w:val="00B46C8B"/>
    <w:rsid w:val="00B46CD6"/>
    <w:rsid w:val="00B46D81"/>
    <w:rsid w:val="00B47471"/>
    <w:rsid w:val="00B47B52"/>
    <w:rsid w:val="00B501C4"/>
    <w:rsid w:val="00B504A7"/>
    <w:rsid w:val="00B50E1B"/>
    <w:rsid w:val="00B50F7A"/>
    <w:rsid w:val="00B51121"/>
    <w:rsid w:val="00B51F80"/>
    <w:rsid w:val="00B520A2"/>
    <w:rsid w:val="00B5226B"/>
    <w:rsid w:val="00B52333"/>
    <w:rsid w:val="00B524D1"/>
    <w:rsid w:val="00B5354D"/>
    <w:rsid w:val="00B537FD"/>
    <w:rsid w:val="00B53ABD"/>
    <w:rsid w:val="00B53D12"/>
    <w:rsid w:val="00B5418E"/>
    <w:rsid w:val="00B543FD"/>
    <w:rsid w:val="00B54CCE"/>
    <w:rsid w:val="00B54D03"/>
    <w:rsid w:val="00B556D9"/>
    <w:rsid w:val="00B55BAB"/>
    <w:rsid w:val="00B55F52"/>
    <w:rsid w:val="00B55FEF"/>
    <w:rsid w:val="00B5659F"/>
    <w:rsid w:val="00B56F99"/>
    <w:rsid w:val="00B57E5F"/>
    <w:rsid w:val="00B600E1"/>
    <w:rsid w:val="00B6043D"/>
    <w:rsid w:val="00B6093E"/>
    <w:rsid w:val="00B60F4A"/>
    <w:rsid w:val="00B60FA7"/>
    <w:rsid w:val="00B615E8"/>
    <w:rsid w:val="00B62309"/>
    <w:rsid w:val="00B6255C"/>
    <w:rsid w:val="00B62877"/>
    <w:rsid w:val="00B629E1"/>
    <w:rsid w:val="00B63E2C"/>
    <w:rsid w:val="00B646A2"/>
    <w:rsid w:val="00B64813"/>
    <w:rsid w:val="00B648C2"/>
    <w:rsid w:val="00B649A1"/>
    <w:rsid w:val="00B65018"/>
    <w:rsid w:val="00B650F5"/>
    <w:rsid w:val="00B6524A"/>
    <w:rsid w:val="00B653C3"/>
    <w:rsid w:val="00B6627A"/>
    <w:rsid w:val="00B66EA3"/>
    <w:rsid w:val="00B6745A"/>
    <w:rsid w:val="00B67F8C"/>
    <w:rsid w:val="00B7000F"/>
    <w:rsid w:val="00B7126F"/>
    <w:rsid w:val="00B7162A"/>
    <w:rsid w:val="00B7176B"/>
    <w:rsid w:val="00B718C2"/>
    <w:rsid w:val="00B727BE"/>
    <w:rsid w:val="00B73629"/>
    <w:rsid w:val="00B73DEA"/>
    <w:rsid w:val="00B746CA"/>
    <w:rsid w:val="00B74A98"/>
    <w:rsid w:val="00B752B4"/>
    <w:rsid w:val="00B75D4B"/>
    <w:rsid w:val="00B75D87"/>
    <w:rsid w:val="00B76220"/>
    <w:rsid w:val="00B76712"/>
    <w:rsid w:val="00B76919"/>
    <w:rsid w:val="00B76922"/>
    <w:rsid w:val="00B77A9B"/>
    <w:rsid w:val="00B77C61"/>
    <w:rsid w:val="00B80B74"/>
    <w:rsid w:val="00B8187A"/>
    <w:rsid w:val="00B81A1D"/>
    <w:rsid w:val="00B81D1F"/>
    <w:rsid w:val="00B823F5"/>
    <w:rsid w:val="00B82540"/>
    <w:rsid w:val="00B82544"/>
    <w:rsid w:val="00B8258A"/>
    <w:rsid w:val="00B82A38"/>
    <w:rsid w:val="00B82D1B"/>
    <w:rsid w:val="00B83018"/>
    <w:rsid w:val="00B83074"/>
    <w:rsid w:val="00B84003"/>
    <w:rsid w:val="00B8477D"/>
    <w:rsid w:val="00B84C5D"/>
    <w:rsid w:val="00B864C1"/>
    <w:rsid w:val="00B869E5"/>
    <w:rsid w:val="00B86A1D"/>
    <w:rsid w:val="00B87337"/>
    <w:rsid w:val="00B9005E"/>
    <w:rsid w:val="00B90738"/>
    <w:rsid w:val="00B9079F"/>
    <w:rsid w:val="00B9092D"/>
    <w:rsid w:val="00B912CE"/>
    <w:rsid w:val="00B9147A"/>
    <w:rsid w:val="00B91804"/>
    <w:rsid w:val="00B93012"/>
    <w:rsid w:val="00B93336"/>
    <w:rsid w:val="00B93364"/>
    <w:rsid w:val="00B93895"/>
    <w:rsid w:val="00B94159"/>
    <w:rsid w:val="00B944B7"/>
    <w:rsid w:val="00B94563"/>
    <w:rsid w:val="00B946A4"/>
    <w:rsid w:val="00B949D1"/>
    <w:rsid w:val="00B95104"/>
    <w:rsid w:val="00B9537A"/>
    <w:rsid w:val="00B9652D"/>
    <w:rsid w:val="00B969EC"/>
    <w:rsid w:val="00B97CE8"/>
    <w:rsid w:val="00BA0009"/>
    <w:rsid w:val="00BA058C"/>
    <w:rsid w:val="00BA089F"/>
    <w:rsid w:val="00BA0C9E"/>
    <w:rsid w:val="00BA17B3"/>
    <w:rsid w:val="00BA21C9"/>
    <w:rsid w:val="00BA3B42"/>
    <w:rsid w:val="00BA3FC2"/>
    <w:rsid w:val="00BA5274"/>
    <w:rsid w:val="00BA5EC7"/>
    <w:rsid w:val="00BA60CE"/>
    <w:rsid w:val="00BA6B25"/>
    <w:rsid w:val="00BA6F65"/>
    <w:rsid w:val="00BA71CE"/>
    <w:rsid w:val="00BB034C"/>
    <w:rsid w:val="00BB1110"/>
    <w:rsid w:val="00BB1913"/>
    <w:rsid w:val="00BB1F1D"/>
    <w:rsid w:val="00BB21BA"/>
    <w:rsid w:val="00BB2292"/>
    <w:rsid w:val="00BB2C6A"/>
    <w:rsid w:val="00BB3B39"/>
    <w:rsid w:val="00BB3CAA"/>
    <w:rsid w:val="00BB3D63"/>
    <w:rsid w:val="00BB4016"/>
    <w:rsid w:val="00BB472B"/>
    <w:rsid w:val="00BB511D"/>
    <w:rsid w:val="00BB5AB7"/>
    <w:rsid w:val="00BB627C"/>
    <w:rsid w:val="00BB6808"/>
    <w:rsid w:val="00BC0CC7"/>
    <w:rsid w:val="00BC1EAD"/>
    <w:rsid w:val="00BC2260"/>
    <w:rsid w:val="00BC2B72"/>
    <w:rsid w:val="00BC2E90"/>
    <w:rsid w:val="00BC39E6"/>
    <w:rsid w:val="00BC3EC2"/>
    <w:rsid w:val="00BC46B0"/>
    <w:rsid w:val="00BC5104"/>
    <w:rsid w:val="00BC5887"/>
    <w:rsid w:val="00BC5DFC"/>
    <w:rsid w:val="00BC609B"/>
    <w:rsid w:val="00BC6687"/>
    <w:rsid w:val="00BC6CA7"/>
    <w:rsid w:val="00BC75D8"/>
    <w:rsid w:val="00BC7C6A"/>
    <w:rsid w:val="00BD0775"/>
    <w:rsid w:val="00BD0942"/>
    <w:rsid w:val="00BD101B"/>
    <w:rsid w:val="00BD1B22"/>
    <w:rsid w:val="00BD2D70"/>
    <w:rsid w:val="00BD309A"/>
    <w:rsid w:val="00BD3839"/>
    <w:rsid w:val="00BD4444"/>
    <w:rsid w:val="00BD4AED"/>
    <w:rsid w:val="00BD4C73"/>
    <w:rsid w:val="00BD505B"/>
    <w:rsid w:val="00BD524D"/>
    <w:rsid w:val="00BD54E3"/>
    <w:rsid w:val="00BD54E9"/>
    <w:rsid w:val="00BD552F"/>
    <w:rsid w:val="00BD56B8"/>
    <w:rsid w:val="00BD580B"/>
    <w:rsid w:val="00BD58ED"/>
    <w:rsid w:val="00BD5D1D"/>
    <w:rsid w:val="00BD64B5"/>
    <w:rsid w:val="00BD6965"/>
    <w:rsid w:val="00BD6B30"/>
    <w:rsid w:val="00BD6CE9"/>
    <w:rsid w:val="00BD7223"/>
    <w:rsid w:val="00BD7BC9"/>
    <w:rsid w:val="00BD7E10"/>
    <w:rsid w:val="00BE0B35"/>
    <w:rsid w:val="00BE1393"/>
    <w:rsid w:val="00BE2809"/>
    <w:rsid w:val="00BE2868"/>
    <w:rsid w:val="00BE4263"/>
    <w:rsid w:val="00BE480F"/>
    <w:rsid w:val="00BE4AA7"/>
    <w:rsid w:val="00BE503E"/>
    <w:rsid w:val="00BE5B3D"/>
    <w:rsid w:val="00BE636F"/>
    <w:rsid w:val="00BE63DD"/>
    <w:rsid w:val="00BE6609"/>
    <w:rsid w:val="00BE677D"/>
    <w:rsid w:val="00BE67B8"/>
    <w:rsid w:val="00BE757F"/>
    <w:rsid w:val="00BE7929"/>
    <w:rsid w:val="00BE7F35"/>
    <w:rsid w:val="00BF1587"/>
    <w:rsid w:val="00BF1B12"/>
    <w:rsid w:val="00BF1C16"/>
    <w:rsid w:val="00BF22CD"/>
    <w:rsid w:val="00BF25D8"/>
    <w:rsid w:val="00BF2E9E"/>
    <w:rsid w:val="00BF3418"/>
    <w:rsid w:val="00BF4875"/>
    <w:rsid w:val="00BF4AAF"/>
    <w:rsid w:val="00BF4E1F"/>
    <w:rsid w:val="00BF5480"/>
    <w:rsid w:val="00BF59DC"/>
    <w:rsid w:val="00BF6786"/>
    <w:rsid w:val="00BF7874"/>
    <w:rsid w:val="00C0059C"/>
    <w:rsid w:val="00C006EC"/>
    <w:rsid w:val="00C008D0"/>
    <w:rsid w:val="00C00A0A"/>
    <w:rsid w:val="00C01178"/>
    <w:rsid w:val="00C01E58"/>
    <w:rsid w:val="00C01FAF"/>
    <w:rsid w:val="00C02F6F"/>
    <w:rsid w:val="00C0302A"/>
    <w:rsid w:val="00C032E4"/>
    <w:rsid w:val="00C03BE0"/>
    <w:rsid w:val="00C03F1D"/>
    <w:rsid w:val="00C04247"/>
    <w:rsid w:val="00C042AB"/>
    <w:rsid w:val="00C05E06"/>
    <w:rsid w:val="00C05E27"/>
    <w:rsid w:val="00C07505"/>
    <w:rsid w:val="00C07783"/>
    <w:rsid w:val="00C07C0D"/>
    <w:rsid w:val="00C07DBB"/>
    <w:rsid w:val="00C10B0E"/>
    <w:rsid w:val="00C10E20"/>
    <w:rsid w:val="00C115AA"/>
    <w:rsid w:val="00C117EE"/>
    <w:rsid w:val="00C11A94"/>
    <w:rsid w:val="00C129FD"/>
    <w:rsid w:val="00C13764"/>
    <w:rsid w:val="00C138ED"/>
    <w:rsid w:val="00C13976"/>
    <w:rsid w:val="00C13F0B"/>
    <w:rsid w:val="00C146C6"/>
    <w:rsid w:val="00C1544F"/>
    <w:rsid w:val="00C155BF"/>
    <w:rsid w:val="00C15DAE"/>
    <w:rsid w:val="00C15E0A"/>
    <w:rsid w:val="00C16481"/>
    <w:rsid w:val="00C16B40"/>
    <w:rsid w:val="00C20CBF"/>
    <w:rsid w:val="00C20EB9"/>
    <w:rsid w:val="00C219C4"/>
    <w:rsid w:val="00C222E7"/>
    <w:rsid w:val="00C225DF"/>
    <w:rsid w:val="00C22786"/>
    <w:rsid w:val="00C22C25"/>
    <w:rsid w:val="00C22CF9"/>
    <w:rsid w:val="00C22F7F"/>
    <w:rsid w:val="00C233A1"/>
    <w:rsid w:val="00C236A9"/>
    <w:rsid w:val="00C2386D"/>
    <w:rsid w:val="00C23A10"/>
    <w:rsid w:val="00C23AA7"/>
    <w:rsid w:val="00C23BD0"/>
    <w:rsid w:val="00C24107"/>
    <w:rsid w:val="00C241C0"/>
    <w:rsid w:val="00C24A86"/>
    <w:rsid w:val="00C24A99"/>
    <w:rsid w:val="00C25236"/>
    <w:rsid w:val="00C256EC"/>
    <w:rsid w:val="00C258A5"/>
    <w:rsid w:val="00C25A85"/>
    <w:rsid w:val="00C25C0C"/>
    <w:rsid w:val="00C26229"/>
    <w:rsid w:val="00C26579"/>
    <w:rsid w:val="00C268DE"/>
    <w:rsid w:val="00C276C8"/>
    <w:rsid w:val="00C27906"/>
    <w:rsid w:val="00C30311"/>
    <w:rsid w:val="00C30E75"/>
    <w:rsid w:val="00C31734"/>
    <w:rsid w:val="00C3205D"/>
    <w:rsid w:val="00C3308C"/>
    <w:rsid w:val="00C33281"/>
    <w:rsid w:val="00C3344D"/>
    <w:rsid w:val="00C33B13"/>
    <w:rsid w:val="00C33D2E"/>
    <w:rsid w:val="00C33DE0"/>
    <w:rsid w:val="00C33F52"/>
    <w:rsid w:val="00C342EA"/>
    <w:rsid w:val="00C34C4F"/>
    <w:rsid w:val="00C34CE1"/>
    <w:rsid w:val="00C34ED8"/>
    <w:rsid w:val="00C35309"/>
    <w:rsid w:val="00C356E9"/>
    <w:rsid w:val="00C3694B"/>
    <w:rsid w:val="00C36974"/>
    <w:rsid w:val="00C36CD1"/>
    <w:rsid w:val="00C36D54"/>
    <w:rsid w:val="00C37686"/>
    <w:rsid w:val="00C376B0"/>
    <w:rsid w:val="00C37893"/>
    <w:rsid w:val="00C379B5"/>
    <w:rsid w:val="00C4020F"/>
    <w:rsid w:val="00C40D60"/>
    <w:rsid w:val="00C40F24"/>
    <w:rsid w:val="00C410A0"/>
    <w:rsid w:val="00C4211E"/>
    <w:rsid w:val="00C4220D"/>
    <w:rsid w:val="00C42931"/>
    <w:rsid w:val="00C42C8C"/>
    <w:rsid w:val="00C434F5"/>
    <w:rsid w:val="00C43C53"/>
    <w:rsid w:val="00C44FB1"/>
    <w:rsid w:val="00C4519A"/>
    <w:rsid w:val="00C45BC6"/>
    <w:rsid w:val="00C46403"/>
    <w:rsid w:val="00C46837"/>
    <w:rsid w:val="00C474D9"/>
    <w:rsid w:val="00C47873"/>
    <w:rsid w:val="00C479FB"/>
    <w:rsid w:val="00C50C9E"/>
    <w:rsid w:val="00C5112E"/>
    <w:rsid w:val="00C51E81"/>
    <w:rsid w:val="00C52B1C"/>
    <w:rsid w:val="00C52EA1"/>
    <w:rsid w:val="00C5309A"/>
    <w:rsid w:val="00C53BF0"/>
    <w:rsid w:val="00C54423"/>
    <w:rsid w:val="00C5455E"/>
    <w:rsid w:val="00C547D2"/>
    <w:rsid w:val="00C54AA2"/>
    <w:rsid w:val="00C55BCA"/>
    <w:rsid w:val="00C56630"/>
    <w:rsid w:val="00C56AB4"/>
    <w:rsid w:val="00C57E57"/>
    <w:rsid w:val="00C606FC"/>
    <w:rsid w:val="00C60BC0"/>
    <w:rsid w:val="00C610F8"/>
    <w:rsid w:val="00C6150B"/>
    <w:rsid w:val="00C6167A"/>
    <w:rsid w:val="00C61A0F"/>
    <w:rsid w:val="00C62382"/>
    <w:rsid w:val="00C62F2B"/>
    <w:rsid w:val="00C64578"/>
    <w:rsid w:val="00C65980"/>
    <w:rsid w:val="00C65B1A"/>
    <w:rsid w:val="00C65DCE"/>
    <w:rsid w:val="00C65E3C"/>
    <w:rsid w:val="00C65FC9"/>
    <w:rsid w:val="00C66694"/>
    <w:rsid w:val="00C6766C"/>
    <w:rsid w:val="00C70C99"/>
    <w:rsid w:val="00C71580"/>
    <w:rsid w:val="00C71BE2"/>
    <w:rsid w:val="00C725C0"/>
    <w:rsid w:val="00C726E1"/>
    <w:rsid w:val="00C727B0"/>
    <w:rsid w:val="00C72A75"/>
    <w:rsid w:val="00C73F6E"/>
    <w:rsid w:val="00C74536"/>
    <w:rsid w:val="00C766DF"/>
    <w:rsid w:val="00C76DBB"/>
    <w:rsid w:val="00C771AF"/>
    <w:rsid w:val="00C77471"/>
    <w:rsid w:val="00C77769"/>
    <w:rsid w:val="00C777D6"/>
    <w:rsid w:val="00C77895"/>
    <w:rsid w:val="00C80847"/>
    <w:rsid w:val="00C81813"/>
    <w:rsid w:val="00C82470"/>
    <w:rsid w:val="00C826D2"/>
    <w:rsid w:val="00C829A7"/>
    <w:rsid w:val="00C83439"/>
    <w:rsid w:val="00C83510"/>
    <w:rsid w:val="00C83AA2"/>
    <w:rsid w:val="00C85E4F"/>
    <w:rsid w:val="00C860DD"/>
    <w:rsid w:val="00C86179"/>
    <w:rsid w:val="00C863B7"/>
    <w:rsid w:val="00C86875"/>
    <w:rsid w:val="00C87CA7"/>
    <w:rsid w:val="00C905CB"/>
    <w:rsid w:val="00C91C0E"/>
    <w:rsid w:val="00C91E15"/>
    <w:rsid w:val="00C920FA"/>
    <w:rsid w:val="00C92BA9"/>
    <w:rsid w:val="00C92E3D"/>
    <w:rsid w:val="00C937EC"/>
    <w:rsid w:val="00C93A90"/>
    <w:rsid w:val="00C93E45"/>
    <w:rsid w:val="00C946AB"/>
    <w:rsid w:val="00C94E46"/>
    <w:rsid w:val="00C950B4"/>
    <w:rsid w:val="00C9564C"/>
    <w:rsid w:val="00C95834"/>
    <w:rsid w:val="00C96EC5"/>
    <w:rsid w:val="00C975A7"/>
    <w:rsid w:val="00C975F6"/>
    <w:rsid w:val="00C97E82"/>
    <w:rsid w:val="00CA0287"/>
    <w:rsid w:val="00CA0476"/>
    <w:rsid w:val="00CA0C32"/>
    <w:rsid w:val="00CA1276"/>
    <w:rsid w:val="00CA1292"/>
    <w:rsid w:val="00CA1816"/>
    <w:rsid w:val="00CA198B"/>
    <w:rsid w:val="00CA22B0"/>
    <w:rsid w:val="00CA23C1"/>
    <w:rsid w:val="00CA25F8"/>
    <w:rsid w:val="00CA2D47"/>
    <w:rsid w:val="00CA40CD"/>
    <w:rsid w:val="00CA4942"/>
    <w:rsid w:val="00CA5396"/>
    <w:rsid w:val="00CA55BF"/>
    <w:rsid w:val="00CA5A23"/>
    <w:rsid w:val="00CA67A3"/>
    <w:rsid w:val="00CA6ED5"/>
    <w:rsid w:val="00CA7461"/>
    <w:rsid w:val="00CA7849"/>
    <w:rsid w:val="00CB0177"/>
    <w:rsid w:val="00CB161F"/>
    <w:rsid w:val="00CB1783"/>
    <w:rsid w:val="00CB17DF"/>
    <w:rsid w:val="00CB18BE"/>
    <w:rsid w:val="00CB1C2A"/>
    <w:rsid w:val="00CB2332"/>
    <w:rsid w:val="00CB2433"/>
    <w:rsid w:val="00CB26EB"/>
    <w:rsid w:val="00CB27DB"/>
    <w:rsid w:val="00CB2A8F"/>
    <w:rsid w:val="00CB3979"/>
    <w:rsid w:val="00CB45E2"/>
    <w:rsid w:val="00CB4853"/>
    <w:rsid w:val="00CB4AC1"/>
    <w:rsid w:val="00CB4DD7"/>
    <w:rsid w:val="00CB4F30"/>
    <w:rsid w:val="00CB5F76"/>
    <w:rsid w:val="00CB67BF"/>
    <w:rsid w:val="00CB69E6"/>
    <w:rsid w:val="00CB7E36"/>
    <w:rsid w:val="00CC0A14"/>
    <w:rsid w:val="00CC0B91"/>
    <w:rsid w:val="00CC0F25"/>
    <w:rsid w:val="00CC1077"/>
    <w:rsid w:val="00CC17DD"/>
    <w:rsid w:val="00CC2251"/>
    <w:rsid w:val="00CC28E9"/>
    <w:rsid w:val="00CC2E80"/>
    <w:rsid w:val="00CC300F"/>
    <w:rsid w:val="00CC302D"/>
    <w:rsid w:val="00CC31B6"/>
    <w:rsid w:val="00CC3683"/>
    <w:rsid w:val="00CC3A0B"/>
    <w:rsid w:val="00CC416D"/>
    <w:rsid w:val="00CC4518"/>
    <w:rsid w:val="00CC49AD"/>
    <w:rsid w:val="00CC4C68"/>
    <w:rsid w:val="00CC5FA9"/>
    <w:rsid w:val="00CC6782"/>
    <w:rsid w:val="00CC67DD"/>
    <w:rsid w:val="00CC6B3E"/>
    <w:rsid w:val="00CC7044"/>
    <w:rsid w:val="00CC74AA"/>
    <w:rsid w:val="00CD024E"/>
    <w:rsid w:val="00CD0265"/>
    <w:rsid w:val="00CD088E"/>
    <w:rsid w:val="00CD20EB"/>
    <w:rsid w:val="00CD23BF"/>
    <w:rsid w:val="00CD2578"/>
    <w:rsid w:val="00CD26B4"/>
    <w:rsid w:val="00CD2E6F"/>
    <w:rsid w:val="00CD2F58"/>
    <w:rsid w:val="00CD33A6"/>
    <w:rsid w:val="00CD4423"/>
    <w:rsid w:val="00CD44F1"/>
    <w:rsid w:val="00CD4773"/>
    <w:rsid w:val="00CD491E"/>
    <w:rsid w:val="00CD52E5"/>
    <w:rsid w:val="00CD5950"/>
    <w:rsid w:val="00CD6197"/>
    <w:rsid w:val="00CD7153"/>
    <w:rsid w:val="00CD72E9"/>
    <w:rsid w:val="00CD7A6C"/>
    <w:rsid w:val="00CE06E2"/>
    <w:rsid w:val="00CE0AF4"/>
    <w:rsid w:val="00CE1446"/>
    <w:rsid w:val="00CE17B7"/>
    <w:rsid w:val="00CE1B6C"/>
    <w:rsid w:val="00CE28F9"/>
    <w:rsid w:val="00CE2B99"/>
    <w:rsid w:val="00CE2EBD"/>
    <w:rsid w:val="00CE35FF"/>
    <w:rsid w:val="00CE363F"/>
    <w:rsid w:val="00CE374D"/>
    <w:rsid w:val="00CE380E"/>
    <w:rsid w:val="00CE4353"/>
    <w:rsid w:val="00CE4C3F"/>
    <w:rsid w:val="00CE505C"/>
    <w:rsid w:val="00CE51B1"/>
    <w:rsid w:val="00CE5978"/>
    <w:rsid w:val="00CE5FD5"/>
    <w:rsid w:val="00CE62A6"/>
    <w:rsid w:val="00CE67AC"/>
    <w:rsid w:val="00CE6E97"/>
    <w:rsid w:val="00CE71A9"/>
    <w:rsid w:val="00CE7723"/>
    <w:rsid w:val="00CE792C"/>
    <w:rsid w:val="00CF0696"/>
    <w:rsid w:val="00CF0980"/>
    <w:rsid w:val="00CF169A"/>
    <w:rsid w:val="00CF2051"/>
    <w:rsid w:val="00CF2E00"/>
    <w:rsid w:val="00CF2EEE"/>
    <w:rsid w:val="00CF37B6"/>
    <w:rsid w:val="00CF380A"/>
    <w:rsid w:val="00CF3F7A"/>
    <w:rsid w:val="00CF4102"/>
    <w:rsid w:val="00CF4337"/>
    <w:rsid w:val="00CF449A"/>
    <w:rsid w:val="00CF4F20"/>
    <w:rsid w:val="00CF4FE7"/>
    <w:rsid w:val="00CF5D34"/>
    <w:rsid w:val="00CF627E"/>
    <w:rsid w:val="00CF754D"/>
    <w:rsid w:val="00CF7655"/>
    <w:rsid w:val="00CF78DD"/>
    <w:rsid w:val="00CF7943"/>
    <w:rsid w:val="00D016C0"/>
    <w:rsid w:val="00D017AC"/>
    <w:rsid w:val="00D019FB"/>
    <w:rsid w:val="00D02318"/>
    <w:rsid w:val="00D0237A"/>
    <w:rsid w:val="00D02407"/>
    <w:rsid w:val="00D02C96"/>
    <w:rsid w:val="00D0381A"/>
    <w:rsid w:val="00D04B4E"/>
    <w:rsid w:val="00D051DA"/>
    <w:rsid w:val="00D06383"/>
    <w:rsid w:val="00D06564"/>
    <w:rsid w:val="00D06F70"/>
    <w:rsid w:val="00D0726F"/>
    <w:rsid w:val="00D07611"/>
    <w:rsid w:val="00D07E1A"/>
    <w:rsid w:val="00D10422"/>
    <w:rsid w:val="00D10D0A"/>
    <w:rsid w:val="00D11449"/>
    <w:rsid w:val="00D1199F"/>
    <w:rsid w:val="00D12DAB"/>
    <w:rsid w:val="00D13175"/>
    <w:rsid w:val="00D13228"/>
    <w:rsid w:val="00D1357A"/>
    <w:rsid w:val="00D137C9"/>
    <w:rsid w:val="00D13CB0"/>
    <w:rsid w:val="00D13EFE"/>
    <w:rsid w:val="00D140C4"/>
    <w:rsid w:val="00D14423"/>
    <w:rsid w:val="00D14438"/>
    <w:rsid w:val="00D15158"/>
    <w:rsid w:val="00D15978"/>
    <w:rsid w:val="00D15BB9"/>
    <w:rsid w:val="00D16C4D"/>
    <w:rsid w:val="00D20CBA"/>
    <w:rsid w:val="00D20D24"/>
    <w:rsid w:val="00D20E61"/>
    <w:rsid w:val="00D213B6"/>
    <w:rsid w:val="00D21479"/>
    <w:rsid w:val="00D2150E"/>
    <w:rsid w:val="00D217FC"/>
    <w:rsid w:val="00D22397"/>
    <w:rsid w:val="00D224D8"/>
    <w:rsid w:val="00D22E3E"/>
    <w:rsid w:val="00D23610"/>
    <w:rsid w:val="00D240FA"/>
    <w:rsid w:val="00D251FE"/>
    <w:rsid w:val="00D25243"/>
    <w:rsid w:val="00D261AA"/>
    <w:rsid w:val="00D261D7"/>
    <w:rsid w:val="00D263C9"/>
    <w:rsid w:val="00D26AEB"/>
    <w:rsid w:val="00D27084"/>
    <w:rsid w:val="00D27AD7"/>
    <w:rsid w:val="00D27DC7"/>
    <w:rsid w:val="00D27E57"/>
    <w:rsid w:val="00D30558"/>
    <w:rsid w:val="00D307FB"/>
    <w:rsid w:val="00D31FA2"/>
    <w:rsid w:val="00D32675"/>
    <w:rsid w:val="00D32BEA"/>
    <w:rsid w:val="00D334F5"/>
    <w:rsid w:val="00D33706"/>
    <w:rsid w:val="00D33CF6"/>
    <w:rsid w:val="00D345C1"/>
    <w:rsid w:val="00D34AD0"/>
    <w:rsid w:val="00D34E8E"/>
    <w:rsid w:val="00D365DB"/>
    <w:rsid w:val="00D3679F"/>
    <w:rsid w:val="00D36D16"/>
    <w:rsid w:val="00D36F66"/>
    <w:rsid w:val="00D37569"/>
    <w:rsid w:val="00D3796A"/>
    <w:rsid w:val="00D37B0B"/>
    <w:rsid w:val="00D37D32"/>
    <w:rsid w:val="00D37D75"/>
    <w:rsid w:val="00D4034F"/>
    <w:rsid w:val="00D4055B"/>
    <w:rsid w:val="00D406F6"/>
    <w:rsid w:val="00D4098F"/>
    <w:rsid w:val="00D40AD2"/>
    <w:rsid w:val="00D40D56"/>
    <w:rsid w:val="00D40E72"/>
    <w:rsid w:val="00D4138A"/>
    <w:rsid w:val="00D41F82"/>
    <w:rsid w:val="00D42D6F"/>
    <w:rsid w:val="00D4307F"/>
    <w:rsid w:val="00D431B2"/>
    <w:rsid w:val="00D43247"/>
    <w:rsid w:val="00D43356"/>
    <w:rsid w:val="00D433F6"/>
    <w:rsid w:val="00D445BE"/>
    <w:rsid w:val="00D45E8B"/>
    <w:rsid w:val="00D464FF"/>
    <w:rsid w:val="00D468B1"/>
    <w:rsid w:val="00D46CBD"/>
    <w:rsid w:val="00D46F45"/>
    <w:rsid w:val="00D47077"/>
    <w:rsid w:val="00D470E8"/>
    <w:rsid w:val="00D4795D"/>
    <w:rsid w:val="00D479A0"/>
    <w:rsid w:val="00D47B77"/>
    <w:rsid w:val="00D47CFE"/>
    <w:rsid w:val="00D47D28"/>
    <w:rsid w:val="00D50334"/>
    <w:rsid w:val="00D50D46"/>
    <w:rsid w:val="00D50FC8"/>
    <w:rsid w:val="00D511B7"/>
    <w:rsid w:val="00D516E1"/>
    <w:rsid w:val="00D5199C"/>
    <w:rsid w:val="00D51AFA"/>
    <w:rsid w:val="00D52CB2"/>
    <w:rsid w:val="00D53130"/>
    <w:rsid w:val="00D53296"/>
    <w:rsid w:val="00D533F4"/>
    <w:rsid w:val="00D53494"/>
    <w:rsid w:val="00D53CB5"/>
    <w:rsid w:val="00D54600"/>
    <w:rsid w:val="00D55153"/>
    <w:rsid w:val="00D55B0C"/>
    <w:rsid w:val="00D56387"/>
    <w:rsid w:val="00D56C7A"/>
    <w:rsid w:val="00D57BA2"/>
    <w:rsid w:val="00D57D8F"/>
    <w:rsid w:val="00D6034A"/>
    <w:rsid w:val="00D60A4A"/>
    <w:rsid w:val="00D60C85"/>
    <w:rsid w:val="00D60E90"/>
    <w:rsid w:val="00D610B9"/>
    <w:rsid w:val="00D61ED4"/>
    <w:rsid w:val="00D62B05"/>
    <w:rsid w:val="00D62E07"/>
    <w:rsid w:val="00D62EC6"/>
    <w:rsid w:val="00D654E9"/>
    <w:rsid w:val="00D6570F"/>
    <w:rsid w:val="00D65D5F"/>
    <w:rsid w:val="00D666BA"/>
    <w:rsid w:val="00D67569"/>
    <w:rsid w:val="00D70889"/>
    <w:rsid w:val="00D7137F"/>
    <w:rsid w:val="00D71394"/>
    <w:rsid w:val="00D72D1A"/>
    <w:rsid w:val="00D73201"/>
    <w:rsid w:val="00D73A2E"/>
    <w:rsid w:val="00D74324"/>
    <w:rsid w:val="00D751A4"/>
    <w:rsid w:val="00D76DA1"/>
    <w:rsid w:val="00D76F7F"/>
    <w:rsid w:val="00D809FA"/>
    <w:rsid w:val="00D81112"/>
    <w:rsid w:val="00D81458"/>
    <w:rsid w:val="00D820C8"/>
    <w:rsid w:val="00D82551"/>
    <w:rsid w:val="00D82A72"/>
    <w:rsid w:val="00D82D75"/>
    <w:rsid w:val="00D837BD"/>
    <w:rsid w:val="00D83D87"/>
    <w:rsid w:val="00D8581A"/>
    <w:rsid w:val="00D85887"/>
    <w:rsid w:val="00D86161"/>
    <w:rsid w:val="00D86D72"/>
    <w:rsid w:val="00D86EF9"/>
    <w:rsid w:val="00D87085"/>
    <w:rsid w:val="00D87161"/>
    <w:rsid w:val="00D872CB"/>
    <w:rsid w:val="00D87DBF"/>
    <w:rsid w:val="00D87E29"/>
    <w:rsid w:val="00D87F26"/>
    <w:rsid w:val="00D90D61"/>
    <w:rsid w:val="00D90D67"/>
    <w:rsid w:val="00D91033"/>
    <w:rsid w:val="00D9110E"/>
    <w:rsid w:val="00D91872"/>
    <w:rsid w:val="00D91FA2"/>
    <w:rsid w:val="00D926AF"/>
    <w:rsid w:val="00D93525"/>
    <w:rsid w:val="00D9443D"/>
    <w:rsid w:val="00D94460"/>
    <w:rsid w:val="00D958AF"/>
    <w:rsid w:val="00D95BC2"/>
    <w:rsid w:val="00D95FEA"/>
    <w:rsid w:val="00D9604C"/>
    <w:rsid w:val="00D9668F"/>
    <w:rsid w:val="00D967DA"/>
    <w:rsid w:val="00D96A01"/>
    <w:rsid w:val="00D97083"/>
    <w:rsid w:val="00D974CC"/>
    <w:rsid w:val="00D97696"/>
    <w:rsid w:val="00D97B1A"/>
    <w:rsid w:val="00D97D4E"/>
    <w:rsid w:val="00DA03F1"/>
    <w:rsid w:val="00DA1A86"/>
    <w:rsid w:val="00DA1B03"/>
    <w:rsid w:val="00DA1CC6"/>
    <w:rsid w:val="00DA30BF"/>
    <w:rsid w:val="00DA3558"/>
    <w:rsid w:val="00DA3FB7"/>
    <w:rsid w:val="00DA4488"/>
    <w:rsid w:val="00DA4B48"/>
    <w:rsid w:val="00DA4F2E"/>
    <w:rsid w:val="00DA55B3"/>
    <w:rsid w:val="00DA5BA2"/>
    <w:rsid w:val="00DA5E78"/>
    <w:rsid w:val="00DA5FE7"/>
    <w:rsid w:val="00DA6169"/>
    <w:rsid w:val="00DA68CF"/>
    <w:rsid w:val="00DA6A16"/>
    <w:rsid w:val="00DA6CD9"/>
    <w:rsid w:val="00DA6D46"/>
    <w:rsid w:val="00DA7161"/>
    <w:rsid w:val="00DA781D"/>
    <w:rsid w:val="00DB002E"/>
    <w:rsid w:val="00DB0222"/>
    <w:rsid w:val="00DB02EF"/>
    <w:rsid w:val="00DB0752"/>
    <w:rsid w:val="00DB109D"/>
    <w:rsid w:val="00DB10DF"/>
    <w:rsid w:val="00DB12B1"/>
    <w:rsid w:val="00DB1A97"/>
    <w:rsid w:val="00DB1B5F"/>
    <w:rsid w:val="00DB1EED"/>
    <w:rsid w:val="00DB2088"/>
    <w:rsid w:val="00DB2473"/>
    <w:rsid w:val="00DB3B31"/>
    <w:rsid w:val="00DB4F08"/>
    <w:rsid w:val="00DB5000"/>
    <w:rsid w:val="00DB5B19"/>
    <w:rsid w:val="00DB7800"/>
    <w:rsid w:val="00DB7C95"/>
    <w:rsid w:val="00DB7FD2"/>
    <w:rsid w:val="00DC0CD8"/>
    <w:rsid w:val="00DC10D0"/>
    <w:rsid w:val="00DC17EA"/>
    <w:rsid w:val="00DC21A4"/>
    <w:rsid w:val="00DC2906"/>
    <w:rsid w:val="00DC30EE"/>
    <w:rsid w:val="00DC3548"/>
    <w:rsid w:val="00DC46AE"/>
    <w:rsid w:val="00DC47C3"/>
    <w:rsid w:val="00DC4999"/>
    <w:rsid w:val="00DC4ADA"/>
    <w:rsid w:val="00DC4FA2"/>
    <w:rsid w:val="00DC585B"/>
    <w:rsid w:val="00DC5BDB"/>
    <w:rsid w:val="00DC5E6F"/>
    <w:rsid w:val="00DC6A4D"/>
    <w:rsid w:val="00DC7060"/>
    <w:rsid w:val="00DC72A1"/>
    <w:rsid w:val="00DC73A8"/>
    <w:rsid w:val="00DC7B50"/>
    <w:rsid w:val="00DC7D8A"/>
    <w:rsid w:val="00DD02F9"/>
    <w:rsid w:val="00DD073C"/>
    <w:rsid w:val="00DD0AF6"/>
    <w:rsid w:val="00DD1B23"/>
    <w:rsid w:val="00DD1BE3"/>
    <w:rsid w:val="00DD1F20"/>
    <w:rsid w:val="00DD1F66"/>
    <w:rsid w:val="00DD248B"/>
    <w:rsid w:val="00DD24B6"/>
    <w:rsid w:val="00DD24F5"/>
    <w:rsid w:val="00DD2FB1"/>
    <w:rsid w:val="00DD31CD"/>
    <w:rsid w:val="00DD3208"/>
    <w:rsid w:val="00DD36F7"/>
    <w:rsid w:val="00DD38EA"/>
    <w:rsid w:val="00DD4F7F"/>
    <w:rsid w:val="00DD501A"/>
    <w:rsid w:val="00DD5E20"/>
    <w:rsid w:val="00DD5F54"/>
    <w:rsid w:val="00DD614B"/>
    <w:rsid w:val="00DD6856"/>
    <w:rsid w:val="00DD6F8B"/>
    <w:rsid w:val="00DD70D5"/>
    <w:rsid w:val="00DE040B"/>
    <w:rsid w:val="00DE14C5"/>
    <w:rsid w:val="00DE2A35"/>
    <w:rsid w:val="00DE2E5B"/>
    <w:rsid w:val="00DE343F"/>
    <w:rsid w:val="00DE41DB"/>
    <w:rsid w:val="00DE49DE"/>
    <w:rsid w:val="00DE50D6"/>
    <w:rsid w:val="00DE5384"/>
    <w:rsid w:val="00DE649B"/>
    <w:rsid w:val="00DE650B"/>
    <w:rsid w:val="00DE6C06"/>
    <w:rsid w:val="00DE7154"/>
    <w:rsid w:val="00DE75CA"/>
    <w:rsid w:val="00DE7798"/>
    <w:rsid w:val="00DE7806"/>
    <w:rsid w:val="00DF01A5"/>
    <w:rsid w:val="00DF0D63"/>
    <w:rsid w:val="00DF0E45"/>
    <w:rsid w:val="00DF0F74"/>
    <w:rsid w:val="00DF14AB"/>
    <w:rsid w:val="00DF211C"/>
    <w:rsid w:val="00DF2797"/>
    <w:rsid w:val="00DF28FE"/>
    <w:rsid w:val="00DF2DD4"/>
    <w:rsid w:val="00DF30AA"/>
    <w:rsid w:val="00DF3849"/>
    <w:rsid w:val="00DF44D4"/>
    <w:rsid w:val="00DF4591"/>
    <w:rsid w:val="00DF4E9A"/>
    <w:rsid w:val="00DF52FD"/>
    <w:rsid w:val="00DF5BCD"/>
    <w:rsid w:val="00DF6882"/>
    <w:rsid w:val="00DF6FA8"/>
    <w:rsid w:val="00DF74BA"/>
    <w:rsid w:val="00DF7E30"/>
    <w:rsid w:val="00E007B7"/>
    <w:rsid w:val="00E00DF7"/>
    <w:rsid w:val="00E01308"/>
    <w:rsid w:val="00E0281E"/>
    <w:rsid w:val="00E03733"/>
    <w:rsid w:val="00E04A32"/>
    <w:rsid w:val="00E04B5C"/>
    <w:rsid w:val="00E04DD0"/>
    <w:rsid w:val="00E04E8C"/>
    <w:rsid w:val="00E04EB8"/>
    <w:rsid w:val="00E05154"/>
    <w:rsid w:val="00E05188"/>
    <w:rsid w:val="00E05302"/>
    <w:rsid w:val="00E0541C"/>
    <w:rsid w:val="00E06D5A"/>
    <w:rsid w:val="00E07BC9"/>
    <w:rsid w:val="00E10090"/>
    <w:rsid w:val="00E115ED"/>
    <w:rsid w:val="00E11FD2"/>
    <w:rsid w:val="00E12944"/>
    <w:rsid w:val="00E12EA8"/>
    <w:rsid w:val="00E130E1"/>
    <w:rsid w:val="00E14939"/>
    <w:rsid w:val="00E14D02"/>
    <w:rsid w:val="00E14D5E"/>
    <w:rsid w:val="00E15136"/>
    <w:rsid w:val="00E155BA"/>
    <w:rsid w:val="00E15B9B"/>
    <w:rsid w:val="00E16209"/>
    <w:rsid w:val="00E16238"/>
    <w:rsid w:val="00E16BD8"/>
    <w:rsid w:val="00E1743D"/>
    <w:rsid w:val="00E17440"/>
    <w:rsid w:val="00E1787D"/>
    <w:rsid w:val="00E17939"/>
    <w:rsid w:val="00E17BF5"/>
    <w:rsid w:val="00E17DF2"/>
    <w:rsid w:val="00E22293"/>
    <w:rsid w:val="00E2274A"/>
    <w:rsid w:val="00E22EDC"/>
    <w:rsid w:val="00E2345D"/>
    <w:rsid w:val="00E23A78"/>
    <w:rsid w:val="00E23EF3"/>
    <w:rsid w:val="00E242BE"/>
    <w:rsid w:val="00E25491"/>
    <w:rsid w:val="00E259FC"/>
    <w:rsid w:val="00E2684B"/>
    <w:rsid w:val="00E26C27"/>
    <w:rsid w:val="00E27005"/>
    <w:rsid w:val="00E270BE"/>
    <w:rsid w:val="00E27715"/>
    <w:rsid w:val="00E31834"/>
    <w:rsid w:val="00E31A70"/>
    <w:rsid w:val="00E31F1D"/>
    <w:rsid w:val="00E3224D"/>
    <w:rsid w:val="00E323DE"/>
    <w:rsid w:val="00E32F47"/>
    <w:rsid w:val="00E33B51"/>
    <w:rsid w:val="00E33C79"/>
    <w:rsid w:val="00E33DA4"/>
    <w:rsid w:val="00E33DE4"/>
    <w:rsid w:val="00E33EFB"/>
    <w:rsid w:val="00E34221"/>
    <w:rsid w:val="00E3597A"/>
    <w:rsid w:val="00E36B4D"/>
    <w:rsid w:val="00E372D8"/>
    <w:rsid w:val="00E37E7F"/>
    <w:rsid w:val="00E406CA"/>
    <w:rsid w:val="00E407AD"/>
    <w:rsid w:val="00E418DB"/>
    <w:rsid w:val="00E4231C"/>
    <w:rsid w:val="00E427AB"/>
    <w:rsid w:val="00E428FA"/>
    <w:rsid w:val="00E4292F"/>
    <w:rsid w:val="00E4294C"/>
    <w:rsid w:val="00E42DD4"/>
    <w:rsid w:val="00E431DA"/>
    <w:rsid w:val="00E43B45"/>
    <w:rsid w:val="00E449EF"/>
    <w:rsid w:val="00E44AF3"/>
    <w:rsid w:val="00E451D7"/>
    <w:rsid w:val="00E45BE8"/>
    <w:rsid w:val="00E46BA9"/>
    <w:rsid w:val="00E500B2"/>
    <w:rsid w:val="00E502D7"/>
    <w:rsid w:val="00E50532"/>
    <w:rsid w:val="00E51430"/>
    <w:rsid w:val="00E51596"/>
    <w:rsid w:val="00E51C3A"/>
    <w:rsid w:val="00E51E43"/>
    <w:rsid w:val="00E51E9F"/>
    <w:rsid w:val="00E52983"/>
    <w:rsid w:val="00E529E9"/>
    <w:rsid w:val="00E52D95"/>
    <w:rsid w:val="00E539C0"/>
    <w:rsid w:val="00E53AAC"/>
    <w:rsid w:val="00E5425E"/>
    <w:rsid w:val="00E5479D"/>
    <w:rsid w:val="00E54A8A"/>
    <w:rsid w:val="00E551CE"/>
    <w:rsid w:val="00E55497"/>
    <w:rsid w:val="00E55725"/>
    <w:rsid w:val="00E55C57"/>
    <w:rsid w:val="00E5613F"/>
    <w:rsid w:val="00E56261"/>
    <w:rsid w:val="00E56AFF"/>
    <w:rsid w:val="00E57284"/>
    <w:rsid w:val="00E57B62"/>
    <w:rsid w:val="00E6011C"/>
    <w:rsid w:val="00E60265"/>
    <w:rsid w:val="00E6044D"/>
    <w:rsid w:val="00E604AF"/>
    <w:rsid w:val="00E607CF"/>
    <w:rsid w:val="00E60A8D"/>
    <w:rsid w:val="00E60E4C"/>
    <w:rsid w:val="00E622A5"/>
    <w:rsid w:val="00E62DBE"/>
    <w:rsid w:val="00E62DEE"/>
    <w:rsid w:val="00E631D5"/>
    <w:rsid w:val="00E63225"/>
    <w:rsid w:val="00E63245"/>
    <w:rsid w:val="00E63333"/>
    <w:rsid w:val="00E63C4C"/>
    <w:rsid w:val="00E64636"/>
    <w:rsid w:val="00E6518C"/>
    <w:rsid w:val="00E65A33"/>
    <w:rsid w:val="00E65F06"/>
    <w:rsid w:val="00E665B0"/>
    <w:rsid w:val="00E66AC2"/>
    <w:rsid w:val="00E6704F"/>
    <w:rsid w:val="00E674C2"/>
    <w:rsid w:val="00E67654"/>
    <w:rsid w:val="00E67D0A"/>
    <w:rsid w:val="00E67D89"/>
    <w:rsid w:val="00E716C6"/>
    <w:rsid w:val="00E71755"/>
    <w:rsid w:val="00E71B71"/>
    <w:rsid w:val="00E720F3"/>
    <w:rsid w:val="00E72BCD"/>
    <w:rsid w:val="00E7375F"/>
    <w:rsid w:val="00E7437D"/>
    <w:rsid w:val="00E74E75"/>
    <w:rsid w:val="00E757D4"/>
    <w:rsid w:val="00E75CEF"/>
    <w:rsid w:val="00E75E2F"/>
    <w:rsid w:val="00E76533"/>
    <w:rsid w:val="00E767EE"/>
    <w:rsid w:val="00E76855"/>
    <w:rsid w:val="00E76A27"/>
    <w:rsid w:val="00E774FD"/>
    <w:rsid w:val="00E77773"/>
    <w:rsid w:val="00E77F22"/>
    <w:rsid w:val="00E8005B"/>
    <w:rsid w:val="00E80269"/>
    <w:rsid w:val="00E8085A"/>
    <w:rsid w:val="00E81260"/>
    <w:rsid w:val="00E81261"/>
    <w:rsid w:val="00E813E6"/>
    <w:rsid w:val="00E81F48"/>
    <w:rsid w:val="00E828AD"/>
    <w:rsid w:val="00E829CE"/>
    <w:rsid w:val="00E83E23"/>
    <w:rsid w:val="00E8401E"/>
    <w:rsid w:val="00E8422F"/>
    <w:rsid w:val="00E84A76"/>
    <w:rsid w:val="00E85041"/>
    <w:rsid w:val="00E85821"/>
    <w:rsid w:val="00E858AB"/>
    <w:rsid w:val="00E85D91"/>
    <w:rsid w:val="00E85EF0"/>
    <w:rsid w:val="00E86BE1"/>
    <w:rsid w:val="00E87651"/>
    <w:rsid w:val="00E87B3D"/>
    <w:rsid w:val="00E90083"/>
    <w:rsid w:val="00E906F1"/>
    <w:rsid w:val="00E90D41"/>
    <w:rsid w:val="00E90E13"/>
    <w:rsid w:val="00E90FDD"/>
    <w:rsid w:val="00E91400"/>
    <w:rsid w:val="00E9186E"/>
    <w:rsid w:val="00E91D99"/>
    <w:rsid w:val="00E91EBB"/>
    <w:rsid w:val="00E92127"/>
    <w:rsid w:val="00E92721"/>
    <w:rsid w:val="00E92C24"/>
    <w:rsid w:val="00E9354C"/>
    <w:rsid w:val="00E9367F"/>
    <w:rsid w:val="00E94157"/>
    <w:rsid w:val="00E94229"/>
    <w:rsid w:val="00E947C6"/>
    <w:rsid w:val="00E9537D"/>
    <w:rsid w:val="00E96D7F"/>
    <w:rsid w:val="00E9743D"/>
    <w:rsid w:val="00E97559"/>
    <w:rsid w:val="00E97C36"/>
    <w:rsid w:val="00E97EB3"/>
    <w:rsid w:val="00EA03A8"/>
    <w:rsid w:val="00EA0DFE"/>
    <w:rsid w:val="00EA1C2C"/>
    <w:rsid w:val="00EA23FD"/>
    <w:rsid w:val="00EA2408"/>
    <w:rsid w:val="00EA28C6"/>
    <w:rsid w:val="00EA2AE7"/>
    <w:rsid w:val="00EA2B7E"/>
    <w:rsid w:val="00EA2E1F"/>
    <w:rsid w:val="00EA3A6A"/>
    <w:rsid w:val="00EA3B0B"/>
    <w:rsid w:val="00EA4050"/>
    <w:rsid w:val="00EA47BC"/>
    <w:rsid w:val="00EA5C60"/>
    <w:rsid w:val="00EA5E71"/>
    <w:rsid w:val="00EA5F03"/>
    <w:rsid w:val="00EA6565"/>
    <w:rsid w:val="00EA6862"/>
    <w:rsid w:val="00EA6910"/>
    <w:rsid w:val="00EA72A7"/>
    <w:rsid w:val="00EA73F5"/>
    <w:rsid w:val="00EA7736"/>
    <w:rsid w:val="00EA7A65"/>
    <w:rsid w:val="00EB0245"/>
    <w:rsid w:val="00EB03EF"/>
    <w:rsid w:val="00EB0B29"/>
    <w:rsid w:val="00EB0BE5"/>
    <w:rsid w:val="00EB0D2B"/>
    <w:rsid w:val="00EB1136"/>
    <w:rsid w:val="00EB15D2"/>
    <w:rsid w:val="00EB1B9A"/>
    <w:rsid w:val="00EB212D"/>
    <w:rsid w:val="00EB281A"/>
    <w:rsid w:val="00EB2CD0"/>
    <w:rsid w:val="00EB3AA3"/>
    <w:rsid w:val="00EB3AB7"/>
    <w:rsid w:val="00EB3B0B"/>
    <w:rsid w:val="00EB3F18"/>
    <w:rsid w:val="00EB4054"/>
    <w:rsid w:val="00EB43CC"/>
    <w:rsid w:val="00EB471A"/>
    <w:rsid w:val="00EB47E9"/>
    <w:rsid w:val="00EB5009"/>
    <w:rsid w:val="00EB50C2"/>
    <w:rsid w:val="00EB552C"/>
    <w:rsid w:val="00EB5A76"/>
    <w:rsid w:val="00EB5F9D"/>
    <w:rsid w:val="00EB66B1"/>
    <w:rsid w:val="00EB67B0"/>
    <w:rsid w:val="00EB6CF9"/>
    <w:rsid w:val="00EB718C"/>
    <w:rsid w:val="00EB7613"/>
    <w:rsid w:val="00EC0353"/>
    <w:rsid w:val="00EC056A"/>
    <w:rsid w:val="00EC09FD"/>
    <w:rsid w:val="00EC0CE1"/>
    <w:rsid w:val="00EC13F8"/>
    <w:rsid w:val="00EC19EC"/>
    <w:rsid w:val="00EC1E52"/>
    <w:rsid w:val="00EC2B19"/>
    <w:rsid w:val="00EC2D0B"/>
    <w:rsid w:val="00EC2E02"/>
    <w:rsid w:val="00EC2FAC"/>
    <w:rsid w:val="00EC3077"/>
    <w:rsid w:val="00EC3387"/>
    <w:rsid w:val="00EC4393"/>
    <w:rsid w:val="00EC46FA"/>
    <w:rsid w:val="00EC4C15"/>
    <w:rsid w:val="00EC5605"/>
    <w:rsid w:val="00EC5817"/>
    <w:rsid w:val="00EC5952"/>
    <w:rsid w:val="00EC5BFB"/>
    <w:rsid w:val="00EC5C11"/>
    <w:rsid w:val="00EC5E28"/>
    <w:rsid w:val="00EC5EC0"/>
    <w:rsid w:val="00EC6491"/>
    <w:rsid w:val="00EC6706"/>
    <w:rsid w:val="00EC686D"/>
    <w:rsid w:val="00EC6922"/>
    <w:rsid w:val="00EC784A"/>
    <w:rsid w:val="00ED08B4"/>
    <w:rsid w:val="00ED18FD"/>
    <w:rsid w:val="00ED1FC8"/>
    <w:rsid w:val="00ED2D71"/>
    <w:rsid w:val="00ED3062"/>
    <w:rsid w:val="00ED34DB"/>
    <w:rsid w:val="00ED3723"/>
    <w:rsid w:val="00ED39E5"/>
    <w:rsid w:val="00ED3A6C"/>
    <w:rsid w:val="00ED402C"/>
    <w:rsid w:val="00ED4180"/>
    <w:rsid w:val="00ED4280"/>
    <w:rsid w:val="00ED5E8A"/>
    <w:rsid w:val="00ED6BAC"/>
    <w:rsid w:val="00ED6CDD"/>
    <w:rsid w:val="00ED6E9F"/>
    <w:rsid w:val="00ED7093"/>
    <w:rsid w:val="00ED79A3"/>
    <w:rsid w:val="00ED7E27"/>
    <w:rsid w:val="00EE015B"/>
    <w:rsid w:val="00EE0474"/>
    <w:rsid w:val="00EE0B27"/>
    <w:rsid w:val="00EE10D2"/>
    <w:rsid w:val="00EE140D"/>
    <w:rsid w:val="00EE1995"/>
    <w:rsid w:val="00EE343E"/>
    <w:rsid w:val="00EE3614"/>
    <w:rsid w:val="00EE4133"/>
    <w:rsid w:val="00EE47E7"/>
    <w:rsid w:val="00EE4B26"/>
    <w:rsid w:val="00EE4C1F"/>
    <w:rsid w:val="00EE4E1F"/>
    <w:rsid w:val="00EE4FE1"/>
    <w:rsid w:val="00EE5605"/>
    <w:rsid w:val="00EE5B1C"/>
    <w:rsid w:val="00EE6310"/>
    <w:rsid w:val="00EE69A9"/>
    <w:rsid w:val="00EE7362"/>
    <w:rsid w:val="00EE7D9E"/>
    <w:rsid w:val="00EF0479"/>
    <w:rsid w:val="00EF0EBF"/>
    <w:rsid w:val="00EF115D"/>
    <w:rsid w:val="00EF1618"/>
    <w:rsid w:val="00EF1662"/>
    <w:rsid w:val="00EF187B"/>
    <w:rsid w:val="00EF30FA"/>
    <w:rsid w:val="00EF3990"/>
    <w:rsid w:val="00EF3A33"/>
    <w:rsid w:val="00EF484F"/>
    <w:rsid w:val="00EF4DE6"/>
    <w:rsid w:val="00EF4E93"/>
    <w:rsid w:val="00EF4FBE"/>
    <w:rsid w:val="00EF4FE9"/>
    <w:rsid w:val="00EF55B7"/>
    <w:rsid w:val="00EF649A"/>
    <w:rsid w:val="00EF6C75"/>
    <w:rsid w:val="00F00134"/>
    <w:rsid w:val="00F005CB"/>
    <w:rsid w:val="00F00652"/>
    <w:rsid w:val="00F01214"/>
    <w:rsid w:val="00F0147C"/>
    <w:rsid w:val="00F01915"/>
    <w:rsid w:val="00F01C36"/>
    <w:rsid w:val="00F01D85"/>
    <w:rsid w:val="00F01F00"/>
    <w:rsid w:val="00F02298"/>
    <w:rsid w:val="00F02AB2"/>
    <w:rsid w:val="00F02AF0"/>
    <w:rsid w:val="00F0417D"/>
    <w:rsid w:val="00F051C7"/>
    <w:rsid w:val="00F0537A"/>
    <w:rsid w:val="00F05614"/>
    <w:rsid w:val="00F05977"/>
    <w:rsid w:val="00F05F82"/>
    <w:rsid w:val="00F062A7"/>
    <w:rsid w:val="00F06963"/>
    <w:rsid w:val="00F070BD"/>
    <w:rsid w:val="00F074A4"/>
    <w:rsid w:val="00F07758"/>
    <w:rsid w:val="00F078AC"/>
    <w:rsid w:val="00F12B81"/>
    <w:rsid w:val="00F12B90"/>
    <w:rsid w:val="00F12CB2"/>
    <w:rsid w:val="00F12DEB"/>
    <w:rsid w:val="00F12F21"/>
    <w:rsid w:val="00F1305A"/>
    <w:rsid w:val="00F13176"/>
    <w:rsid w:val="00F133B1"/>
    <w:rsid w:val="00F134AF"/>
    <w:rsid w:val="00F144B1"/>
    <w:rsid w:val="00F1571C"/>
    <w:rsid w:val="00F164BB"/>
    <w:rsid w:val="00F166D2"/>
    <w:rsid w:val="00F171EE"/>
    <w:rsid w:val="00F17400"/>
    <w:rsid w:val="00F17530"/>
    <w:rsid w:val="00F17CE4"/>
    <w:rsid w:val="00F20B83"/>
    <w:rsid w:val="00F2109C"/>
    <w:rsid w:val="00F21319"/>
    <w:rsid w:val="00F216AB"/>
    <w:rsid w:val="00F21D7F"/>
    <w:rsid w:val="00F21FD7"/>
    <w:rsid w:val="00F225B6"/>
    <w:rsid w:val="00F22905"/>
    <w:rsid w:val="00F232A6"/>
    <w:rsid w:val="00F23597"/>
    <w:rsid w:val="00F237C3"/>
    <w:rsid w:val="00F2401D"/>
    <w:rsid w:val="00F24177"/>
    <w:rsid w:val="00F244FA"/>
    <w:rsid w:val="00F24527"/>
    <w:rsid w:val="00F248A6"/>
    <w:rsid w:val="00F25E4B"/>
    <w:rsid w:val="00F2644D"/>
    <w:rsid w:val="00F26A45"/>
    <w:rsid w:val="00F26DAE"/>
    <w:rsid w:val="00F27904"/>
    <w:rsid w:val="00F30CFE"/>
    <w:rsid w:val="00F313A7"/>
    <w:rsid w:val="00F31A4A"/>
    <w:rsid w:val="00F3357D"/>
    <w:rsid w:val="00F33A38"/>
    <w:rsid w:val="00F33C6F"/>
    <w:rsid w:val="00F343EF"/>
    <w:rsid w:val="00F346CE"/>
    <w:rsid w:val="00F34F17"/>
    <w:rsid w:val="00F35AEE"/>
    <w:rsid w:val="00F35CE6"/>
    <w:rsid w:val="00F36461"/>
    <w:rsid w:val="00F36766"/>
    <w:rsid w:val="00F36978"/>
    <w:rsid w:val="00F36D57"/>
    <w:rsid w:val="00F372BE"/>
    <w:rsid w:val="00F372CD"/>
    <w:rsid w:val="00F376E5"/>
    <w:rsid w:val="00F37A7F"/>
    <w:rsid w:val="00F37E3C"/>
    <w:rsid w:val="00F4079B"/>
    <w:rsid w:val="00F41580"/>
    <w:rsid w:val="00F41707"/>
    <w:rsid w:val="00F41A2D"/>
    <w:rsid w:val="00F4202B"/>
    <w:rsid w:val="00F43E6B"/>
    <w:rsid w:val="00F440C6"/>
    <w:rsid w:val="00F44384"/>
    <w:rsid w:val="00F445B6"/>
    <w:rsid w:val="00F449FB"/>
    <w:rsid w:val="00F456CB"/>
    <w:rsid w:val="00F46DC1"/>
    <w:rsid w:val="00F470EE"/>
    <w:rsid w:val="00F473D4"/>
    <w:rsid w:val="00F474C3"/>
    <w:rsid w:val="00F475BE"/>
    <w:rsid w:val="00F47652"/>
    <w:rsid w:val="00F47C98"/>
    <w:rsid w:val="00F509F4"/>
    <w:rsid w:val="00F50CD9"/>
    <w:rsid w:val="00F514F2"/>
    <w:rsid w:val="00F521EA"/>
    <w:rsid w:val="00F52364"/>
    <w:rsid w:val="00F5245F"/>
    <w:rsid w:val="00F52663"/>
    <w:rsid w:val="00F52848"/>
    <w:rsid w:val="00F534B8"/>
    <w:rsid w:val="00F5374D"/>
    <w:rsid w:val="00F538B1"/>
    <w:rsid w:val="00F538F1"/>
    <w:rsid w:val="00F53F3E"/>
    <w:rsid w:val="00F540ED"/>
    <w:rsid w:val="00F54298"/>
    <w:rsid w:val="00F54D42"/>
    <w:rsid w:val="00F5573A"/>
    <w:rsid w:val="00F55A16"/>
    <w:rsid w:val="00F55A63"/>
    <w:rsid w:val="00F55FA7"/>
    <w:rsid w:val="00F56772"/>
    <w:rsid w:val="00F56838"/>
    <w:rsid w:val="00F56AF0"/>
    <w:rsid w:val="00F56D4E"/>
    <w:rsid w:val="00F57A38"/>
    <w:rsid w:val="00F60000"/>
    <w:rsid w:val="00F60666"/>
    <w:rsid w:val="00F606CF"/>
    <w:rsid w:val="00F60EC6"/>
    <w:rsid w:val="00F611D8"/>
    <w:rsid w:val="00F61325"/>
    <w:rsid w:val="00F6189F"/>
    <w:rsid w:val="00F61C0E"/>
    <w:rsid w:val="00F61CDE"/>
    <w:rsid w:val="00F621DA"/>
    <w:rsid w:val="00F62210"/>
    <w:rsid w:val="00F62919"/>
    <w:rsid w:val="00F62D84"/>
    <w:rsid w:val="00F633FB"/>
    <w:rsid w:val="00F636D8"/>
    <w:rsid w:val="00F64C06"/>
    <w:rsid w:val="00F66187"/>
    <w:rsid w:val="00F66709"/>
    <w:rsid w:val="00F66768"/>
    <w:rsid w:val="00F67701"/>
    <w:rsid w:val="00F677A1"/>
    <w:rsid w:val="00F67BF9"/>
    <w:rsid w:val="00F70123"/>
    <w:rsid w:val="00F704AB"/>
    <w:rsid w:val="00F70E29"/>
    <w:rsid w:val="00F70E9E"/>
    <w:rsid w:val="00F70F0E"/>
    <w:rsid w:val="00F71B23"/>
    <w:rsid w:val="00F724B7"/>
    <w:rsid w:val="00F727FF"/>
    <w:rsid w:val="00F7347D"/>
    <w:rsid w:val="00F73B1B"/>
    <w:rsid w:val="00F744F4"/>
    <w:rsid w:val="00F74ED0"/>
    <w:rsid w:val="00F75501"/>
    <w:rsid w:val="00F75A56"/>
    <w:rsid w:val="00F75D6A"/>
    <w:rsid w:val="00F766A7"/>
    <w:rsid w:val="00F76DEB"/>
    <w:rsid w:val="00F7775F"/>
    <w:rsid w:val="00F77D06"/>
    <w:rsid w:val="00F80AF5"/>
    <w:rsid w:val="00F80FF1"/>
    <w:rsid w:val="00F816D7"/>
    <w:rsid w:val="00F8242C"/>
    <w:rsid w:val="00F82DF3"/>
    <w:rsid w:val="00F82EDE"/>
    <w:rsid w:val="00F8302F"/>
    <w:rsid w:val="00F83577"/>
    <w:rsid w:val="00F83B55"/>
    <w:rsid w:val="00F8487C"/>
    <w:rsid w:val="00F85020"/>
    <w:rsid w:val="00F85B5C"/>
    <w:rsid w:val="00F862AA"/>
    <w:rsid w:val="00F86A57"/>
    <w:rsid w:val="00F9167A"/>
    <w:rsid w:val="00F9244F"/>
    <w:rsid w:val="00F931A2"/>
    <w:rsid w:val="00F93495"/>
    <w:rsid w:val="00F93759"/>
    <w:rsid w:val="00F939B9"/>
    <w:rsid w:val="00F939ED"/>
    <w:rsid w:val="00F94C76"/>
    <w:rsid w:val="00F95534"/>
    <w:rsid w:val="00F9597A"/>
    <w:rsid w:val="00F96485"/>
    <w:rsid w:val="00F96DBC"/>
    <w:rsid w:val="00F9703F"/>
    <w:rsid w:val="00F9757F"/>
    <w:rsid w:val="00F979A4"/>
    <w:rsid w:val="00FA060A"/>
    <w:rsid w:val="00FA176E"/>
    <w:rsid w:val="00FA17A1"/>
    <w:rsid w:val="00FA1ACB"/>
    <w:rsid w:val="00FA205F"/>
    <w:rsid w:val="00FA28A1"/>
    <w:rsid w:val="00FA3CAE"/>
    <w:rsid w:val="00FA3F1D"/>
    <w:rsid w:val="00FA4550"/>
    <w:rsid w:val="00FA4AD3"/>
    <w:rsid w:val="00FA4C76"/>
    <w:rsid w:val="00FA503D"/>
    <w:rsid w:val="00FA51B4"/>
    <w:rsid w:val="00FA6205"/>
    <w:rsid w:val="00FA6326"/>
    <w:rsid w:val="00FA6648"/>
    <w:rsid w:val="00FA7770"/>
    <w:rsid w:val="00FB0953"/>
    <w:rsid w:val="00FB0DA8"/>
    <w:rsid w:val="00FB113A"/>
    <w:rsid w:val="00FB207E"/>
    <w:rsid w:val="00FB2226"/>
    <w:rsid w:val="00FB25BA"/>
    <w:rsid w:val="00FB28DD"/>
    <w:rsid w:val="00FB33AA"/>
    <w:rsid w:val="00FB33FE"/>
    <w:rsid w:val="00FB4326"/>
    <w:rsid w:val="00FB4724"/>
    <w:rsid w:val="00FB50BC"/>
    <w:rsid w:val="00FB5BAD"/>
    <w:rsid w:val="00FB606E"/>
    <w:rsid w:val="00FB72E0"/>
    <w:rsid w:val="00FC0DF1"/>
    <w:rsid w:val="00FC1780"/>
    <w:rsid w:val="00FC1810"/>
    <w:rsid w:val="00FC1D36"/>
    <w:rsid w:val="00FC2052"/>
    <w:rsid w:val="00FC244B"/>
    <w:rsid w:val="00FC2881"/>
    <w:rsid w:val="00FC2958"/>
    <w:rsid w:val="00FC2BD5"/>
    <w:rsid w:val="00FC3614"/>
    <w:rsid w:val="00FC3F16"/>
    <w:rsid w:val="00FC493E"/>
    <w:rsid w:val="00FC494C"/>
    <w:rsid w:val="00FC4BE4"/>
    <w:rsid w:val="00FC5875"/>
    <w:rsid w:val="00FC6565"/>
    <w:rsid w:val="00FC6942"/>
    <w:rsid w:val="00FC718E"/>
    <w:rsid w:val="00FC7CDD"/>
    <w:rsid w:val="00FC7D89"/>
    <w:rsid w:val="00FD0275"/>
    <w:rsid w:val="00FD078A"/>
    <w:rsid w:val="00FD0855"/>
    <w:rsid w:val="00FD16FE"/>
    <w:rsid w:val="00FD19A7"/>
    <w:rsid w:val="00FD1A2F"/>
    <w:rsid w:val="00FD1A79"/>
    <w:rsid w:val="00FD1A87"/>
    <w:rsid w:val="00FD1D0A"/>
    <w:rsid w:val="00FD26F8"/>
    <w:rsid w:val="00FD2860"/>
    <w:rsid w:val="00FD2E77"/>
    <w:rsid w:val="00FD30A4"/>
    <w:rsid w:val="00FD4401"/>
    <w:rsid w:val="00FD475F"/>
    <w:rsid w:val="00FD531D"/>
    <w:rsid w:val="00FD58D5"/>
    <w:rsid w:val="00FD5B08"/>
    <w:rsid w:val="00FD5BF3"/>
    <w:rsid w:val="00FD6073"/>
    <w:rsid w:val="00FD71CA"/>
    <w:rsid w:val="00FD739E"/>
    <w:rsid w:val="00FD75CD"/>
    <w:rsid w:val="00FE0078"/>
    <w:rsid w:val="00FE00B2"/>
    <w:rsid w:val="00FE0BCB"/>
    <w:rsid w:val="00FE1311"/>
    <w:rsid w:val="00FE1530"/>
    <w:rsid w:val="00FE1942"/>
    <w:rsid w:val="00FE1D17"/>
    <w:rsid w:val="00FE2488"/>
    <w:rsid w:val="00FE2639"/>
    <w:rsid w:val="00FE2AA4"/>
    <w:rsid w:val="00FE2AA5"/>
    <w:rsid w:val="00FE5371"/>
    <w:rsid w:val="00FE5A49"/>
    <w:rsid w:val="00FE6583"/>
    <w:rsid w:val="00FE6693"/>
    <w:rsid w:val="00FE66CB"/>
    <w:rsid w:val="00FF0924"/>
    <w:rsid w:val="00FF0B2A"/>
    <w:rsid w:val="00FF0C52"/>
    <w:rsid w:val="00FF1554"/>
    <w:rsid w:val="00FF162C"/>
    <w:rsid w:val="00FF19AA"/>
    <w:rsid w:val="00FF1B7C"/>
    <w:rsid w:val="00FF1E6A"/>
    <w:rsid w:val="00FF2611"/>
    <w:rsid w:val="00FF2D66"/>
    <w:rsid w:val="00FF2E6E"/>
    <w:rsid w:val="00FF37AE"/>
    <w:rsid w:val="00FF5BE0"/>
    <w:rsid w:val="00FF5D38"/>
    <w:rsid w:val="00FF618E"/>
    <w:rsid w:val="00FF6202"/>
    <w:rsid w:val="00FF6462"/>
    <w:rsid w:val="00FF6649"/>
    <w:rsid w:val="00FF75B6"/>
    <w:rsid w:val="00FF77F0"/>
    <w:rsid w:val="00FF7B0C"/>
    <w:rsid w:val="01037767"/>
    <w:rsid w:val="010B5DFE"/>
    <w:rsid w:val="01121A3B"/>
    <w:rsid w:val="012E3DA7"/>
    <w:rsid w:val="01457908"/>
    <w:rsid w:val="0147276F"/>
    <w:rsid w:val="01555557"/>
    <w:rsid w:val="015941EB"/>
    <w:rsid w:val="015D6BAC"/>
    <w:rsid w:val="015E0835"/>
    <w:rsid w:val="015F2BC9"/>
    <w:rsid w:val="01610122"/>
    <w:rsid w:val="01611F53"/>
    <w:rsid w:val="016568CD"/>
    <w:rsid w:val="017B7322"/>
    <w:rsid w:val="018362EB"/>
    <w:rsid w:val="01907A55"/>
    <w:rsid w:val="019825EC"/>
    <w:rsid w:val="019C0D87"/>
    <w:rsid w:val="01A03554"/>
    <w:rsid w:val="01A3073B"/>
    <w:rsid w:val="01A61B7B"/>
    <w:rsid w:val="01AB223D"/>
    <w:rsid w:val="01B127DA"/>
    <w:rsid w:val="01CC5F5E"/>
    <w:rsid w:val="01CD70E4"/>
    <w:rsid w:val="01D06248"/>
    <w:rsid w:val="01D12314"/>
    <w:rsid w:val="01D91CA8"/>
    <w:rsid w:val="01F565AF"/>
    <w:rsid w:val="01FD42EF"/>
    <w:rsid w:val="02024EA0"/>
    <w:rsid w:val="02041684"/>
    <w:rsid w:val="020909F5"/>
    <w:rsid w:val="020C2612"/>
    <w:rsid w:val="021F1EBB"/>
    <w:rsid w:val="023B210A"/>
    <w:rsid w:val="023B6BC5"/>
    <w:rsid w:val="02512186"/>
    <w:rsid w:val="02586CD5"/>
    <w:rsid w:val="025A6F12"/>
    <w:rsid w:val="025F2991"/>
    <w:rsid w:val="0261789F"/>
    <w:rsid w:val="026C4DEC"/>
    <w:rsid w:val="02806579"/>
    <w:rsid w:val="02A27092"/>
    <w:rsid w:val="02CA5DBD"/>
    <w:rsid w:val="02CC321D"/>
    <w:rsid w:val="02CD68A0"/>
    <w:rsid w:val="02D212D8"/>
    <w:rsid w:val="02D27B3A"/>
    <w:rsid w:val="02D3276B"/>
    <w:rsid w:val="02D3350D"/>
    <w:rsid w:val="030342BE"/>
    <w:rsid w:val="03157416"/>
    <w:rsid w:val="031B3FF8"/>
    <w:rsid w:val="031C0410"/>
    <w:rsid w:val="03220367"/>
    <w:rsid w:val="033771DC"/>
    <w:rsid w:val="03393105"/>
    <w:rsid w:val="033F77AA"/>
    <w:rsid w:val="033F7AFD"/>
    <w:rsid w:val="035600C2"/>
    <w:rsid w:val="03690580"/>
    <w:rsid w:val="03944DC7"/>
    <w:rsid w:val="039506F6"/>
    <w:rsid w:val="039612D4"/>
    <w:rsid w:val="03A61B23"/>
    <w:rsid w:val="03B44E16"/>
    <w:rsid w:val="03B95416"/>
    <w:rsid w:val="03BC7892"/>
    <w:rsid w:val="03BD25D6"/>
    <w:rsid w:val="03BE1472"/>
    <w:rsid w:val="03D97997"/>
    <w:rsid w:val="03EF1A15"/>
    <w:rsid w:val="03EF5CFB"/>
    <w:rsid w:val="03F92894"/>
    <w:rsid w:val="03FC0C80"/>
    <w:rsid w:val="03FC4C25"/>
    <w:rsid w:val="0407357C"/>
    <w:rsid w:val="0434330E"/>
    <w:rsid w:val="0434489F"/>
    <w:rsid w:val="043C0108"/>
    <w:rsid w:val="043C20FA"/>
    <w:rsid w:val="043F1F14"/>
    <w:rsid w:val="044672EE"/>
    <w:rsid w:val="0447227E"/>
    <w:rsid w:val="0451306F"/>
    <w:rsid w:val="045207E1"/>
    <w:rsid w:val="0452324F"/>
    <w:rsid w:val="045556EE"/>
    <w:rsid w:val="045F3A39"/>
    <w:rsid w:val="0462063F"/>
    <w:rsid w:val="04701040"/>
    <w:rsid w:val="04877000"/>
    <w:rsid w:val="04884AC0"/>
    <w:rsid w:val="048B6A71"/>
    <w:rsid w:val="048D4554"/>
    <w:rsid w:val="04944A6A"/>
    <w:rsid w:val="04975458"/>
    <w:rsid w:val="049E4BED"/>
    <w:rsid w:val="049F25B9"/>
    <w:rsid w:val="04A517B1"/>
    <w:rsid w:val="04AD710A"/>
    <w:rsid w:val="04B8274F"/>
    <w:rsid w:val="04C21553"/>
    <w:rsid w:val="04C82215"/>
    <w:rsid w:val="04D704A5"/>
    <w:rsid w:val="04E01F38"/>
    <w:rsid w:val="04E169D3"/>
    <w:rsid w:val="04E85DDD"/>
    <w:rsid w:val="04EB5887"/>
    <w:rsid w:val="04F454F1"/>
    <w:rsid w:val="05006D7B"/>
    <w:rsid w:val="0506170D"/>
    <w:rsid w:val="050A4CE4"/>
    <w:rsid w:val="05147E85"/>
    <w:rsid w:val="051A2002"/>
    <w:rsid w:val="05281683"/>
    <w:rsid w:val="05404C1F"/>
    <w:rsid w:val="05500503"/>
    <w:rsid w:val="05663791"/>
    <w:rsid w:val="056905C6"/>
    <w:rsid w:val="056C0C7C"/>
    <w:rsid w:val="056F2418"/>
    <w:rsid w:val="05714984"/>
    <w:rsid w:val="057A5EF7"/>
    <w:rsid w:val="05856AD5"/>
    <w:rsid w:val="058A1AE1"/>
    <w:rsid w:val="059071C9"/>
    <w:rsid w:val="059E5338"/>
    <w:rsid w:val="05C00040"/>
    <w:rsid w:val="05C00DA5"/>
    <w:rsid w:val="05D62085"/>
    <w:rsid w:val="05DD06BF"/>
    <w:rsid w:val="05E14A95"/>
    <w:rsid w:val="05EF595D"/>
    <w:rsid w:val="05F803CD"/>
    <w:rsid w:val="05FE37D9"/>
    <w:rsid w:val="06350C16"/>
    <w:rsid w:val="064660D0"/>
    <w:rsid w:val="064F56ED"/>
    <w:rsid w:val="06550BB2"/>
    <w:rsid w:val="065C244F"/>
    <w:rsid w:val="066A72FC"/>
    <w:rsid w:val="066C6CEA"/>
    <w:rsid w:val="066E3B00"/>
    <w:rsid w:val="0676188F"/>
    <w:rsid w:val="068777A5"/>
    <w:rsid w:val="069952A4"/>
    <w:rsid w:val="06A52547"/>
    <w:rsid w:val="06AF4BEE"/>
    <w:rsid w:val="06B331CE"/>
    <w:rsid w:val="06B92D8C"/>
    <w:rsid w:val="06BD06CE"/>
    <w:rsid w:val="06BD229F"/>
    <w:rsid w:val="06D576B7"/>
    <w:rsid w:val="06EE2960"/>
    <w:rsid w:val="06EF1885"/>
    <w:rsid w:val="07002182"/>
    <w:rsid w:val="071B0D3B"/>
    <w:rsid w:val="071C2603"/>
    <w:rsid w:val="071C6FC5"/>
    <w:rsid w:val="07290464"/>
    <w:rsid w:val="072916E2"/>
    <w:rsid w:val="075F1D3A"/>
    <w:rsid w:val="077C7A64"/>
    <w:rsid w:val="077E533E"/>
    <w:rsid w:val="07853B29"/>
    <w:rsid w:val="0797489E"/>
    <w:rsid w:val="079B24FB"/>
    <w:rsid w:val="079E7C3D"/>
    <w:rsid w:val="079F7ABD"/>
    <w:rsid w:val="07A52ACF"/>
    <w:rsid w:val="07B26326"/>
    <w:rsid w:val="07B46CDA"/>
    <w:rsid w:val="07B509CE"/>
    <w:rsid w:val="07B651B2"/>
    <w:rsid w:val="07C82F2A"/>
    <w:rsid w:val="07D0607E"/>
    <w:rsid w:val="07D63493"/>
    <w:rsid w:val="07DD0491"/>
    <w:rsid w:val="07E10D19"/>
    <w:rsid w:val="07E51AAD"/>
    <w:rsid w:val="07F17CC7"/>
    <w:rsid w:val="07F81B08"/>
    <w:rsid w:val="07FF1A71"/>
    <w:rsid w:val="0802711A"/>
    <w:rsid w:val="08150E35"/>
    <w:rsid w:val="08243C87"/>
    <w:rsid w:val="08276B5D"/>
    <w:rsid w:val="08391BAF"/>
    <w:rsid w:val="08585E9A"/>
    <w:rsid w:val="0873509B"/>
    <w:rsid w:val="08756168"/>
    <w:rsid w:val="088366D5"/>
    <w:rsid w:val="088626E4"/>
    <w:rsid w:val="0892678F"/>
    <w:rsid w:val="089A6E2A"/>
    <w:rsid w:val="08AB6853"/>
    <w:rsid w:val="08BF012F"/>
    <w:rsid w:val="08D95ADD"/>
    <w:rsid w:val="08DF5620"/>
    <w:rsid w:val="08E004C3"/>
    <w:rsid w:val="08E64921"/>
    <w:rsid w:val="08EF4E64"/>
    <w:rsid w:val="090129D5"/>
    <w:rsid w:val="09231F4C"/>
    <w:rsid w:val="09324455"/>
    <w:rsid w:val="09367B0A"/>
    <w:rsid w:val="093700E7"/>
    <w:rsid w:val="09394EF4"/>
    <w:rsid w:val="094620D8"/>
    <w:rsid w:val="094D6FD5"/>
    <w:rsid w:val="09607EB9"/>
    <w:rsid w:val="0975488B"/>
    <w:rsid w:val="097E6E31"/>
    <w:rsid w:val="0983540E"/>
    <w:rsid w:val="0986119A"/>
    <w:rsid w:val="09AE292C"/>
    <w:rsid w:val="09B278E2"/>
    <w:rsid w:val="09CE5380"/>
    <w:rsid w:val="09DB4A17"/>
    <w:rsid w:val="09EB2C7F"/>
    <w:rsid w:val="09F76085"/>
    <w:rsid w:val="0A016B22"/>
    <w:rsid w:val="0A053745"/>
    <w:rsid w:val="0A097B15"/>
    <w:rsid w:val="0A187F18"/>
    <w:rsid w:val="0A261F09"/>
    <w:rsid w:val="0A2C17A5"/>
    <w:rsid w:val="0A385254"/>
    <w:rsid w:val="0A462A7C"/>
    <w:rsid w:val="0A5E2522"/>
    <w:rsid w:val="0A6F05CA"/>
    <w:rsid w:val="0A876394"/>
    <w:rsid w:val="0A8A698E"/>
    <w:rsid w:val="0A8B7390"/>
    <w:rsid w:val="0A933566"/>
    <w:rsid w:val="0AA24248"/>
    <w:rsid w:val="0AA7498D"/>
    <w:rsid w:val="0AA95618"/>
    <w:rsid w:val="0AAA48E8"/>
    <w:rsid w:val="0AD91FC9"/>
    <w:rsid w:val="0ADB075F"/>
    <w:rsid w:val="0AE222D4"/>
    <w:rsid w:val="0AF353AB"/>
    <w:rsid w:val="0B0E73C8"/>
    <w:rsid w:val="0B3E31ED"/>
    <w:rsid w:val="0B424235"/>
    <w:rsid w:val="0B4D4AF4"/>
    <w:rsid w:val="0B4F5AAF"/>
    <w:rsid w:val="0B5104C9"/>
    <w:rsid w:val="0B5C1771"/>
    <w:rsid w:val="0B695BD3"/>
    <w:rsid w:val="0B6F5CD3"/>
    <w:rsid w:val="0B880938"/>
    <w:rsid w:val="0B8A00AE"/>
    <w:rsid w:val="0B8E1D10"/>
    <w:rsid w:val="0B981367"/>
    <w:rsid w:val="0B981885"/>
    <w:rsid w:val="0B9C6927"/>
    <w:rsid w:val="0BA94255"/>
    <w:rsid w:val="0BAA618B"/>
    <w:rsid w:val="0BBB44B0"/>
    <w:rsid w:val="0BD51A4F"/>
    <w:rsid w:val="0BE054A7"/>
    <w:rsid w:val="0BF04736"/>
    <w:rsid w:val="0BF16E09"/>
    <w:rsid w:val="0BF91214"/>
    <w:rsid w:val="0BFB0479"/>
    <w:rsid w:val="0C02432C"/>
    <w:rsid w:val="0C117EF3"/>
    <w:rsid w:val="0C1465FD"/>
    <w:rsid w:val="0C180307"/>
    <w:rsid w:val="0C1F4542"/>
    <w:rsid w:val="0C220839"/>
    <w:rsid w:val="0C2564DE"/>
    <w:rsid w:val="0C2D4BF7"/>
    <w:rsid w:val="0C2D7F94"/>
    <w:rsid w:val="0C3D7D65"/>
    <w:rsid w:val="0C5C350D"/>
    <w:rsid w:val="0C620CFB"/>
    <w:rsid w:val="0C72397E"/>
    <w:rsid w:val="0C775497"/>
    <w:rsid w:val="0C8A6C76"/>
    <w:rsid w:val="0C8B2D53"/>
    <w:rsid w:val="0C8D60D2"/>
    <w:rsid w:val="0C907E0B"/>
    <w:rsid w:val="0C95536B"/>
    <w:rsid w:val="0C9A4E3A"/>
    <w:rsid w:val="0C9B0F02"/>
    <w:rsid w:val="0CA627B7"/>
    <w:rsid w:val="0CA94B6C"/>
    <w:rsid w:val="0CB24DEA"/>
    <w:rsid w:val="0CC10939"/>
    <w:rsid w:val="0CC735CB"/>
    <w:rsid w:val="0CC92211"/>
    <w:rsid w:val="0CD52DC1"/>
    <w:rsid w:val="0CDB33AB"/>
    <w:rsid w:val="0CE340E1"/>
    <w:rsid w:val="0CEB0FAE"/>
    <w:rsid w:val="0D12135B"/>
    <w:rsid w:val="0D1326BA"/>
    <w:rsid w:val="0D211F08"/>
    <w:rsid w:val="0D2B4D22"/>
    <w:rsid w:val="0D3440CE"/>
    <w:rsid w:val="0D470B14"/>
    <w:rsid w:val="0D5D12BA"/>
    <w:rsid w:val="0D652514"/>
    <w:rsid w:val="0D744AB8"/>
    <w:rsid w:val="0DA351E8"/>
    <w:rsid w:val="0DB42B36"/>
    <w:rsid w:val="0DEE215C"/>
    <w:rsid w:val="0DF17BB3"/>
    <w:rsid w:val="0E073E15"/>
    <w:rsid w:val="0E116B3B"/>
    <w:rsid w:val="0E1C25F8"/>
    <w:rsid w:val="0E1F36F5"/>
    <w:rsid w:val="0E2C3DC4"/>
    <w:rsid w:val="0E3348F0"/>
    <w:rsid w:val="0E49061A"/>
    <w:rsid w:val="0E4B01DA"/>
    <w:rsid w:val="0E4E5E22"/>
    <w:rsid w:val="0E5065FE"/>
    <w:rsid w:val="0E527771"/>
    <w:rsid w:val="0E5756DE"/>
    <w:rsid w:val="0E667896"/>
    <w:rsid w:val="0E697251"/>
    <w:rsid w:val="0E760A01"/>
    <w:rsid w:val="0E7A15D0"/>
    <w:rsid w:val="0E8928D9"/>
    <w:rsid w:val="0E9A06DB"/>
    <w:rsid w:val="0E9B7D48"/>
    <w:rsid w:val="0EB220B4"/>
    <w:rsid w:val="0EB647D5"/>
    <w:rsid w:val="0ED35F14"/>
    <w:rsid w:val="0EDE23CA"/>
    <w:rsid w:val="0EEF1A3E"/>
    <w:rsid w:val="0EEF7DB9"/>
    <w:rsid w:val="0F0545AE"/>
    <w:rsid w:val="0F0F431C"/>
    <w:rsid w:val="0F17354D"/>
    <w:rsid w:val="0F2672BB"/>
    <w:rsid w:val="0F2D1010"/>
    <w:rsid w:val="0F3A43F7"/>
    <w:rsid w:val="0F3E4809"/>
    <w:rsid w:val="0F473A14"/>
    <w:rsid w:val="0F4B64AC"/>
    <w:rsid w:val="0F54351E"/>
    <w:rsid w:val="0F5A05C7"/>
    <w:rsid w:val="0F645140"/>
    <w:rsid w:val="0F6C5371"/>
    <w:rsid w:val="0F706CF2"/>
    <w:rsid w:val="0F790C4B"/>
    <w:rsid w:val="0F7C59D4"/>
    <w:rsid w:val="0F801D2C"/>
    <w:rsid w:val="0F873C06"/>
    <w:rsid w:val="0F8C1996"/>
    <w:rsid w:val="0F941DDC"/>
    <w:rsid w:val="0F98145F"/>
    <w:rsid w:val="0F9918B1"/>
    <w:rsid w:val="0FA73596"/>
    <w:rsid w:val="0FAB1309"/>
    <w:rsid w:val="0FB41BCB"/>
    <w:rsid w:val="0FBC139E"/>
    <w:rsid w:val="0FD31486"/>
    <w:rsid w:val="0FE61E3D"/>
    <w:rsid w:val="0FEF6A66"/>
    <w:rsid w:val="0FFC1742"/>
    <w:rsid w:val="0FFE2130"/>
    <w:rsid w:val="102A39F0"/>
    <w:rsid w:val="103449ED"/>
    <w:rsid w:val="10367DFD"/>
    <w:rsid w:val="103C2486"/>
    <w:rsid w:val="104C7B89"/>
    <w:rsid w:val="106D155F"/>
    <w:rsid w:val="106F4149"/>
    <w:rsid w:val="10775B6E"/>
    <w:rsid w:val="107F35A6"/>
    <w:rsid w:val="108E5678"/>
    <w:rsid w:val="10B55501"/>
    <w:rsid w:val="10B97633"/>
    <w:rsid w:val="10BA762B"/>
    <w:rsid w:val="10BF1F0B"/>
    <w:rsid w:val="10C0777A"/>
    <w:rsid w:val="10C36704"/>
    <w:rsid w:val="10C80E1B"/>
    <w:rsid w:val="10C92E76"/>
    <w:rsid w:val="10CF22C6"/>
    <w:rsid w:val="10DA4084"/>
    <w:rsid w:val="10DF7C4B"/>
    <w:rsid w:val="10F662F8"/>
    <w:rsid w:val="10F674A5"/>
    <w:rsid w:val="111134DD"/>
    <w:rsid w:val="112108ED"/>
    <w:rsid w:val="11234289"/>
    <w:rsid w:val="113151B7"/>
    <w:rsid w:val="11394FC4"/>
    <w:rsid w:val="113969C6"/>
    <w:rsid w:val="11472E91"/>
    <w:rsid w:val="114E32FC"/>
    <w:rsid w:val="11532397"/>
    <w:rsid w:val="11647E94"/>
    <w:rsid w:val="116B5C81"/>
    <w:rsid w:val="11772E7B"/>
    <w:rsid w:val="117D68B3"/>
    <w:rsid w:val="118908CC"/>
    <w:rsid w:val="118A451F"/>
    <w:rsid w:val="118F194B"/>
    <w:rsid w:val="119039FF"/>
    <w:rsid w:val="11AC7268"/>
    <w:rsid w:val="11AE2E68"/>
    <w:rsid w:val="11B148DB"/>
    <w:rsid w:val="11B84D73"/>
    <w:rsid w:val="11BA18B5"/>
    <w:rsid w:val="11DF7443"/>
    <w:rsid w:val="11E56DF3"/>
    <w:rsid w:val="11E66BE4"/>
    <w:rsid w:val="11F35801"/>
    <w:rsid w:val="11F97327"/>
    <w:rsid w:val="11FC5678"/>
    <w:rsid w:val="121508E7"/>
    <w:rsid w:val="12396910"/>
    <w:rsid w:val="12396A15"/>
    <w:rsid w:val="12422B59"/>
    <w:rsid w:val="12473638"/>
    <w:rsid w:val="124F770E"/>
    <w:rsid w:val="125455B6"/>
    <w:rsid w:val="12652E2F"/>
    <w:rsid w:val="12774495"/>
    <w:rsid w:val="12B72298"/>
    <w:rsid w:val="12B92B80"/>
    <w:rsid w:val="12C434C0"/>
    <w:rsid w:val="12DA262E"/>
    <w:rsid w:val="12E4182F"/>
    <w:rsid w:val="12EA49F9"/>
    <w:rsid w:val="12EC2CC9"/>
    <w:rsid w:val="12F808F3"/>
    <w:rsid w:val="12FE5880"/>
    <w:rsid w:val="133236CD"/>
    <w:rsid w:val="133B6A25"/>
    <w:rsid w:val="1342014B"/>
    <w:rsid w:val="134A0A16"/>
    <w:rsid w:val="135A7AEB"/>
    <w:rsid w:val="135E0C2E"/>
    <w:rsid w:val="135F3508"/>
    <w:rsid w:val="136070E5"/>
    <w:rsid w:val="138133C6"/>
    <w:rsid w:val="138C13B1"/>
    <w:rsid w:val="13994D5D"/>
    <w:rsid w:val="13B34C36"/>
    <w:rsid w:val="13CA7CC7"/>
    <w:rsid w:val="13CF0B97"/>
    <w:rsid w:val="13F60B9E"/>
    <w:rsid w:val="13F839D7"/>
    <w:rsid w:val="13FA1A5D"/>
    <w:rsid w:val="13FC512B"/>
    <w:rsid w:val="14003282"/>
    <w:rsid w:val="140943F6"/>
    <w:rsid w:val="1429755F"/>
    <w:rsid w:val="14435F96"/>
    <w:rsid w:val="14501FA4"/>
    <w:rsid w:val="14513B72"/>
    <w:rsid w:val="146A7D9B"/>
    <w:rsid w:val="14731E5F"/>
    <w:rsid w:val="147D1D63"/>
    <w:rsid w:val="147F0970"/>
    <w:rsid w:val="1484494A"/>
    <w:rsid w:val="148B30F7"/>
    <w:rsid w:val="148D1503"/>
    <w:rsid w:val="148D37AA"/>
    <w:rsid w:val="14962D01"/>
    <w:rsid w:val="14A7513C"/>
    <w:rsid w:val="14C11485"/>
    <w:rsid w:val="14E33FBF"/>
    <w:rsid w:val="15074784"/>
    <w:rsid w:val="1513199B"/>
    <w:rsid w:val="151E23E8"/>
    <w:rsid w:val="152139F9"/>
    <w:rsid w:val="15472243"/>
    <w:rsid w:val="15557DE4"/>
    <w:rsid w:val="1565422D"/>
    <w:rsid w:val="156A3166"/>
    <w:rsid w:val="157D192A"/>
    <w:rsid w:val="15870523"/>
    <w:rsid w:val="159E5049"/>
    <w:rsid w:val="15AC0A22"/>
    <w:rsid w:val="15AF7257"/>
    <w:rsid w:val="15D62521"/>
    <w:rsid w:val="15DA080F"/>
    <w:rsid w:val="15E06DB6"/>
    <w:rsid w:val="15E21718"/>
    <w:rsid w:val="15E75D82"/>
    <w:rsid w:val="16012162"/>
    <w:rsid w:val="1603392A"/>
    <w:rsid w:val="1605186D"/>
    <w:rsid w:val="16090816"/>
    <w:rsid w:val="161C49D4"/>
    <w:rsid w:val="161D0E57"/>
    <w:rsid w:val="162E7C07"/>
    <w:rsid w:val="16311B18"/>
    <w:rsid w:val="16323620"/>
    <w:rsid w:val="16387FD6"/>
    <w:rsid w:val="16474F8E"/>
    <w:rsid w:val="164A1D9F"/>
    <w:rsid w:val="16521C65"/>
    <w:rsid w:val="165335C0"/>
    <w:rsid w:val="1658646E"/>
    <w:rsid w:val="165A5414"/>
    <w:rsid w:val="16692743"/>
    <w:rsid w:val="166A3BE5"/>
    <w:rsid w:val="16895CFA"/>
    <w:rsid w:val="168D57EA"/>
    <w:rsid w:val="1690466C"/>
    <w:rsid w:val="169A69F5"/>
    <w:rsid w:val="169C2629"/>
    <w:rsid w:val="169D7266"/>
    <w:rsid w:val="16A160FA"/>
    <w:rsid w:val="16A427CF"/>
    <w:rsid w:val="16BB1883"/>
    <w:rsid w:val="16C319BF"/>
    <w:rsid w:val="16C513D3"/>
    <w:rsid w:val="16C64858"/>
    <w:rsid w:val="16D13612"/>
    <w:rsid w:val="16D915D3"/>
    <w:rsid w:val="16E017E8"/>
    <w:rsid w:val="16E903D0"/>
    <w:rsid w:val="16F5513D"/>
    <w:rsid w:val="17381B99"/>
    <w:rsid w:val="174621FF"/>
    <w:rsid w:val="174725DF"/>
    <w:rsid w:val="175F2179"/>
    <w:rsid w:val="17680005"/>
    <w:rsid w:val="17722790"/>
    <w:rsid w:val="17762D24"/>
    <w:rsid w:val="177F1E52"/>
    <w:rsid w:val="1784290A"/>
    <w:rsid w:val="17866A41"/>
    <w:rsid w:val="17CA6C70"/>
    <w:rsid w:val="17D55482"/>
    <w:rsid w:val="17D86F39"/>
    <w:rsid w:val="17F65882"/>
    <w:rsid w:val="17FC7499"/>
    <w:rsid w:val="181101FF"/>
    <w:rsid w:val="18137996"/>
    <w:rsid w:val="18193B31"/>
    <w:rsid w:val="18290AAD"/>
    <w:rsid w:val="183E1ADB"/>
    <w:rsid w:val="1843148F"/>
    <w:rsid w:val="18672B7C"/>
    <w:rsid w:val="18707E15"/>
    <w:rsid w:val="188643B8"/>
    <w:rsid w:val="188B2D6D"/>
    <w:rsid w:val="188F3C2E"/>
    <w:rsid w:val="18914013"/>
    <w:rsid w:val="18A33803"/>
    <w:rsid w:val="18AA1733"/>
    <w:rsid w:val="18C94A94"/>
    <w:rsid w:val="18D8162B"/>
    <w:rsid w:val="18E4316D"/>
    <w:rsid w:val="18E746E8"/>
    <w:rsid w:val="18EE1F18"/>
    <w:rsid w:val="18F6792A"/>
    <w:rsid w:val="18FE5C8D"/>
    <w:rsid w:val="19064FCB"/>
    <w:rsid w:val="19167A45"/>
    <w:rsid w:val="19185547"/>
    <w:rsid w:val="193077D1"/>
    <w:rsid w:val="1936516B"/>
    <w:rsid w:val="19375678"/>
    <w:rsid w:val="19392019"/>
    <w:rsid w:val="194C1F56"/>
    <w:rsid w:val="194F5817"/>
    <w:rsid w:val="19546DE4"/>
    <w:rsid w:val="195D0620"/>
    <w:rsid w:val="195F114E"/>
    <w:rsid w:val="196824B5"/>
    <w:rsid w:val="196C0C16"/>
    <w:rsid w:val="196F4417"/>
    <w:rsid w:val="197026AE"/>
    <w:rsid w:val="1973764E"/>
    <w:rsid w:val="19744227"/>
    <w:rsid w:val="19774F60"/>
    <w:rsid w:val="198B4F01"/>
    <w:rsid w:val="198C766F"/>
    <w:rsid w:val="198D0147"/>
    <w:rsid w:val="19AC3396"/>
    <w:rsid w:val="19B62DA2"/>
    <w:rsid w:val="19BA26F0"/>
    <w:rsid w:val="19C10E2A"/>
    <w:rsid w:val="19C92F06"/>
    <w:rsid w:val="19E140B3"/>
    <w:rsid w:val="19E27BFB"/>
    <w:rsid w:val="19ED659F"/>
    <w:rsid w:val="19EF40C6"/>
    <w:rsid w:val="19F7757A"/>
    <w:rsid w:val="1A007276"/>
    <w:rsid w:val="1A17021F"/>
    <w:rsid w:val="1A1726E0"/>
    <w:rsid w:val="1A1F7543"/>
    <w:rsid w:val="1A210CDC"/>
    <w:rsid w:val="1A376341"/>
    <w:rsid w:val="1A4014F0"/>
    <w:rsid w:val="1A5534F5"/>
    <w:rsid w:val="1A5712FD"/>
    <w:rsid w:val="1A581A4E"/>
    <w:rsid w:val="1A5959E3"/>
    <w:rsid w:val="1A597989"/>
    <w:rsid w:val="1A711ED2"/>
    <w:rsid w:val="1A71207C"/>
    <w:rsid w:val="1A7D0DA6"/>
    <w:rsid w:val="1AA05880"/>
    <w:rsid w:val="1AFC1190"/>
    <w:rsid w:val="1B0510F1"/>
    <w:rsid w:val="1B0644E6"/>
    <w:rsid w:val="1B2D1349"/>
    <w:rsid w:val="1B2F1017"/>
    <w:rsid w:val="1B5E59A7"/>
    <w:rsid w:val="1B652F97"/>
    <w:rsid w:val="1B72386C"/>
    <w:rsid w:val="1B8545F0"/>
    <w:rsid w:val="1B9149E2"/>
    <w:rsid w:val="1B99078D"/>
    <w:rsid w:val="1BAC0824"/>
    <w:rsid w:val="1BB65948"/>
    <w:rsid w:val="1BB87F9B"/>
    <w:rsid w:val="1BB9409A"/>
    <w:rsid w:val="1BCB05A7"/>
    <w:rsid w:val="1BDA39E6"/>
    <w:rsid w:val="1BE22984"/>
    <w:rsid w:val="1BE53E44"/>
    <w:rsid w:val="1BEF65FF"/>
    <w:rsid w:val="1BF86B72"/>
    <w:rsid w:val="1C006382"/>
    <w:rsid w:val="1C1036BB"/>
    <w:rsid w:val="1C103880"/>
    <w:rsid w:val="1C1C4F1A"/>
    <w:rsid w:val="1C2A2048"/>
    <w:rsid w:val="1C2E7544"/>
    <w:rsid w:val="1C2F491A"/>
    <w:rsid w:val="1C462D86"/>
    <w:rsid w:val="1C4F3051"/>
    <w:rsid w:val="1C5076C5"/>
    <w:rsid w:val="1C553CD8"/>
    <w:rsid w:val="1C780873"/>
    <w:rsid w:val="1C7C31B7"/>
    <w:rsid w:val="1C7F2BD4"/>
    <w:rsid w:val="1C846981"/>
    <w:rsid w:val="1C960319"/>
    <w:rsid w:val="1C9B1C69"/>
    <w:rsid w:val="1CB22E40"/>
    <w:rsid w:val="1CBD3FBA"/>
    <w:rsid w:val="1CBF45C8"/>
    <w:rsid w:val="1CCA206E"/>
    <w:rsid w:val="1CCE3D5B"/>
    <w:rsid w:val="1CCF317C"/>
    <w:rsid w:val="1CD01614"/>
    <w:rsid w:val="1CF02081"/>
    <w:rsid w:val="1CF223DC"/>
    <w:rsid w:val="1CFD17BE"/>
    <w:rsid w:val="1CFD4D4B"/>
    <w:rsid w:val="1D0B31FB"/>
    <w:rsid w:val="1D0B3DEB"/>
    <w:rsid w:val="1D1D751F"/>
    <w:rsid w:val="1D1E6250"/>
    <w:rsid w:val="1D284372"/>
    <w:rsid w:val="1D2F3092"/>
    <w:rsid w:val="1D373BB2"/>
    <w:rsid w:val="1D38707E"/>
    <w:rsid w:val="1D4750A4"/>
    <w:rsid w:val="1D4C50E7"/>
    <w:rsid w:val="1D5460C4"/>
    <w:rsid w:val="1D6A0633"/>
    <w:rsid w:val="1D7148B5"/>
    <w:rsid w:val="1D9D1099"/>
    <w:rsid w:val="1DA80455"/>
    <w:rsid w:val="1DBC67DD"/>
    <w:rsid w:val="1DBD319E"/>
    <w:rsid w:val="1DC13FCB"/>
    <w:rsid w:val="1DC51D0D"/>
    <w:rsid w:val="1DCD7725"/>
    <w:rsid w:val="1DCE749D"/>
    <w:rsid w:val="1DD66FB0"/>
    <w:rsid w:val="1DE657E0"/>
    <w:rsid w:val="1DFE3F85"/>
    <w:rsid w:val="1E075E82"/>
    <w:rsid w:val="1E206E4E"/>
    <w:rsid w:val="1E2320A1"/>
    <w:rsid w:val="1E236A34"/>
    <w:rsid w:val="1E292F94"/>
    <w:rsid w:val="1E371DB2"/>
    <w:rsid w:val="1E5834BE"/>
    <w:rsid w:val="1E591A59"/>
    <w:rsid w:val="1E5E6EE1"/>
    <w:rsid w:val="1E700AAC"/>
    <w:rsid w:val="1E7255DB"/>
    <w:rsid w:val="1E8C6387"/>
    <w:rsid w:val="1EA01C75"/>
    <w:rsid w:val="1EA25BAA"/>
    <w:rsid w:val="1EA37B56"/>
    <w:rsid w:val="1EA72CFA"/>
    <w:rsid w:val="1EA82513"/>
    <w:rsid w:val="1EAE249B"/>
    <w:rsid w:val="1EC37970"/>
    <w:rsid w:val="1ED55F80"/>
    <w:rsid w:val="1EDC7F5E"/>
    <w:rsid w:val="1EDD01B6"/>
    <w:rsid w:val="1EE3736F"/>
    <w:rsid w:val="1EEB1387"/>
    <w:rsid w:val="1EF02DBA"/>
    <w:rsid w:val="1EF1171F"/>
    <w:rsid w:val="1F053515"/>
    <w:rsid w:val="1F0B4CBD"/>
    <w:rsid w:val="1F0C1361"/>
    <w:rsid w:val="1F183083"/>
    <w:rsid w:val="1F2F1202"/>
    <w:rsid w:val="1F560242"/>
    <w:rsid w:val="1F5A5F92"/>
    <w:rsid w:val="1F774E07"/>
    <w:rsid w:val="1F7B0185"/>
    <w:rsid w:val="1F841218"/>
    <w:rsid w:val="1F8C2DA5"/>
    <w:rsid w:val="1F9B302D"/>
    <w:rsid w:val="1FC1749E"/>
    <w:rsid w:val="1FC21D84"/>
    <w:rsid w:val="1FC429AC"/>
    <w:rsid w:val="2000078A"/>
    <w:rsid w:val="20121912"/>
    <w:rsid w:val="20340448"/>
    <w:rsid w:val="20345AE3"/>
    <w:rsid w:val="205D0771"/>
    <w:rsid w:val="205F064C"/>
    <w:rsid w:val="20743577"/>
    <w:rsid w:val="207B2B57"/>
    <w:rsid w:val="20823EE5"/>
    <w:rsid w:val="208677AD"/>
    <w:rsid w:val="208A0F4A"/>
    <w:rsid w:val="20951127"/>
    <w:rsid w:val="209E1271"/>
    <w:rsid w:val="209F588A"/>
    <w:rsid w:val="20A977A1"/>
    <w:rsid w:val="20AC2D10"/>
    <w:rsid w:val="20AC4A64"/>
    <w:rsid w:val="20B05AB9"/>
    <w:rsid w:val="20CE2199"/>
    <w:rsid w:val="20D01EB7"/>
    <w:rsid w:val="20D22ECB"/>
    <w:rsid w:val="20F22122"/>
    <w:rsid w:val="20F557A1"/>
    <w:rsid w:val="20FE424D"/>
    <w:rsid w:val="210303E4"/>
    <w:rsid w:val="21240098"/>
    <w:rsid w:val="21244F9D"/>
    <w:rsid w:val="213749DC"/>
    <w:rsid w:val="21416D41"/>
    <w:rsid w:val="2142426F"/>
    <w:rsid w:val="21431371"/>
    <w:rsid w:val="214A2426"/>
    <w:rsid w:val="214C33EF"/>
    <w:rsid w:val="215525E8"/>
    <w:rsid w:val="2156204B"/>
    <w:rsid w:val="215C4E9A"/>
    <w:rsid w:val="216457A9"/>
    <w:rsid w:val="217C1192"/>
    <w:rsid w:val="219537A4"/>
    <w:rsid w:val="21962AAA"/>
    <w:rsid w:val="219A6D4B"/>
    <w:rsid w:val="21AB495F"/>
    <w:rsid w:val="21C43C75"/>
    <w:rsid w:val="21C97EEF"/>
    <w:rsid w:val="21ED35E0"/>
    <w:rsid w:val="221A354A"/>
    <w:rsid w:val="221C3EC6"/>
    <w:rsid w:val="221D1672"/>
    <w:rsid w:val="2224062C"/>
    <w:rsid w:val="224920B4"/>
    <w:rsid w:val="224F015E"/>
    <w:rsid w:val="22571BA5"/>
    <w:rsid w:val="22573150"/>
    <w:rsid w:val="22617D92"/>
    <w:rsid w:val="22804455"/>
    <w:rsid w:val="228A7943"/>
    <w:rsid w:val="228D5ABB"/>
    <w:rsid w:val="22944E93"/>
    <w:rsid w:val="229B6703"/>
    <w:rsid w:val="229D6A37"/>
    <w:rsid w:val="22A939AB"/>
    <w:rsid w:val="22B962A9"/>
    <w:rsid w:val="22DF5A44"/>
    <w:rsid w:val="230B73C5"/>
    <w:rsid w:val="2311385C"/>
    <w:rsid w:val="231565F6"/>
    <w:rsid w:val="23407CCF"/>
    <w:rsid w:val="23443B5F"/>
    <w:rsid w:val="234E7A9A"/>
    <w:rsid w:val="236773C3"/>
    <w:rsid w:val="236E0751"/>
    <w:rsid w:val="2375458A"/>
    <w:rsid w:val="2378337E"/>
    <w:rsid w:val="239D405B"/>
    <w:rsid w:val="239D5ED0"/>
    <w:rsid w:val="23B3034A"/>
    <w:rsid w:val="23B32618"/>
    <w:rsid w:val="23B64E06"/>
    <w:rsid w:val="23D40C4E"/>
    <w:rsid w:val="23F25E4D"/>
    <w:rsid w:val="240011DA"/>
    <w:rsid w:val="24004AB2"/>
    <w:rsid w:val="240626FC"/>
    <w:rsid w:val="24085CFA"/>
    <w:rsid w:val="240943E8"/>
    <w:rsid w:val="240E302D"/>
    <w:rsid w:val="242A1D2C"/>
    <w:rsid w:val="245C2990"/>
    <w:rsid w:val="24625EFC"/>
    <w:rsid w:val="246A53BC"/>
    <w:rsid w:val="246F1D58"/>
    <w:rsid w:val="247F7103"/>
    <w:rsid w:val="249A5382"/>
    <w:rsid w:val="24AB6A8D"/>
    <w:rsid w:val="24BB6E43"/>
    <w:rsid w:val="24CA1218"/>
    <w:rsid w:val="24CB66FB"/>
    <w:rsid w:val="24D069BE"/>
    <w:rsid w:val="25027E6E"/>
    <w:rsid w:val="250B573A"/>
    <w:rsid w:val="2512232E"/>
    <w:rsid w:val="252B2250"/>
    <w:rsid w:val="25310FEB"/>
    <w:rsid w:val="253121B6"/>
    <w:rsid w:val="25556B4E"/>
    <w:rsid w:val="255B6AB3"/>
    <w:rsid w:val="255C4BD2"/>
    <w:rsid w:val="256245E1"/>
    <w:rsid w:val="257D4278"/>
    <w:rsid w:val="25947C91"/>
    <w:rsid w:val="259B0FC8"/>
    <w:rsid w:val="25A4389E"/>
    <w:rsid w:val="25AB180A"/>
    <w:rsid w:val="25B81297"/>
    <w:rsid w:val="25C26294"/>
    <w:rsid w:val="25DE0ABB"/>
    <w:rsid w:val="25E139C8"/>
    <w:rsid w:val="25EA227D"/>
    <w:rsid w:val="25EE2F6B"/>
    <w:rsid w:val="25EE5AEF"/>
    <w:rsid w:val="25F03B65"/>
    <w:rsid w:val="25F95A76"/>
    <w:rsid w:val="260C7B9A"/>
    <w:rsid w:val="2615143E"/>
    <w:rsid w:val="262B6A8F"/>
    <w:rsid w:val="262F4A23"/>
    <w:rsid w:val="263A387F"/>
    <w:rsid w:val="265D1D80"/>
    <w:rsid w:val="2663431E"/>
    <w:rsid w:val="2674607E"/>
    <w:rsid w:val="2675613B"/>
    <w:rsid w:val="26767765"/>
    <w:rsid w:val="267C068B"/>
    <w:rsid w:val="268362C1"/>
    <w:rsid w:val="26A66673"/>
    <w:rsid w:val="26BD66A2"/>
    <w:rsid w:val="26C03072"/>
    <w:rsid w:val="26D14496"/>
    <w:rsid w:val="26D3299D"/>
    <w:rsid w:val="26DD6079"/>
    <w:rsid w:val="26E72745"/>
    <w:rsid w:val="26EA4A00"/>
    <w:rsid w:val="26EB5D00"/>
    <w:rsid w:val="26F939DD"/>
    <w:rsid w:val="270105C5"/>
    <w:rsid w:val="27342D76"/>
    <w:rsid w:val="27351CB2"/>
    <w:rsid w:val="274C190F"/>
    <w:rsid w:val="27516892"/>
    <w:rsid w:val="27561AA7"/>
    <w:rsid w:val="27571BFA"/>
    <w:rsid w:val="27583E1A"/>
    <w:rsid w:val="275F4269"/>
    <w:rsid w:val="27893644"/>
    <w:rsid w:val="2793478A"/>
    <w:rsid w:val="2796423F"/>
    <w:rsid w:val="27A235A3"/>
    <w:rsid w:val="27A573C1"/>
    <w:rsid w:val="27AC73AE"/>
    <w:rsid w:val="27B119B4"/>
    <w:rsid w:val="27BE5369"/>
    <w:rsid w:val="27BF04E9"/>
    <w:rsid w:val="27C13545"/>
    <w:rsid w:val="27CF2074"/>
    <w:rsid w:val="27D55855"/>
    <w:rsid w:val="27DF6C4E"/>
    <w:rsid w:val="27EC7E96"/>
    <w:rsid w:val="27F516EA"/>
    <w:rsid w:val="27F70F16"/>
    <w:rsid w:val="28232C8D"/>
    <w:rsid w:val="28254BAA"/>
    <w:rsid w:val="28267B00"/>
    <w:rsid w:val="283E2902"/>
    <w:rsid w:val="285664CE"/>
    <w:rsid w:val="28583914"/>
    <w:rsid w:val="2859377E"/>
    <w:rsid w:val="285A5748"/>
    <w:rsid w:val="285B36CF"/>
    <w:rsid w:val="286616EB"/>
    <w:rsid w:val="286D1437"/>
    <w:rsid w:val="28795561"/>
    <w:rsid w:val="288167BA"/>
    <w:rsid w:val="288818EE"/>
    <w:rsid w:val="288D39AB"/>
    <w:rsid w:val="2899A4CA"/>
    <w:rsid w:val="28A17421"/>
    <w:rsid w:val="28A83F9A"/>
    <w:rsid w:val="28B22E8E"/>
    <w:rsid w:val="28C130D1"/>
    <w:rsid w:val="28C40F66"/>
    <w:rsid w:val="28D15A0A"/>
    <w:rsid w:val="28D70B46"/>
    <w:rsid w:val="28E371D6"/>
    <w:rsid w:val="28E514B5"/>
    <w:rsid w:val="28EE67DC"/>
    <w:rsid w:val="28F53AF3"/>
    <w:rsid w:val="28F8498E"/>
    <w:rsid w:val="28F95255"/>
    <w:rsid w:val="290225D3"/>
    <w:rsid w:val="2904200E"/>
    <w:rsid w:val="29077494"/>
    <w:rsid w:val="29251E56"/>
    <w:rsid w:val="292E69B5"/>
    <w:rsid w:val="29390A1F"/>
    <w:rsid w:val="293D7A97"/>
    <w:rsid w:val="294303EE"/>
    <w:rsid w:val="29435A91"/>
    <w:rsid w:val="29487EC4"/>
    <w:rsid w:val="295108F9"/>
    <w:rsid w:val="29526E23"/>
    <w:rsid w:val="29574C3C"/>
    <w:rsid w:val="29646E76"/>
    <w:rsid w:val="29687D5A"/>
    <w:rsid w:val="296D5007"/>
    <w:rsid w:val="29826D04"/>
    <w:rsid w:val="298C7522"/>
    <w:rsid w:val="298F15DF"/>
    <w:rsid w:val="29C22246"/>
    <w:rsid w:val="29CB6B8E"/>
    <w:rsid w:val="29EC2C27"/>
    <w:rsid w:val="29F41A85"/>
    <w:rsid w:val="29F973AE"/>
    <w:rsid w:val="2A0D7A79"/>
    <w:rsid w:val="2A0E4EF5"/>
    <w:rsid w:val="2A230902"/>
    <w:rsid w:val="2A500BB0"/>
    <w:rsid w:val="2A612324"/>
    <w:rsid w:val="2A7A3E7F"/>
    <w:rsid w:val="2A841049"/>
    <w:rsid w:val="2A87448F"/>
    <w:rsid w:val="2A9E55B4"/>
    <w:rsid w:val="2AA03146"/>
    <w:rsid w:val="2AA723FA"/>
    <w:rsid w:val="2AA9206F"/>
    <w:rsid w:val="2AAB6F8C"/>
    <w:rsid w:val="2AAC4934"/>
    <w:rsid w:val="2AB351AD"/>
    <w:rsid w:val="2ABB2A2D"/>
    <w:rsid w:val="2AC450FA"/>
    <w:rsid w:val="2ACE4B67"/>
    <w:rsid w:val="2AD633B7"/>
    <w:rsid w:val="2AEC425A"/>
    <w:rsid w:val="2B055E43"/>
    <w:rsid w:val="2B3129C7"/>
    <w:rsid w:val="2B3E30FF"/>
    <w:rsid w:val="2B3E4F87"/>
    <w:rsid w:val="2B403A25"/>
    <w:rsid w:val="2B414A8B"/>
    <w:rsid w:val="2B414ADB"/>
    <w:rsid w:val="2B491899"/>
    <w:rsid w:val="2B5706F9"/>
    <w:rsid w:val="2B670B65"/>
    <w:rsid w:val="2B68109E"/>
    <w:rsid w:val="2B6D51F0"/>
    <w:rsid w:val="2B97183A"/>
    <w:rsid w:val="2BAB3053"/>
    <w:rsid w:val="2BBE65D9"/>
    <w:rsid w:val="2BD15D21"/>
    <w:rsid w:val="2BD50067"/>
    <w:rsid w:val="2BD63337"/>
    <w:rsid w:val="2BE55033"/>
    <w:rsid w:val="2BF043F9"/>
    <w:rsid w:val="2BF2576A"/>
    <w:rsid w:val="2BFB2D9E"/>
    <w:rsid w:val="2C0A417D"/>
    <w:rsid w:val="2C0B4465"/>
    <w:rsid w:val="2C162605"/>
    <w:rsid w:val="2C1B755F"/>
    <w:rsid w:val="2C2E0A7D"/>
    <w:rsid w:val="2C330EDB"/>
    <w:rsid w:val="2C3A1B18"/>
    <w:rsid w:val="2C574478"/>
    <w:rsid w:val="2C5C119F"/>
    <w:rsid w:val="2C5F157F"/>
    <w:rsid w:val="2C651983"/>
    <w:rsid w:val="2C66214F"/>
    <w:rsid w:val="2C7C7A3B"/>
    <w:rsid w:val="2C8330C3"/>
    <w:rsid w:val="2C8903AA"/>
    <w:rsid w:val="2C8C5944"/>
    <w:rsid w:val="2C8D7546"/>
    <w:rsid w:val="2C9C61E9"/>
    <w:rsid w:val="2CA31736"/>
    <w:rsid w:val="2CB750DB"/>
    <w:rsid w:val="2CBD363E"/>
    <w:rsid w:val="2CC24314"/>
    <w:rsid w:val="2CC31AA1"/>
    <w:rsid w:val="2CCA7E8A"/>
    <w:rsid w:val="2CCE59C2"/>
    <w:rsid w:val="2CF73D3E"/>
    <w:rsid w:val="2D052228"/>
    <w:rsid w:val="2D26387C"/>
    <w:rsid w:val="2D2638BF"/>
    <w:rsid w:val="2D264FE2"/>
    <w:rsid w:val="2D266A1B"/>
    <w:rsid w:val="2D2C63EA"/>
    <w:rsid w:val="2D2E53F9"/>
    <w:rsid w:val="2D580189"/>
    <w:rsid w:val="2D660E42"/>
    <w:rsid w:val="2D661B27"/>
    <w:rsid w:val="2D704DDE"/>
    <w:rsid w:val="2D843A07"/>
    <w:rsid w:val="2D8E5D85"/>
    <w:rsid w:val="2D9B4CAF"/>
    <w:rsid w:val="2D9E0A23"/>
    <w:rsid w:val="2DB45B6D"/>
    <w:rsid w:val="2DBD619E"/>
    <w:rsid w:val="2DBF6224"/>
    <w:rsid w:val="2DC70C24"/>
    <w:rsid w:val="2DCB3B49"/>
    <w:rsid w:val="2DCC67A0"/>
    <w:rsid w:val="2DCE7077"/>
    <w:rsid w:val="2DD02A6D"/>
    <w:rsid w:val="2DDA3990"/>
    <w:rsid w:val="2DF66EF4"/>
    <w:rsid w:val="2DFA2E0B"/>
    <w:rsid w:val="2DFC41AD"/>
    <w:rsid w:val="2E180085"/>
    <w:rsid w:val="2E25717B"/>
    <w:rsid w:val="2E3713DB"/>
    <w:rsid w:val="2E4171C4"/>
    <w:rsid w:val="2E4511F3"/>
    <w:rsid w:val="2E525C15"/>
    <w:rsid w:val="2E767899"/>
    <w:rsid w:val="2E78452B"/>
    <w:rsid w:val="2E9E2CED"/>
    <w:rsid w:val="2EAC037F"/>
    <w:rsid w:val="2EAF3A22"/>
    <w:rsid w:val="2EBC5D7C"/>
    <w:rsid w:val="2EBE6558"/>
    <w:rsid w:val="2EC03D09"/>
    <w:rsid w:val="2EC35DF5"/>
    <w:rsid w:val="2EC50B0C"/>
    <w:rsid w:val="2ECC0AC3"/>
    <w:rsid w:val="2EDA313F"/>
    <w:rsid w:val="2EDA4F22"/>
    <w:rsid w:val="2EE46E94"/>
    <w:rsid w:val="2EF25DF1"/>
    <w:rsid w:val="2EF8508B"/>
    <w:rsid w:val="2EFE6E2D"/>
    <w:rsid w:val="2F103E04"/>
    <w:rsid w:val="2F1155C8"/>
    <w:rsid w:val="2F1C13BF"/>
    <w:rsid w:val="2F2D62E8"/>
    <w:rsid w:val="2F4702A4"/>
    <w:rsid w:val="2F5073FF"/>
    <w:rsid w:val="2F535D43"/>
    <w:rsid w:val="2F6A1782"/>
    <w:rsid w:val="2F741918"/>
    <w:rsid w:val="2F870719"/>
    <w:rsid w:val="2F875A04"/>
    <w:rsid w:val="2F8A10C6"/>
    <w:rsid w:val="2F9F555F"/>
    <w:rsid w:val="2FA26C38"/>
    <w:rsid w:val="2FA411C4"/>
    <w:rsid w:val="2FB11482"/>
    <w:rsid w:val="2FB378CE"/>
    <w:rsid w:val="2FCE2CA3"/>
    <w:rsid w:val="2FD11E32"/>
    <w:rsid w:val="2FDB75C4"/>
    <w:rsid w:val="2FE94E0F"/>
    <w:rsid w:val="30062D56"/>
    <w:rsid w:val="300F0BC6"/>
    <w:rsid w:val="302C542E"/>
    <w:rsid w:val="30370BDD"/>
    <w:rsid w:val="303F5EC2"/>
    <w:rsid w:val="30405223"/>
    <w:rsid w:val="304549CB"/>
    <w:rsid w:val="3046174E"/>
    <w:rsid w:val="30605AFF"/>
    <w:rsid w:val="3060766D"/>
    <w:rsid w:val="306E4143"/>
    <w:rsid w:val="30823C5E"/>
    <w:rsid w:val="30916B3D"/>
    <w:rsid w:val="30A023CD"/>
    <w:rsid w:val="30A43B3C"/>
    <w:rsid w:val="30B023A9"/>
    <w:rsid w:val="30C916BD"/>
    <w:rsid w:val="30D4575F"/>
    <w:rsid w:val="31142A42"/>
    <w:rsid w:val="31171594"/>
    <w:rsid w:val="31271309"/>
    <w:rsid w:val="312879CF"/>
    <w:rsid w:val="312B7651"/>
    <w:rsid w:val="31390163"/>
    <w:rsid w:val="313930CC"/>
    <w:rsid w:val="313A4199"/>
    <w:rsid w:val="317038E6"/>
    <w:rsid w:val="31761E03"/>
    <w:rsid w:val="317C3D05"/>
    <w:rsid w:val="3180527D"/>
    <w:rsid w:val="31905D79"/>
    <w:rsid w:val="319D0FFC"/>
    <w:rsid w:val="31A733A7"/>
    <w:rsid w:val="31AB2B70"/>
    <w:rsid w:val="31BE1AEF"/>
    <w:rsid w:val="31CA024B"/>
    <w:rsid w:val="31CD7626"/>
    <w:rsid w:val="31D04385"/>
    <w:rsid w:val="31ED40DA"/>
    <w:rsid w:val="31FB7BDC"/>
    <w:rsid w:val="320321A9"/>
    <w:rsid w:val="321A587C"/>
    <w:rsid w:val="32222A49"/>
    <w:rsid w:val="322E75B6"/>
    <w:rsid w:val="323C4484"/>
    <w:rsid w:val="323E5820"/>
    <w:rsid w:val="3246664A"/>
    <w:rsid w:val="324E6261"/>
    <w:rsid w:val="32532BFB"/>
    <w:rsid w:val="32543208"/>
    <w:rsid w:val="32582E60"/>
    <w:rsid w:val="32623251"/>
    <w:rsid w:val="32770E1D"/>
    <w:rsid w:val="327C6702"/>
    <w:rsid w:val="32802295"/>
    <w:rsid w:val="328754F4"/>
    <w:rsid w:val="32970E77"/>
    <w:rsid w:val="329E2C41"/>
    <w:rsid w:val="32A963D1"/>
    <w:rsid w:val="32AB3732"/>
    <w:rsid w:val="32BB4322"/>
    <w:rsid w:val="32CC0B3A"/>
    <w:rsid w:val="32E9446A"/>
    <w:rsid w:val="32ED6D0D"/>
    <w:rsid w:val="32EE21EF"/>
    <w:rsid w:val="32FB6F3A"/>
    <w:rsid w:val="32FE403C"/>
    <w:rsid w:val="3301516C"/>
    <w:rsid w:val="330847A6"/>
    <w:rsid w:val="330E3473"/>
    <w:rsid w:val="331D6515"/>
    <w:rsid w:val="332445D4"/>
    <w:rsid w:val="33374A05"/>
    <w:rsid w:val="333F7A14"/>
    <w:rsid w:val="33420DD0"/>
    <w:rsid w:val="336D3CCC"/>
    <w:rsid w:val="337B723F"/>
    <w:rsid w:val="338D4C76"/>
    <w:rsid w:val="33971235"/>
    <w:rsid w:val="33AC25F0"/>
    <w:rsid w:val="33CB37C6"/>
    <w:rsid w:val="33D01002"/>
    <w:rsid w:val="33D840F1"/>
    <w:rsid w:val="33D9076A"/>
    <w:rsid w:val="33DE1462"/>
    <w:rsid w:val="33E11AF8"/>
    <w:rsid w:val="33F018FF"/>
    <w:rsid w:val="33F144DC"/>
    <w:rsid w:val="340D641C"/>
    <w:rsid w:val="341474EF"/>
    <w:rsid w:val="341D2DE6"/>
    <w:rsid w:val="341D45AF"/>
    <w:rsid w:val="3428494C"/>
    <w:rsid w:val="34322C81"/>
    <w:rsid w:val="343435C9"/>
    <w:rsid w:val="344A39D0"/>
    <w:rsid w:val="344A75CC"/>
    <w:rsid w:val="345707EA"/>
    <w:rsid w:val="345E036E"/>
    <w:rsid w:val="346317C9"/>
    <w:rsid w:val="34656B85"/>
    <w:rsid w:val="3470037B"/>
    <w:rsid w:val="348619E3"/>
    <w:rsid w:val="34A25937"/>
    <w:rsid w:val="34C54FA6"/>
    <w:rsid w:val="34CD416D"/>
    <w:rsid w:val="34D40752"/>
    <w:rsid w:val="34DD4868"/>
    <w:rsid w:val="34FB21A1"/>
    <w:rsid w:val="350031D3"/>
    <w:rsid w:val="35172D6D"/>
    <w:rsid w:val="351B1ECF"/>
    <w:rsid w:val="352E1B9C"/>
    <w:rsid w:val="354268E3"/>
    <w:rsid w:val="354C1621"/>
    <w:rsid w:val="354D3607"/>
    <w:rsid w:val="35513745"/>
    <w:rsid w:val="35521CDA"/>
    <w:rsid w:val="35797275"/>
    <w:rsid w:val="35900175"/>
    <w:rsid w:val="359C56FD"/>
    <w:rsid w:val="35AD5FDE"/>
    <w:rsid w:val="35AF3C99"/>
    <w:rsid w:val="35B244CD"/>
    <w:rsid w:val="35BD4675"/>
    <w:rsid w:val="35BF0570"/>
    <w:rsid w:val="35D24B6F"/>
    <w:rsid w:val="35D31D82"/>
    <w:rsid w:val="35F3196D"/>
    <w:rsid w:val="35F66D7E"/>
    <w:rsid w:val="36010FB1"/>
    <w:rsid w:val="36071834"/>
    <w:rsid w:val="3615268B"/>
    <w:rsid w:val="362C71B5"/>
    <w:rsid w:val="363E5073"/>
    <w:rsid w:val="366531FD"/>
    <w:rsid w:val="366559E4"/>
    <w:rsid w:val="36807AC2"/>
    <w:rsid w:val="36862126"/>
    <w:rsid w:val="36862B8B"/>
    <w:rsid w:val="368F2A60"/>
    <w:rsid w:val="36965FCE"/>
    <w:rsid w:val="36AC2B28"/>
    <w:rsid w:val="36AF4EB1"/>
    <w:rsid w:val="36B145FE"/>
    <w:rsid w:val="36BD3E66"/>
    <w:rsid w:val="36C459FB"/>
    <w:rsid w:val="36CE073F"/>
    <w:rsid w:val="36D51124"/>
    <w:rsid w:val="36E87115"/>
    <w:rsid w:val="370160A4"/>
    <w:rsid w:val="37195C0B"/>
    <w:rsid w:val="374240D8"/>
    <w:rsid w:val="37511E8F"/>
    <w:rsid w:val="375178F7"/>
    <w:rsid w:val="375422E1"/>
    <w:rsid w:val="375A785C"/>
    <w:rsid w:val="375B33C6"/>
    <w:rsid w:val="37681A16"/>
    <w:rsid w:val="377D4E3C"/>
    <w:rsid w:val="37837F08"/>
    <w:rsid w:val="37856B99"/>
    <w:rsid w:val="37870664"/>
    <w:rsid w:val="37956DFA"/>
    <w:rsid w:val="3797437B"/>
    <w:rsid w:val="379B5B54"/>
    <w:rsid w:val="37B02C8E"/>
    <w:rsid w:val="37BD5263"/>
    <w:rsid w:val="37BDBCE1"/>
    <w:rsid w:val="37BE5BCC"/>
    <w:rsid w:val="37BF2ED1"/>
    <w:rsid w:val="37DC25AF"/>
    <w:rsid w:val="37DD2E3D"/>
    <w:rsid w:val="37E42D93"/>
    <w:rsid w:val="37E82C91"/>
    <w:rsid w:val="37F92688"/>
    <w:rsid w:val="382611A3"/>
    <w:rsid w:val="38273C4A"/>
    <w:rsid w:val="3838318A"/>
    <w:rsid w:val="384E540B"/>
    <w:rsid w:val="3855218C"/>
    <w:rsid w:val="385666B5"/>
    <w:rsid w:val="38571C47"/>
    <w:rsid w:val="38877CA4"/>
    <w:rsid w:val="389468ED"/>
    <w:rsid w:val="38993C8D"/>
    <w:rsid w:val="38B55CBD"/>
    <w:rsid w:val="38C24929"/>
    <w:rsid w:val="38C74D5D"/>
    <w:rsid w:val="38CA08B7"/>
    <w:rsid w:val="38DC2EF1"/>
    <w:rsid w:val="38F848ED"/>
    <w:rsid w:val="39003169"/>
    <w:rsid w:val="390239BE"/>
    <w:rsid w:val="39046C4D"/>
    <w:rsid w:val="390E11E4"/>
    <w:rsid w:val="393954F1"/>
    <w:rsid w:val="393E58F7"/>
    <w:rsid w:val="394E1922"/>
    <w:rsid w:val="39522A4F"/>
    <w:rsid w:val="395B4E39"/>
    <w:rsid w:val="395F1F56"/>
    <w:rsid w:val="397A49D1"/>
    <w:rsid w:val="397F1A05"/>
    <w:rsid w:val="398114C3"/>
    <w:rsid w:val="398A3F16"/>
    <w:rsid w:val="398A4385"/>
    <w:rsid w:val="398D62E7"/>
    <w:rsid w:val="39900FC9"/>
    <w:rsid w:val="399D5C12"/>
    <w:rsid w:val="399F3CA4"/>
    <w:rsid w:val="39A3590E"/>
    <w:rsid w:val="39AF31ED"/>
    <w:rsid w:val="39BE3241"/>
    <w:rsid w:val="39C26CA9"/>
    <w:rsid w:val="39F134B3"/>
    <w:rsid w:val="3A041E9E"/>
    <w:rsid w:val="3A047516"/>
    <w:rsid w:val="3A051129"/>
    <w:rsid w:val="3A0B3F2D"/>
    <w:rsid w:val="3A1F6829"/>
    <w:rsid w:val="3A26548A"/>
    <w:rsid w:val="3A287497"/>
    <w:rsid w:val="3A296D28"/>
    <w:rsid w:val="3A384A7C"/>
    <w:rsid w:val="3A3A6426"/>
    <w:rsid w:val="3A471399"/>
    <w:rsid w:val="3A485400"/>
    <w:rsid w:val="3A6B7AC9"/>
    <w:rsid w:val="3A6C4ACA"/>
    <w:rsid w:val="3A6C5593"/>
    <w:rsid w:val="3A6C6A34"/>
    <w:rsid w:val="3A6F47C2"/>
    <w:rsid w:val="3A726421"/>
    <w:rsid w:val="3A895611"/>
    <w:rsid w:val="3A8F302F"/>
    <w:rsid w:val="3AA264A5"/>
    <w:rsid w:val="3AD43398"/>
    <w:rsid w:val="3ADC026A"/>
    <w:rsid w:val="3AE14933"/>
    <w:rsid w:val="3B062751"/>
    <w:rsid w:val="3B0D47DE"/>
    <w:rsid w:val="3B14556E"/>
    <w:rsid w:val="3B28000C"/>
    <w:rsid w:val="3B5249B8"/>
    <w:rsid w:val="3B5C71EE"/>
    <w:rsid w:val="3B64395D"/>
    <w:rsid w:val="3B6D2223"/>
    <w:rsid w:val="3B7874EE"/>
    <w:rsid w:val="3BAD6EF5"/>
    <w:rsid w:val="3BC14FB6"/>
    <w:rsid w:val="3BD34E26"/>
    <w:rsid w:val="3BD42C9A"/>
    <w:rsid w:val="3BD5712E"/>
    <w:rsid w:val="3BD853D7"/>
    <w:rsid w:val="3BDD601C"/>
    <w:rsid w:val="3BEF68BF"/>
    <w:rsid w:val="3BF55AB2"/>
    <w:rsid w:val="3BFA01D4"/>
    <w:rsid w:val="3C0A7798"/>
    <w:rsid w:val="3C20177D"/>
    <w:rsid w:val="3C30439E"/>
    <w:rsid w:val="3C31796A"/>
    <w:rsid w:val="3C3F2599"/>
    <w:rsid w:val="3C553845"/>
    <w:rsid w:val="3C587E92"/>
    <w:rsid w:val="3C6C2271"/>
    <w:rsid w:val="3C747B2E"/>
    <w:rsid w:val="3C926B1E"/>
    <w:rsid w:val="3CA31CBF"/>
    <w:rsid w:val="3CA50E5E"/>
    <w:rsid w:val="3CBD40AC"/>
    <w:rsid w:val="3CBF0D95"/>
    <w:rsid w:val="3CBF53C0"/>
    <w:rsid w:val="3CC36B35"/>
    <w:rsid w:val="3CE84D04"/>
    <w:rsid w:val="3CF60F7B"/>
    <w:rsid w:val="3CF74DDB"/>
    <w:rsid w:val="3D0C6484"/>
    <w:rsid w:val="3D2008B6"/>
    <w:rsid w:val="3D2D072D"/>
    <w:rsid w:val="3D38472D"/>
    <w:rsid w:val="3D4445A5"/>
    <w:rsid w:val="3D463A9A"/>
    <w:rsid w:val="3D60664C"/>
    <w:rsid w:val="3DA407DA"/>
    <w:rsid w:val="3DCA0ECE"/>
    <w:rsid w:val="3DCC6120"/>
    <w:rsid w:val="3DD700F5"/>
    <w:rsid w:val="3DDA529F"/>
    <w:rsid w:val="3DDC7181"/>
    <w:rsid w:val="3DEE62BF"/>
    <w:rsid w:val="3DFB5797"/>
    <w:rsid w:val="3E123215"/>
    <w:rsid w:val="3E146DC6"/>
    <w:rsid w:val="3E2A0839"/>
    <w:rsid w:val="3E412892"/>
    <w:rsid w:val="3E432AAE"/>
    <w:rsid w:val="3E565B39"/>
    <w:rsid w:val="3E5B4912"/>
    <w:rsid w:val="3E6F7351"/>
    <w:rsid w:val="3E70175E"/>
    <w:rsid w:val="3E73608E"/>
    <w:rsid w:val="3E74386C"/>
    <w:rsid w:val="3E872BA6"/>
    <w:rsid w:val="3EA01CAF"/>
    <w:rsid w:val="3EA868C2"/>
    <w:rsid w:val="3EBF1103"/>
    <w:rsid w:val="3EDC1B47"/>
    <w:rsid w:val="3EEC0950"/>
    <w:rsid w:val="3EED62EC"/>
    <w:rsid w:val="3EFA69B7"/>
    <w:rsid w:val="3EFB138B"/>
    <w:rsid w:val="3EFF5646"/>
    <w:rsid w:val="3EFF6564"/>
    <w:rsid w:val="3F0F30F4"/>
    <w:rsid w:val="3F0F4A6B"/>
    <w:rsid w:val="3F132EDE"/>
    <w:rsid w:val="3F1C34BB"/>
    <w:rsid w:val="3F262A14"/>
    <w:rsid w:val="3F2A357E"/>
    <w:rsid w:val="3F3917B9"/>
    <w:rsid w:val="3F3B0DB0"/>
    <w:rsid w:val="3F3E1957"/>
    <w:rsid w:val="3F446F74"/>
    <w:rsid w:val="3F660D80"/>
    <w:rsid w:val="3F730DBF"/>
    <w:rsid w:val="3F7647BE"/>
    <w:rsid w:val="3F765972"/>
    <w:rsid w:val="3F7D5653"/>
    <w:rsid w:val="3F7FD2E1"/>
    <w:rsid w:val="3F887C54"/>
    <w:rsid w:val="3FB85499"/>
    <w:rsid w:val="3FBB501D"/>
    <w:rsid w:val="3FBC62ED"/>
    <w:rsid w:val="3FC1012F"/>
    <w:rsid w:val="3FD40E2F"/>
    <w:rsid w:val="400F50C7"/>
    <w:rsid w:val="40165819"/>
    <w:rsid w:val="40182F4B"/>
    <w:rsid w:val="40194644"/>
    <w:rsid w:val="402874E5"/>
    <w:rsid w:val="403368E6"/>
    <w:rsid w:val="40404565"/>
    <w:rsid w:val="40406474"/>
    <w:rsid w:val="40430B3B"/>
    <w:rsid w:val="404E1296"/>
    <w:rsid w:val="4056247D"/>
    <w:rsid w:val="4058616F"/>
    <w:rsid w:val="405A7C3B"/>
    <w:rsid w:val="406C13E9"/>
    <w:rsid w:val="40773485"/>
    <w:rsid w:val="408152AE"/>
    <w:rsid w:val="408B6047"/>
    <w:rsid w:val="40901E8C"/>
    <w:rsid w:val="409B4B92"/>
    <w:rsid w:val="409C08A5"/>
    <w:rsid w:val="409C64A6"/>
    <w:rsid w:val="409D4190"/>
    <w:rsid w:val="40A1586A"/>
    <w:rsid w:val="40AE3AB9"/>
    <w:rsid w:val="40AE482F"/>
    <w:rsid w:val="40B00A00"/>
    <w:rsid w:val="40C201B4"/>
    <w:rsid w:val="40C80836"/>
    <w:rsid w:val="40D11392"/>
    <w:rsid w:val="40D81185"/>
    <w:rsid w:val="40D81790"/>
    <w:rsid w:val="40E436BC"/>
    <w:rsid w:val="410451A7"/>
    <w:rsid w:val="410F42BC"/>
    <w:rsid w:val="412B7F18"/>
    <w:rsid w:val="414122F0"/>
    <w:rsid w:val="414157F3"/>
    <w:rsid w:val="41551F82"/>
    <w:rsid w:val="41555F3F"/>
    <w:rsid w:val="4156184A"/>
    <w:rsid w:val="4160525C"/>
    <w:rsid w:val="41735578"/>
    <w:rsid w:val="41764F49"/>
    <w:rsid w:val="418D7E57"/>
    <w:rsid w:val="41AC56F4"/>
    <w:rsid w:val="41AF1F3C"/>
    <w:rsid w:val="41B4616B"/>
    <w:rsid w:val="41C304DF"/>
    <w:rsid w:val="41C87E4F"/>
    <w:rsid w:val="41CE77BD"/>
    <w:rsid w:val="41CF6C2B"/>
    <w:rsid w:val="41CF7FC1"/>
    <w:rsid w:val="41EF2605"/>
    <w:rsid w:val="41F25DF7"/>
    <w:rsid w:val="41F560D9"/>
    <w:rsid w:val="42044568"/>
    <w:rsid w:val="42057EE3"/>
    <w:rsid w:val="420A7CC6"/>
    <w:rsid w:val="42154762"/>
    <w:rsid w:val="42175FB4"/>
    <w:rsid w:val="42441D7B"/>
    <w:rsid w:val="424B2350"/>
    <w:rsid w:val="42541790"/>
    <w:rsid w:val="426D50E1"/>
    <w:rsid w:val="42870F07"/>
    <w:rsid w:val="429064A2"/>
    <w:rsid w:val="429F20A7"/>
    <w:rsid w:val="42B13CAF"/>
    <w:rsid w:val="42B84ABA"/>
    <w:rsid w:val="42C1615C"/>
    <w:rsid w:val="42C43F3A"/>
    <w:rsid w:val="42C837D2"/>
    <w:rsid w:val="42CF21D8"/>
    <w:rsid w:val="431E7646"/>
    <w:rsid w:val="43331167"/>
    <w:rsid w:val="43376BDC"/>
    <w:rsid w:val="43380329"/>
    <w:rsid w:val="433A5FD6"/>
    <w:rsid w:val="433B3283"/>
    <w:rsid w:val="43470D71"/>
    <w:rsid w:val="434927BA"/>
    <w:rsid w:val="437F0F91"/>
    <w:rsid w:val="43A46436"/>
    <w:rsid w:val="43BA59BD"/>
    <w:rsid w:val="43C63B0B"/>
    <w:rsid w:val="43DF729C"/>
    <w:rsid w:val="43EA39CC"/>
    <w:rsid w:val="44031929"/>
    <w:rsid w:val="44386DC7"/>
    <w:rsid w:val="444B0AB7"/>
    <w:rsid w:val="44546674"/>
    <w:rsid w:val="446A779D"/>
    <w:rsid w:val="446B06FF"/>
    <w:rsid w:val="44843DC2"/>
    <w:rsid w:val="448D5A66"/>
    <w:rsid w:val="44A410C8"/>
    <w:rsid w:val="44A616A1"/>
    <w:rsid w:val="44AA25B1"/>
    <w:rsid w:val="44B35568"/>
    <w:rsid w:val="44CA5540"/>
    <w:rsid w:val="44E26451"/>
    <w:rsid w:val="44E61C88"/>
    <w:rsid w:val="44F81AEE"/>
    <w:rsid w:val="44FA76E5"/>
    <w:rsid w:val="450A088A"/>
    <w:rsid w:val="451323E3"/>
    <w:rsid w:val="45356B84"/>
    <w:rsid w:val="454B5917"/>
    <w:rsid w:val="454D7D6F"/>
    <w:rsid w:val="455603DA"/>
    <w:rsid w:val="4562080B"/>
    <w:rsid w:val="457A48DC"/>
    <w:rsid w:val="457F0578"/>
    <w:rsid w:val="45911C42"/>
    <w:rsid w:val="45966550"/>
    <w:rsid w:val="45A44293"/>
    <w:rsid w:val="45A71A97"/>
    <w:rsid w:val="45B11820"/>
    <w:rsid w:val="45B17333"/>
    <w:rsid w:val="45B40A62"/>
    <w:rsid w:val="45B66687"/>
    <w:rsid w:val="45BC5BBE"/>
    <w:rsid w:val="45DF7A91"/>
    <w:rsid w:val="45ED221F"/>
    <w:rsid w:val="45F17051"/>
    <w:rsid w:val="45F662B5"/>
    <w:rsid w:val="46072173"/>
    <w:rsid w:val="463A1088"/>
    <w:rsid w:val="463F4E04"/>
    <w:rsid w:val="46443B98"/>
    <w:rsid w:val="4653372D"/>
    <w:rsid w:val="465E0296"/>
    <w:rsid w:val="4660794F"/>
    <w:rsid w:val="46757F48"/>
    <w:rsid w:val="467F21AA"/>
    <w:rsid w:val="46832EC4"/>
    <w:rsid w:val="46874AF7"/>
    <w:rsid w:val="469D7C7D"/>
    <w:rsid w:val="46A2546A"/>
    <w:rsid w:val="46A626BE"/>
    <w:rsid w:val="46C358F2"/>
    <w:rsid w:val="46E84189"/>
    <w:rsid w:val="46FB1A26"/>
    <w:rsid w:val="46FB4F0D"/>
    <w:rsid w:val="47013FF5"/>
    <w:rsid w:val="470352B6"/>
    <w:rsid w:val="47174AD8"/>
    <w:rsid w:val="471D1DD1"/>
    <w:rsid w:val="473F5D2E"/>
    <w:rsid w:val="47437DF0"/>
    <w:rsid w:val="474B1D32"/>
    <w:rsid w:val="475C24EB"/>
    <w:rsid w:val="47623D37"/>
    <w:rsid w:val="476A4880"/>
    <w:rsid w:val="476D355D"/>
    <w:rsid w:val="477B5067"/>
    <w:rsid w:val="477F1359"/>
    <w:rsid w:val="479C778F"/>
    <w:rsid w:val="479F5922"/>
    <w:rsid w:val="47A74F93"/>
    <w:rsid w:val="47B55DC2"/>
    <w:rsid w:val="47B95AE3"/>
    <w:rsid w:val="47C54635"/>
    <w:rsid w:val="48084775"/>
    <w:rsid w:val="480D4044"/>
    <w:rsid w:val="48284AC3"/>
    <w:rsid w:val="48305B8F"/>
    <w:rsid w:val="48317C01"/>
    <w:rsid w:val="483956BD"/>
    <w:rsid w:val="484B4AC6"/>
    <w:rsid w:val="486D6CE9"/>
    <w:rsid w:val="48833616"/>
    <w:rsid w:val="488439A9"/>
    <w:rsid w:val="48924524"/>
    <w:rsid w:val="489F6228"/>
    <w:rsid w:val="48A42282"/>
    <w:rsid w:val="48BF3FDB"/>
    <w:rsid w:val="48F63FC2"/>
    <w:rsid w:val="49142B20"/>
    <w:rsid w:val="49261002"/>
    <w:rsid w:val="493251EE"/>
    <w:rsid w:val="49423962"/>
    <w:rsid w:val="494E1CBC"/>
    <w:rsid w:val="495A6FB4"/>
    <w:rsid w:val="495E4BAF"/>
    <w:rsid w:val="49690EEF"/>
    <w:rsid w:val="497C3DFC"/>
    <w:rsid w:val="497F7B76"/>
    <w:rsid w:val="498D1081"/>
    <w:rsid w:val="49A017E2"/>
    <w:rsid w:val="49A5127B"/>
    <w:rsid w:val="49A93BB4"/>
    <w:rsid w:val="49B434C4"/>
    <w:rsid w:val="49BB6429"/>
    <w:rsid w:val="49CA5E32"/>
    <w:rsid w:val="49F52A74"/>
    <w:rsid w:val="49FE0A9E"/>
    <w:rsid w:val="4A0A1718"/>
    <w:rsid w:val="4A0B5B9B"/>
    <w:rsid w:val="4A0B5CB6"/>
    <w:rsid w:val="4A0F2B90"/>
    <w:rsid w:val="4A175819"/>
    <w:rsid w:val="4A186210"/>
    <w:rsid w:val="4A3622A4"/>
    <w:rsid w:val="4A4200BE"/>
    <w:rsid w:val="4A595408"/>
    <w:rsid w:val="4A5D78CD"/>
    <w:rsid w:val="4A6B71F5"/>
    <w:rsid w:val="4A6D53AC"/>
    <w:rsid w:val="4A7B678A"/>
    <w:rsid w:val="4A953BED"/>
    <w:rsid w:val="4AA53E5F"/>
    <w:rsid w:val="4AC4127E"/>
    <w:rsid w:val="4AC665FA"/>
    <w:rsid w:val="4AD109E2"/>
    <w:rsid w:val="4AD52A4C"/>
    <w:rsid w:val="4AD85F80"/>
    <w:rsid w:val="4AF450E7"/>
    <w:rsid w:val="4B176DB6"/>
    <w:rsid w:val="4B1873D3"/>
    <w:rsid w:val="4B2103FF"/>
    <w:rsid w:val="4B252B10"/>
    <w:rsid w:val="4B2736D7"/>
    <w:rsid w:val="4B301BE5"/>
    <w:rsid w:val="4B352B76"/>
    <w:rsid w:val="4B39251C"/>
    <w:rsid w:val="4B414168"/>
    <w:rsid w:val="4B5B306C"/>
    <w:rsid w:val="4B663938"/>
    <w:rsid w:val="4B7342A7"/>
    <w:rsid w:val="4B8364F9"/>
    <w:rsid w:val="4B844D22"/>
    <w:rsid w:val="4BA426B2"/>
    <w:rsid w:val="4BAA3E90"/>
    <w:rsid w:val="4BBC47D7"/>
    <w:rsid w:val="4BBD5BA9"/>
    <w:rsid w:val="4BC92119"/>
    <w:rsid w:val="4BCD7E5B"/>
    <w:rsid w:val="4BDB1843"/>
    <w:rsid w:val="4BE76E9B"/>
    <w:rsid w:val="4BE853BB"/>
    <w:rsid w:val="4C0324E8"/>
    <w:rsid w:val="4C0A5BDC"/>
    <w:rsid w:val="4C1B0BC7"/>
    <w:rsid w:val="4C2A0855"/>
    <w:rsid w:val="4C4F778C"/>
    <w:rsid w:val="4C526A67"/>
    <w:rsid w:val="4C553263"/>
    <w:rsid w:val="4C5D11DF"/>
    <w:rsid w:val="4C62441C"/>
    <w:rsid w:val="4C632BA1"/>
    <w:rsid w:val="4C6E50DF"/>
    <w:rsid w:val="4C6F2693"/>
    <w:rsid w:val="4C881FE0"/>
    <w:rsid w:val="4C89610A"/>
    <w:rsid w:val="4C924C68"/>
    <w:rsid w:val="4C947B7A"/>
    <w:rsid w:val="4CA706AC"/>
    <w:rsid w:val="4CAB1E29"/>
    <w:rsid w:val="4CCB73B3"/>
    <w:rsid w:val="4CD10495"/>
    <w:rsid w:val="4CDC1C99"/>
    <w:rsid w:val="4CDF5F6F"/>
    <w:rsid w:val="4CE94293"/>
    <w:rsid w:val="4CEA61AE"/>
    <w:rsid w:val="4D0E1AFF"/>
    <w:rsid w:val="4D2360A9"/>
    <w:rsid w:val="4D241CFD"/>
    <w:rsid w:val="4D257701"/>
    <w:rsid w:val="4D2662D4"/>
    <w:rsid w:val="4D2E492A"/>
    <w:rsid w:val="4D3A5285"/>
    <w:rsid w:val="4D3B7679"/>
    <w:rsid w:val="4D4C6CD2"/>
    <w:rsid w:val="4D4D1254"/>
    <w:rsid w:val="4D4E514B"/>
    <w:rsid w:val="4D62033D"/>
    <w:rsid w:val="4D646943"/>
    <w:rsid w:val="4D69341E"/>
    <w:rsid w:val="4D6F132D"/>
    <w:rsid w:val="4D76AE4D"/>
    <w:rsid w:val="4D775994"/>
    <w:rsid w:val="4D7E786E"/>
    <w:rsid w:val="4D8E5785"/>
    <w:rsid w:val="4D920DA6"/>
    <w:rsid w:val="4D9C5154"/>
    <w:rsid w:val="4DA22C22"/>
    <w:rsid w:val="4DAD1CF2"/>
    <w:rsid w:val="4DD77BB3"/>
    <w:rsid w:val="4DE17531"/>
    <w:rsid w:val="4DFE254E"/>
    <w:rsid w:val="4E0263E8"/>
    <w:rsid w:val="4E03137F"/>
    <w:rsid w:val="4E2234FC"/>
    <w:rsid w:val="4E4B776F"/>
    <w:rsid w:val="4E5505A3"/>
    <w:rsid w:val="4E573A0C"/>
    <w:rsid w:val="4E5B352D"/>
    <w:rsid w:val="4E5B6A13"/>
    <w:rsid w:val="4E6459A5"/>
    <w:rsid w:val="4E66005F"/>
    <w:rsid w:val="4E673904"/>
    <w:rsid w:val="4E6D72F7"/>
    <w:rsid w:val="4E961608"/>
    <w:rsid w:val="4EB91DBD"/>
    <w:rsid w:val="4EBB5DFE"/>
    <w:rsid w:val="4EE447E9"/>
    <w:rsid w:val="4EE500CD"/>
    <w:rsid w:val="4EE51484"/>
    <w:rsid w:val="4F0B4A9B"/>
    <w:rsid w:val="4F2C2527"/>
    <w:rsid w:val="4F2E5057"/>
    <w:rsid w:val="4F31680E"/>
    <w:rsid w:val="4F3828E8"/>
    <w:rsid w:val="4F3F3667"/>
    <w:rsid w:val="4F5276F9"/>
    <w:rsid w:val="4F551A63"/>
    <w:rsid w:val="4F604B42"/>
    <w:rsid w:val="4F6B59C1"/>
    <w:rsid w:val="4F715FC6"/>
    <w:rsid w:val="4F8D1DDB"/>
    <w:rsid w:val="4F8F1FBF"/>
    <w:rsid w:val="4F9E0730"/>
    <w:rsid w:val="4F9F5E45"/>
    <w:rsid w:val="4FA13207"/>
    <w:rsid w:val="4FA84DFE"/>
    <w:rsid w:val="4FBB66C9"/>
    <w:rsid w:val="4FC47B85"/>
    <w:rsid w:val="4FCB19E7"/>
    <w:rsid w:val="4FD277EE"/>
    <w:rsid w:val="4FE15C83"/>
    <w:rsid w:val="4FE93093"/>
    <w:rsid w:val="500951DA"/>
    <w:rsid w:val="50142635"/>
    <w:rsid w:val="5015592D"/>
    <w:rsid w:val="501C315F"/>
    <w:rsid w:val="50256401"/>
    <w:rsid w:val="502C0884"/>
    <w:rsid w:val="503C0079"/>
    <w:rsid w:val="50534547"/>
    <w:rsid w:val="505B1395"/>
    <w:rsid w:val="506A7D8E"/>
    <w:rsid w:val="5076626F"/>
    <w:rsid w:val="507C325B"/>
    <w:rsid w:val="50B67F4C"/>
    <w:rsid w:val="50C20F92"/>
    <w:rsid w:val="50C406E4"/>
    <w:rsid w:val="50C86E43"/>
    <w:rsid w:val="50D1743D"/>
    <w:rsid w:val="50D542AA"/>
    <w:rsid w:val="50DE3161"/>
    <w:rsid w:val="50E347CC"/>
    <w:rsid w:val="50E579F5"/>
    <w:rsid w:val="50EF2A50"/>
    <w:rsid w:val="510F05CE"/>
    <w:rsid w:val="511E12FF"/>
    <w:rsid w:val="5157604D"/>
    <w:rsid w:val="515A3289"/>
    <w:rsid w:val="515D758B"/>
    <w:rsid w:val="51676DFF"/>
    <w:rsid w:val="51682F45"/>
    <w:rsid w:val="5178039D"/>
    <w:rsid w:val="517838A7"/>
    <w:rsid w:val="51870AAC"/>
    <w:rsid w:val="51915487"/>
    <w:rsid w:val="51932FAD"/>
    <w:rsid w:val="51B03B5F"/>
    <w:rsid w:val="51B46176"/>
    <w:rsid w:val="51DA4DD6"/>
    <w:rsid w:val="51E41A5B"/>
    <w:rsid w:val="51F4103D"/>
    <w:rsid w:val="52170C48"/>
    <w:rsid w:val="522C2F95"/>
    <w:rsid w:val="52412887"/>
    <w:rsid w:val="52657A5E"/>
    <w:rsid w:val="526860CE"/>
    <w:rsid w:val="526861E8"/>
    <w:rsid w:val="526A522E"/>
    <w:rsid w:val="527C6403"/>
    <w:rsid w:val="527D0E27"/>
    <w:rsid w:val="528F264B"/>
    <w:rsid w:val="52AB0F09"/>
    <w:rsid w:val="52B95F1B"/>
    <w:rsid w:val="52E965CA"/>
    <w:rsid w:val="52F07080"/>
    <w:rsid w:val="52F932E4"/>
    <w:rsid w:val="530D2D1D"/>
    <w:rsid w:val="53174884"/>
    <w:rsid w:val="53191D2D"/>
    <w:rsid w:val="532669BF"/>
    <w:rsid w:val="532A610A"/>
    <w:rsid w:val="532C6CA9"/>
    <w:rsid w:val="532D3760"/>
    <w:rsid w:val="533627B3"/>
    <w:rsid w:val="5344231C"/>
    <w:rsid w:val="53482049"/>
    <w:rsid w:val="534B1422"/>
    <w:rsid w:val="53501784"/>
    <w:rsid w:val="53504691"/>
    <w:rsid w:val="535A2807"/>
    <w:rsid w:val="5371368E"/>
    <w:rsid w:val="539453CB"/>
    <w:rsid w:val="5398626F"/>
    <w:rsid w:val="53BD2563"/>
    <w:rsid w:val="53C83B27"/>
    <w:rsid w:val="53E31850"/>
    <w:rsid w:val="53E358E6"/>
    <w:rsid w:val="53E37A74"/>
    <w:rsid w:val="53E41CC6"/>
    <w:rsid w:val="53EC4BF7"/>
    <w:rsid w:val="53F14249"/>
    <w:rsid w:val="53FE5A45"/>
    <w:rsid w:val="540006A2"/>
    <w:rsid w:val="5409241A"/>
    <w:rsid w:val="5410392E"/>
    <w:rsid w:val="54104AE0"/>
    <w:rsid w:val="541A3896"/>
    <w:rsid w:val="542E5F01"/>
    <w:rsid w:val="54307C7C"/>
    <w:rsid w:val="543C4499"/>
    <w:rsid w:val="543E7D96"/>
    <w:rsid w:val="54443B93"/>
    <w:rsid w:val="54466F4E"/>
    <w:rsid w:val="544F31B6"/>
    <w:rsid w:val="54553DD5"/>
    <w:rsid w:val="545F67C6"/>
    <w:rsid w:val="54652C7D"/>
    <w:rsid w:val="548E2449"/>
    <w:rsid w:val="549223AF"/>
    <w:rsid w:val="5493595D"/>
    <w:rsid w:val="549945E6"/>
    <w:rsid w:val="54A51975"/>
    <w:rsid w:val="54B1270D"/>
    <w:rsid w:val="54C563D4"/>
    <w:rsid w:val="54D046EA"/>
    <w:rsid w:val="54D90F94"/>
    <w:rsid w:val="54DD7595"/>
    <w:rsid w:val="54ED0C26"/>
    <w:rsid w:val="54F643C7"/>
    <w:rsid w:val="54F82522"/>
    <w:rsid w:val="54FA491E"/>
    <w:rsid w:val="54FC460A"/>
    <w:rsid w:val="54FD4587"/>
    <w:rsid w:val="5501609C"/>
    <w:rsid w:val="55144E68"/>
    <w:rsid w:val="551A0DF0"/>
    <w:rsid w:val="5520724E"/>
    <w:rsid w:val="552161A3"/>
    <w:rsid w:val="55257691"/>
    <w:rsid w:val="5526343F"/>
    <w:rsid w:val="5549231F"/>
    <w:rsid w:val="555F0079"/>
    <w:rsid w:val="556F3D31"/>
    <w:rsid w:val="557D13E4"/>
    <w:rsid w:val="558F6181"/>
    <w:rsid w:val="55985036"/>
    <w:rsid w:val="55997B55"/>
    <w:rsid w:val="559C6102"/>
    <w:rsid w:val="559F4374"/>
    <w:rsid w:val="55A3219F"/>
    <w:rsid w:val="55A47ABE"/>
    <w:rsid w:val="55BF1099"/>
    <w:rsid w:val="55DB70F4"/>
    <w:rsid w:val="55DC0E95"/>
    <w:rsid w:val="55E05A6D"/>
    <w:rsid w:val="55E262B1"/>
    <w:rsid w:val="55E33803"/>
    <w:rsid w:val="55E62245"/>
    <w:rsid w:val="55F14746"/>
    <w:rsid w:val="55FD3EB8"/>
    <w:rsid w:val="55FD758F"/>
    <w:rsid w:val="56060267"/>
    <w:rsid w:val="56072347"/>
    <w:rsid w:val="56114DE8"/>
    <w:rsid w:val="561C5C67"/>
    <w:rsid w:val="5624246F"/>
    <w:rsid w:val="563A60ED"/>
    <w:rsid w:val="56417A91"/>
    <w:rsid w:val="564C2FCF"/>
    <w:rsid w:val="56573BBA"/>
    <w:rsid w:val="5660229D"/>
    <w:rsid w:val="566C1BF1"/>
    <w:rsid w:val="567B6C57"/>
    <w:rsid w:val="5680580A"/>
    <w:rsid w:val="5687140B"/>
    <w:rsid w:val="56881729"/>
    <w:rsid w:val="568E6439"/>
    <w:rsid w:val="56BA4857"/>
    <w:rsid w:val="56BD31B2"/>
    <w:rsid w:val="56CE6835"/>
    <w:rsid w:val="56F35FB8"/>
    <w:rsid w:val="56F633BD"/>
    <w:rsid w:val="56FFD4A1"/>
    <w:rsid w:val="570C30CE"/>
    <w:rsid w:val="570E692B"/>
    <w:rsid w:val="57135739"/>
    <w:rsid w:val="571561ED"/>
    <w:rsid w:val="571D2E11"/>
    <w:rsid w:val="572B33D4"/>
    <w:rsid w:val="57317A5F"/>
    <w:rsid w:val="57356F9D"/>
    <w:rsid w:val="57453512"/>
    <w:rsid w:val="574D477B"/>
    <w:rsid w:val="574F2403"/>
    <w:rsid w:val="57501F13"/>
    <w:rsid w:val="5761171A"/>
    <w:rsid w:val="576378C6"/>
    <w:rsid w:val="576B5C93"/>
    <w:rsid w:val="576C6465"/>
    <w:rsid w:val="577C0F04"/>
    <w:rsid w:val="577F432C"/>
    <w:rsid w:val="57833F8D"/>
    <w:rsid w:val="5785381A"/>
    <w:rsid w:val="57B40731"/>
    <w:rsid w:val="57BD0238"/>
    <w:rsid w:val="57CA583D"/>
    <w:rsid w:val="57F553A3"/>
    <w:rsid w:val="58005114"/>
    <w:rsid w:val="58076E2A"/>
    <w:rsid w:val="580A7FCA"/>
    <w:rsid w:val="580E4305"/>
    <w:rsid w:val="582744CB"/>
    <w:rsid w:val="583472EB"/>
    <w:rsid w:val="58567A67"/>
    <w:rsid w:val="58584A76"/>
    <w:rsid w:val="585F78AA"/>
    <w:rsid w:val="58657CC1"/>
    <w:rsid w:val="587C45E8"/>
    <w:rsid w:val="58883DB7"/>
    <w:rsid w:val="588A3951"/>
    <w:rsid w:val="588C5ECE"/>
    <w:rsid w:val="58951D01"/>
    <w:rsid w:val="589917F1"/>
    <w:rsid w:val="58BA328F"/>
    <w:rsid w:val="58CB7D26"/>
    <w:rsid w:val="58CF4E95"/>
    <w:rsid w:val="58D02986"/>
    <w:rsid w:val="58DD4061"/>
    <w:rsid w:val="58F06F37"/>
    <w:rsid w:val="58F26BBE"/>
    <w:rsid w:val="58F967EE"/>
    <w:rsid w:val="59004E1D"/>
    <w:rsid w:val="590B26D8"/>
    <w:rsid w:val="59122C0C"/>
    <w:rsid w:val="593474A8"/>
    <w:rsid w:val="593901D6"/>
    <w:rsid w:val="59456494"/>
    <w:rsid w:val="594F0101"/>
    <w:rsid w:val="59505C28"/>
    <w:rsid w:val="595D2642"/>
    <w:rsid w:val="59656FE0"/>
    <w:rsid w:val="596C0ADC"/>
    <w:rsid w:val="598B43C7"/>
    <w:rsid w:val="599B15D3"/>
    <w:rsid w:val="599B3347"/>
    <w:rsid w:val="59A07809"/>
    <w:rsid w:val="59B57DE8"/>
    <w:rsid w:val="59B87FA6"/>
    <w:rsid w:val="59BC2414"/>
    <w:rsid w:val="59C83A10"/>
    <w:rsid w:val="59D32AE1"/>
    <w:rsid w:val="59D92DF0"/>
    <w:rsid w:val="59E174CA"/>
    <w:rsid w:val="59E21D3F"/>
    <w:rsid w:val="59E630B3"/>
    <w:rsid w:val="59E95D8A"/>
    <w:rsid w:val="59F21769"/>
    <w:rsid w:val="59FF18E5"/>
    <w:rsid w:val="5A111763"/>
    <w:rsid w:val="5A141C15"/>
    <w:rsid w:val="5A386AC4"/>
    <w:rsid w:val="5A3B1633"/>
    <w:rsid w:val="5A614EC3"/>
    <w:rsid w:val="5A6A4473"/>
    <w:rsid w:val="5A822CB6"/>
    <w:rsid w:val="5A883ACC"/>
    <w:rsid w:val="5A89170D"/>
    <w:rsid w:val="5A951B44"/>
    <w:rsid w:val="5A9E4652"/>
    <w:rsid w:val="5AA34820"/>
    <w:rsid w:val="5ABA5DFE"/>
    <w:rsid w:val="5AC46702"/>
    <w:rsid w:val="5ACA752C"/>
    <w:rsid w:val="5ADB4989"/>
    <w:rsid w:val="5ADD12F1"/>
    <w:rsid w:val="5ADD678A"/>
    <w:rsid w:val="5AFC6067"/>
    <w:rsid w:val="5AFF2821"/>
    <w:rsid w:val="5AFF3964"/>
    <w:rsid w:val="5B2722C6"/>
    <w:rsid w:val="5B3475AF"/>
    <w:rsid w:val="5B473724"/>
    <w:rsid w:val="5B5045A9"/>
    <w:rsid w:val="5B511702"/>
    <w:rsid w:val="5B584F7A"/>
    <w:rsid w:val="5B6F0A06"/>
    <w:rsid w:val="5B741FBF"/>
    <w:rsid w:val="5B7630F7"/>
    <w:rsid w:val="5B981697"/>
    <w:rsid w:val="5B9B1222"/>
    <w:rsid w:val="5BA54009"/>
    <w:rsid w:val="5BA65FD3"/>
    <w:rsid w:val="5BB243EA"/>
    <w:rsid w:val="5BC9758F"/>
    <w:rsid w:val="5BD364CA"/>
    <w:rsid w:val="5BD62312"/>
    <w:rsid w:val="5BEA4A79"/>
    <w:rsid w:val="5BEA61EE"/>
    <w:rsid w:val="5BFA1EAE"/>
    <w:rsid w:val="5BFF6384"/>
    <w:rsid w:val="5C0D1933"/>
    <w:rsid w:val="5C0F1DCA"/>
    <w:rsid w:val="5C1A0858"/>
    <w:rsid w:val="5C2A26DE"/>
    <w:rsid w:val="5C2B3FA9"/>
    <w:rsid w:val="5C300706"/>
    <w:rsid w:val="5C366F03"/>
    <w:rsid w:val="5C3837BA"/>
    <w:rsid w:val="5C4C5669"/>
    <w:rsid w:val="5C4E28F2"/>
    <w:rsid w:val="5C590532"/>
    <w:rsid w:val="5C5C7650"/>
    <w:rsid w:val="5C6235A3"/>
    <w:rsid w:val="5C753B31"/>
    <w:rsid w:val="5C763BF7"/>
    <w:rsid w:val="5C7B5B76"/>
    <w:rsid w:val="5C8F33CA"/>
    <w:rsid w:val="5CA729BF"/>
    <w:rsid w:val="5CB564CD"/>
    <w:rsid w:val="5CB64996"/>
    <w:rsid w:val="5CBB441E"/>
    <w:rsid w:val="5CC06FDD"/>
    <w:rsid w:val="5CC77769"/>
    <w:rsid w:val="5CD21947"/>
    <w:rsid w:val="5CDD4955"/>
    <w:rsid w:val="5CF45BDC"/>
    <w:rsid w:val="5CF647CF"/>
    <w:rsid w:val="5D043136"/>
    <w:rsid w:val="5D0B433F"/>
    <w:rsid w:val="5D1137F6"/>
    <w:rsid w:val="5D216076"/>
    <w:rsid w:val="5D275F5F"/>
    <w:rsid w:val="5D2B15D9"/>
    <w:rsid w:val="5D316639"/>
    <w:rsid w:val="5D3457D3"/>
    <w:rsid w:val="5D377DCB"/>
    <w:rsid w:val="5D451B0B"/>
    <w:rsid w:val="5D4A6B09"/>
    <w:rsid w:val="5D5E19FF"/>
    <w:rsid w:val="5D642DEA"/>
    <w:rsid w:val="5D663C6C"/>
    <w:rsid w:val="5D794CE4"/>
    <w:rsid w:val="5D7E7207"/>
    <w:rsid w:val="5D801225"/>
    <w:rsid w:val="5D8B15BF"/>
    <w:rsid w:val="5D8F6D1E"/>
    <w:rsid w:val="5D9C768D"/>
    <w:rsid w:val="5DA51A05"/>
    <w:rsid w:val="5DA867CA"/>
    <w:rsid w:val="5DB030C9"/>
    <w:rsid w:val="5DB36315"/>
    <w:rsid w:val="5DCC5E35"/>
    <w:rsid w:val="5DDD62DB"/>
    <w:rsid w:val="5DE24FC9"/>
    <w:rsid w:val="5DF47BDD"/>
    <w:rsid w:val="5DFF79B1"/>
    <w:rsid w:val="5E0E3444"/>
    <w:rsid w:val="5E20588D"/>
    <w:rsid w:val="5E364C03"/>
    <w:rsid w:val="5E366D66"/>
    <w:rsid w:val="5E413D47"/>
    <w:rsid w:val="5E446EBF"/>
    <w:rsid w:val="5E56038E"/>
    <w:rsid w:val="5E5A2091"/>
    <w:rsid w:val="5E5F3342"/>
    <w:rsid w:val="5E7073D8"/>
    <w:rsid w:val="5E7554D9"/>
    <w:rsid w:val="5E7B7D35"/>
    <w:rsid w:val="5E8F086F"/>
    <w:rsid w:val="5E95260C"/>
    <w:rsid w:val="5E972FFA"/>
    <w:rsid w:val="5EA234F0"/>
    <w:rsid w:val="5EAF306B"/>
    <w:rsid w:val="5EB91416"/>
    <w:rsid w:val="5ECE13BF"/>
    <w:rsid w:val="5EDB4A3D"/>
    <w:rsid w:val="5EDD61AF"/>
    <w:rsid w:val="5EE75AC7"/>
    <w:rsid w:val="5EE920F4"/>
    <w:rsid w:val="5EF4074C"/>
    <w:rsid w:val="5EFD0859"/>
    <w:rsid w:val="5F1540E6"/>
    <w:rsid w:val="5F262F0E"/>
    <w:rsid w:val="5F2B0CC9"/>
    <w:rsid w:val="5F3B3043"/>
    <w:rsid w:val="5F4375DE"/>
    <w:rsid w:val="5F4A65CE"/>
    <w:rsid w:val="5F5475FA"/>
    <w:rsid w:val="5F567D9F"/>
    <w:rsid w:val="5F650A27"/>
    <w:rsid w:val="5F785718"/>
    <w:rsid w:val="5F794626"/>
    <w:rsid w:val="5F840C68"/>
    <w:rsid w:val="5F8779E8"/>
    <w:rsid w:val="5F8C3EEF"/>
    <w:rsid w:val="5FC32D89"/>
    <w:rsid w:val="5FC50612"/>
    <w:rsid w:val="5FC722E8"/>
    <w:rsid w:val="5FEA370B"/>
    <w:rsid w:val="60127BDB"/>
    <w:rsid w:val="601338BB"/>
    <w:rsid w:val="60150D5F"/>
    <w:rsid w:val="60161979"/>
    <w:rsid w:val="601B1A18"/>
    <w:rsid w:val="60252943"/>
    <w:rsid w:val="60386277"/>
    <w:rsid w:val="604A517F"/>
    <w:rsid w:val="6051241D"/>
    <w:rsid w:val="6051351A"/>
    <w:rsid w:val="605777C8"/>
    <w:rsid w:val="605E7FF4"/>
    <w:rsid w:val="607217A0"/>
    <w:rsid w:val="60744060"/>
    <w:rsid w:val="60AA7040"/>
    <w:rsid w:val="60B265A9"/>
    <w:rsid w:val="60B35150"/>
    <w:rsid w:val="60C210E1"/>
    <w:rsid w:val="60C90022"/>
    <w:rsid w:val="60E16138"/>
    <w:rsid w:val="60E60496"/>
    <w:rsid w:val="60E929AC"/>
    <w:rsid w:val="60EC7F1C"/>
    <w:rsid w:val="60ED424F"/>
    <w:rsid w:val="60FE7313"/>
    <w:rsid w:val="61035669"/>
    <w:rsid w:val="6104195F"/>
    <w:rsid w:val="610F5D0D"/>
    <w:rsid w:val="611066BB"/>
    <w:rsid w:val="611F54AC"/>
    <w:rsid w:val="612658E7"/>
    <w:rsid w:val="61303C96"/>
    <w:rsid w:val="61392356"/>
    <w:rsid w:val="614A7CF5"/>
    <w:rsid w:val="61511ED9"/>
    <w:rsid w:val="6170523F"/>
    <w:rsid w:val="61743F0C"/>
    <w:rsid w:val="617550F8"/>
    <w:rsid w:val="61893C1F"/>
    <w:rsid w:val="619014B7"/>
    <w:rsid w:val="61985951"/>
    <w:rsid w:val="619E79D2"/>
    <w:rsid w:val="61A134C4"/>
    <w:rsid w:val="61A4124C"/>
    <w:rsid w:val="61AB4343"/>
    <w:rsid w:val="61B55943"/>
    <w:rsid w:val="61DE554E"/>
    <w:rsid w:val="61E863CA"/>
    <w:rsid w:val="61F20BC2"/>
    <w:rsid w:val="61FC5629"/>
    <w:rsid w:val="622561F5"/>
    <w:rsid w:val="623065F6"/>
    <w:rsid w:val="623978A4"/>
    <w:rsid w:val="62523E11"/>
    <w:rsid w:val="62687396"/>
    <w:rsid w:val="62782DE1"/>
    <w:rsid w:val="6278463C"/>
    <w:rsid w:val="62817D43"/>
    <w:rsid w:val="62AF67D8"/>
    <w:rsid w:val="62BA0940"/>
    <w:rsid w:val="62BC7D94"/>
    <w:rsid w:val="62C1013E"/>
    <w:rsid w:val="62E0608F"/>
    <w:rsid w:val="62EE51D2"/>
    <w:rsid w:val="63061B43"/>
    <w:rsid w:val="630E3768"/>
    <w:rsid w:val="63235316"/>
    <w:rsid w:val="63380193"/>
    <w:rsid w:val="634100AB"/>
    <w:rsid w:val="63426970"/>
    <w:rsid w:val="63437437"/>
    <w:rsid w:val="63542CE7"/>
    <w:rsid w:val="63616586"/>
    <w:rsid w:val="63754AB6"/>
    <w:rsid w:val="637B2502"/>
    <w:rsid w:val="638135AD"/>
    <w:rsid w:val="639A2F45"/>
    <w:rsid w:val="639D271F"/>
    <w:rsid w:val="63A32DDF"/>
    <w:rsid w:val="63AB23D8"/>
    <w:rsid w:val="63AE1B87"/>
    <w:rsid w:val="63C03DF0"/>
    <w:rsid w:val="63CD1750"/>
    <w:rsid w:val="63D01DBD"/>
    <w:rsid w:val="63D168CC"/>
    <w:rsid w:val="63D857E3"/>
    <w:rsid w:val="63D87BF4"/>
    <w:rsid w:val="63DF2D0A"/>
    <w:rsid w:val="63E23618"/>
    <w:rsid w:val="63E678B4"/>
    <w:rsid w:val="63EA7C71"/>
    <w:rsid w:val="63EB0C9B"/>
    <w:rsid w:val="63EB129B"/>
    <w:rsid w:val="63F02AD4"/>
    <w:rsid w:val="63F77FDF"/>
    <w:rsid w:val="640D39DE"/>
    <w:rsid w:val="6414138E"/>
    <w:rsid w:val="641A59AB"/>
    <w:rsid w:val="642F6192"/>
    <w:rsid w:val="644005A9"/>
    <w:rsid w:val="64432A21"/>
    <w:rsid w:val="645B0332"/>
    <w:rsid w:val="646B37CD"/>
    <w:rsid w:val="648226C8"/>
    <w:rsid w:val="64963088"/>
    <w:rsid w:val="649C6ACA"/>
    <w:rsid w:val="64B516F2"/>
    <w:rsid w:val="64C14A81"/>
    <w:rsid w:val="64D23842"/>
    <w:rsid w:val="64E016B4"/>
    <w:rsid w:val="64E36309"/>
    <w:rsid w:val="64F53BCB"/>
    <w:rsid w:val="65355D7F"/>
    <w:rsid w:val="653B6605"/>
    <w:rsid w:val="656D0D62"/>
    <w:rsid w:val="65992C34"/>
    <w:rsid w:val="659A2704"/>
    <w:rsid w:val="659A5AE5"/>
    <w:rsid w:val="659C0330"/>
    <w:rsid w:val="65B0506F"/>
    <w:rsid w:val="65C95A3A"/>
    <w:rsid w:val="65DC39BC"/>
    <w:rsid w:val="65E13C28"/>
    <w:rsid w:val="65F00C5B"/>
    <w:rsid w:val="661F2DD4"/>
    <w:rsid w:val="662126B9"/>
    <w:rsid w:val="66247B53"/>
    <w:rsid w:val="66251A13"/>
    <w:rsid w:val="6631468C"/>
    <w:rsid w:val="66361DB9"/>
    <w:rsid w:val="664C2D08"/>
    <w:rsid w:val="664D6D4E"/>
    <w:rsid w:val="665455AE"/>
    <w:rsid w:val="66567C51"/>
    <w:rsid w:val="665F7C4A"/>
    <w:rsid w:val="66730073"/>
    <w:rsid w:val="667411A7"/>
    <w:rsid w:val="6683720B"/>
    <w:rsid w:val="668B2CBD"/>
    <w:rsid w:val="66970D48"/>
    <w:rsid w:val="66BB08C3"/>
    <w:rsid w:val="66C242EE"/>
    <w:rsid w:val="66DE2AC5"/>
    <w:rsid w:val="66F35AF0"/>
    <w:rsid w:val="66F516DF"/>
    <w:rsid w:val="67126A1B"/>
    <w:rsid w:val="67213C63"/>
    <w:rsid w:val="672F3CC3"/>
    <w:rsid w:val="673F0A07"/>
    <w:rsid w:val="674C78D2"/>
    <w:rsid w:val="675B2C73"/>
    <w:rsid w:val="67784B3D"/>
    <w:rsid w:val="677A041A"/>
    <w:rsid w:val="677A2E38"/>
    <w:rsid w:val="677B5744"/>
    <w:rsid w:val="677B7F6E"/>
    <w:rsid w:val="677F0D9A"/>
    <w:rsid w:val="67892EB2"/>
    <w:rsid w:val="679D0C3E"/>
    <w:rsid w:val="67A24EC6"/>
    <w:rsid w:val="67B30601"/>
    <w:rsid w:val="67B30D5A"/>
    <w:rsid w:val="67C021CA"/>
    <w:rsid w:val="67C92B33"/>
    <w:rsid w:val="67CC2981"/>
    <w:rsid w:val="67D512D3"/>
    <w:rsid w:val="67FF0C5F"/>
    <w:rsid w:val="67FF8B64"/>
    <w:rsid w:val="680D7763"/>
    <w:rsid w:val="682162F1"/>
    <w:rsid w:val="682E6D63"/>
    <w:rsid w:val="684C2BD7"/>
    <w:rsid w:val="68533339"/>
    <w:rsid w:val="68680898"/>
    <w:rsid w:val="68685893"/>
    <w:rsid w:val="686F00CC"/>
    <w:rsid w:val="68762BDA"/>
    <w:rsid w:val="68770F26"/>
    <w:rsid w:val="688E486E"/>
    <w:rsid w:val="68953657"/>
    <w:rsid w:val="68A94636"/>
    <w:rsid w:val="68C47A98"/>
    <w:rsid w:val="68C64D5F"/>
    <w:rsid w:val="68E73BBC"/>
    <w:rsid w:val="68E8348B"/>
    <w:rsid w:val="68FD3526"/>
    <w:rsid w:val="69020CEC"/>
    <w:rsid w:val="690D0FD5"/>
    <w:rsid w:val="692100FE"/>
    <w:rsid w:val="69350587"/>
    <w:rsid w:val="693747D7"/>
    <w:rsid w:val="693900F9"/>
    <w:rsid w:val="694E2184"/>
    <w:rsid w:val="695603C1"/>
    <w:rsid w:val="69574C91"/>
    <w:rsid w:val="69584DB0"/>
    <w:rsid w:val="695D0F42"/>
    <w:rsid w:val="69674A06"/>
    <w:rsid w:val="69692A09"/>
    <w:rsid w:val="696D3650"/>
    <w:rsid w:val="69783CF9"/>
    <w:rsid w:val="698B79BC"/>
    <w:rsid w:val="698C4311"/>
    <w:rsid w:val="698C7C1D"/>
    <w:rsid w:val="69937975"/>
    <w:rsid w:val="69B7215C"/>
    <w:rsid w:val="69D73FE1"/>
    <w:rsid w:val="69E72ABB"/>
    <w:rsid w:val="69F309C8"/>
    <w:rsid w:val="69FC5BA7"/>
    <w:rsid w:val="6A0015C5"/>
    <w:rsid w:val="6A056DA2"/>
    <w:rsid w:val="6A114ABE"/>
    <w:rsid w:val="6A1330E9"/>
    <w:rsid w:val="6A1C126B"/>
    <w:rsid w:val="6A4B0118"/>
    <w:rsid w:val="6A60610D"/>
    <w:rsid w:val="6A6207B2"/>
    <w:rsid w:val="6A733103"/>
    <w:rsid w:val="6A8670F7"/>
    <w:rsid w:val="6A99268D"/>
    <w:rsid w:val="6AA162E3"/>
    <w:rsid w:val="6AA33502"/>
    <w:rsid w:val="6AA6074F"/>
    <w:rsid w:val="6AA65FF6"/>
    <w:rsid w:val="6AA8059C"/>
    <w:rsid w:val="6AAB53B4"/>
    <w:rsid w:val="6AC12A02"/>
    <w:rsid w:val="6AC41FD2"/>
    <w:rsid w:val="6AC86B84"/>
    <w:rsid w:val="6AD00976"/>
    <w:rsid w:val="6AD305BA"/>
    <w:rsid w:val="6ADC7A1E"/>
    <w:rsid w:val="6AE4298E"/>
    <w:rsid w:val="6AF0599D"/>
    <w:rsid w:val="6AF35F9A"/>
    <w:rsid w:val="6AF66935"/>
    <w:rsid w:val="6B1F050D"/>
    <w:rsid w:val="6B223D01"/>
    <w:rsid w:val="6B224456"/>
    <w:rsid w:val="6B2F4B01"/>
    <w:rsid w:val="6B3771FD"/>
    <w:rsid w:val="6B491AE3"/>
    <w:rsid w:val="6B5B3F6B"/>
    <w:rsid w:val="6B5C045C"/>
    <w:rsid w:val="6B64664A"/>
    <w:rsid w:val="6B690C1F"/>
    <w:rsid w:val="6B841E74"/>
    <w:rsid w:val="6B8600C3"/>
    <w:rsid w:val="6B862C3A"/>
    <w:rsid w:val="6B8A608B"/>
    <w:rsid w:val="6B8B2D6C"/>
    <w:rsid w:val="6BB92B8F"/>
    <w:rsid w:val="6BBEAF0D"/>
    <w:rsid w:val="6BC4419C"/>
    <w:rsid w:val="6BCF0C2E"/>
    <w:rsid w:val="6BD63F74"/>
    <w:rsid w:val="6BE91E36"/>
    <w:rsid w:val="6BF23772"/>
    <w:rsid w:val="6C0001D3"/>
    <w:rsid w:val="6C05469A"/>
    <w:rsid w:val="6C0C006C"/>
    <w:rsid w:val="6C137DF3"/>
    <w:rsid w:val="6C2A02D2"/>
    <w:rsid w:val="6C3A3D49"/>
    <w:rsid w:val="6C472EBA"/>
    <w:rsid w:val="6C594B3B"/>
    <w:rsid w:val="6C676BAF"/>
    <w:rsid w:val="6C71409B"/>
    <w:rsid w:val="6C7524C4"/>
    <w:rsid w:val="6C790046"/>
    <w:rsid w:val="6C907AB9"/>
    <w:rsid w:val="6CA07FF2"/>
    <w:rsid w:val="6CAA6341"/>
    <w:rsid w:val="6CAC0708"/>
    <w:rsid w:val="6CB21200"/>
    <w:rsid w:val="6CB433CC"/>
    <w:rsid w:val="6CCD093A"/>
    <w:rsid w:val="6CCD611B"/>
    <w:rsid w:val="6CE15B1C"/>
    <w:rsid w:val="6CE31D43"/>
    <w:rsid w:val="6CE37E0C"/>
    <w:rsid w:val="6CEA14D9"/>
    <w:rsid w:val="6CEB2BB2"/>
    <w:rsid w:val="6CF91BA2"/>
    <w:rsid w:val="6CFD7CAA"/>
    <w:rsid w:val="6D0D4A41"/>
    <w:rsid w:val="6D1234C8"/>
    <w:rsid w:val="6D153134"/>
    <w:rsid w:val="6D3011E3"/>
    <w:rsid w:val="6D3921C4"/>
    <w:rsid w:val="6D3F7E3F"/>
    <w:rsid w:val="6D472138"/>
    <w:rsid w:val="6D60154F"/>
    <w:rsid w:val="6D6E3F3E"/>
    <w:rsid w:val="6D7101EF"/>
    <w:rsid w:val="6D72327D"/>
    <w:rsid w:val="6D8575C8"/>
    <w:rsid w:val="6D8B55D6"/>
    <w:rsid w:val="6D8F3301"/>
    <w:rsid w:val="6DA43F0A"/>
    <w:rsid w:val="6DA92C65"/>
    <w:rsid w:val="6DB528F4"/>
    <w:rsid w:val="6DCC18C9"/>
    <w:rsid w:val="6DD42CD4"/>
    <w:rsid w:val="6DDA7221"/>
    <w:rsid w:val="6DDD5981"/>
    <w:rsid w:val="6DDD787C"/>
    <w:rsid w:val="6DE0582C"/>
    <w:rsid w:val="6DE1694E"/>
    <w:rsid w:val="6DE64844"/>
    <w:rsid w:val="6DFD555D"/>
    <w:rsid w:val="6E001CCB"/>
    <w:rsid w:val="6E041556"/>
    <w:rsid w:val="6E0659AC"/>
    <w:rsid w:val="6E253230"/>
    <w:rsid w:val="6E2A5D31"/>
    <w:rsid w:val="6E345A09"/>
    <w:rsid w:val="6E54021C"/>
    <w:rsid w:val="6E57552D"/>
    <w:rsid w:val="6E587601"/>
    <w:rsid w:val="6E870278"/>
    <w:rsid w:val="6E900803"/>
    <w:rsid w:val="6E980103"/>
    <w:rsid w:val="6E9879FD"/>
    <w:rsid w:val="6EA436DE"/>
    <w:rsid w:val="6EC85C7C"/>
    <w:rsid w:val="6ECE01AD"/>
    <w:rsid w:val="6ED352DA"/>
    <w:rsid w:val="6ED77105"/>
    <w:rsid w:val="6EED5F9B"/>
    <w:rsid w:val="6EF929BB"/>
    <w:rsid w:val="6EFA06B8"/>
    <w:rsid w:val="6EFC1D3A"/>
    <w:rsid w:val="6F1B0514"/>
    <w:rsid w:val="6F1D7A2C"/>
    <w:rsid w:val="6F2F0361"/>
    <w:rsid w:val="6F3C50AE"/>
    <w:rsid w:val="6F4B556B"/>
    <w:rsid w:val="6F521DA8"/>
    <w:rsid w:val="6F56268D"/>
    <w:rsid w:val="6F5738DB"/>
    <w:rsid w:val="6F7524D3"/>
    <w:rsid w:val="6F7A3AB1"/>
    <w:rsid w:val="6F7E0E20"/>
    <w:rsid w:val="6F8B5EDC"/>
    <w:rsid w:val="6F933826"/>
    <w:rsid w:val="6FA44B57"/>
    <w:rsid w:val="6FAD7B35"/>
    <w:rsid w:val="6FB2669E"/>
    <w:rsid w:val="6FBD68AC"/>
    <w:rsid w:val="6FC05C17"/>
    <w:rsid w:val="6FD54DBD"/>
    <w:rsid w:val="6FDE149A"/>
    <w:rsid w:val="6FEC6252"/>
    <w:rsid w:val="6FF12EB6"/>
    <w:rsid w:val="6FF473E6"/>
    <w:rsid w:val="6FFB6E51"/>
    <w:rsid w:val="6FFE5E10"/>
    <w:rsid w:val="70011C6F"/>
    <w:rsid w:val="70133FED"/>
    <w:rsid w:val="70150DEC"/>
    <w:rsid w:val="702F03DE"/>
    <w:rsid w:val="703629B8"/>
    <w:rsid w:val="704E3157"/>
    <w:rsid w:val="7067653C"/>
    <w:rsid w:val="706C6E5E"/>
    <w:rsid w:val="70817FDC"/>
    <w:rsid w:val="708F6D10"/>
    <w:rsid w:val="70A94752"/>
    <w:rsid w:val="70C24848"/>
    <w:rsid w:val="70CD1EA1"/>
    <w:rsid w:val="70D16D5B"/>
    <w:rsid w:val="70E65F31"/>
    <w:rsid w:val="70EA4D0B"/>
    <w:rsid w:val="70F3310B"/>
    <w:rsid w:val="70F529D8"/>
    <w:rsid w:val="70FD1E74"/>
    <w:rsid w:val="7103039C"/>
    <w:rsid w:val="71094EE1"/>
    <w:rsid w:val="71234381"/>
    <w:rsid w:val="712D6B22"/>
    <w:rsid w:val="71324139"/>
    <w:rsid w:val="713B0EDB"/>
    <w:rsid w:val="714E07E0"/>
    <w:rsid w:val="71535F0A"/>
    <w:rsid w:val="71566C84"/>
    <w:rsid w:val="7176589D"/>
    <w:rsid w:val="71890F4E"/>
    <w:rsid w:val="719E2D77"/>
    <w:rsid w:val="71AD269A"/>
    <w:rsid w:val="71B1003D"/>
    <w:rsid w:val="71B26D02"/>
    <w:rsid w:val="71B87331"/>
    <w:rsid w:val="71DB25B0"/>
    <w:rsid w:val="71DD262A"/>
    <w:rsid w:val="71E56C44"/>
    <w:rsid w:val="720D7234"/>
    <w:rsid w:val="720F76A2"/>
    <w:rsid w:val="72150491"/>
    <w:rsid w:val="721533B7"/>
    <w:rsid w:val="722270B4"/>
    <w:rsid w:val="72442376"/>
    <w:rsid w:val="726770F1"/>
    <w:rsid w:val="72745768"/>
    <w:rsid w:val="727A5D97"/>
    <w:rsid w:val="729130E1"/>
    <w:rsid w:val="72927344"/>
    <w:rsid w:val="7295156C"/>
    <w:rsid w:val="729D2580"/>
    <w:rsid w:val="72A67B87"/>
    <w:rsid w:val="72B4208D"/>
    <w:rsid w:val="72BD74AB"/>
    <w:rsid w:val="72CC2F73"/>
    <w:rsid w:val="72D045AE"/>
    <w:rsid w:val="72D30170"/>
    <w:rsid w:val="72DE56EC"/>
    <w:rsid w:val="72E02A57"/>
    <w:rsid w:val="731D1288"/>
    <w:rsid w:val="73263829"/>
    <w:rsid w:val="7342148F"/>
    <w:rsid w:val="734B09AB"/>
    <w:rsid w:val="735569E4"/>
    <w:rsid w:val="735D6F92"/>
    <w:rsid w:val="736F5970"/>
    <w:rsid w:val="737D29E8"/>
    <w:rsid w:val="73835463"/>
    <w:rsid w:val="738E752A"/>
    <w:rsid w:val="73A20B1D"/>
    <w:rsid w:val="73AC346E"/>
    <w:rsid w:val="73AD5DF1"/>
    <w:rsid w:val="73B330F9"/>
    <w:rsid w:val="73C23B2B"/>
    <w:rsid w:val="73C44CED"/>
    <w:rsid w:val="73D0510F"/>
    <w:rsid w:val="73ED31EC"/>
    <w:rsid w:val="73EF0526"/>
    <w:rsid w:val="740B3630"/>
    <w:rsid w:val="740D2F81"/>
    <w:rsid w:val="740F42BD"/>
    <w:rsid w:val="74314888"/>
    <w:rsid w:val="7458018C"/>
    <w:rsid w:val="745B1793"/>
    <w:rsid w:val="7461241C"/>
    <w:rsid w:val="746820E1"/>
    <w:rsid w:val="747431F1"/>
    <w:rsid w:val="7475083E"/>
    <w:rsid w:val="74794E04"/>
    <w:rsid w:val="7497700C"/>
    <w:rsid w:val="749E606B"/>
    <w:rsid w:val="74A108C3"/>
    <w:rsid w:val="74A51618"/>
    <w:rsid w:val="74A761E5"/>
    <w:rsid w:val="74B84955"/>
    <w:rsid w:val="74D82307"/>
    <w:rsid w:val="74DD2099"/>
    <w:rsid w:val="74EB19F9"/>
    <w:rsid w:val="74FA3218"/>
    <w:rsid w:val="75014144"/>
    <w:rsid w:val="750712FE"/>
    <w:rsid w:val="75086702"/>
    <w:rsid w:val="75137C89"/>
    <w:rsid w:val="753078C7"/>
    <w:rsid w:val="753164B5"/>
    <w:rsid w:val="7537210A"/>
    <w:rsid w:val="753D0242"/>
    <w:rsid w:val="75405EF4"/>
    <w:rsid w:val="75591E6C"/>
    <w:rsid w:val="755F74C6"/>
    <w:rsid w:val="75653843"/>
    <w:rsid w:val="75666F53"/>
    <w:rsid w:val="756A393F"/>
    <w:rsid w:val="756D6C3E"/>
    <w:rsid w:val="757836DE"/>
    <w:rsid w:val="758E6C35"/>
    <w:rsid w:val="759A2644"/>
    <w:rsid w:val="75A53176"/>
    <w:rsid w:val="75B3143C"/>
    <w:rsid w:val="75DE663D"/>
    <w:rsid w:val="76050685"/>
    <w:rsid w:val="761D147A"/>
    <w:rsid w:val="76487F5B"/>
    <w:rsid w:val="764C7A4B"/>
    <w:rsid w:val="765650F3"/>
    <w:rsid w:val="765661D4"/>
    <w:rsid w:val="765B3C33"/>
    <w:rsid w:val="76633D26"/>
    <w:rsid w:val="76793527"/>
    <w:rsid w:val="768A50AF"/>
    <w:rsid w:val="768E761F"/>
    <w:rsid w:val="76967DBD"/>
    <w:rsid w:val="76992BAC"/>
    <w:rsid w:val="769F7459"/>
    <w:rsid w:val="76A95843"/>
    <w:rsid w:val="76B50711"/>
    <w:rsid w:val="76B70072"/>
    <w:rsid w:val="76C94F71"/>
    <w:rsid w:val="76EA5F76"/>
    <w:rsid w:val="76F118C6"/>
    <w:rsid w:val="77040325"/>
    <w:rsid w:val="77040389"/>
    <w:rsid w:val="7714385F"/>
    <w:rsid w:val="771845F1"/>
    <w:rsid w:val="771B248A"/>
    <w:rsid w:val="77204693"/>
    <w:rsid w:val="7730377C"/>
    <w:rsid w:val="77335A41"/>
    <w:rsid w:val="77336CB1"/>
    <w:rsid w:val="773B0311"/>
    <w:rsid w:val="77471FC0"/>
    <w:rsid w:val="77516E88"/>
    <w:rsid w:val="77527177"/>
    <w:rsid w:val="77545751"/>
    <w:rsid w:val="776246DD"/>
    <w:rsid w:val="776430D3"/>
    <w:rsid w:val="776B5480"/>
    <w:rsid w:val="776E7C54"/>
    <w:rsid w:val="77756FCF"/>
    <w:rsid w:val="777C4360"/>
    <w:rsid w:val="77886598"/>
    <w:rsid w:val="779237CF"/>
    <w:rsid w:val="779248CF"/>
    <w:rsid w:val="77A40805"/>
    <w:rsid w:val="77A63824"/>
    <w:rsid w:val="77AE29E4"/>
    <w:rsid w:val="77AF17F8"/>
    <w:rsid w:val="77B42334"/>
    <w:rsid w:val="77BC0420"/>
    <w:rsid w:val="77BF37F2"/>
    <w:rsid w:val="77CB0341"/>
    <w:rsid w:val="77CB2A11"/>
    <w:rsid w:val="77D80280"/>
    <w:rsid w:val="77DD2CDB"/>
    <w:rsid w:val="77DE2925"/>
    <w:rsid w:val="77ED781B"/>
    <w:rsid w:val="77F379D0"/>
    <w:rsid w:val="77FC3263"/>
    <w:rsid w:val="78054D4B"/>
    <w:rsid w:val="78076869"/>
    <w:rsid w:val="780E632E"/>
    <w:rsid w:val="78234AAC"/>
    <w:rsid w:val="782F3180"/>
    <w:rsid w:val="78551A1C"/>
    <w:rsid w:val="7856575F"/>
    <w:rsid w:val="786156A0"/>
    <w:rsid w:val="7869772C"/>
    <w:rsid w:val="787827BA"/>
    <w:rsid w:val="78AE246B"/>
    <w:rsid w:val="78BF34D3"/>
    <w:rsid w:val="78C40B07"/>
    <w:rsid w:val="78E60A12"/>
    <w:rsid w:val="79013F9E"/>
    <w:rsid w:val="79053EE1"/>
    <w:rsid w:val="79117683"/>
    <w:rsid w:val="7915055D"/>
    <w:rsid w:val="794D0488"/>
    <w:rsid w:val="79516F21"/>
    <w:rsid w:val="7956040C"/>
    <w:rsid w:val="795D45C7"/>
    <w:rsid w:val="79882989"/>
    <w:rsid w:val="798E1D1D"/>
    <w:rsid w:val="799B1284"/>
    <w:rsid w:val="79AF131A"/>
    <w:rsid w:val="79BF008C"/>
    <w:rsid w:val="79DB07EA"/>
    <w:rsid w:val="79F46118"/>
    <w:rsid w:val="79F8AD8E"/>
    <w:rsid w:val="7A0A5C53"/>
    <w:rsid w:val="7A1209C3"/>
    <w:rsid w:val="7A385FB5"/>
    <w:rsid w:val="7A634B02"/>
    <w:rsid w:val="7A8A7BB0"/>
    <w:rsid w:val="7A8EDC86"/>
    <w:rsid w:val="7A9279C8"/>
    <w:rsid w:val="7A934189"/>
    <w:rsid w:val="7A980376"/>
    <w:rsid w:val="7A9B1DC0"/>
    <w:rsid w:val="7AA91468"/>
    <w:rsid w:val="7AAA55F3"/>
    <w:rsid w:val="7AB7745D"/>
    <w:rsid w:val="7ABD6E12"/>
    <w:rsid w:val="7ABE01A3"/>
    <w:rsid w:val="7ACA56C9"/>
    <w:rsid w:val="7ACE6CE4"/>
    <w:rsid w:val="7AF145FC"/>
    <w:rsid w:val="7AF719DB"/>
    <w:rsid w:val="7B0E669F"/>
    <w:rsid w:val="7B1A7811"/>
    <w:rsid w:val="7B1C45FD"/>
    <w:rsid w:val="7B302ED7"/>
    <w:rsid w:val="7B3D3E06"/>
    <w:rsid w:val="7B4B2CA9"/>
    <w:rsid w:val="7B5F17E9"/>
    <w:rsid w:val="7B74F02E"/>
    <w:rsid w:val="7B8210B6"/>
    <w:rsid w:val="7B840910"/>
    <w:rsid w:val="7B913AEA"/>
    <w:rsid w:val="7B95779E"/>
    <w:rsid w:val="7BBF481B"/>
    <w:rsid w:val="7BC77A59"/>
    <w:rsid w:val="7BE05AFD"/>
    <w:rsid w:val="7BE74879"/>
    <w:rsid w:val="7BF30969"/>
    <w:rsid w:val="7BF658F4"/>
    <w:rsid w:val="7C121D64"/>
    <w:rsid w:val="7C1558B6"/>
    <w:rsid w:val="7C294018"/>
    <w:rsid w:val="7C2D37DB"/>
    <w:rsid w:val="7C3920FC"/>
    <w:rsid w:val="7C400DC2"/>
    <w:rsid w:val="7C4B7CC8"/>
    <w:rsid w:val="7C65738C"/>
    <w:rsid w:val="7CB3005B"/>
    <w:rsid w:val="7CC252DC"/>
    <w:rsid w:val="7CF871E2"/>
    <w:rsid w:val="7CFA491C"/>
    <w:rsid w:val="7CFB0594"/>
    <w:rsid w:val="7D0413E5"/>
    <w:rsid w:val="7D052883"/>
    <w:rsid w:val="7D080444"/>
    <w:rsid w:val="7D0E6933"/>
    <w:rsid w:val="7D0F3580"/>
    <w:rsid w:val="7D1E73C7"/>
    <w:rsid w:val="7D1F5041"/>
    <w:rsid w:val="7D254B52"/>
    <w:rsid w:val="7D276975"/>
    <w:rsid w:val="7D3C048A"/>
    <w:rsid w:val="7D727A60"/>
    <w:rsid w:val="7DA37F52"/>
    <w:rsid w:val="7DC72148"/>
    <w:rsid w:val="7DC9A4E1"/>
    <w:rsid w:val="7DCA0002"/>
    <w:rsid w:val="7DCA350D"/>
    <w:rsid w:val="7DCA6913"/>
    <w:rsid w:val="7DCE03A6"/>
    <w:rsid w:val="7DD000A3"/>
    <w:rsid w:val="7DD7598F"/>
    <w:rsid w:val="7DF95AC7"/>
    <w:rsid w:val="7DFA5FDE"/>
    <w:rsid w:val="7E024E93"/>
    <w:rsid w:val="7E17093E"/>
    <w:rsid w:val="7E1F0343"/>
    <w:rsid w:val="7E1F289D"/>
    <w:rsid w:val="7E244E09"/>
    <w:rsid w:val="7E296D49"/>
    <w:rsid w:val="7E322BF0"/>
    <w:rsid w:val="7E3D55AC"/>
    <w:rsid w:val="7E414101"/>
    <w:rsid w:val="7E507730"/>
    <w:rsid w:val="7E5A6722"/>
    <w:rsid w:val="7E6025CA"/>
    <w:rsid w:val="7E7FDD25"/>
    <w:rsid w:val="7E851D4C"/>
    <w:rsid w:val="7E8719CA"/>
    <w:rsid w:val="7E8A42B4"/>
    <w:rsid w:val="7E9F45EB"/>
    <w:rsid w:val="7EAB1087"/>
    <w:rsid w:val="7ECB2067"/>
    <w:rsid w:val="7ED312A7"/>
    <w:rsid w:val="7EDA0145"/>
    <w:rsid w:val="7EDC3936"/>
    <w:rsid w:val="7EEF469E"/>
    <w:rsid w:val="7EF016CC"/>
    <w:rsid w:val="7F080287"/>
    <w:rsid w:val="7F0D5C54"/>
    <w:rsid w:val="7F126400"/>
    <w:rsid w:val="7F14234B"/>
    <w:rsid w:val="7F2922B9"/>
    <w:rsid w:val="7F3A03DA"/>
    <w:rsid w:val="7F3F5381"/>
    <w:rsid w:val="7F4D4962"/>
    <w:rsid w:val="7F4F2A7D"/>
    <w:rsid w:val="7F660E38"/>
    <w:rsid w:val="7F6E2ADE"/>
    <w:rsid w:val="7F6F0306"/>
    <w:rsid w:val="7F70652D"/>
    <w:rsid w:val="7F7ED6A3"/>
    <w:rsid w:val="7F887292"/>
    <w:rsid w:val="7F894774"/>
    <w:rsid w:val="7F8B66A8"/>
    <w:rsid w:val="7F912B25"/>
    <w:rsid w:val="7F934B69"/>
    <w:rsid w:val="7FA3626C"/>
    <w:rsid w:val="7FAC1D15"/>
    <w:rsid w:val="7FAF335E"/>
    <w:rsid w:val="7FB15DDC"/>
    <w:rsid w:val="7FBA4D31"/>
    <w:rsid w:val="7FC570A6"/>
    <w:rsid w:val="7FC67B8E"/>
    <w:rsid w:val="7FCD25AE"/>
    <w:rsid w:val="7FD50102"/>
    <w:rsid w:val="7FD67A6A"/>
    <w:rsid w:val="7FDC07EC"/>
    <w:rsid w:val="7FE51165"/>
    <w:rsid w:val="7FED7D83"/>
    <w:rsid w:val="A1B5417D"/>
    <w:rsid w:val="A75759BD"/>
    <w:rsid w:val="BBDBC45D"/>
    <w:rsid w:val="E67ED451"/>
    <w:rsid w:val="EFF72FDD"/>
    <w:rsid w:val="FBFF553D"/>
    <w:rsid w:val="FEEBF544"/>
    <w:rsid w:val="FEFF74B1"/>
    <w:rsid w:val="FFA9F8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name="annotation reference"/>
    <w:lsdException w:qFormat="1"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6">
    <w:name w:val="heading 1"/>
    <w:basedOn w:val="1"/>
    <w:next w:val="1"/>
    <w:link w:val="43"/>
    <w:autoRedefine/>
    <w:qFormat/>
    <w:uiPriority w:val="0"/>
    <w:pPr>
      <w:keepNext/>
      <w:keepLines/>
      <w:spacing w:before="340" w:after="330" w:line="576" w:lineRule="auto"/>
      <w:outlineLvl w:val="0"/>
    </w:pPr>
    <w:rPr>
      <w:b/>
      <w:bCs/>
      <w:kern w:val="44"/>
      <w:sz w:val="44"/>
      <w:szCs w:val="44"/>
    </w:rPr>
  </w:style>
  <w:style w:type="paragraph" w:styleId="7">
    <w:name w:val="heading 2"/>
    <w:basedOn w:val="1"/>
    <w:next w:val="1"/>
    <w:link w:val="44"/>
    <w:autoRedefine/>
    <w:qFormat/>
    <w:uiPriority w:val="0"/>
    <w:pPr>
      <w:keepNext/>
      <w:keepLines/>
      <w:spacing w:before="260" w:after="260" w:line="415" w:lineRule="auto"/>
      <w:outlineLvl w:val="1"/>
    </w:pPr>
    <w:rPr>
      <w:rFonts w:ascii="Arial" w:hAnsi="Arial" w:eastAsia="黑体"/>
      <w:b/>
      <w:bCs/>
      <w:sz w:val="32"/>
      <w:szCs w:val="32"/>
    </w:rPr>
  </w:style>
  <w:style w:type="paragraph" w:styleId="8">
    <w:name w:val="heading 3"/>
    <w:basedOn w:val="1"/>
    <w:next w:val="1"/>
    <w:autoRedefine/>
    <w:qFormat/>
    <w:uiPriority w:val="0"/>
    <w:pPr>
      <w:keepNext/>
      <w:keepLines/>
      <w:spacing w:before="260" w:after="260" w:line="415" w:lineRule="auto"/>
      <w:outlineLvl w:val="2"/>
    </w:pPr>
    <w:rPr>
      <w:b/>
      <w:bCs/>
      <w:sz w:val="32"/>
      <w:szCs w:val="32"/>
    </w:rPr>
  </w:style>
  <w:style w:type="paragraph" w:styleId="9">
    <w:name w:val="heading 9"/>
    <w:basedOn w:val="1"/>
    <w:next w:val="1"/>
    <w:autoRedefine/>
    <w:qFormat/>
    <w:uiPriority w:val="0"/>
    <w:pPr>
      <w:keepNext/>
      <w:keepLines/>
      <w:spacing w:before="240" w:after="64" w:line="320" w:lineRule="auto"/>
      <w:outlineLvl w:val="8"/>
    </w:pPr>
    <w:rPr>
      <w:rFonts w:ascii="Arial" w:hAnsi="Arial" w:eastAsia="黑体"/>
      <w:szCs w:val="21"/>
    </w:rPr>
  </w:style>
  <w:style w:type="character" w:default="1" w:styleId="36">
    <w:name w:val="Default Paragraph Font"/>
    <w:autoRedefine/>
    <w:unhideWhenUsed/>
    <w:qFormat/>
    <w:uiPriority w:val="1"/>
  </w:style>
  <w:style w:type="table" w:default="1" w:styleId="34">
    <w:name w:val="Normal Table"/>
    <w:autoRedefine/>
    <w:semiHidden/>
    <w:unhideWhenUsed/>
    <w:qFormat/>
    <w:uiPriority w:val="99"/>
    <w:tblPr>
      <w:tblCellMar>
        <w:top w:w="0" w:type="dxa"/>
        <w:left w:w="108" w:type="dxa"/>
        <w:bottom w:w="0" w:type="dxa"/>
        <w:right w:w="108" w:type="dxa"/>
      </w:tblCellMar>
    </w:tblPr>
  </w:style>
  <w:style w:type="paragraph" w:customStyle="1" w:styleId="2">
    <w:name w:val="Body Text First Indent 21"/>
    <w:basedOn w:val="3"/>
    <w:next w:val="5"/>
    <w:autoRedefine/>
    <w:qFormat/>
    <w:uiPriority w:val="0"/>
    <w:pPr>
      <w:ind w:firstLine="420" w:firstLineChars="200"/>
    </w:pPr>
  </w:style>
  <w:style w:type="paragraph" w:customStyle="1" w:styleId="3">
    <w:name w:val="Body Text Indent1"/>
    <w:basedOn w:val="1"/>
    <w:next w:val="4"/>
    <w:autoRedefine/>
    <w:qFormat/>
    <w:uiPriority w:val="0"/>
    <w:pPr>
      <w:spacing w:after="120"/>
      <w:ind w:left="420" w:leftChars="200"/>
    </w:pPr>
  </w:style>
  <w:style w:type="paragraph" w:styleId="4">
    <w:name w:val="Body Text"/>
    <w:basedOn w:val="1"/>
    <w:next w:val="1"/>
    <w:link w:val="46"/>
    <w:autoRedefine/>
    <w:qFormat/>
    <w:uiPriority w:val="0"/>
    <w:pPr>
      <w:spacing w:after="120"/>
    </w:pPr>
  </w:style>
  <w:style w:type="paragraph" w:customStyle="1" w:styleId="5">
    <w:name w:val="样式 正文首行缩进 2 + Arial"/>
    <w:basedOn w:val="1"/>
    <w:next w:val="1"/>
    <w:autoRedefine/>
    <w:qFormat/>
    <w:uiPriority w:val="0"/>
    <w:pPr>
      <w:spacing w:after="120" w:line="320" w:lineRule="atLeast"/>
      <w:ind w:firstLine="200" w:firstLineChars="200"/>
    </w:pPr>
    <w:rPr>
      <w:rFonts w:ascii="Arial" w:hAnsi="Arial"/>
      <w:kern w:val="0"/>
    </w:rPr>
  </w:style>
  <w:style w:type="paragraph" w:styleId="10">
    <w:name w:val="toc 7"/>
    <w:basedOn w:val="1"/>
    <w:next w:val="1"/>
    <w:autoRedefine/>
    <w:semiHidden/>
    <w:qFormat/>
    <w:uiPriority w:val="0"/>
    <w:pPr>
      <w:ind w:left="1260"/>
      <w:jc w:val="left"/>
    </w:pPr>
    <w:rPr>
      <w:sz w:val="18"/>
      <w:szCs w:val="18"/>
    </w:rPr>
  </w:style>
  <w:style w:type="paragraph" w:styleId="11">
    <w:name w:val="Normal Indent"/>
    <w:basedOn w:val="1"/>
    <w:autoRedefine/>
    <w:qFormat/>
    <w:uiPriority w:val="0"/>
    <w:pPr>
      <w:ind w:firstLine="420"/>
    </w:pPr>
    <w:rPr>
      <w:szCs w:val="20"/>
    </w:rPr>
  </w:style>
  <w:style w:type="paragraph" w:styleId="12">
    <w:name w:val="annotation text"/>
    <w:basedOn w:val="1"/>
    <w:link w:val="45"/>
    <w:autoRedefine/>
    <w:semiHidden/>
    <w:qFormat/>
    <w:uiPriority w:val="0"/>
    <w:pPr>
      <w:jc w:val="left"/>
    </w:pPr>
  </w:style>
  <w:style w:type="paragraph" w:styleId="13">
    <w:name w:val="Body Text 3"/>
    <w:basedOn w:val="1"/>
    <w:autoRedefine/>
    <w:qFormat/>
    <w:uiPriority w:val="0"/>
    <w:rPr>
      <w:rFonts w:ascii="宋体"/>
      <w:sz w:val="24"/>
      <w:szCs w:val="20"/>
    </w:rPr>
  </w:style>
  <w:style w:type="paragraph" w:styleId="14">
    <w:name w:val="Body Text Indent"/>
    <w:basedOn w:val="1"/>
    <w:next w:val="4"/>
    <w:autoRedefine/>
    <w:unhideWhenUsed/>
    <w:qFormat/>
    <w:uiPriority w:val="99"/>
    <w:pPr>
      <w:spacing w:after="120"/>
      <w:ind w:left="420" w:leftChars="200"/>
    </w:pPr>
    <w:rPr>
      <w:kern w:val="0"/>
      <w:sz w:val="20"/>
    </w:rPr>
  </w:style>
  <w:style w:type="paragraph" w:styleId="15">
    <w:name w:val="toc 5"/>
    <w:basedOn w:val="1"/>
    <w:next w:val="1"/>
    <w:autoRedefine/>
    <w:semiHidden/>
    <w:qFormat/>
    <w:uiPriority w:val="0"/>
    <w:pPr>
      <w:ind w:left="840"/>
      <w:jc w:val="left"/>
    </w:pPr>
    <w:rPr>
      <w:sz w:val="18"/>
      <w:szCs w:val="18"/>
    </w:rPr>
  </w:style>
  <w:style w:type="paragraph" w:styleId="16">
    <w:name w:val="toc 3"/>
    <w:basedOn w:val="1"/>
    <w:next w:val="1"/>
    <w:autoRedefine/>
    <w:qFormat/>
    <w:uiPriority w:val="0"/>
    <w:pPr>
      <w:ind w:left="420"/>
      <w:jc w:val="left"/>
    </w:pPr>
    <w:rPr>
      <w:i/>
      <w:iCs/>
      <w:sz w:val="20"/>
      <w:szCs w:val="20"/>
    </w:rPr>
  </w:style>
  <w:style w:type="paragraph" w:styleId="17">
    <w:name w:val="Plain Text"/>
    <w:basedOn w:val="1"/>
    <w:autoRedefine/>
    <w:qFormat/>
    <w:uiPriority w:val="0"/>
    <w:rPr>
      <w:rFonts w:ascii="Courier New" w:hAnsi="Courier New"/>
      <w:szCs w:val="20"/>
    </w:rPr>
  </w:style>
  <w:style w:type="paragraph" w:styleId="18">
    <w:name w:val="toc 8"/>
    <w:basedOn w:val="1"/>
    <w:next w:val="1"/>
    <w:autoRedefine/>
    <w:semiHidden/>
    <w:qFormat/>
    <w:uiPriority w:val="0"/>
    <w:pPr>
      <w:ind w:left="1470"/>
      <w:jc w:val="left"/>
    </w:pPr>
    <w:rPr>
      <w:sz w:val="18"/>
      <w:szCs w:val="18"/>
    </w:rPr>
  </w:style>
  <w:style w:type="paragraph" w:styleId="19">
    <w:name w:val="Date"/>
    <w:basedOn w:val="1"/>
    <w:next w:val="1"/>
    <w:autoRedefine/>
    <w:qFormat/>
    <w:uiPriority w:val="0"/>
    <w:pPr>
      <w:ind w:left="100" w:leftChars="2500"/>
    </w:pPr>
  </w:style>
  <w:style w:type="paragraph" w:styleId="20">
    <w:name w:val="Balloon Text"/>
    <w:basedOn w:val="1"/>
    <w:autoRedefine/>
    <w:semiHidden/>
    <w:qFormat/>
    <w:uiPriority w:val="0"/>
    <w:rPr>
      <w:sz w:val="18"/>
      <w:szCs w:val="18"/>
    </w:rPr>
  </w:style>
  <w:style w:type="paragraph" w:styleId="21">
    <w:name w:val="footer"/>
    <w:basedOn w:val="1"/>
    <w:link w:val="55"/>
    <w:autoRedefine/>
    <w:qFormat/>
    <w:uiPriority w:val="99"/>
    <w:pPr>
      <w:tabs>
        <w:tab w:val="center" w:pos="4153"/>
        <w:tab w:val="right" w:pos="8306"/>
      </w:tabs>
      <w:snapToGrid w:val="0"/>
      <w:jc w:val="left"/>
    </w:pPr>
    <w:rPr>
      <w:sz w:val="18"/>
      <w:szCs w:val="18"/>
    </w:rPr>
  </w:style>
  <w:style w:type="paragraph" w:styleId="22">
    <w:name w:val="envelope return"/>
    <w:basedOn w:val="1"/>
    <w:autoRedefine/>
    <w:qFormat/>
    <w:uiPriority w:val="0"/>
    <w:pPr>
      <w:snapToGrid w:val="0"/>
    </w:pPr>
    <w:rPr>
      <w:rFonts w:ascii="Arial" w:hAnsi="Arial"/>
    </w:rPr>
  </w:style>
  <w:style w:type="paragraph" w:styleId="23">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24">
    <w:name w:val="toc 1"/>
    <w:basedOn w:val="1"/>
    <w:next w:val="1"/>
    <w:autoRedefine/>
    <w:qFormat/>
    <w:uiPriority w:val="0"/>
    <w:pPr>
      <w:spacing w:before="120" w:after="120"/>
      <w:jc w:val="left"/>
    </w:pPr>
    <w:rPr>
      <w:b/>
      <w:bCs/>
      <w:caps/>
      <w:sz w:val="20"/>
      <w:szCs w:val="20"/>
    </w:rPr>
  </w:style>
  <w:style w:type="paragraph" w:styleId="25">
    <w:name w:val="toc 4"/>
    <w:basedOn w:val="1"/>
    <w:next w:val="1"/>
    <w:autoRedefine/>
    <w:semiHidden/>
    <w:qFormat/>
    <w:uiPriority w:val="0"/>
    <w:pPr>
      <w:ind w:left="630"/>
      <w:jc w:val="left"/>
    </w:pPr>
    <w:rPr>
      <w:sz w:val="18"/>
      <w:szCs w:val="18"/>
    </w:rPr>
  </w:style>
  <w:style w:type="paragraph" w:styleId="26">
    <w:name w:val="toc 6"/>
    <w:basedOn w:val="1"/>
    <w:next w:val="1"/>
    <w:autoRedefine/>
    <w:semiHidden/>
    <w:qFormat/>
    <w:uiPriority w:val="0"/>
    <w:pPr>
      <w:ind w:left="1050"/>
      <w:jc w:val="left"/>
    </w:pPr>
    <w:rPr>
      <w:sz w:val="18"/>
      <w:szCs w:val="18"/>
    </w:rPr>
  </w:style>
  <w:style w:type="paragraph" w:styleId="27">
    <w:name w:val="toc 2"/>
    <w:basedOn w:val="1"/>
    <w:next w:val="1"/>
    <w:autoRedefine/>
    <w:qFormat/>
    <w:uiPriority w:val="0"/>
    <w:pPr>
      <w:ind w:left="210"/>
      <w:jc w:val="left"/>
    </w:pPr>
    <w:rPr>
      <w:smallCaps/>
      <w:sz w:val="20"/>
      <w:szCs w:val="20"/>
    </w:rPr>
  </w:style>
  <w:style w:type="paragraph" w:styleId="28">
    <w:name w:val="toc 9"/>
    <w:basedOn w:val="1"/>
    <w:next w:val="1"/>
    <w:autoRedefine/>
    <w:semiHidden/>
    <w:qFormat/>
    <w:uiPriority w:val="0"/>
    <w:pPr>
      <w:ind w:left="1680"/>
      <w:jc w:val="left"/>
    </w:pPr>
    <w:rPr>
      <w:sz w:val="18"/>
      <w:szCs w:val="18"/>
    </w:rPr>
  </w:style>
  <w:style w:type="paragraph" w:styleId="29">
    <w:name w:val="Body Text 2"/>
    <w:basedOn w:val="1"/>
    <w:autoRedefine/>
    <w:qFormat/>
    <w:uiPriority w:val="0"/>
    <w:pPr>
      <w:spacing w:line="240" w:lineRule="exact"/>
    </w:pPr>
    <w:rPr>
      <w:rFonts w:eastAsia="仿宋_GB2312"/>
    </w:rPr>
  </w:style>
  <w:style w:type="paragraph" w:styleId="30">
    <w:name w:val="HTML Preformatted"/>
    <w:basedOn w:val="1"/>
    <w:link w:val="47"/>
    <w:autoRedefine/>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1">
    <w:name w:val="Normal (Web)"/>
    <w:basedOn w:val="1"/>
    <w:autoRedefine/>
    <w:qFormat/>
    <w:uiPriority w:val="0"/>
    <w:pPr>
      <w:widowControl/>
      <w:spacing w:before="100" w:beforeAutospacing="1" w:after="100" w:afterAutospacing="1"/>
      <w:jc w:val="left"/>
    </w:pPr>
    <w:rPr>
      <w:rFonts w:ascii="宋体" w:hAnsi="宋体" w:cs="宋体"/>
      <w:kern w:val="0"/>
      <w:sz w:val="24"/>
    </w:rPr>
  </w:style>
  <w:style w:type="paragraph" w:styleId="32">
    <w:name w:val="annotation subject"/>
    <w:basedOn w:val="12"/>
    <w:next w:val="12"/>
    <w:autoRedefine/>
    <w:semiHidden/>
    <w:qFormat/>
    <w:uiPriority w:val="0"/>
    <w:rPr>
      <w:b/>
      <w:bCs/>
    </w:rPr>
  </w:style>
  <w:style w:type="paragraph" w:styleId="33">
    <w:name w:val="Body Text First Indent 2"/>
    <w:basedOn w:val="14"/>
    <w:next w:val="5"/>
    <w:autoRedefine/>
    <w:qFormat/>
    <w:uiPriority w:val="99"/>
    <w:pPr>
      <w:ind w:firstLine="420"/>
    </w:pPr>
    <w:rPr>
      <w:sz w:val="24"/>
    </w:rPr>
  </w:style>
  <w:style w:type="table" w:styleId="35">
    <w:name w:val="Table Grid"/>
    <w:basedOn w:val="34"/>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7">
    <w:name w:val="page number"/>
    <w:autoRedefine/>
    <w:qFormat/>
    <w:uiPriority w:val="0"/>
  </w:style>
  <w:style w:type="character" w:styleId="38">
    <w:name w:val="FollowedHyperlink"/>
    <w:autoRedefine/>
    <w:qFormat/>
    <w:uiPriority w:val="0"/>
    <w:rPr>
      <w:color w:val="000000"/>
      <w:u w:val="none"/>
    </w:rPr>
  </w:style>
  <w:style w:type="character" w:styleId="39">
    <w:name w:val="line number"/>
    <w:autoRedefine/>
    <w:qFormat/>
    <w:uiPriority w:val="0"/>
  </w:style>
  <w:style w:type="character" w:styleId="40">
    <w:name w:val="Hyperlink"/>
    <w:autoRedefine/>
    <w:qFormat/>
    <w:uiPriority w:val="0"/>
    <w:rPr>
      <w:color w:val="000000"/>
      <w:u w:val="none"/>
    </w:rPr>
  </w:style>
  <w:style w:type="character" w:styleId="41">
    <w:name w:val="annotation reference"/>
    <w:autoRedefine/>
    <w:semiHidden/>
    <w:qFormat/>
    <w:uiPriority w:val="0"/>
    <w:rPr>
      <w:sz w:val="21"/>
      <w:szCs w:val="21"/>
    </w:rPr>
  </w:style>
  <w:style w:type="paragraph" w:styleId="42">
    <w:name w:val="List Paragraph"/>
    <w:basedOn w:val="1"/>
    <w:autoRedefine/>
    <w:qFormat/>
    <w:uiPriority w:val="1"/>
    <w:pPr>
      <w:ind w:left="205" w:right="169" w:firstLine="655"/>
    </w:pPr>
    <w:rPr>
      <w:rFonts w:ascii="仿宋" w:hAnsi="仿宋" w:eastAsia="仿宋" w:cs="仿宋"/>
      <w:u w:val="single" w:color="000000"/>
      <w:lang w:val="zh-CN" w:bidi="zh-CN"/>
    </w:rPr>
  </w:style>
  <w:style w:type="character" w:customStyle="1" w:styleId="43">
    <w:name w:val="标题 1 字符"/>
    <w:link w:val="6"/>
    <w:autoRedefine/>
    <w:qFormat/>
    <w:uiPriority w:val="0"/>
    <w:rPr>
      <w:rFonts w:eastAsia="宋体"/>
      <w:b/>
      <w:bCs/>
      <w:kern w:val="44"/>
      <w:sz w:val="44"/>
      <w:szCs w:val="44"/>
      <w:lang w:val="en-US" w:eastAsia="zh-CN" w:bidi="ar-SA"/>
    </w:rPr>
  </w:style>
  <w:style w:type="character" w:customStyle="1" w:styleId="44">
    <w:name w:val="标题 2 字符"/>
    <w:link w:val="7"/>
    <w:autoRedefine/>
    <w:qFormat/>
    <w:uiPriority w:val="0"/>
    <w:rPr>
      <w:rFonts w:ascii="Arial" w:hAnsi="Arial" w:eastAsia="黑体"/>
      <w:b/>
      <w:bCs/>
      <w:kern w:val="2"/>
      <w:sz w:val="32"/>
      <w:szCs w:val="32"/>
      <w:lang w:val="en-US" w:eastAsia="zh-CN" w:bidi="ar-SA"/>
    </w:rPr>
  </w:style>
  <w:style w:type="character" w:customStyle="1" w:styleId="45">
    <w:name w:val="批注文字 字符"/>
    <w:link w:val="12"/>
    <w:autoRedefine/>
    <w:qFormat/>
    <w:uiPriority w:val="0"/>
    <w:rPr>
      <w:rFonts w:eastAsia="宋体"/>
      <w:kern w:val="2"/>
      <w:sz w:val="21"/>
      <w:szCs w:val="24"/>
      <w:lang w:val="en-US" w:eastAsia="zh-CN" w:bidi="ar-SA"/>
    </w:rPr>
  </w:style>
  <w:style w:type="character" w:customStyle="1" w:styleId="46">
    <w:name w:val="正文文本 字符"/>
    <w:link w:val="4"/>
    <w:autoRedefine/>
    <w:qFormat/>
    <w:uiPriority w:val="0"/>
    <w:rPr>
      <w:kern w:val="2"/>
      <w:sz w:val="21"/>
      <w:szCs w:val="24"/>
    </w:rPr>
  </w:style>
  <w:style w:type="character" w:customStyle="1" w:styleId="47">
    <w:name w:val="HTML 预设格式 字符"/>
    <w:link w:val="30"/>
    <w:autoRedefine/>
    <w:qFormat/>
    <w:uiPriority w:val="99"/>
    <w:rPr>
      <w:rFonts w:ascii="宋体" w:hAnsi="宋体" w:cs="宋体"/>
      <w:sz w:val="24"/>
      <w:szCs w:val="24"/>
    </w:rPr>
  </w:style>
  <w:style w:type="character" w:customStyle="1" w:styleId="48">
    <w:name w:val="Char Char Char"/>
    <w:autoRedefine/>
    <w:qFormat/>
    <w:locked/>
    <w:uiPriority w:val="0"/>
    <w:rPr>
      <w:rFonts w:eastAsia="宋体"/>
      <w:b/>
      <w:bCs/>
      <w:kern w:val="44"/>
      <w:sz w:val="44"/>
      <w:szCs w:val="44"/>
      <w:lang w:val="en-US" w:eastAsia="zh-CN" w:bidi="ar-SA"/>
    </w:rPr>
  </w:style>
  <w:style w:type="character" w:customStyle="1" w:styleId="49">
    <w:name w:val="hover16"/>
    <w:autoRedefine/>
    <w:qFormat/>
    <w:uiPriority w:val="0"/>
  </w:style>
  <w:style w:type="character" w:customStyle="1" w:styleId="50">
    <w:name w:val="明显强调1"/>
    <w:autoRedefine/>
    <w:qFormat/>
    <w:uiPriority w:val="0"/>
    <w:rPr>
      <w:rFonts w:eastAsia="仿宋_GB2312"/>
      <w:bCs/>
      <w:iCs/>
      <w:color w:val="auto"/>
      <w:sz w:val="32"/>
    </w:rPr>
  </w:style>
  <w:style w:type="paragraph" w:customStyle="1" w:styleId="51">
    <w:name w:val="cjk"/>
    <w:basedOn w:val="1"/>
    <w:autoRedefine/>
    <w:qFormat/>
    <w:uiPriority w:val="0"/>
    <w:pPr>
      <w:widowControl/>
      <w:spacing w:line="480" w:lineRule="auto"/>
      <w:jc w:val="left"/>
    </w:pPr>
    <w:rPr>
      <w:rFonts w:ascii="宋体" w:hAnsi="宋体" w:cs="宋体"/>
      <w:kern w:val="0"/>
      <w:sz w:val="24"/>
    </w:rPr>
  </w:style>
  <w:style w:type="paragraph" w:customStyle="1" w:styleId="52">
    <w:name w:val="样式 标题 2 + Times New Roman 四号 非加粗 段前: 5 磅 段后: 0 磅 行距: 固定值 20..."/>
    <w:basedOn w:val="7"/>
    <w:autoRedefine/>
    <w:qFormat/>
    <w:uiPriority w:val="0"/>
    <w:pPr>
      <w:spacing w:before="100" w:after="0" w:line="400" w:lineRule="exact"/>
    </w:pPr>
    <w:rPr>
      <w:rFonts w:ascii="Times New Roman" w:hAnsi="Times New Roman" w:cs="宋体"/>
      <w:b w:val="0"/>
      <w:bCs w:val="0"/>
      <w:sz w:val="28"/>
      <w:szCs w:val="20"/>
    </w:rPr>
  </w:style>
  <w:style w:type="paragraph" w:customStyle="1" w:styleId="53">
    <w:name w:val="Default"/>
    <w:autoRedefine/>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54">
    <w:name w:val="大标题"/>
    <w:basedOn w:val="1"/>
    <w:next w:val="33"/>
    <w:autoRedefine/>
    <w:qFormat/>
    <w:uiPriority w:val="0"/>
    <w:pPr>
      <w:jc w:val="center"/>
    </w:pPr>
    <w:rPr>
      <w:rFonts w:ascii="Arial" w:hAnsi="Arial"/>
      <w:b/>
    </w:rPr>
  </w:style>
  <w:style w:type="character" w:customStyle="1" w:styleId="55">
    <w:name w:val="页脚 字符"/>
    <w:basedOn w:val="36"/>
    <w:link w:val="21"/>
    <w:autoRedefine/>
    <w:qFormat/>
    <w:uiPriority w:val="99"/>
    <w:rPr>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41</Pages>
  <Words>5424</Words>
  <Characters>30921</Characters>
  <Lines>1</Lines>
  <Paragraphs>1</Paragraphs>
  <TotalTime>4</TotalTime>
  <ScaleCrop>false</ScaleCrop>
  <LinksUpToDate>false</LinksUpToDate>
  <CharactersWithSpaces>36273</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2024-03-12T06:28:00Z</dcterms:created>
  <dc:creator>微软用户</dc:creator>
  <cp:lastModifiedBy>lenovo</cp:lastModifiedBy>
  <cp:lastPrinted>2020-07-20T15:54:00Z</cp:lastPrinted>
  <dcterms:modified xsi:type="dcterms:W3CDTF">2025-03-05T08:47:54Z</dcterms:modified>
  <dc:title>目   录</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589AA8004A85457CAC31E7A5A4DE7B8E_13</vt:lpwstr>
  </property>
</Properties>
</file>