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A2E044">
      <w:pPr>
        <w:rPr>
          <w:rFonts w:hint="eastAsia" w:eastAsiaTheme="minorEastAsia"/>
          <w:lang w:eastAsia="zh-CN"/>
        </w:rPr>
        <w:sectPr>
          <w:pgSz w:w="11906" w:h="16838"/>
          <w:pgMar w:top="1440" w:right="1247" w:bottom="1440" w:left="1247" w:header="851" w:footer="992" w:gutter="0"/>
          <w:paperSrc/>
          <w:cols w:space="0" w:num="1"/>
          <w:rtlGutter w:val="0"/>
          <w:docGrid w:type="lines" w:linePitch="312" w:charSpace="0"/>
        </w:sectPr>
      </w:pPr>
      <w:r>
        <w:rPr>
          <w:rFonts w:hint="eastAsia" w:eastAsiaTheme="minorEastAsia"/>
          <w:lang w:eastAsia="zh-CN"/>
        </w:rPr>
        <w:drawing>
          <wp:inline distT="0" distB="0" distL="114300" distR="114300">
            <wp:extent cx="5974080" cy="8452485"/>
            <wp:effectExtent l="0" t="0" r="7620" b="5715"/>
            <wp:docPr id="4" name="图片 4" descr="7d1ddb6027d3acef89549a16f43cd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d1ddb6027d3acef89549a16f43cdda1"/>
                    <pic:cNvPicPr>
                      <a:picLocks noChangeAspect="1"/>
                    </pic:cNvPicPr>
                  </pic:nvPicPr>
                  <pic:blipFill>
                    <a:blip r:embed="rId5"/>
                    <a:stretch>
                      <a:fillRect/>
                    </a:stretch>
                  </pic:blipFill>
                  <pic:spPr>
                    <a:xfrm>
                      <a:off x="0" y="0"/>
                      <a:ext cx="5974080" cy="8452485"/>
                    </a:xfrm>
                    <a:prstGeom prst="rect">
                      <a:avLst/>
                    </a:prstGeom>
                  </pic:spPr>
                </pic:pic>
              </a:graphicData>
            </a:graphic>
          </wp:inline>
        </w:drawing>
      </w:r>
    </w:p>
    <w:tbl>
      <w:tblPr>
        <w:tblStyle w:val="3"/>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1485"/>
        <w:gridCol w:w="1190"/>
        <w:gridCol w:w="1528"/>
        <w:gridCol w:w="691"/>
        <w:gridCol w:w="481"/>
        <w:gridCol w:w="452"/>
        <w:gridCol w:w="1066"/>
        <w:gridCol w:w="1324"/>
        <w:gridCol w:w="1139"/>
      </w:tblGrid>
      <w:tr w14:paraId="0FC7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36" w:type="pct"/>
            <w:tcBorders>
              <w:top w:val="single" w:color="auto" w:sz="4" w:space="0"/>
              <w:left w:val="single" w:color="auto" w:sz="4" w:space="0"/>
              <w:bottom w:val="single" w:color="auto" w:sz="4" w:space="0"/>
              <w:right w:val="single" w:color="auto" w:sz="4" w:space="0"/>
            </w:tcBorders>
            <w:vAlign w:val="center"/>
          </w:tcPr>
          <w:p w14:paraId="43E59D05">
            <w:pPr>
              <w:keepNext w:val="0"/>
              <w:keepLines w:val="0"/>
              <w:pageBreakBefore w:val="0"/>
              <w:widowControl/>
              <w:kinsoku/>
              <w:wordWrap/>
              <w:overflowPunct/>
              <w:topLinePunct w:val="0"/>
              <w:autoSpaceDE/>
              <w:autoSpaceDN/>
              <w:bidi w:val="0"/>
              <w:spacing w:line="324" w:lineRule="auto"/>
              <w:jc w:val="center"/>
              <w:textAlignment w:val="auto"/>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2</w:t>
            </w:r>
          </w:p>
        </w:tc>
        <w:tc>
          <w:tcPr>
            <w:tcW w:w="756" w:type="pct"/>
            <w:tcBorders>
              <w:top w:val="single" w:color="auto" w:sz="4" w:space="0"/>
              <w:left w:val="single" w:color="auto" w:sz="4" w:space="0"/>
              <w:bottom w:val="single" w:color="auto" w:sz="4" w:space="0"/>
              <w:right w:val="single" w:color="auto" w:sz="4" w:space="0"/>
            </w:tcBorders>
            <w:vAlign w:val="center"/>
          </w:tcPr>
          <w:p w14:paraId="509DB83B">
            <w:pPr>
              <w:keepNext w:val="0"/>
              <w:keepLines w:val="0"/>
              <w:pageBreakBefore w:val="0"/>
              <w:widowControl/>
              <w:kinsoku/>
              <w:wordWrap/>
              <w:overflowPunct/>
              <w:topLinePunct w:val="0"/>
              <w:autoSpaceDE/>
              <w:autoSpaceDN/>
              <w:bidi w:val="0"/>
              <w:spacing w:line="324" w:lineRule="auto"/>
              <w:jc w:val="center"/>
              <w:textAlignment w:val="auto"/>
              <w:rPr>
                <w:rFonts w:hint="eastAsia" w:ascii="宋体" w:hAnsi="宋体" w:cs="宋体"/>
                <w:b w:val="0"/>
                <w:bCs w:val="0"/>
                <w:color w:val="auto"/>
                <w:sz w:val="21"/>
                <w:szCs w:val="21"/>
                <w:lang w:val="en-US" w:eastAsia="zh-CN"/>
              </w:rPr>
            </w:pPr>
            <w:r>
              <w:rPr>
                <w:rFonts w:hint="eastAsia" w:ascii="宋体" w:hAnsi="宋体" w:eastAsia="宋体" w:cs="宋体"/>
                <w:b w:val="0"/>
                <w:bCs w:val="0"/>
                <w:color w:val="auto"/>
                <w:sz w:val="21"/>
                <w:szCs w:val="21"/>
              </w:rPr>
              <w:t>高效液相色谱仪</w:t>
            </w:r>
          </w:p>
        </w:tc>
        <w:tc>
          <w:tcPr>
            <w:tcW w:w="606" w:type="pct"/>
            <w:tcBorders>
              <w:top w:val="single" w:color="auto" w:sz="4" w:space="0"/>
              <w:left w:val="single" w:color="auto" w:sz="4" w:space="0"/>
              <w:bottom w:val="single" w:color="auto" w:sz="4" w:space="0"/>
              <w:right w:val="single" w:color="auto" w:sz="4" w:space="0"/>
            </w:tcBorders>
            <w:vAlign w:val="center"/>
          </w:tcPr>
          <w:p w14:paraId="3858655D">
            <w:pPr>
              <w:keepNext w:val="0"/>
              <w:keepLines w:val="0"/>
              <w:pageBreakBefore w:val="0"/>
              <w:widowControl/>
              <w:kinsoku/>
              <w:wordWrap/>
              <w:overflowPunct/>
              <w:topLinePunct w:val="0"/>
              <w:autoSpaceDE/>
              <w:autoSpaceDN/>
              <w:bidi w:val="0"/>
              <w:spacing w:line="324" w:lineRule="auto"/>
              <w:jc w:val="center"/>
              <w:textAlignment w:val="auto"/>
              <w:rPr>
                <w:rFonts w:hint="eastAsia" w:ascii="宋体" w:hAnsi="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安捷伦科技（中国）有限公司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5FB460A3">
            <w:pPr>
              <w:keepNext w:val="0"/>
              <w:keepLines w:val="0"/>
              <w:pageBreakBefore w:val="0"/>
              <w:widowControl/>
              <w:kinsoku/>
              <w:wordWrap/>
              <w:overflowPunct/>
              <w:topLinePunct w:val="0"/>
              <w:autoSpaceDE/>
              <w:autoSpaceDN/>
              <w:bidi w:val="0"/>
              <w:spacing w:line="324" w:lineRule="auto"/>
              <w:jc w:val="center"/>
              <w:textAlignment w:val="auto"/>
              <w:rPr>
                <w:rFonts w:hint="eastAsia" w:ascii="宋体" w:hAnsi="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1260 Infinity III</w:t>
            </w:r>
          </w:p>
        </w:tc>
        <w:tc>
          <w:tcPr>
            <w:tcW w:w="352" w:type="pct"/>
            <w:tcBorders>
              <w:top w:val="single" w:color="auto" w:sz="4" w:space="0"/>
              <w:left w:val="single" w:color="auto" w:sz="4" w:space="0"/>
              <w:bottom w:val="single" w:color="auto" w:sz="4" w:space="0"/>
              <w:right w:val="single" w:color="auto" w:sz="4" w:space="0"/>
            </w:tcBorders>
            <w:vAlign w:val="center"/>
          </w:tcPr>
          <w:p w14:paraId="6BA8D84F">
            <w:pPr>
              <w:keepNext w:val="0"/>
              <w:keepLines w:val="0"/>
              <w:pageBreakBefore w:val="0"/>
              <w:widowControl/>
              <w:kinsoku/>
              <w:wordWrap/>
              <w:overflowPunct/>
              <w:topLinePunct w:val="0"/>
              <w:autoSpaceDE/>
              <w:autoSpaceDN/>
              <w:bidi w:val="0"/>
              <w:spacing w:line="324" w:lineRule="auto"/>
              <w:jc w:val="center"/>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中国</w:t>
            </w:r>
          </w:p>
        </w:tc>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14:paraId="315A43E5">
            <w:pPr>
              <w:spacing w:line="360" w:lineRule="auto"/>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台</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4A1EC371">
            <w:pPr>
              <w:spacing w:line="360" w:lineRule="auto"/>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1</w:t>
            </w:r>
          </w:p>
        </w:tc>
        <w:tc>
          <w:tcPr>
            <w:tcW w:w="543" w:type="pct"/>
            <w:tcBorders>
              <w:top w:val="single" w:color="auto" w:sz="4" w:space="0"/>
              <w:left w:val="single" w:color="auto" w:sz="4" w:space="0"/>
              <w:bottom w:val="single" w:color="auto" w:sz="4" w:space="0"/>
              <w:right w:val="single" w:color="auto" w:sz="4" w:space="0"/>
            </w:tcBorders>
            <w:shd w:val="clear" w:color="auto" w:fill="auto"/>
            <w:vAlign w:val="center"/>
          </w:tcPr>
          <w:p w14:paraId="43E1D1E3">
            <w:pPr>
              <w:spacing w:line="360" w:lineRule="auto"/>
              <w:jc w:val="center"/>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sz w:val="21"/>
                <w:szCs w:val="21"/>
                <w:lang w:val="en-US" w:eastAsia="zh-CN"/>
              </w:rPr>
              <w:t>648000</w:t>
            </w:r>
          </w:p>
        </w:tc>
        <w:tc>
          <w:tcPr>
            <w:tcW w:w="671" w:type="pct"/>
            <w:tcBorders>
              <w:top w:val="single" w:color="auto" w:sz="4" w:space="0"/>
              <w:left w:val="single" w:color="auto" w:sz="4" w:space="0"/>
              <w:bottom w:val="single" w:color="auto" w:sz="4" w:space="0"/>
              <w:right w:val="single" w:color="auto" w:sz="4" w:space="0"/>
            </w:tcBorders>
            <w:shd w:val="clear" w:color="auto" w:fill="auto"/>
            <w:vAlign w:val="center"/>
          </w:tcPr>
          <w:p w14:paraId="675164A7">
            <w:pPr>
              <w:spacing w:line="360" w:lineRule="auto"/>
              <w:jc w:val="center"/>
              <w:rPr>
                <w:rFonts w:hint="default" w:ascii="宋体" w:hAnsi="宋体" w:eastAsia="宋体" w:cs="宋体"/>
                <w:b w:val="0"/>
                <w:bCs w:val="0"/>
                <w:color w:val="auto"/>
                <w:kern w:val="2"/>
                <w:sz w:val="21"/>
                <w:szCs w:val="21"/>
                <w:lang w:val="en-US" w:eastAsia="zh-CN" w:bidi="ar-SA"/>
              </w:rPr>
            </w:pPr>
            <w:r>
              <w:rPr>
                <w:rFonts w:hint="eastAsia" w:ascii="宋体" w:hAnsi="宋体" w:cs="宋体"/>
                <w:b w:val="0"/>
                <w:bCs w:val="0"/>
                <w:color w:val="auto"/>
                <w:sz w:val="21"/>
                <w:szCs w:val="21"/>
                <w:lang w:val="en-US" w:eastAsia="zh-CN"/>
              </w:rPr>
              <w:t>648000.00</w:t>
            </w:r>
          </w:p>
        </w:tc>
        <w:tc>
          <w:tcPr>
            <w:tcW w:w="578" w:type="pct"/>
            <w:tcBorders>
              <w:top w:val="single" w:color="auto" w:sz="4" w:space="0"/>
              <w:left w:val="single" w:color="auto" w:sz="4" w:space="0"/>
              <w:bottom w:val="single" w:color="auto" w:sz="4" w:space="0"/>
              <w:right w:val="single" w:color="auto" w:sz="4" w:space="0"/>
            </w:tcBorders>
            <w:vAlign w:val="center"/>
          </w:tcPr>
          <w:p w14:paraId="6D85985F">
            <w:pPr>
              <w:keepNext w:val="0"/>
              <w:keepLines w:val="0"/>
              <w:pageBreakBefore w:val="0"/>
              <w:widowControl/>
              <w:kinsoku/>
              <w:wordWrap/>
              <w:overflowPunct/>
              <w:topLinePunct w:val="0"/>
              <w:autoSpaceDE/>
              <w:autoSpaceDN/>
              <w:bidi w:val="0"/>
              <w:spacing w:line="324"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签订合同后45天内完成供货</w:t>
            </w:r>
          </w:p>
        </w:tc>
      </w:tr>
      <w:tr w14:paraId="62FB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36" w:type="pct"/>
            <w:tcBorders>
              <w:top w:val="single" w:color="auto" w:sz="4" w:space="0"/>
              <w:left w:val="single" w:color="auto" w:sz="4" w:space="0"/>
              <w:bottom w:val="single" w:color="auto" w:sz="4" w:space="0"/>
              <w:right w:val="single" w:color="auto" w:sz="4" w:space="0"/>
            </w:tcBorders>
            <w:vAlign w:val="center"/>
          </w:tcPr>
          <w:p w14:paraId="02001A7A">
            <w:pPr>
              <w:keepNext w:val="0"/>
              <w:keepLines w:val="0"/>
              <w:pageBreakBefore w:val="0"/>
              <w:widowControl/>
              <w:kinsoku/>
              <w:wordWrap/>
              <w:overflowPunct/>
              <w:topLinePunct w:val="0"/>
              <w:autoSpaceDE/>
              <w:autoSpaceDN/>
              <w:bidi w:val="0"/>
              <w:spacing w:line="324" w:lineRule="auto"/>
              <w:jc w:val="center"/>
              <w:textAlignment w:val="auto"/>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3</w:t>
            </w:r>
          </w:p>
        </w:tc>
        <w:tc>
          <w:tcPr>
            <w:tcW w:w="756" w:type="pct"/>
            <w:tcBorders>
              <w:top w:val="single" w:color="auto" w:sz="4" w:space="0"/>
              <w:left w:val="single" w:color="auto" w:sz="4" w:space="0"/>
              <w:bottom w:val="single" w:color="auto" w:sz="4" w:space="0"/>
              <w:right w:val="single" w:color="auto" w:sz="4" w:space="0"/>
            </w:tcBorders>
            <w:vAlign w:val="center"/>
          </w:tcPr>
          <w:p w14:paraId="3C20D87E">
            <w:pPr>
              <w:keepNext w:val="0"/>
              <w:keepLines w:val="0"/>
              <w:pageBreakBefore w:val="0"/>
              <w:widowControl/>
              <w:kinsoku/>
              <w:wordWrap/>
              <w:overflowPunct/>
              <w:topLinePunct w:val="0"/>
              <w:autoSpaceDE/>
              <w:autoSpaceDN/>
              <w:bidi w:val="0"/>
              <w:spacing w:line="324"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傅里叶变换红外光谱仪</w:t>
            </w:r>
          </w:p>
        </w:tc>
        <w:tc>
          <w:tcPr>
            <w:tcW w:w="606" w:type="pct"/>
            <w:tcBorders>
              <w:top w:val="single" w:color="auto" w:sz="4" w:space="0"/>
              <w:left w:val="single" w:color="auto" w:sz="4" w:space="0"/>
              <w:bottom w:val="single" w:color="auto" w:sz="4" w:space="0"/>
              <w:right w:val="single" w:color="auto" w:sz="4" w:space="0"/>
            </w:tcBorders>
            <w:vAlign w:val="center"/>
          </w:tcPr>
          <w:p w14:paraId="09E8FB95">
            <w:pPr>
              <w:keepNext w:val="0"/>
              <w:keepLines w:val="0"/>
              <w:pageBreakBefore w:val="0"/>
              <w:widowControl/>
              <w:kinsoku/>
              <w:wordWrap/>
              <w:overflowPunct/>
              <w:topLinePunct w:val="0"/>
              <w:autoSpaceDE/>
              <w:autoSpaceDN/>
              <w:bidi w:val="0"/>
              <w:spacing w:line="324"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赛默飞世尔（广州）生物科技有限公</w:t>
            </w:r>
          </w:p>
        </w:tc>
        <w:tc>
          <w:tcPr>
            <w:tcW w:w="778" w:type="pct"/>
            <w:tcBorders>
              <w:top w:val="single" w:color="auto" w:sz="4" w:space="0"/>
              <w:left w:val="single" w:color="auto" w:sz="4" w:space="0"/>
              <w:bottom w:val="single" w:color="auto" w:sz="4" w:space="0"/>
              <w:right w:val="single" w:color="auto" w:sz="4" w:space="0"/>
            </w:tcBorders>
            <w:vAlign w:val="center"/>
          </w:tcPr>
          <w:p w14:paraId="74EDDF1F">
            <w:pPr>
              <w:keepNext w:val="0"/>
              <w:keepLines w:val="0"/>
              <w:pageBreakBefore w:val="0"/>
              <w:widowControl/>
              <w:kinsoku/>
              <w:wordWrap/>
              <w:overflowPunct/>
              <w:topLinePunct w:val="0"/>
              <w:autoSpaceDE/>
              <w:autoSpaceDN/>
              <w:bidi w:val="0"/>
              <w:spacing w:line="324"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Nicolet iS50</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0AAFA788">
            <w:pPr>
              <w:keepNext w:val="0"/>
              <w:keepLines w:val="0"/>
              <w:pageBreakBefore w:val="0"/>
              <w:widowControl/>
              <w:kinsoku/>
              <w:wordWrap/>
              <w:overflowPunct/>
              <w:topLinePunct w:val="0"/>
              <w:autoSpaceDE/>
              <w:autoSpaceDN/>
              <w:bidi w:val="0"/>
              <w:spacing w:line="324" w:lineRule="auto"/>
              <w:jc w:val="center"/>
              <w:textAlignment w:val="auto"/>
              <w:rPr>
                <w:rFonts w:hint="eastAsia" w:ascii="宋体" w:hAnsi="宋体" w:cs="宋体" w:eastAsiaTheme="minorEastAsia"/>
                <w:b w:val="0"/>
                <w:bCs w:val="0"/>
                <w:color w:val="auto"/>
                <w:kern w:val="2"/>
                <w:sz w:val="21"/>
                <w:szCs w:val="21"/>
                <w:lang w:val="en-US" w:eastAsia="zh-CN" w:bidi="ar-SA"/>
              </w:rPr>
            </w:pPr>
            <w:r>
              <w:rPr>
                <w:rFonts w:hint="eastAsia" w:ascii="宋体" w:hAnsi="宋体" w:cs="宋体"/>
                <w:b w:val="0"/>
                <w:bCs w:val="0"/>
                <w:color w:val="auto"/>
                <w:sz w:val="21"/>
                <w:szCs w:val="21"/>
                <w:lang w:val="en-US" w:eastAsia="zh-CN"/>
              </w:rPr>
              <w:t>中国</w:t>
            </w:r>
          </w:p>
        </w:tc>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14:paraId="43C89B6D">
            <w:pPr>
              <w:spacing w:line="360" w:lineRule="auto"/>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台</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33FB2EA9">
            <w:pPr>
              <w:spacing w:line="360" w:lineRule="auto"/>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1</w:t>
            </w:r>
          </w:p>
        </w:tc>
        <w:tc>
          <w:tcPr>
            <w:tcW w:w="543" w:type="pct"/>
            <w:tcBorders>
              <w:top w:val="single" w:color="auto" w:sz="4" w:space="0"/>
              <w:left w:val="single" w:color="auto" w:sz="4" w:space="0"/>
              <w:bottom w:val="single" w:color="auto" w:sz="4" w:space="0"/>
              <w:right w:val="single" w:color="auto" w:sz="4" w:space="0"/>
            </w:tcBorders>
            <w:shd w:val="clear" w:color="auto" w:fill="auto"/>
            <w:vAlign w:val="center"/>
          </w:tcPr>
          <w:p w14:paraId="41FF68F9">
            <w:pPr>
              <w:spacing w:line="360" w:lineRule="auto"/>
              <w:jc w:val="center"/>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sz w:val="21"/>
                <w:szCs w:val="21"/>
                <w:lang w:val="en-US" w:eastAsia="zh-CN"/>
              </w:rPr>
              <w:t>452000</w:t>
            </w:r>
          </w:p>
        </w:tc>
        <w:tc>
          <w:tcPr>
            <w:tcW w:w="671" w:type="pct"/>
            <w:tcBorders>
              <w:top w:val="single" w:color="auto" w:sz="4" w:space="0"/>
              <w:left w:val="single" w:color="auto" w:sz="4" w:space="0"/>
              <w:bottom w:val="single" w:color="auto" w:sz="4" w:space="0"/>
              <w:right w:val="single" w:color="auto" w:sz="4" w:space="0"/>
            </w:tcBorders>
            <w:shd w:val="clear" w:color="auto" w:fill="auto"/>
            <w:vAlign w:val="center"/>
          </w:tcPr>
          <w:p w14:paraId="33F8457A">
            <w:pPr>
              <w:spacing w:line="360" w:lineRule="auto"/>
              <w:jc w:val="center"/>
              <w:rPr>
                <w:rFonts w:hint="default" w:ascii="宋体" w:hAnsi="宋体" w:eastAsia="宋体" w:cs="宋体"/>
                <w:b w:val="0"/>
                <w:bCs w:val="0"/>
                <w:color w:val="auto"/>
                <w:kern w:val="2"/>
                <w:sz w:val="21"/>
                <w:szCs w:val="21"/>
                <w:lang w:val="en-US" w:eastAsia="zh-CN" w:bidi="ar-SA"/>
              </w:rPr>
            </w:pPr>
            <w:r>
              <w:rPr>
                <w:rFonts w:hint="eastAsia" w:ascii="宋体" w:hAnsi="宋体" w:cs="宋体"/>
                <w:b w:val="0"/>
                <w:bCs w:val="0"/>
                <w:color w:val="auto"/>
                <w:sz w:val="21"/>
                <w:szCs w:val="21"/>
                <w:lang w:val="en-US" w:eastAsia="zh-CN"/>
              </w:rPr>
              <w:t>452000.00</w:t>
            </w:r>
          </w:p>
        </w:tc>
        <w:tc>
          <w:tcPr>
            <w:tcW w:w="578" w:type="pct"/>
            <w:tcBorders>
              <w:top w:val="single" w:color="auto" w:sz="4" w:space="0"/>
              <w:left w:val="single" w:color="auto" w:sz="4" w:space="0"/>
              <w:bottom w:val="single" w:color="auto" w:sz="4" w:space="0"/>
              <w:right w:val="single" w:color="auto" w:sz="4" w:space="0"/>
            </w:tcBorders>
            <w:vAlign w:val="center"/>
          </w:tcPr>
          <w:p w14:paraId="5FCBC39A">
            <w:pPr>
              <w:keepNext w:val="0"/>
              <w:keepLines w:val="0"/>
              <w:pageBreakBefore w:val="0"/>
              <w:widowControl/>
              <w:kinsoku/>
              <w:wordWrap/>
              <w:overflowPunct/>
              <w:topLinePunct w:val="0"/>
              <w:autoSpaceDE/>
              <w:autoSpaceDN/>
              <w:bidi w:val="0"/>
              <w:spacing w:line="324"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签订合同后45天内完成供货</w:t>
            </w:r>
          </w:p>
        </w:tc>
      </w:tr>
      <w:tr w14:paraId="2E34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5000" w:type="pct"/>
            <w:gridSpan w:val="10"/>
            <w:tcBorders>
              <w:top w:val="single" w:color="auto" w:sz="4" w:space="0"/>
              <w:left w:val="single" w:color="auto" w:sz="4" w:space="0"/>
              <w:bottom w:val="single" w:color="auto" w:sz="4" w:space="0"/>
              <w:right w:val="single" w:color="auto" w:sz="4" w:space="0"/>
            </w:tcBorders>
            <w:vAlign w:val="center"/>
          </w:tcPr>
          <w:p w14:paraId="6F0FA51F">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 w:val="15"/>
                <w:szCs w:val="15"/>
                <w:highlight w:val="none"/>
              </w:rPr>
            </w:pPr>
            <w:r>
              <w:rPr>
                <w:rFonts w:hint="eastAsia" w:ascii="宋体" w:hAnsi="宋体" w:eastAsia="宋体"/>
                <w:color w:val="auto"/>
                <w:szCs w:val="21"/>
                <w:highlight w:val="none"/>
              </w:rPr>
              <w:t>备件、专用工具、耗材等</w:t>
            </w:r>
          </w:p>
        </w:tc>
      </w:tr>
      <w:tr w14:paraId="4B11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36" w:type="pct"/>
            <w:tcBorders>
              <w:top w:val="single" w:color="auto" w:sz="4" w:space="0"/>
              <w:left w:val="single" w:color="auto" w:sz="4" w:space="0"/>
              <w:bottom w:val="single" w:color="auto" w:sz="4" w:space="0"/>
              <w:right w:val="single" w:color="auto" w:sz="4" w:space="0"/>
            </w:tcBorders>
            <w:shd w:val="clear" w:color="auto" w:fill="auto"/>
            <w:vAlign w:val="center"/>
          </w:tcPr>
          <w:p w14:paraId="709CDE21">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756" w:type="pct"/>
            <w:tcBorders>
              <w:top w:val="single" w:color="auto" w:sz="4" w:space="0"/>
              <w:left w:val="single" w:color="auto" w:sz="4" w:space="0"/>
              <w:bottom w:val="single" w:color="auto" w:sz="4" w:space="0"/>
              <w:right w:val="single" w:color="auto" w:sz="4" w:space="0"/>
            </w:tcBorders>
            <w:shd w:val="clear" w:color="auto" w:fill="auto"/>
            <w:vAlign w:val="center"/>
          </w:tcPr>
          <w:p w14:paraId="1D4E5676">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606" w:type="pct"/>
            <w:tcBorders>
              <w:top w:val="single" w:color="auto" w:sz="4" w:space="0"/>
              <w:left w:val="single" w:color="auto" w:sz="4" w:space="0"/>
              <w:bottom w:val="single" w:color="auto" w:sz="4" w:space="0"/>
              <w:right w:val="single" w:color="auto" w:sz="4" w:space="0"/>
            </w:tcBorders>
            <w:shd w:val="clear" w:color="auto" w:fill="auto"/>
            <w:vAlign w:val="center"/>
          </w:tcPr>
          <w:p w14:paraId="001A6AE9">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14:paraId="171F4B34">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298662BB">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14:paraId="09EE0BFC">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6D98EAA4">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543" w:type="pct"/>
            <w:tcBorders>
              <w:top w:val="single" w:color="auto" w:sz="4" w:space="0"/>
              <w:left w:val="single" w:color="auto" w:sz="4" w:space="0"/>
              <w:bottom w:val="single" w:color="auto" w:sz="4" w:space="0"/>
              <w:right w:val="single" w:color="auto" w:sz="4" w:space="0"/>
            </w:tcBorders>
            <w:shd w:val="clear" w:color="auto" w:fill="auto"/>
            <w:vAlign w:val="center"/>
          </w:tcPr>
          <w:p w14:paraId="7D40AAF7">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671" w:type="pct"/>
            <w:tcBorders>
              <w:top w:val="single" w:color="auto" w:sz="4" w:space="0"/>
              <w:left w:val="single" w:color="auto" w:sz="4" w:space="0"/>
              <w:bottom w:val="single" w:color="auto" w:sz="4" w:space="0"/>
              <w:right w:val="single" w:color="auto" w:sz="4" w:space="0"/>
            </w:tcBorders>
            <w:shd w:val="clear" w:color="auto" w:fill="auto"/>
            <w:vAlign w:val="center"/>
          </w:tcPr>
          <w:p w14:paraId="3EDB0D1F">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578" w:type="pct"/>
            <w:tcBorders>
              <w:top w:val="single" w:color="auto" w:sz="4" w:space="0"/>
              <w:left w:val="single" w:color="auto" w:sz="4" w:space="0"/>
              <w:bottom w:val="single" w:color="auto" w:sz="4" w:space="0"/>
              <w:right w:val="single" w:color="auto" w:sz="4" w:space="0"/>
            </w:tcBorders>
            <w:vAlign w:val="center"/>
          </w:tcPr>
          <w:p w14:paraId="7C14B7E9">
            <w:pPr>
              <w:keepNext w:val="0"/>
              <w:keepLines w:val="0"/>
              <w:pageBreakBefore w:val="0"/>
              <w:kinsoku/>
              <w:wordWrap/>
              <w:overflowPunct/>
              <w:topLinePunct w:val="0"/>
              <w:autoSpaceDE/>
              <w:autoSpaceDN/>
              <w:bidi w:val="0"/>
              <w:spacing w:line="324" w:lineRule="auto"/>
              <w:textAlignment w:val="auto"/>
              <w:rPr>
                <w:rFonts w:ascii="Times New Roman" w:hAnsi="Times New Roman" w:eastAsia="宋体"/>
                <w:color w:val="auto"/>
                <w:szCs w:val="21"/>
                <w:highlight w:val="none"/>
              </w:rPr>
            </w:pPr>
            <w:r>
              <w:rPr>
                <w:rFonts w:hint="eastAsia" w:ascii="宋体" w:hAnsi="宋体" w:eastAsia="宋体"/>
                <w:color w:val="auto"/>
                <w:szCs w:val="21"/>
                <w:highlight w:val="none"/>
              </w:rPr>
              <w:t>签订合同后</w:t>
            </w:r>
            <w:r>
              <w:rPr>
                <w:rFonts w:hint="eastAsia" w:ascii="宋体" w:hAnsi="宋体" w:eastAsia="宋体"/>
                <w:color w:val="auto"/>
                <w:szCs w:val="21"/>
                <w:highlight w:val="none"/>
                <w:lang w:val="en-US" w:eastAsia="zh-CN"/>
              </w:rPr>
              <w:t>45</w:t>
            </w:r>
            <w:r>
              <w:rPr>
                <w:rFonts w:hint="eastAsia" w:ascii="宋体" w:hAnsi="宋体" w:eastAsia="宋体"/>
                <w:color w:val="auto"/>
                <w:szCs w:val="21"/>
                <w:highlight w:val="none"/>
              </w:rPr>
              <w:t>天内</w:t>
            </w:r>
          </w:p>
        </w:tc>
      </w:tr>
      <w:tr w14:paraId="3C50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36" w:type="pct"/>
            <w:tcBorders>
              <w:top w:val="single" w:color="auto" w:sz="4" w:space="0"/>
              <w:left w:val="single" w:color="auto" w:sz="4" w:space="0"/>
              <w:bottom w:val="single" w:color="auto" w:sz="4" w:space="0"/>
              <w:right w:val="single" w:color="auto" w:sz="4" w:space="0"/>
            </w:tcBorders>
            <w:shd w:val="clear" w:color="auto" w:fill="auto"/>
            <w:vAlign w:val="center"/>
          </w:tcPr>
          <w:p w14:paraId="324DD9F2">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756" w:type="pct"/>
            <w:tcBorders>
              <w:top w:val="single" w:color="auto" w:sz="4" w:space="0"/>
              <w:left w:val="single" w:color="auto" w:sz="4" w:space="0"/>
              <w:bottom w:val="single" w:color="auto" w:sz="4" w:space="0"/>
              <w:right w:val="single" w:color="auto" w:sz="4" w:space="0"/>
            </w:tcBorders>
            <w:shd w:val="clear" w:color="auto" w:fill="auto"/>
            <w:vAlign w:val="center"/>
          </w:tcPr>
          <w:p w14:paraId="7D9D0A09">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606" w:type="pct"/>
            <w:tcBorders>
              <w:top w:val="single" w:color="auto" w:sz="4" w:space="0"/>
              <w:left w:val="single" w:color="auto" w:sz="4" w:space="0"/>
              <w:bottom w:val="single" w:color="auto" w:sz="4" w:space="0"/>
              <w:right w:val="single" w:color="auto" w:sz="4" w:space="0"/>
            </w:tcBorders>
            <w:shd w:val="clear" w:color="auto" w:fill="auto"/>
            <w:vAlign w:val="center"/>
          </w:tcPr>
          <w:p w14:paraId="6CEF72B7">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14:paraId="7FD48D37">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229A1C11">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14:paraId="0592B534">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471BA633">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543" w:type="pct"/>
            <w:tcBorders>
              <w:top w:val="single" w:color="auto" w:sz="4" w:space="0"/>
              <w:left w:val="single" w:color="auto" w:sz="4" w:space="0"/>
              <w:bottom w:val="single" w:color="auto" w:sz="4" w:space="0"/>
              <w:right w:val="single" w:color="auto" w:sz="4" w:space="0"/>
            </w:tcBorders>
            <w:shd w:val="clear" w:color="auto" w:fill="auto"/>
            <w:vAlign w:val="center"/>
          </w:tcPr>
          <w:p w14:paraId="72925732">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671" w:type="pct"/>
            <w:tcBorders>
              <w:top w:val="single" w:color="auto" w:sz="4" w:space="0"/>
              <w:left w:val="single" w:color="auto" w:sz="4" w:space="0"/>
              <w:bottom w:val="single" w:color="auto" w:sz="4" w:space="0"/>
              <w:right w:val="single" w:color="auto" w:sz="4" w:space="0"/>
            </w:tcBorders>
            <w:shd w:val="clear" w:color="auto" w:fill="auto"/>
            <w:vAlign w:val="center"/>
          </w:tcPr>
          <w:p w14:paraId="74D1F0EF">
            <w:pPr>
              <w:keepNext w:val="0"/>
              <w:keepLines w:val="0"/>
              <w:pageBreakBefore w:val="0"/>
              <w:widowControl/>
              <w:kinsoku/>
              <w:wordWrap/>
              <w:overflowPunct/>
              <w:topLinePunct w:val="0"/>
              <w:autoSpaceDE/>
              <w:autoSpaceDN/>
              <w:bidi w:val="0"/>
              <w:spacing w:line="324" w:lineRule="auto"/>
              <w:jc w:val="center"/>
              <w:textAlignment w:val="auto"/>
              <w:rPr>
                <w:rFonts w:ascii="宋体" w:hAnsi="宋体" w:eastAsia="宋体" w:cstheme="minorBidi"/>
                <w:b w:val="0"/>
                <w:bCs w:val="0"/>
                <w:color w:val="auto"/>
                <w:kern w:val="2"/>
                <w:sz w:val="21"/>
                <w:szCs w:val="21"/>
                <w:highlight w:val="none"/>
                <w:lang w:val="en-US" w:eastAsia="zh-CN" w:bidi="ar-SA"/>
              </w:rPr>
            </w:pPr>
            <w:r>
              <w:rPr>
                <w:rFonts w:hint="eastAsia" w:ascii="宋体" w:hAnsi="宋体" w:cs="宋体"/>
                <w:b w:val="0"/>
                <w:bCs w:val="0"/>
                <w:color w:val="auto"/>
                <w:sz w:val="21"/>
                <w:szCs w:val="21"/>
                <w:lang w:val="en-US" w:eastAsia="zh-CN"/>
              </w:rPr>
              <w:t>无</w:t>
            </w:r>
          </w:p>
        </w:tc>
        <w:tc>
          <w:tcPr>
            <w:tcW w:w="578" w:type="pct"/>
            <w:tcBorders>
              <w:top w:val="single" w:color="auto" w:sz="4" w:space="0"/>
              <w:left w:val="single" w:color="auto" w:sz="4" w:space="0"/>
              <w:bottom w:val="single" w:color="auto" w:sz="4" w:space="0"/>
              <w:right w:val="single" w:color="auto" w:sz="4" w:space="0"/>
            </w:tcBorders>
            <w:vAlign w:val="center"/>
          </w:tcPr>
          <w:p w14:paraId="56201E7D">
            <w:pPr>
              <w:keepNext w:val="0"/>
              <w:keepLines w:val="0"/>
              <w:pageBreakBefore w:val="0"/>
              <w:kinsoku/>
              <w:wordWrap/>
              <w:overflowPunct/>
              <w:topLinePunct w:val="0"/>
              <w:autoSpaceDE/>
              <w:autoSpaceDN/>
              <w:bidi w:val="0"/>
              <w:spacing w:line="324" w:lineRule="auto"/>
              <w:textAlignment w:val="auto"/>
              <w:rPr>
                <w:rFonts w:ascii="Times New Roman" w:hAnsi="Times New Roman" w:eastAsia="宋体"/>
                <w:color w:val="auto"/>
                <w:szCs w:val="21"/>
                <w:highlight w:val="none"/>
              </w:rPr>
            </w:pPr>
            <w:r>
              <w:rPr>
                <w:rFonts w:hint="eastAsia" w:ascii="宋体" w:hAnsi="宋体" w:eastAsia="宋体"/>
                <w:color w:val="auto"/>
                <w:szCs w:val="21"/>
                <w:highlight w:val="none"/>
              </w:rPr>
              <w:t>签订合同后</w:t>
            </w:r>
            <w:r>
              <w:rPr>
                <w:rFonts w:hint="eastAsia" w:ascii="宋体" w:hAnsi="宋体" w:eastAsia="宋体"/>
                <w:color w:val="auto"/>
                <w:szCs w:val="21"/>
                <w:highlight w:val="none"/>
                <w:lang w:val="en-US" w:eastAsia="zh-CN"/>
              </w:rPr>
              <w:t>45</w:t>
            </w:r>
            <w:r>
              <w:rPr>
                <w:rFonts w:hint="eastAsia" w:ascii="宋体" w:hAnsi="宋体" w:eastAsia="宋体"/>
                <w:color w:val="auto"/>
                <w:szCs w:val="21"/>
                <w:highlight w:val="none"/>
              </w:rPr>
              <w:t>天内</w:t>
            </w:r>
          </w:p>
        </w:tc>
      </w:tr>
      <w:tr w14:paraId="52F9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92" w:type="pct"/>
            <w:gridSpan w:val="2"/>
            <w:tcBorders>
              <w:top w:val="single" w:color="auto" w:sz="4" w:space="0"/>
              <w:left w:val="single" w:color="auto" w:sz="4" w:space="0"/>
              <w:bottom w:val="single" w:color="auto" w:sz="4" w:space="0"/>
              <w:right w:val="single" w:color="auto" w:sz="4" w:space="0"/>
            </w:tcBorders>
            <w:vAlign w:val="center"/>
          </w:tcPr>
          <w:p w14:paraId="12FFDAAC">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合计</w:t>
            </w:r>
          </w:p>
        </w:tc>
        <w:tc>
          <w:tcPr>
            <w:tcW w:w="3428" w:type="pct"/>
            <w:gridSpan w:val="7"/>
            <w:tcBorders>
              <w:top w:val="single" w:color="auto" w:sz="4" w:space="0"/>
              <w:left w:val="single" w:color="auto" w:sz="4" w:space="0"/>
              <w:bottom w:val="single" w:color="auto" w:sz="4" w:space="0"/>
              <w:right w:val="single" w:color="auto" w:sz="4" w:space="0"/>
            </w:tcBorders>
            <w:vAlign w:val="center"/>
          </w:tcPr>
          <w:p w14:paraId="7EBC2D9F">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bCs/>
                <w:color w:val="auto"/>
                <w:szCs w:val="21"/>
                <w:highlight w:val="none"/>
              </w:rPr>
            </w:pPr>
            <w:r>
              <w:rPr>
                <w:rFonts w:hint="eastAsia" w:ascii="宋体" w:hAnsi="宋体" w:eastAsia="宋体"/>
                <w:color w:val="auto"/>
                <w:szCs w:val="21"/>
                <w:highlight w:val="none"/>
              </w:rPr>
              <w:t>人民币大写：</w:t>
            </w:r>
            <w:r>
              <w:rPr>
                <w:rFonts w:hint="eastAsia" w:ascii="宋体" w:hAnsi="宋体" w:cs="宋体"/>
                <w:b w:val="0"/>
                <w:bCs w:val="0"/>
                <w:color w:val="auto"/>
                <w:sz w:val="21"/>
                <w:szCs w:val="21"/>
                <w:u w:val="none"/>
                <w:lang w:val="en-US" w:eastAsia="zh-CN"/>
              </w:rPr>
              <w:fldChar w:fldCharType="begin"/>
            </w:r>
            <w:r>
              <w:rPr>
                <w:rFonts w:hint="eastAsia" w:ascii="宋体" w:hAnsi="宋体" w:cs="宋体"/>
                <w:b w:val="0"/>
                <w:bCs w:val="0"/>
                <w:color w:val="auto"/>
                <w:sz w:val="21"/>
                <w:szCs w:val="21"/>
                <w:u w:val="none"/>
                <w:lang w:val="en-US" w:eastAsia="zh-CN"/>
              </w:rPr>
              <w:instrText xml:space="preserve"> = 5866000 \* CHINESENUM2 \* MERGEFORMAT </w:instrText>
            </w:r>
            <w:r>
              <w:rPr>
                <w:rFonts w:hint="eastAsia" w:ascii="宋体" w:hAnsi="宋体" w:cs="宋体"/>
                <w:b w:val="0"/>
                <w:bCs w:val="0"/>
                <w:color w:val="auto"/>
                <w:sz w:val="21"/>
                <w:szCs w:val="21"/>
                <w:u w:val="none"/>
                <w:lang w:val="en-US" w:eastAsia="zh-CN"/>
              </w:rPr>
              <w:fldChar w:fldCharType="separate"/>
            </w:r>
            <w:r>
              <w:rPr>
                <w:rFonts w:hint="eastAsia" w:ascii="宋体" w:hAnsi="宋体" w:cs="宋体"/>
                <w:b w:val="0"/>
                <w:bCs w:val="0"/>
                <w:color w:val="auto"/>
                <w:sz w:val="21"/>
                <w:szCs w:val="21"/>
                <w:u w:val="none"/>
                <w:lang w:val="en-US" w:eastAsia="zh-CN"/>
              </w:rPr>
              <w:t>伍佰捌拾陆万陆仟</w:t>
            </w:r>
            <w:r>
              <w:rPr>
                <w:rFonts w:hint="eastAsia" w:ascii="宋体" w:hAnsi="宋体" w:cs="宋体"/>
                <w:b w:val="0"/>
                <w:bCs w:val="0"/>
                <w:color w:val="auto"/>
                <w:sz w:val="21"/>
                <w:szCs w:val="21"/>
                <w:u w:val="none"/>
                <w:lang w:val="en-US" w:eastAsia="zh-CN"/>
              </w:rPr>
              <w:fldChar w:fldCharType="end"/>
            </w:r>
            <w:r>
              <w:rPr>
                <w:rFonts w:hint="eastAsia" w:ascii="宋体" w:hAnsi="宋体" w:cs="宋体"/>
                <w:b w:val="0"/>
                <w:bCs w:val="0"/>
                <w:color w:val="auto"/>
                <w:sz w:val="21"/>
                <w:szCs w:val="21"/>
                <w:u w:val="none"/>
                <w:lang w:val="en-US" w:eastAsia="zh-CN"/>
              </w:rPr>
              <w:t>元整</w:t>
            </w:r>
            <w:r>
              <w:rPr>
                <w:rFonts w:hint="eastAsia" w:ascii="宋体" w:hAnsi="宋体" w:eastAsia="宋体"/>
                <w:color w:val="auto"/>
                <w:szCs w:val="21"/>
                <w:highlight w:val="none"/>
                <w:u w:val="none"/>
              </w:rPr>
              <w:t>（￥：</w:t>
            </w:r>
            <w:r>
              <w:rPr>
                <w:rFonts w:hint="eastAsia" w:ascii="宋体" w:hAnsi="宋体" w:eastAsia="宋体"/>
                <w:color w:val="auto"/>
                <w:szCs w:val="21"/>
                <w:highlight w:val="none"/>
                <w:u w:val="none"/>
                <w:lang w:val="en-US" w:eastAsia="zh-CN"/>
              </w:rPr>
              <w:t>586</w:t>
            </w:r>
            <w:r>
              <w:rPr>
                <w:rFonts w:hint="eastAsia" w:ascii="宋体" w:hAnsi="宋体" w:eastAsia="宋体"/>
                <w:color w:val="auto"/>
                <w:szCs w:val="21"/>
                <w:highlight w:val="none"/>
                <w:lang w:val="en-US" w:eastAsia="zh-CN"/>
              </w:rPr>
              <w:t>6000.00</w:t>
            </w:r>
            <w:r>
              <w:rPr>
                <w:rFonts w:hint="eastAsia" w:ascii="宋体" w:hAnsi="宋体" w:eastAsia="宋体"/>
                <w:color w:val="auto"/>
                <w:szCs w:val="21"/>
                <w:highlight w:val="none"/>
              </w:rPr>
              <w:t>元）</w:t>
            </w:r>
          </w:p>
        </w:tc>
        <w:tc>
          <w:tcPr>
            <w:tcW w:w="578" w:type="pct"/>
            <w:tcBorders>
              <w:top w:val="single" w:color="auto" w:sz="4" w:space="0"/>
              <w:left w:val="single" w:color="auto" w:sz="4" w:space="0"/>
              <w:bottom w:val="single" w:color="auto" w:sz="4" w:space="0"/>
              <w:right w:val="single" w:color="auto" w:sz="4" w:space="0"/>
            </w:tcBorders>
            <w:vAlign w:val="center"/>
          </w:tcPr>
          <w:p w14:paraId="0F5B36F1">
            <w:pPr>
              <w:keepNext w:val="0"/>
              <w:keepLines w:val="0"/>
              <w:pageBreakBefore w:val="0"/>
              <w:kinsoku/>
              <w:wordWrap/>
              <w:overflowPunct/>
              <w:topLinePunct w:val="0"/>
              <w:autoSpaceDE/>
              <w:autoSpaceDN/>
              <w:bidi w:val="0"/>
              <w:spacing w:line="324" w:lineRule="auto"/>
              <w:jc w:val="center"/>
              <w:textAlignment w:val="auto"/>
              <w:rPr>
                <w:rFonts w:hint="eastAsia" w:ascii="宋体" w:hAnsi="宋体" w:eastAsia="宋体"/>
                <w:b/>
                <w:bCs/>
                <w:color w:val="auto"/>
                <w:szCs w:val="21"/>
                <w:highlight w:val="none"/>
                <w:lang w:eastAsia="zh-CN"/>
              </w:rPr>
            </w:pPr>
            <w:r>
              <w:rPr>
                <w:rFonts w:hint="eastAsia" w:ascii="宋体" w:hAnsi="宋体" w:eastAsia="宋体"/>
                <w:b/>
                <w:bCs/>
                <w:color w:val="auto"/>
                <w:szCs w:val="21"/>
                <w:highlight w:val="none"/>
                <w:lang w:eastAsia="zh-CN"/>
              </w:rPr>
              <w:t>无</w:t>
            </w:r>
          </w:p>
        </w:tc>
      </w:tr>
      <w:tr w14:paraId="4BCD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92" w:type="pct"/>
            <w:gridSpan w:val="2"/>
            <w:tcBorders>
              <w:top w:val="single" w:color="auto" w:sz="4" w:space="0"/>
              <w:left w:val="single" w:color="auto" w:sz="4" w:space="0"/>
              <w:bottom w:val="single" w:color="auto" w:sz="4" w:space="0"/>
              <w:right w:val="single" w:color="auto" w:sz="4" w:space="0"/>
            </w:tcBorders>
            <w:vAlign w:val="center"/>
          </w:tcPr>
          <w:p w14:paraId="38750803">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备注</w:t>
            </w:r>
          </w:p>
        </w:tc>
        <w:tc>
          <w:tcPr>
            <w:tcW w:w="3428" w:type="pct"/>
            <w:gridSpan w:val="7"/>
            <w:tcBorders>
              <w:top w:val="single" w:color="auto" w:sz="4" w:space="0"/>
              <w:left w:val="single" w:color="auto" w:sz="4" w:space="0"/>
              <w:bottom w:val="single" w:color="auto" w:sz="4" w:space="0"/>
              <w:right w:val="single" w:color="auto" w:sz="4" w:space="0"/>
            </w:tcBorders>
            <w:vAlign w:val="center"/>
          </w:tcPr>
          <w:p w14:paraId="74319CCB">
            <w:pPr>
              <w:keepNext w:val="0"/>
              <w:keepLines w:val="0"/>
              <w:pageBreakBefore w:val="0"/>
              <w:kinsoku/>
              <w:wordWrap/>
              <w:overflowPunct/>
              <w:topLinePunct w:val="0"/>
              <w:autoSpaceDE/>
              <w:autoSpaceDN/>
              <w:bidi w:val="0"/>
              <w:spacing w:line="324" w:lineRule="auto"/>
              <w:jc w:val="center"/>
              <w:textAlignment w:val="auto"/>
              <w:rPr>
                <w:rFonts w:hint="eastAsia" w:ascii="宋体" w:hAnsi="宋体" w:eastAsia="宋体"/>
                <w:color w:val="auto"/>
                <w:szCs w:val="21"/>
                <w:highlight w:val="none"/>
                <w:lang w:eastAsia="zh-CN"/>
              </w:rPr>
            </w:pPr>
            <w:r>
              <w:rPr>
                <w:rFonts w:hint="eastAsia" w:ascii="宋体" w:hAnsi="宋体" w:eastAsia="宋体"/>
                <w:color w:val="auto"/>
                <w:szCs w:val="21"/>
                <w:highlight w:val="none"/>
                <w:lang w:eastAsia="zh-CN"/>
              </w:rPr>
              <w:t>无</w:t>
            </w:r>
          </w:p>
        </w:tc>
        <w:tc>
          <w:tcPr>
            <w:tcW w:w="578" w:type="pct"/>
            <w:tcBorders>
              <w:top w:val="single" w:color="auto" w:sz="4" w:space="0"/>
              <w:left w:val="single" w:color="auto" w:sz="4" w:space="0"/>
              <w:bottom w:val="single" w:color="auto" w:sz="4" w:space="0"/>
              <w:right w:val="single" w:color="auto" w:sz="4" w:space="0"/>
            </w:tcBorders>
            <w:vAlign w:val="center"/>
          </w:tcPr>
          <w:p w14:paraId="60A78021">
            <w:pPr>
              <w:keepNext w:val="0"/>
              <w:keepLines w:val="0"/>
              <w:pageBreakBefore w:val="0"/>
              <w:kinsoku/>
              <w:wordWrap/>
              <w:overflowPunct/>
              <w:topLinePunct w:val="0"/>
              <w:autoSpaceDE/>
              <w:autoSpaceDN/>
              <w:bidi w:val="0"/>
              <w:spacing w:line="324" w:lineRule="auto"/>
              <w:jc w:val="center"/>
              <w:textAlignment w:val="auto"/>
              <w:rPr>
                <w:rFonts w:hint="eastAsia" w:ascii="宋体" w:hAnsi="宋体" w:eastAsia="宋体"/>
                <w:b/>
                <w:bCs/>
                <w:color w:val="auto"/>
                <w:szCs w:val="21"/>
                <w:highlight w:val="none"/>
                <w:lang w:eastAsia="zh-CN"/>
              </w:rPr>
            </w:pPr>
            <w:r>
              <w:rPr>
                <w:rFonts w:hint="eastAsia" w:ascii="宋体" w:hAnsi="宋体" w:eastAsia="宋体"/>
                <w:b/>
                <w:bCs/>
                <w:color w:val="auto"/>
                <w:szCs w:val="21"/>
                <w:highlight w:val="none"/>
                <w:lang w:eastAsia="zh-CN"/>
              </w:rPr>
              <w:t>无</w:t>
            </w:r>
          </w:p>
        </w:tc>
      </w:tr>
    </w:tbl>
    <w:p w14:paraId="66132F26">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 本合同（</w:t>
      </w:r>
      <w:r>
        <w:rPr>
          <w:rFonts w:hint="eastAsia" w:ascii="宋体" w:hAnsi="宋体" w:eastAsia="宋体" w:cs="Tahoma"/>
          <w:color w:val="auto"/>
          <w:sz w:val="24"/>
          <w:szCs w:val="24"/>
          <w:highlight w:val="none"/>
        </w:rPr>
        <w:t>清单</w:t>
      </w:r>
      <w:r>
        <w:rPr>
          <w:rFonts w:hint="eastAsia" w:ascii="Tahoma" w:hAnsi="Tahoma" w:eastAsia="宋体" w:cs="Tahoma"/>
          <w:color w:val="auto"/>
          <w:sz w:val="24"/>
          <w:szCs w:val="24"/>
          <w:highlight w:val="none"/>
        </w:rPr>
        <w:t>1+</w:t>
      </w:r>
      <w:r>
        <w:rPr>
          <w:rFonts w:hint="eastAsia" w:ascii="宋体" w:hAnsi="宋体" w:eastAsia="宋体" w:cs="Tahoma"/>
          <w:color w:val="auto"/>
          <w:sz w:val="24"/>
          <w:szCs w:val="24"/>
          <w:highlight w:val="none"/>
        </w:rPr>
        <w:t>清单</w:t>
      </w:r>
      <w:r>
        <w:rPr>
          <w:rFonts w:hint="eastAsia" w:ascii="Tahoma" w:hAnsi="Tahoma" w:eastAsia="宋体" w:cs="Tahoma"/>
          <w:color w:val="auto"/>
          <w:sz w:val="24"/>
          <w:szCs w:val="24"/>
          <w:highlight w:val="none"/>
        </w:rPr>
        <w:t>2</w:t>
      </w:r>
      <w:r>
        <w:rPr>
          <w:rFonts w:hint="eastAsia" w:ascii="宋体" w:hAnsi="宋体" w:eastAsia="宋体" w:cs="宋体"/>
          <w:color w:val="auto"/>
          <w:sz w:val="24"/>
          <w:szCs w:val="24"/>
          <w:highlight w:val="none"/>
        </w:rPr>
        <w:t>）总金额人民币大写：</w:t>
      </w:r>
      <w:r>
        <w:rPr>
          <w:rFonts w:hint="eastAsia" w:ascii="宋体" w:hAnsi="宋体" w:eastAsia="宋体" w:cs="宋体"/>
          <w:b/>
          <w:color w:val="auto"/>
          <w:sz w:val="24"/>
          <w:szCs w:val="24"/>
          <w:highlight w:val="none"/>
          <w:u w:val="single"/>
        </w:rPr>
        <w:t>伍佰捌拾陆万陆仟元整</w:t>
      </w:r>
      <w:r>
        <w:rPr>
          <w:rFonts w:hint="eastAsia" w:ascii="宋体" w:hAnsi="宋体" w:eastAsia="宋体" w:cs="宋体"/>
          <w:color w:val="auto"/>
          <w:sz w:val="24"/>
          <w:szCs w:val="24"/>
          <w:highlight w:val="none"/>
        </w:rPr>
        <w:t>（RMB：</w:t>
      </w:r>
      <w:r>
        <w:rPr>
          <w:rFonts w:hint="eastAsia" w:ascii="宋体" w:hAnsi="宋体" w:eastAsia="宋体"/>
          <w:b/>
          <w:bCs/>
          <w:color w:val="auto"/>
          <w:szCs w:val="21"/>
          <w:highlight w:val="none"/>
          <w:u w:val="single"/>
        </w:rPr>
        <w:t>5866000.00</w:t>
      </w:r>
      <w:r>
        <w:rPr>
          <w:rFonts w:hint="eastAsia" w:ascii="宋体" w:hAnsi="宋体" w:eastAsia="宋体" w:cs="宋体"/>
          <w:b/>
          <w:color w:val="auto"/>
          <w:sz w:val="24"/>
          <w:szCs w:val="24"/>
          <w:highlight w:val="none"/>
          <w:u w:val="single"/>
        </w:rPr>
        <w:t>元</w:t>
      </w:r>
      <w:r>
        <w:rPr>
          <w:rFonts w:hint="eastAsia" w:ascii="宋体" w:hAnsi="宋体" w:eastAsia="宋体" w:cs="宋体"/>
          <w:color w:val="auto"/>
          <w:sz w:val="24"/>
          <w:szCs w:val="24"/>
          <w:highlight w:val="none"/>
        </w:rPr>
        <w:t>）。</w:t>
      </w:r>
    </w:p>
    <w:p w14:paraId="41A29338">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243B7005">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 乙方负责办理合同所涉及的进口货物海关免税手续，甲方协助乙方办理进口免税相关事项，提供与其享受免关税待遇相关的证明文件资料，费用已包括在合同总金额内。</w:t>
      </w:r>
    </w:p>
    <w:p w14:paraId="33FBA7AB">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 本合同执行期间合同总金额不变。甲方无须另向乙方支付本合同规定之外的其他任何费用。</w:t>
      </w:r>
    </w:p>
    <w:p w14:paraId="522E1B31">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 乙方所供货物若与合同要求不相符时，甲方有权拒收，并拒付该部分货物的货款。</w:t>
      </w:r>
    </w:p>
    <w:p w14:paraId="3F736F3E">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 履约保证金：</w:t>
      </w:r>
    </w:p>
    <w:p w14:paraId="5950B630">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4FDEF556">
      <w:pPr>
        <w:keepNext w:val="0"/>
        <w:keepLines w:val="0"/>
        <w:pageBreakBefore w:val="0"/>
        <w:kinsoku/>
        <w:wordWrap/>
        <w:overflowPunct/>
        <w:topLinePunct w:val="0"/>
        <w:autoSpaceDE/>
        <w:autoSpaceDN/>
        <w:bidi w:val="0"/>
        <w:spacing w:line="324" w:lineRule="auto"/>
        <w:ind w:left="479" w:leftChars="228"/>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交纳方式：中标人在领取中标通知书后签订合同前将履约保证金汇（存）入采购方指定银行帐户：</w:t>
      </w:r>
    </w:p>
    <w:p w14:paraId="5FD911F9">
      <w:pPr>
        <w:keepNext w:val="0"/>
        <w:keepLines w:val="0"/>
        <w:pageBreakBefore w:val="0"/>
        <w:kinsoku/>
        <w:wordWrap/>
        <w:overflowPunct/>
        <w:topLinePunct w:val="0"/>
        <w:autoSpaceDE/>
        <w:autoSpaceDN/>
        <w:bidi w:val="0"/>
        <w:spacing w:line="324" w:lineRule="auto"/>
        <w:ind w:firstLine="480" w:firstLineChars="200"/>
        <w:textAlignment w:val="auto"/>
        <w:rPr>
          <w:rFonts w:ascii="Times New Roman" w:hAnsi="Times New Roman" w:eastAsia="宋体"/>
          <w:color w:val="auto"/>
          <w:sz w:val="24"/>
          <w:szCs w:val="24"/>
          <w:highlight w:val="none"/>
        </w:rPr>
      </w:pPr>
      <w:r>
        <w:rPr>
          <w:rFonts w:ascii="宋体" w:hAnsi="宋体" w:eastAsia="宋体"/>
          <w:color w:val="auto"/>
          <w:sz w:val="24"/>
          <w:szCs w:val="24"/>
          <w:highlight w:val="none"/>
        </w:rPr>
        <w:t>开户名称：河南中医</w:t>
      </w:r>
      <w:r>
        <w:rPr>
          <w:rFonts w:hint="eastAsia" w:ascii="宋体" w:hAnsi="宋体" w:eastAsia="宋体"/>
          <w:color w:val="auto"/>
          <w:sz w:val="24"/>
          <w:szCs w:val="24"/>
          <w:highlight w:val="none"/>
        </w:rPr>
        <w:t>药大学</w:t>
      </w:r>
    </w:p>
    <w:p w14:paraId="6D66AD17">
      <w:pPr>
        <w:keepNext w:val="0"/>
        <w:keepLines w:val="0"/>
        <w:pageBreakBefore w:val="0"/>
        <w:kinsoku/>
        <w:wordWrap/>
        <w:overflowPunct/>
        <w:topLinePunct w:val="0"/>
        <w:autoSpaceDE/>
        <w:autoSpaceDN/>
        <w:bidi w:val="0"/>
        <w:spacing w:line="324" w:lineRule="auto"/>
        <w:ind w:firstLine="480" w:firstLineChars="200"/>
        <w:textAlignment w:val="auto"/>
        <w:rPr>
          <w:rFonts w:ascii="Times New Roman" w:hAnsi="Times New Roman" w:eastAsia="宋体"/>
          <w:color w:val="auto"/>
          <w:sz w:val="24"/>
          <w:szCs w:val="24"/>
          <w:highlight w:val="none"/>
        </w:rPr>
      </w:pPr>
      <w:r>
        <w:rPr>
          <w:rFonts w:ascii="宋体" w:hAnsi="宋体" w:eastAsia="宋体"/>
          <w:color w:val="auto"/>
          <w:sz w:val="24"/>
          <w:szCs w:val="24"/>
          <w:highlight w:val="none"/>
        </w:rPr>
        <w:t>账</w:t>
      </w:r>
      <w:r>
        <w:rPr>
          <w:rFonts w:ascii="Times New Roman" w:hAnsi="Times New Roman" w:eastAsia="宋体"/>
          <w:color w:val="auto"/>
          <w:sz w:val="24"/>
          <w:szCs w:val="24"/>
          <w:highlight w:val="none"/>
        </w:rPr>
        <w:t xml:space="preserve">  号：1702020609200014257</w:t>
      </w:r>
    </w:p>
    <w:p w14:paraId="5CA6DFF7">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开户行：工商银行花园路支行</w:t>
      </w:r>
      <w:r>
        <w:rPr>
          <w:rFonts w:hint="eastAsia" w:ascii="宋体" w:hAnsi="宋体" w:eastAsia="宋体"/>
          <w:color w:val="auto"/>
          <w:sz w:val="24"/>
          <w:szCs w:val="24"/>
          <w:highlight w:val="none"/>
        </w:rPr>
        <w:t>（请注明中标通知书中的合同编号）</w:t>
      </w:r>
    </w:p>
    <w:p w14:paraId="66C6D367">
      <w:pPr>
        <w:keepNext w:val="0"/>
        <w:keepLines w:val="0"/>
        <w:pageBreakBefore w:val="0"/>
        <w:kinsoku/>
        <w:wordWrap/>
        <w:overflowPunct/>
        <w:topLinePunct w:val="0"/>
        <w:autoSpaceDE/>
        <w:autoSpaceDN/>
        <w:bidi w:val="0"/>
        <w:spacing w:line="324" w:lineRule="auto"/>
        <w:ind w:firstLine="482" w:firstLineChars="200"/>
        <w:textAlignment w:val="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二、货物质量标准</w:t>
      </w:r>
    </w:p>
    <w:p w14:paraId="12B6048D">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308E6E2C">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 乙方提供的货物必须为全新的、未使用过的原厂原包装产品（含零部件、配件、随机工具、技术文件等），且进货渠道合法。</w:t>
      </w:r>
    </w:p>
    <w:p w14:paraId="39A1D4EE">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 乙方提供的货物必须包装外观完好、无破损，货物洁净完好、无划痕、无凹陷、无退色、无锈迹。</w:t>
      </w:r>
    </w:p>
    <w:p w14:paraId="524F1249">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 乙方提供的货物不符合合同规定的质量要求的，甲方有权拒绝接受该货物，乙方应更换被拒绝的货物，并达到合同规定的质量要求，所造成的损失由乙方承担。必要时甲方有权解除合同。</w:t>
      </w:r>
    </w:p>
    <w:p w14:paraId="1C9505C3">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 因货物的质量问题发生争议，由河南省商检部门进行质量鉴定。货物符合质量标准的，鉴定费由甲方承担；货物不符合质量标准的，鉴定费由乙方承担。</w:t>
      </w:r>
    </w:p>
    <w:p w14:paraId="274C97AA">
      <w:pPr>
        <w:keepNext w:val="0"/>
        <w:keepLines w:val="0"/>
        <w:pageBreakBefore w:val="0"/>
        <w:kinsoku/>
        <w:wordWrap/>
        <w:overflowPunct/>
        <w:topLinePunct w:val="0"/>
        <w:autoSpaceDE/>
        <w:autoSpaceDN/>
        <w:bidi w:val="0"/>
        <w:spacing w:line="324" w:lineRule="auto"/>
        <w:ind w:firstLine="482" w:firstLineChars="200"/>
        <w:textAlignment w:val="auto"/>
        <w:rPr>
          <w:rFonts w:ascii="宋体" w:hAnsi="Courier New" w:eastAsia="宋体" w:cs="宋体"/>
          <w:b/>
          <w:color w:val="auto"/>
          <w:sz w:val="24"/>
          <w:szCs w:val="24"/>
          <w:highlight w:val="none"/>
        </w:rPr>
      </w:pPr>
      <w:r>
        <w:rPr>
          <w:rFonts w:hint="eastAsia" w:ascii="宋体" w:hAnsi="宋体" w:eastAsia="宋体" w:cs="宋体"/>
          <w:b/>
          <w:color w:val="auto"/>
          <w:sz w:val="24"/>
          <w:szCs w:val="24"/>
          <w:highlight w:val="none"/>
        </w:rPr>
        <w:t>三、货物包装、交货</w:t>
      </w:r>
    </w:p>
    <w:p w14:paraId="0D228954">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 包装</w:t>
      </w:r>
    </w:p>
    <w:p w14:paraId="5781786F">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⑴ 合同货物的包装必须与运输方式相适应，应有良好的防湿、防锈、防潮、防雨、防腐及防碰撞的措施。凡由于不适当的包装而造成货物在运输过程中有任何损坏、丢失等由乙方负责。</w:t>
      </w:r>
    </w:p>
    <w:p w14:paraId="4D75D8E8">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⑵ 包装应足以承受整个过程中的运输、转运、装卸、储存等，充分考虑到运输途中的各种情况（如暴露于恶劣气候等），以及露天存放的需要。</w:t>
      </w:r>
    </w:p>
    <w:p w14:paraId="6B15485E">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2. 交货</w:t>
      </w:r>
    </w:p>
    <w:p w14:paraId="7112FA35">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⑴ 乙方交货时间：合同生效后国产货物45日。交货完毕后及时提交货物验收申请</w:t>
      </w:r>
      <w:r>
        <w:rPr>
          <w:rFonts w:hint="eastAsia" w:ascii="宋体" w:hAnsi="宋体" w:eastAsia="宋体" w:cs="宋体"/>
          <w:color w:val="auto"/>
          <w:sz w:val="24"/>
          <w:szCs w:val="24"/>
          <w:highlight w:val="none"/>
        </w:rPr>
        <w:t>（货物经验收合格的，交货日期以甲方收到乙方验收申请函日期为准；验收不合格的，交货日期以实际验收合格日期为准）。</w:t>
      </w:r>
      <w:r>
        <w:rPr>
          <w:rFonts w:hint="eastAsia" w:ascii="宋体" w:hAnsi="宋体" w:eastAsia="宋体"/>
          <w:color w:val="auto"/>
          <w:sz w:val="24"/>
          <w:szCs w:val="24"/>
          <w:highlight w:val="none"/>
        </w:rPr>
        <w:t>即</w:t>
      </w:r>
      <w:r>
        <w:rPr>
          <w:rFonts w:ascii="宋体" w:hAnsi="宋体" w:eastAsia="宋体"/>
          <w:color w:val="auto"/>
          <w:sz w:val="24"/>
          <w:szCs w:val="24"/>
          <w:highlight w:val="none"/>
        </w:rPr>
        <w:t>在</w:t>
      </w:r>
      <w:r>
        <w:rPr>
          <w:rFonts w:hint="eastAsia" w:ascii="Times New Roman" w:hAnsi="Times New Roman" w:eastAsia="宋体"/>
          <w:b/>
          <w:color w:val="auto"/>
          <w:sz w:val="24"/>
          <w:szCs w:val="24"/>
          <w:highlight w:val="none"/>
          <w:u w:val="single"/>
          <w:lang w:val="en-US" w:eastAsia="zh-CN"/>
        </w:rPr>
        <w:t xml:space="preserve">    </w:t>
      </w:r>
      <w:r>
        <w:rPr>
          <w:rFonts w:ascii="宋体" w:hAnsi="宋体" w:eastAsia="宋体"/>
          <w:color w:val="auto"/>
          <w:sz w:val="24"/>
          <w:szCs w:val="24"/>
          <w:highlight w:val="none"/>
        </w:rPr>
        <w:t>年</w:t>
      </w:r>
      <w:r>
        <w:rPr>
          <w:rFonts w:hint="eastAsia" w:ascii="Times New Roman" w:hAnsi="Times New Roman" w:eastAsia="宋体"/>
          <w:b/>
          <w:color w:val="auto"/>
          <w:sz w:val="24"/>
          <w:szCs w:val="24"/>
          <w:highlight w:val="none"/>
          <w:u w:val="single"/>
          <w:lang w:val="en-US" w:eastAsia="zh-CN"/>
        </w:rPr>
        <w:t xml:space="preserve">  </w:t>
      </w:r>
      <w:r>
        <w:rPr>
          <w:rFonts w:ascii="宋体" w:hAnsi="宋体" w:eastAsia="宋体"/>
          <w:color w:val="auto"/>
          <w:sz w:val="24"/>
          <w:szCs w:val="24"/>
          <w:highlight w:val="none"/>
        </w:rPr>
        <w:t>月</w:t>
      </w:r>
      <w:r>
        <w:rPr>
          <w:rFonts w:hint="eastAsia" w:ascii="Times New Roman" w:hAnsi="Times New Roman" w:eastAsia="宋体"/>
          <w:b/>
          <w:bCs w:val="0"/>
          <w:color w:val="auto"/>
          <w:sz w:val="24"/>
          <w:szCs w:val="24"/>
          <w:highlight w:val="none"/>
          <w:u w:val="single"/>
          <w:lang w:val="en-US" w:eastAsia="zh-CN"/>
        </w:rPr>
        <w:t xml:space="preserve">  </w:t>
      </w:r>
      <w:r>
        <w:rPr>
          <w:rFonts w:ascii="宋体" w:hAnsi="宋体" w:eastAsia="宋体"/>
          <w:color w:val="auto"/>
          <w:sz w:val="24"/>
          <w:szCs w:val="24"/>
          <w:highlight w:val="none"/>
        </w:rPr>
        <w:t>日前完成全部</w:t>
      </w:r>
      <w:r>
        <w:rPr>
          <w:rFonts w:hint="eastAsia" w:ascii="宋体" w:hAnsi="宋体" w:eastAsia="宋体"/>
          <w:color w:val="auto"/>
          <w:sz w:val="24"/>
          <w:szCs w:val="24"/>
          <w:highlight w:val="none"/>
        </w:rPr>
        <w:t>仪器设备的</w:t>
      </w:r>
      <w:r>
        <w:rPr>
          <w:rFonts w:ascii="宋体" w:hAnsi="宋体" w:eastAsia="宋体"/>
          <w:color w:val="auto"/>
          <w:sz w:val="24"/>
          <w:szCs w:val="24"/>
          <w:highlight w:val="none"/>
        </w:rPr>
        <w:t>安装调试</w:t>
      </w:r>
      <w:r>
        <w:rPr>
          <w:rFonts w:hint="eastAsia" w:ascii="宋体" w:hAnsi="宋体" w:eastAsia="宋体"/>
          <w:color w:val="auto"/>
          <w:sz w:val="24"/>
          <w:szCs w:val="24"/>
          <w:highlight w:val="none"/>
        </w:rPr>
        <w:t>，并</w:t>
      </w:r>
      <w:r>
        <w:rPr>
          <w:rFonts w:ascii="宋体" w:hAnsi="宋体" w:eastAsia="宋体"/>
          <w:color w:val="auto"/>
          <w:sz w:val="24"/>
          <w:szCs w:val="24"/>
          <w:highlight w:val="none"/>
        </w:rPr>
        <w:t>交付使用</w:t>
      </w:r>
      <w:r>
        <w:rPr>
          <w:rFonts w:ascii="Times New Roman" w:hAnsi="Times New Roman" w:eastAsia="宋体"/>
          <w:color w:val="auto"/>
          <w:sz w:val="24"/>
          <w:szCs w:val="24"/>
          <w:highlight w:val="none"/>
        </w:rPr>
        <w:t>(</w:t>
      </w:r>
      <w:r>
        <w:rPr>
          <w:rFonts w:ascii="宋体" w:hAnsi="宋体" w:eastAsia="宋体"/>
          <w:color w:val="auto"/>
          <w:sz w:val="24"/>
          <w:szCs w:val="24"/>
          <w:highlight w:val="none"/>
        </w:rPr>
        <w:t>如由于采购人的原因造成合同延迟签订或验收的，时间顺延</w:t>
      </w:r>
      <w:r>
        <w:rPr>
          <w:rFonts w:ascii="Times New Roman" w:hAnsi="Times New Roman" w:eastAsia="宋体"/>
          <w:color w:val="auto"/>
          <w:sz w:val="24"/>
          <w:szCs w:val="24"/>
          <w:highlight w:val="none"/>
        </w:rPr>
        <w:t>)</w:t>
      </w:r>
      <w:r>
        <w:rPr>
          <w:rFonts w:ascii="宋体" w:hAnsi="宋体" w:eastAsia="宋体"/>
          <w:color w:val="auto"/>
          <w:sz w:val="24"/>
          <w:szCs w:val="24"/>
          <w:highlight w:val="none"/>
        </w:rPr>
        <w:t>。</w:t>
      </w:r>
      <w:r>
        <w:rPr>
          <w:rFonts w:hint="eastAsia" w:ascii="宋体" w:hAnsi="宋体" w:eastAsia="宋体"/>
          <w:color w:val="auto"/>
          <w:sz w:val="24"/>
          <w:szCs w:val="24"/>
          <w:highlight w:val="none"/>
        </w:rPr>
        <w:t>乙方逾期交付物品，则每迟交一周货物应向甲方支付货款总额</w:t>
      </w:r>
      <w:r>
        <w:rPr>
          <w:rFonts w:hint="eastAsia" w:ascii="Times New Roman" w:hAnsi="Times New Roman" w:eastAsia="宋体"/>
          <w:color w:val="auto"/>
          <w:sz w:val="24"/>
          <w:szCs w:val="24"/>
          <w:highlight w:val="none"/>
        </w:rPr>
        <w:t>5%</w:t>
      </w:r>
      <w:r>
        <w:rPr>
          <w:rFonts w:hint="eastAsia" w:ascii="宋体" w:hAnsi="宋体" w:eastAsia="宋体"/>
          <w:color w:val="auto"/>
          <w:sz w:val="24"/>
          <w:szCs w:val="24"/>
          <w:highlight w:val="none"/>
        </w:rPr>
        <w:t>违约金，不足一周按一周计算。</w:t>
      </w:r>
    </w:p>
    <w:p w14:paraId="114452C8">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⑵ 根据所购货物情况，甲方确定是否在发货前对所供货物进行检查，以保证所发货物与合同一致。所需费用由乙方承担。</w:t>
      </w:r>
    </w:p>
    <w:p w14:paraId="286F077B">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⑶ 乙方交货地点：河南中医药大学指定地点。</w:t>
      </w:r>
    </w:p>
    <w:p w14:paraId="538DC54F">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⑷ 合同货物抵达甲方后，由甲乙双方一同清点货物数量，开箱检验表面状况，核对规格型号。并负责解决开箱检验清点发现的问题和赔偿。</w:t>
      </w:r>
    </w:p>
    <w:p w14:paraId="1A7952CE">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⑸ 乙方应将合同货物的产品序列号、用户手册、技术资料（包括详细装箱单、质量证书、设备说明书、使用手册和其它相关技术资料）及配件、随机工具等一并交付给甲方。</w:t>
      </w:r>
    </w:p>
    <w:p w14:paraId="185ADFF1">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⑹ 专用工具及备品、备件应分别包装，并在包装箱外加以注明其用处。</w:t>
      </w:r>
    </w:p>
    <w:p w14:paraId="2BA65F05">
      <w:pPr>
        <w:keepNext w:val="0"/>
        <w:keepLines w:val="0"/>
        <w:pageBreakBefore w:val="0"/>
        <w:kinsoku/>
        <w:wordWrap/>
        <w:overflowPunct/>
        <w:topLinePunct w:val="0"/>
        <w:autoSpaceDE/>
        <w:autoSpaceDN/>
        <w:bidi w:val="0"/>
        <w:spacing w:line="324" w:lineRule="auto"/>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四、合同货物的安装、调试</w:t>
      </w:r>
    </w:p>
    <w:p w14:paraId="75D82C74">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1. 乙方负责合同项下货物的安装调试至能够正常开机使用，且与合同要求的各项技术指标一致，符合各项安全标准，一切费用由乙方负责。</w:t>
      </w:r>
    </w:p>
    <w:p w14:paraId="44FF5F76">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2. 乙方安装时须对各安装场地内的其它设备、设施有良好保护措施。</w:t>
      </w:r>
    </w:p>
    <w:p w14:paraId="34478E6A">
      <w:pPr>
        <w:keepNext w:val="0"/>
        <w:keepLines w:val="0"/>
        <w:pageBreakBefore w:val="0"/>
        <w:kinsoku/>
        <w:wordWrap/>
        <w:overflowPunct/>
        <w:topLinePunct w:val="0"/>
        <w:autoSpaceDE/>
        <w:autoSpaceDN/>
        <w:bidi w:val="0"/>
        <w:spacing w:line="324" w:lineRule="auto"/>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五、安全责任</w:t>
      </w:r>
    </w:p>
    <w:p w14:paraId="39ED48C5">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乙方在安装、调试合同货物过程中要严格执行国家有关人身安全及防火安全的规定，做好各项防护措施，防止各类事故的发生，若造成人身伤害及货物损坏事故等，则由乙方负全部责任。</w:t>
      </w:r>
    </w:p>
    <w:p w14:paraId="6A3A2A72">
      <w:pPr>
        <w:keepNext w:val="0"/>
        <w:keepLines w:val="0"/>
        <w:pageBreakBefore w:val="0"/>
        <w:kinsoku/>
        <w:wordWrap/>
        <w:overflowPunct/>
        <w:topLinePunct w:val="0"/>
        <w:autoSpaceDE/>
        <w:autoSpaceDN/>
        <w:bidi w:val="0"/>
        <w:spacing w:line="324" w:lineRule="auto"/>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六、货物的验收</w:t>
      </w:r>
    </w:p>
    <w:p w14:paraId="40242B05">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Times New Roman" w:hAnsi="Times New Roman" w:eastAsia="宋体"/>
          <w:color w:val="auto"/>
          <w:sz w:val="24"/>
          <w:szCs w:val="24"/>
          <w:highlight w:val="none"/>
        </w:rPr>
        <w:t xml:space="preserve">1.  </w:t>
      </w:r>
      <w:r>
        <w:rPr>
          <w:rFonts w:hint="eastAsia" w:ascii="宋体" w:hAnsi="宋体" w:eastAsia="宋体"/>
          <w:color w:val="auto"/>
          <w:sz w:val="24"/>
          <w:szCs w:val="24"/>
          <w:highlight w:val="none"/>
        </w:rPr>
        <w:t>在甲方验收前，乙方应提交合同货物验收报告、每台仪器设备制造厂商出具的明细装箱单、每台仪器设备制造厂商出具的出厂质量证书、每台仪器设备制造厂商出具的使用说明书。</w:t>
      </w:r>
    </w:p>
    <w:p w14:paraId="1E05D5E3">
      <w:pPr>
        <w:keepNext w:val="0"/>
        <w:keepLines w:val="0"/>
        <w:pageBreakBefore w:val="0"/>
        <w:kinsoku/>
        <w:wordWrap/>
        <w:overflowPunct/>
        <w:topLinePunct w:val="0"/>
        <w:autoSpaceDE/>
        <w:autoSpaceDN/>
        <w:bidi w:val="0"/>
        <w:spacing w:line="324" w:lineRule="auto"/>
        <w:ind w:right="-82" w:rightChars="-39" w:firstLine="480" w:firstLineChars="200"/>
        <w:textAlignment w:val="auto"/>
        <w:rPr>
          <w:rFonts w:ascii="宋体" w:hAnsi="宋体" w:eastAsia="宋体"/>
          <w:color w:val="auto"/>
          <w:sz w:val="24"/>
          <w:szCs w:val="24"/>
          <w:highlight w:val="none"/>
        </w:rPr>
      </w:pPr>
      <w:r>
        <w:rPr>
          <w:rFonts w:hint="eastAsia" w:ascii="Times New Roman" w:hAnsi="Times New Roman" w:eastAsia="宋体"/>
          <w:color w:val="auto"/>
          <w:sz w:val="24"/>
          <w:szCs w:val="24"/>
          <w:highlight w:val="none"/>
        </w:rPr>
        <w:t>2.</w:t>
      </w:r>
      <w:r>
        <w:rPr>
          <w:rFonts w:hint="eastAsia" w:ascii="宋体" w:hAnsi="宋体" w:eastAsia="宋体"/>
          <w:color w:val="auto"/>
          <w:sz w:val="24"/>
          <w:szCs w:val="24"/>
          <w:highlight w:val="none"/>
        </w:rPr>
        <w:t xml:space="preserve"> 乙方应在甲方验收前，向甲方提供按本合同的技术规格、技术规范要求进行的测试报告和验收报告，验收以招投标文件、合同技术规格、产品相应的技术说明为标准。</w:t>
      </w:r>
    </w:p>
    <w:p w14:paraId="253232D4">
      <w:pPr>
        <w:keepNext w:val="0"/>
        <w:keepLines w:val="0"/>
        <w:pageBreakBefore w:val="0"/>
        <w:kinsoku/>
        <w:wordWrap/>
        <w:overflowPunct/>
        <w:topLinePunct w:val="0"/>
        <w:autoSpaceDE/>
        <w:autoSpaceDN/>
        <w:bidi w:val="0"/>
        <w:spacing w:line="324" w:lineRule="auto"/>
        <w:ind w:right="-82" w:rightChars="-39"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3. 合同货物（系统）交货（完工）并完成操作培训、粘贴条码，且正常运行后，甲方使用单位组织验收。验收应在甲乙双方共同参加下进行。</w:t>
      </w:r>
    </w:p>
    <w:p w14:paraId="1D244A93">
      <w:pPr>
        <w:keepNext w:val="0"/>
        <w:keepLines w:val="0"/>
        <w:pageBreakBefore w:val="0"/>
        <w:kinsoku/>
        <w:wordWrap/>
        <w:overflowPunct/>
        <w:topLinePunct w:val="0"/>
        <w:autoSpaceDE/>
        <w:autoSpaceDN/>
        <w:bidi w:val="0"/>
        <w:spacing w:line="324" w:lineRule="auto"/>
        <w:ind w:right="-82" w:rightChars="-39"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3C33680B">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5. 如果合同货物运输和安装调试过程中因事故造成货物短缺、损坏，乙方应及时安排换装，以保证合同货物安装调试的成功完成。换货的相关费用由乙方承担。</w:t>
      </w:r>
    </w:p>
    <w:p w14:paraId="467985DB">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6. 国内产品或合资厂的产品必须具备出厂合格证。</w:t>
      </w:r>
    </w:p>
    <w:p w14:paraId="40F04C3E">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7. 进口产品必须具备省级（或相当于省级）商检部门的检验证明，进口免税设备需要同时准备免税证明、报关单、外贸合同。</w:t>
      </w:r>
    </w:p>
    <w:p w14:paraId="2E8C766C">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8. 乙方保证合同项下提供的货物不侵犯任何第三方的专利、商标或版权。否则，乙方须承担对第三方的专利或版权的侵权责任并承担因此而发生的所有费用。</w:t>
      </w:r>
    </w:p>
    <w:p w14:paraId="2908BEFE">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9. 合同货物验收未能通过的，乙方负责及时整改。若整改后仍未能合格的，甲方依法追究其经济及法律责任。</w:t>
      </w:r>
    </w:p>
    <w:p w14:paraId="3D999014">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 验收合格后双方共同签署验收报告，验收合格日期以最后的签字日为准。</w:t>
      </w:r>
    </w:p>
    <w:p w14:paraId="12D919E1">
      <w:pPr>
        <w:keepNext w:val="0"/>
        <w:keepLines w:val="0"/>
        <w:pageBreakBefore w:val="0"/>
        <w:kinsoku/>
        <w:wordWrap/>
        <w:overflowPunct/>
        <w:topLinePunct w:val="0"/>
        <w:autoSpaceDE/>
        <w:autoSpaceDN/>
        <w:bidi w:val="0"/>
        <w:spacing w:line="324" w:lineRule="auto"/>
        <w:ind w:firstLine="482" w:firstLineChars="200"/>
        <w:textAlignment w:val="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七、培训</w:t>
      </w:r>
    </w:p>
    <w:p w14:paraId="7C6CE60D">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60BFE252">
      <w:pPr>
        <w:keepNext w:val="0"/>
        <w:keepLines w:val="0"/>
        <w:pageBreakBefore w:val="0"/>
        <w:kinsoku/>
        <w:wordWrap/>
        <w:overflowPunct/>
        <w:topLinePunct w:val="0"/>
        <w:autoSpaceDE/>
        <w:autoSpaceDN/>
        <w:bidi w:val="0"/>
        <w:spacing w:line="324" w:lineRule="auto"/>
        <w:ind w:firstLine="482" w:firstLineChars="200"/>
        <w:textAlignment w:val="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八、 付款方式</w:t>
      </w:r>
    </w:p>
    <w:p w14:paraId="008E6B30">
      <w:pPr>
        <w:keepNext w:val="0"/>
        <w:keepLines w:val="0"/>
        <w:pageBreakBefore w:val="0"/>
        <w:kinsoku/>
        <w:wordWrap/>
        <w:overflowPunct/>
        <w:topLinePunct w:val="0"/>
        <w:autoSpaceDE/>
        <w:autoSpaceDN/>
        <w:bidi w:val="0"/>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中标的货物安装调试，正常运行后，采购方组织有关人员及使用单位或第三方联合验收，验收合格后采购方支付合同价的总额。</w:t>
      </w:r>
    </w:p>
    <w:p w14:paraId="6CB2DB80">
      <w:pPr>
        <w:keepNext w:val="0"/>
        <w:keepLines w:val="0"/>
        <w:pageBreakBefore w:val="0"/>
        <w:kinsoku/>
        <w:wordWrap/>
        <w:overflowPunct/>
        <w:topLinePunct w:val="0"/>
        <w:autoSpaceDE/>
        <w:autoSpaceDN/>
        <w:bidi w:val="0"/>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申请付款时必须提交以下文件和资料：1、资金支付申请书；2、由甲方签字的验收报告；3、教学、科研设备需开具增值税专用发票，其他货物、服务需开具增值税普通发票。</w:t>
      </w:r>
    </w:p>
    <w:p w14:paraId="74806616">
      <w:pPr>
        <w:keepNext w:val="0"/>
        <w:keepLines w:val="0"/>
        <w:pageBreakBefore w:val="0"/>
        <w:kinsoku/>
        <w:wordWrap/>
        <w:overflowPunct/>
        <w:topLinePunct w:val="0"/>
        <w:autoSpaceDE/>
        <w:autoSpaceDN/>
        <w:bidi w:val="0"/>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具体步骤：乙方填写《资金支付申请书》、开具抬头为甲方的发票，并送交甲方；甲方填写《验收报告》，乙方凭《资金支付申请书》和《验收报告》由甲方支付货款。</w:t>
      </w:r>
    </w:p>
    <w:p w14:paraId="32D33B73">
      <w:pPr>
        <w:keepNext w:val="0"/>
        <w:keepLines w:val="0"/>
        <w:pageBreakBefore w:val="0"/>
        <w:kinsoku/>
        <w:wordWrap/>
        <w:overflowPunct/>
        <w:topLinePunct w:val="0"/>
        <w:autoSpaceDE/>
        <w:autoSpaceDN/>
        <w:bidi w:val="0"/>
        <w:spacing w:line="324" w:lineRule="auto"/>
        <w:ind w:firstLine="482" w:firstLineChars="200"/>
        <w:textAlignment w:val="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九、质保期限</w:t>
      </w:r>
    </w:p>
    <w:p w14:paraId="1A83AB26">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本合同货物国产仪器设备整机（包括配套设备）免费质保期三年。质保期自甲乙双方在设备验收报告签字之日起计算。</w:t>
      </w:r>
    </w:p>
    <w:p w14:paraId="11B53C4A">
      <w:pPr>
        <w:keepNext w:val="0"/>
        <w:keepLines w:val="0"/>
        <w:pageBreakBefore w:val="0"/>
        <w:kinsoku/>
        <w:wordWrap/>
        <w:overflowPunct/>
        <w:topLinePunct w:val="0"/>
        <w:autoSpaceDE/>
        <w:autoSpaceDN/>
        <w:bidi w:val="0"/>
        <w:spacing w:line="324" w:lineRule="auto"/>
        <w:ind w:firstLine="482" w:firstLineChars="200"/>
        <w:textAlignment w:val="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十、售后服务</w:t>
      </w:r>
      <w:r>
        <w:rPr>
          <w:rFonts w:hint="eastAsia" w:ascii="宋体" w:hAnsi="宋体" w:eastAsia="宋体" w:cs="宋体"/>
          <w:b/>
          <w:color w:val="auto"/>
          <w:sz w:val="24"/>
          <w:szCs w:val="24"/>
          <w:highlight w:val="none"/>
        </w:rPr>
        <w:tab/>
      </w:r>
    </w:p>
    <w:p w14:paraId="55D8D33F">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Cs w:val="21"/>
          <w:highlight w:val="none"/>
        </w:rPr>
        <w:t xml:space="preserve"> </w:t>
      </w:r>
      <w:r>
        <w:rPr>
          <w:rFonts w:hint="eastAsia" w:ascii="宋体" w:hAnsi="宋体" w:eastAsia="宋体" w:cs="宋体"/>
          <w:color w:val="auto"/>
          <w:sz w:val="24"/>
          <w:szCs w:val="24"/>
          <w:highlight w:val="none"/>
        </w:rPr>
        <w:t>乙方须指派专人负责与甲方联系售后服务事宜（联系人：</w:t>
      </w:r>
      <w:r>
        <w:rPr>
          <w:rFonts w:hint="eastAsia" w:ascii="宋体" w:hAnsi="宋体" w:eastAsia="宋体" w:cs="宋体"/>
          <w:b w:val="0"/>
          <w:bCs/>
          <w:color w:val="auto"/>
          <w:sz w:val="24"/>
          <w:szCs w:val="24"/>
          <w:highlight w:val="none"/>
          <w:u w:val="single"/>
          <w:lang w:eastAsia="zh-CN"/>
        </w:rPr>
        <w:t>陈鹏</w:t>
      </w:r>
      <w:r>
        <w:rPr>
          <w:rFonts w:hint="eastAsia" w:ascii="宋体" w:hAnsi="宋体" w:eastAsia="宋体" w:cs="宋体"/>
          <w:b w:val="0"/>
          <w:bCs/>
          <w:color w:val="auto"/>
          <w:sz w:val="24"/>
          <w:szCs w:val="24"/>
          <w:highlight w:val="none"/>
        </w:rPr>
        <w:t>，电话：</w:t>
      </w:r>
      <w:r>
        <w:rPr>
          <w:rFonts w:hint="eastAsia" w:ascii="宋体" w:hAnsi="宋体" w:eastAsia="宋体" w:cs="宋体"/>
          <w:b w:val="0"/>
          <w:bCs/>
          <w:color w:val="auto"/>
          <w:sz w:val="24"/>
          <w:szCs w:val="24"/>
          <w:highlight w:val="none"/>
          <w:u w:val="single"/>
          <w:lang w:val="en-US" w:eastAsia="zh-CN"/>
        </w:rPr>
        <w:t>13837124434</w:t>
      </w:r>
      <w:r>
        <w:rPr>
          <w:rFonts w:hint="eastAsia" w:ascii="宋体" w:hAnsi="宋体" w:eastAsia="宋体" w:cs="宋体"/>
          <w:color w:val="auto"/>
          <w:sz w:val="24"/>
          <w:szCs w:val="24"/>
          <w:highlight w:val="none"/>
        </w:rPr>
        <w:t xml:space="preserve">）。 </w:t>
      </w:r>
    </w:p>
    <w:p w14:paraId="7EB75AAE">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 质保期内，乙方负责对其提供的货物上门进行硬件维修、软件维护和升级等免费服务，甲方不再支付任何费用，但人为因素或自然灾害造成的损坏除外。</w:t>
      </w:r>
    </w:p>
    <w:p w14:paraId="1ECFCCF3">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 质保期内，乙方在接到甲方系统故障或问题告知后，8小时内做出回应，48小时内到达现场排除故障。质保期内设备出现故障经乙方三次维修故障仍无法排除（包括但不限于不能达到质量标准、设备不能正常运行、影响甲方正常使用等），甲方有权要求乙方换货或退货。甲方要求换货的，更换货物后重新计算质保期；甲方要求退货的，乙方应退还甲方已支付的货款，并按照合同总额的20%向甲方支付违约金。</w:t>
      </w:r>
    </w:p>
    <w:p w14:paraId="45297468">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5269E952">
      <w:pPr>
        <w:keepNext w:val="0"/>
        <w:keepLines w:val="0"/>
        <w:pageBreakBefore w:val="0"/>
        <w:kinsoku/>
        <w:wordWrap/>
        <w:overflowPunct/>
        <w:topLinePunct w:val="0"/>
        <w:autoSpaceDE/>
        <w:autoSpaceDN/>
        <w:bidi w:val="0"/>
        <w:spacing w:line="324" w:lineRule="auto"/>
        <w:ind w:firstLine="482" w:firstLineChars="200"/>
        <w:textAlignment w:val="auto"/>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十一、索赔</w:t>
      </w:r>
    </w:p>
    <w:p w14:paraId="658D3988">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1. 甲方如对乙方所提供的货物有异议，甲方有权根据有关检验结果向乙方提出索赔。</w:t>
      </w:r>
    </w:p>
    <w:p w14:paraId="3C02A52A">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2. 在合同执行期间，如果乙方对甲方提出的索赔和差异负有责任，乙方应按照甲方同意的下列一种或多种方式解决索赔事宜：</w:t>
      </w:r>
    </w:p>
    <w:p w14:paraId="202F41C8">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⑴ 乙方同意退货，并按合同规定的同种货币将货款退还给甲方，并承担由此发生的一切损失和费用。</w:t>
      </w:r>
    </w:p>
    <w:p w14:paraId="4BA0AD74">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⑵ 根据货物低劣程度、损坏程度以及甲方所遭受损失的数额甲乙双方商定降低货物的价格。</w:t>
      </w:r>
    </w:p>
    <w:p w14:paraId="244DCB71">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⑶ 用符合规格、质量和性能要求的新零件、部件或货物来更换有缺陷的部分或修补缺陷的部分，乙方应承担一切费用和风险并负有甲方所发生的一切直接费用。同时，延长质量保证期。</w:t>
      </w:r>
    </w:p>
    <w:p w14:paraId="7B698D20">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3. 如果在甲方发出索赔通知后</w:t>
      </w:r>
      <w:r>
        <w:rPr>
          <w:rFonts w:hint="eastAsia" w:ascii="宋体" w:hAnsi="宋体" w:eastAsia="宋体"/>
          <w:color w:val="auto"/>
          <w:sz w:val="24"/>
          <w:szCs w:val="24"/>
          <w:highlight w:val="none"/>
          <w:shd w:val="clear" w:color="auto" w:fill="FFFFFF"/>
        </w:rPr>
        <w:t>30</w:t>
      </w:r>
      <w:r>
        <w:rPr>
          <w:rFonts w:hint="eastAsia" w:ascii="宋体" w:hAnsi="宋体" w:eastAsia="宋体"/>
          <w:color w:val="auto"/>
          <w:sz w:val="24"/>
          <w:szCs w:val="24"/>
          <w:highlight w:val="none"/>
        </w:rPr>
        <w:t>天内，乙方未作答复，上述索赔应视为已被乙方接受。甲方将从合同款项中扣回索赔金额。如果这些金额不足以补偿索赔金额，甲方有权向乙方提出不足部分的补偿。</w:t>
      </w:r>
    </w:p>
    <w:p w14:paraId="06370721">
      <w:pPr>
        <w:keepNext w:val="0"/>
        <w:keepLines w:val="0"/>
        <w:pageBreakBefore w:val="0"/>
        <w:kinsoku/>
        <w:wordWrap/>
        <w:overflowPunct/>
        <w:topLinePunct w:val="0"/>
        <w:autoSpaceDE/>
        <w:autoSpaceDN/>
        <w:bidi w:val="0"/>
        <w:spacing w:line="324" w:lineRule="auto"/>
        <w:ind w:firstLine="482" w:firstLineChars="200"/>
        <w:textAlignment w:val="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十二、违约责任</w:t>
      </w:r>
    </w:p>
    <w:p w14:paraId="3768B830">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s="宋体"/>
          <w:color w:val="auto"/>
          <w:sz w:val="24"/>
          <w:szCs w:val="24"/>
          <w:highlight w:val="none"/>
        </w:rPr>
        <w:t>1. 乙方未能交付货物，则向甲方支付合同总额20%的违约金</w:t>
      </w:r>
      <w:r>
        <w:rPr>
          <w:rFonts w:hint="eastAsia" w:ascii="宋体" w:hAnsi="宋体" w:eastAsia="宋体"/>
          <w:color w:val="auto"/>
          <w:sz w:val="24"/>
          <w:szCs w:val="24"/>
          <w:highlight w:val="none"/>
        </w:rPr>
        <w:t>，同时履约保证金不予退还。</w:t>
      </w:r>
    </w:p>
    <w:p w14:paraId="04733680">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2. 乙方交付的货物与投标文件或合同不相符的，甲方有权拒收，乙方向甲方支付合同总额30%的违约金，同时履约保证金不予退还。</w:t>
      </w:r>
    </w:p>
    <w:p w14:paraId="162B0AB5">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 甲方无正当理由拒收货物，拒付货款的，则向乙方支付合同总额10%的违约金。</w:t>
      </w:r>
    </w:p>
    <w:p w14:paraId="755CA3DC">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433A53C5">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 甲方逾期付款，则每延迟一周付款甲方应向乙方支付货款总额0.5%违约金，违约金总额不超过合同总价的5%（不可抗力除外）。</w:t>
      </w:r>
    </w:p>
    <w:p w14:paraId="0618F6BB">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462A0EBD">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7.若乙方提出换货，则按第十二条第2款执行。</w:t>
      </w:r>
    </w:p>
    <w:p w14:paraId="7C916384">
      <w:pPr>
        <w:keepNext w:val="0"/>
        <w:keepLines w:val="0"/>
        <w:pageBreakBefore w:val="0"/>
        <w:kinsoku/>
        <w:wordWrap/>
        <w:overflowPunct/>
        <w:topLinePunct w:val="0"/>
        <w:autoSpaceDE/>
        <w:autoSpaceDN/>
        <w:bidi w:val="0"/>
        <w:spacing w:line="324" w:lineRule="auto"/>
        <w:ind w:firstLine="482" w:firstLineChars="200"/>
        <w:textAlignment w:val="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十三、争端的解决</w:t>
      </w:r>
    </w:p>
    <w:p w14:paraId="0072E3E5">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1.凡与本合同有关而引起的一切争执和分歧，甲乙双方通过友好协商解决或提交河南省政府采购管理部门调解，如协商或调解不成，任何一方可以向郑州仲裁委员会申请仲裁裁决。</w:t>
      </w:r>
    </w:p>
    <w:p w14:paraId="093B2BCB">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2.在进行仲裁期间，除提交仲裁机构的事项外，合同其他部分应继续履行。</w:t>
      </w:r>
    </w:p>
    <w:p w14:paraId="0E284CB8">
      <w:pPr>
        <w:keepNext w:val="0"/>
        <w:keepLines w:val="0"/>
        <w:pageBreakBefore w:val="0"/>
        <w:kinsoku/>
        <w:wordWrap/>
        <w:overflowPunct/>
        <w:topLinePunct w:val="0"/>
        <w:autoSpaceDE/>
        <w:autoSpaceDN/>
        <w:bidi w:val="0"/>
        <w:spacing w:line="324" w:lineRule="auto"/>
        <w:ind w:firstLine="482" w:firstLineChars="200"/>
        <w:textAlignment w:val="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十四、</w:t>
      </w:r>
      <w:r>
        <w:rPr>
          <w:rFonts w:hint="eastAsia" w:ascii="宋体" w:hAnsi="宋体" w:eastAsia="宋体" w:cs="宋体"/>
          <w:b/>
          <w:bCs/>
          <w:color w:val="auto"/>
          <w:sz w:val="24"/>
          <w:szCs w:val="24"/>
          <w:highlight w:val="none"/>
        </w:rPr>
        <w:t>合同组成</w:t>
      </w:r>
    </w:p>
    <w:p w14:paraId="2FD7BC0C">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bCs/>
          <w:color w:val="auto"/>
          <w:sz w:val="24"/>
          <w:szCs w:val="24"/>
          <w:highlight w:val="none"/>
        </w:rPr>
        <w:t>本项目</w:t>
      </w:r>
      <w:r>
        <w:rPr>
          <w:rFonts w:hint="eastAsia" w:ascii="宋体" w:hAnsi="宋体" w:eastAsia="宋体" w:cs="宋体"/>
          <w:color w:val="auto"/>
          <w:sz w:val="24"/>
          <w:szCs w:val="24"/>
          <w:highlight w:val="none"/>
        </w:rPr>
        <w:t>招标文件、投标文件及下列附件等均为本合同的有效组成部分，与本合同具有同样法律效力。</w:t>
      </w:r>
    </w:p>
    <w:p w14:paraId="314EEB03">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 中标通知书（附件1）；</w:t>
      </w:r>
    </w:p>
    <w:p w14:paraId="5D728988">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 </w:t>
      </w:r>
      <w:r>
        <w:rPr>
          <w:rFonts w:hint="eastAsia" w:ascii="宋体" w:hAnsi="宋体" w:eastAsia="宋体" w:cs="宋体"/>
          <w:bCs/>
          <w:color w:val="auto"/>
          <w:sz w:val="24"/>
          <w:szCs w:val="24"/>
          <w:highlight w:val="none"/>
        </w:rPr>
        <w:t>中标货物分项报价一览表</w:t>
      </w:r>
      <w:r>
        <w:rPr>
          <w:rFonts w:hint="eastAsia" w:ascii="宋体" w:hAnsi="宋体" w:eastAsia="宋体" w:cs="宋体"/>
          <w:color w:val="auto"/>
          <w:sz w:val="24"/>
          <w:szCs w:val="24"/>
          <w:highlight w:val="none"/>
        </w:rPr>
        <w:t>（附件2）；</w:t>
      </w:r>
    </w:p>
    <w:p w14:paraId="69383160">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 中标货物制造商</w:t>
      </w:r>
      <w:r>
        <w:rPr>
          <w:rFonts w:hint="eastAsia" w:ascii="宋体" w:hAnsi="宋体" w:eastAsia="宋体" w:cs="宋体"/>
          <w:bCs/>
          <w:color w:val="auto"/>
          <w:sz w:val="24"/>
          <w:szCs w:val="24"/>
          <w:highlight w:val="none"/>
        </w:rPr>
        <w:t>配置清单</w:t>
      </w:r>
      <w:r>
        <w:rPr>
          <w:rFonts w:hint="eastAsia" w:ascii="宋体" w:hAnsi="宋体" w:eastAsia="宋体" w:cs="宋体"/>
          <w:color w:val="auto"/>
          <w:sz w:val="24"/>
          <w:szCs w:val="24"/>
          <w:highlight w:val="none"/>
        </w:rPr>
        <w:t>（附件3）；</w:t>
      </w:r>
    </w:p>
    <w:p w14:paraId="0873E056">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 中标货物技术参数及配置表（附件4）； </w:t>
      </w:r>
    </w:p>
    <w:p w14:paraId="44B414F4">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 供货商质量保障及服务表（附件5）；</w:t>
      </w:r>
    </w:p>
    <w:p w14:paraId="3C50A50E">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6. 中</w:t>
      </w:r>
      <w:r>
        <w:rPr>
          <w:rFonts w:ascii="宋体" w:hAnsi="宋体" w:eastAsia="宋体"/>
          <w:color w:val="auto"/>
          <w:sz w:val="24"/>
          <w:szCs w:val="24"/>
          <w:highlight w:val="none"/>
        </w:rPr>
        <w:t>标</w:t>
      </w:r>
      <w:r>
        <w:rPr>
          <w:rFonts w:hint="eastAsia" w:ascii="宋体" w:hAnsi="宋体" w:eastAsia="宋体"/>
          <w:color w:val="auto"/>
          <w:sz w:val="24"/>
          <w:szCs w:val="24"/>
          <w:highlight w:val="none"/>
        </w:rPr>
        <w:t>货物安装培训计划表（附件6）</w:t>
      </w:r>
    </w:p>
    <w:p w14:paraId="2DC90D9B">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Courier New" w:eastAsia="宋体" w:cs="宋体"/>
          <w:color w:val="auto"/>
          <w:sz w:val="24"/>
          <w:szCs w:val="24"/>
          <w:highlight w:val="none"/>
        </w:rPr>
      </w:pPr>
      <w:r>
        <w:rPr>
          <w:rFonts w:hint="eastAsia" w:ascii="宋体" w:hAnsi="宋体" w:eastAsia="宋体" w:cs="宋体"/>
          <w:color w:val="auto"/>
          <w:sz w:val="24"/>
          <w:szCs w:val="24"/>
          <w:highlight w:val="none"/>
        </w:rPr>
        <w:t>7. 中标货物制造商售后服务承诺（附件</w:t>
      </w:r>
      <w:r>
        <w:rPr>
          <w:rFonts w:hint="eastAsia" w:ascii="宋体" w:hAnsi="Courier New" w:eastAsia="宋体" w:cs="宋体"/>
          <w:color w:val="auto"/>
          <w:sz w:val="24"/>
          <w:szCs w:val="24"/>
          <w:highlight w:val="none"/>
        </w:rPr>
        <w:t>7）</w:t>
      </w:r>
    </w:p>
    <w:p w14:paraId="70D740D4">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08246A9B">
      <w:pPr>
        <w:keepNext w:val="0"/>
        <w:keepLines w:val="0"/>
        <w:pageBreakBefore w:val="0"/>
        <w:kinsoku/>
        <w:wordWrap/>
        <w:overflowPunct/>
        <w:topLinePunct w:val="0"/>
        <w:autoSpaceDE/>
        <w:autoSpaceDN/>
        <w:bidi w:val="0"/>
        <w:spacing w:line="324" w:lineRule="auto"/>
        <w:ind w:firstLine="482" w:firstLineChars="200"/>
        <w:textAlignment w:val="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十五、合同解除和终止</w:t>
      </w:r>
    </w:p>
    <w:p w14:paraId="17EF0B4A">
      <w:pPr>
        <w:keepNext w:val="0"/>
        <w:keepLines w:val="0"/>
        <w:pageBreakBefore w:val="0"/>
        <w:kinsoku/>
        <w:wordWrap/>
        <w:overflowPunct/>
        <w:topLinePunct w:val="0"/>
        <w:autoSpaceDE/>
        <w:autoSpaceDN/>
        <w:bidi w:val="0"/>
        <w:spacing w:line="324" w:lineRule="auto"/>
        <w:ind w:firstLine="480" w:firstLineChars="200"/>
        <w:textAlignment w:val="auto"/>
        <w:rPr>
          <w:rFonts w:ascii="宋体" w:hAnsi="宋体" w:eastAsia="宋体" w:cs="宋体"/>
          <w:color w:val="auto"/>
          <w:sz w:val="24"/>
          <w:szCs w:val="24"/>
          <w:highlight w:val="none"/>
        </w:rPr>
      </w:pPr>
    </w:p>
    <w:p w14:paraId="0B00282D">
      <w:pPr>
        <w:keepNext w:val="0"/>
        <w:keepLines w:val="0"/>
        <w:pageBreakBefore w:val="0"/>
        <w:kinsoku/>
        <w:wordWrap/>
        <w:overflowPunct/>
        <w:topLinePunct w:val="0"/>
        <w:autoSpaceDE/>
        <w:autoSpaceDN/>
        <w:bidi w:val="0"/>
        <w:spacing w:line="324" w:lineRule="auto"/>
        <w:textAlignment w:val="auto"/>
        <w:rPr>
          <w:rFonts w:ascii="宋体" w:hAnsi="宋体" w:eastAsia="宋体"/>
          <w:b/>
          <w:color w:val="auto"/>
          <w:sz w:val="24"/>
          <w:szCs w:val="24"/>
          <w:highlight w:val="none"/>
        </w:rPr>
        <w:sectPr>
          <w:footerReference r:id="rId3" w:type="default"/>
          <w:pgSz w:w="11906" w:h="16838"/>
          <w:pgMar w:top="851" w:right="1134" w:bottom="851" w:left="113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302A090D">
      <w:pPr>
        <w:keepNext w:val="0"/>
        <w:keepLines w:val="0"/>
        <w:pageBreakBefore w:val="0"/>
        <w:kinsoku/>
        <w:wordWrap/>
        <w:overflowPunct/>
        <w:topLinePunct w:val="0"/>
        <w:autoSpaceDE/>
        <w:autoSpaceDN/>
        <w:bidi w:val="0"/>
        <w:spacing w:line="324" w:lineRule="auto"/>
        <w:textAlignment w:val="auto"/>
        <w:rPr>
          <w:rFonts w:hint="eastAsia" w:ascii="宋体" w:hAnsi="宋体" w:eastAsia="宋体"/>
          <w:b/>
          <w:color w:val="auto"/>
          <w:sz w:val="24"/>
          <w:szCs w:val="24"/>
          <w:highlight w:val="none"/>
          <w:lang w:eastAsia="zh-CN"/>
        </w:rPr>
        <w:sectPr>
          <w:pgSz w:w="11906" w:h="16838"/>
          <w:pgMar w:top="851" w:right="1134" w:bottom="851" w:left="1134"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宋体" w:hAnsi="宋体" w:eastAsia="宋体"/>
          <w:b/>
          <w:color w:val="auto"/>
          <w:sz w:val="24"/>
          <w:szCs w:val="24"/>
          <w:highlight w:val="none"/>
          <w:lang w:eastAsia="zh-CN"/>
        </w:rPr>
        <w:drawing>
          <wp:inline distT="0" distB="0" distL="114300" distR="114300">
            <wp:extent cx="6108065" cy="8642350"/>
            <wp:effectExtent l="0" t="0" r="6985" b="6350"/>
            <wp:docPr id="5" name="图片 5" descr="9380dc8ea2bde330d3f94b89dc69f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380dc8ea2bde330d3f94b89dc69f428"/>
                    <pic:cNvPicPr>
                      <a:picLocks noChangeAspect="1"/>
                    </pic:cNvPicPr>
                  </pic:nvPicPr>
                  <pic:blipFill>
                    <a:blip r:embed="rId6"/>
                    <a:stretch>
                      <a:fillRect/>
                    </a:stretch>
                  </pic:blipFill>
                  <pic:spPr>
                    <a:xfrm>
                      <a:off x="0" y="0"/>
                      <a:ext cx="6108065" cy="8642350"/>
                    </a:xfrm>
                    <a:prstGeom prst="rect">
                      <a:avLst/>
                    </a:prstGeom>
                  </pic:spPr>
                </pic:pic>
              </a:graphicData>
            </a:graphic>
          </wp:inline>
        </w:drawing>
      </w:r>
    </w:p>
    <w:p w14:paraId="2D2945A4">
      <w:pPr>
        <w:keepNext w:val="0"/>
        <w:keepLines w:val="0"/>
        <w:pageBreakBefore w:val="0"/>
        <w:kinsoku/>
        <w:wordWrap/>
        <w:overflowPunct/>
        <w:topLinePunct w:val="0"/>
        <w:autoSpaceDE/>
        <w:autoSpaceDN/>
        <w:bidi w:val="0"/>
        <w:spacing w:line="324" w:lineRule="auto"/>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附件</w:t>
      </w:r>
      <w:r>
        <w:rPr>
          <w:rFonts w:hint="eastAsia" w:ascii="Times New Roman" w:hAnsi="Times New Roman" w:eastAsia="宋体"/>
          <w:b/>
          <w:color w:val="auto"/>
          <w:sz w:val="24"/>
          <w:szCs w:val="24"/>
          <w:highlight w:val="none"/>
        </w:rPr>
        <w:t>1</w:t>
      </w:r>
      <w:r>
        <w:rPr>
          <w:rFonts w:hint="eastAsia" w:ascii="宋体" w:hAnsi="宋体" w:eastAsia="宋体"/>
          <w:b/>
          <w:color w:val="auto"/>
          <w:sz w:val="24"/>
          <w:szCs w:val="24"/>
          <w:highlight w:val="none"/>
        </w:rPr>
        <w:t>：</w:t>
      </w:r>
    </w:p>
    <w:p w14:paraId="2BE1C938">
      <w:pPr>
        <w:keepNext w:val="0"/>
        <w:keepLines w:val="0"/>
        <w:pageBreakBefore w:val="0"/>
        <w:kinsoku/>
        <w:wordWrap/>
        <w:overflowPunct/>
        <w:topLinePunct w:val="0"/>
        <w:autoSpaceDE/>
        <w:autoSpaceDN/>
        <w:bidi w:val="0"/>
        <w:spacing w:line="324" w:lineRule="auto"/>
        <w:textAlignment w:val="auto"/>
        <w:rPr>
          <w:rFonts w:hint="eastAsia" w:ascii="宋体" w:hAnsi="宋体" w:eastAsia="宋体"/>
          <w:b/>
          <w:color w:val="auto"/>
          <w:sz w:val="24"/>
          <w:szCs w:val="24"/>
          <w:highlight w:val="none"/>
        </w:rPr>
      </w:pPr>
      <w:r>
        <w:rPr>
          <w:rFonts w:hint="eastAsia" w:ascii="宋体" w:hAnsi="宋体" w:eastAsia="宋体"/>
          <w:b/>
          <w:color w:val="auto"/>
          <w:sz w:val="24"/>
          <w:szCs w:val="24"/>
          <w:highlight w:val="none"/>
        </w:rPr>
        <w:t>中标通知书（扫描）</w:t>
      </w:r>
    </w:p>
    <w:p w14:paraId="69D1F772">
      <w:pPr>
        <w:keepNext w:val="0"/>
        <w:keepLines w:val="0"/>
        <w:pageBreakBefore w:val="0"/>
        <w:kinsoku/>
        <w:wordWrap/>
        <w:overflowPunct/>
        <w:topLinePunct w:val="0"/>
        <w:autoSpaceDE/>
        <w:autoSpaceDN/>
        <w:bidi w:val="0"/>
        <w:spacing w:line="324" w:lineRule="auto"/>
        <w:textAlignment w:val="auto"/>
        <w:rPr>
          <w:rFonts w:ascii="宋体" w:hAnsi="宋体" w:eastAsia="宋体"/>
          <w:b/>
          <w:color w:val="auto"/>
          <w:sz w:val="24"/>
          <w:szCs w:val="24"/>
          <w:highlight w:val="none"/>
        </w:rPr>
      </w:pPr>
      <w:r>
        <w:rPr>
          <w:rFonts w:hint="eastAsia" w:ascii="宋体" w:hAnsi="宋体" w:eastAsia="宋体" w:cs="宋体"/>
          <w:b/>
          <w:color w:val="auto"/>
          <w:sz w:val="24"/>
          <w:szCs w:val="24"/>
          <w:highlight w:val="none"/>
          <w:lang w:eastAsia="zh-CN"/>
        </w:rPr>
        <w:drawing>
          <wp:inline distT="0" distB="0" distL="114300" distR="114300">
            <wp:extent cx="6009640" cy="8503285"/>
            <wp:effectExtent l="0" t="0" r="10160" b="12065"/>
            <wp:docPr id="2" name="图片 2" descr="中标通知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标通知书_01"/>
                    <pic:cNvPicPr>
                      <a:picLocks noChangeAspect="1"/>
                    </pic:cNvPicPr>
                  </pic:nvPicPr>
                  <pic:blipFill>
                    <a:blip r:embed="rId7"/>
                    <a:stretch>
                      <a:fillRect/>
                    </a:stretch>
                  </pic:blipFill>
                  <pic:spPr>
                    <a:xfrm>
                      <a:off x="0" y="0"/>
                      <a:ext cx="6009640" cy="8503285"/>
                    </a:xfrm>
                    <a:prstGeom prst="rect">
                      <a:avLst/>
                    </a:prstGeom>
                  </pic:spPr>
                </pic:pic>
              </a:graphicData>
            </a:graphic>
          </wp:inline>
        </w:drawing>
      </w:r>
    </w:p>
    <w:p w14:paraId="29C232CD">
      <w:pPr>
        <w:keepNext w:val="0"/>
        <w:keepLines w:val="0"/>
        <w:pageBreakBefore w:val="0"/>
        <w:widowControl/>
        <w:kinsoku/>
        <w:wordWrap/>
        <w:overflowPunct/>
        <w:topLinePunct w:val="0"/>
        <w:autoSpaceDE/>
        <w:autoSpaceDN/>
        <w:bidi w:val="0"/>
        <w:spacing w:line="324" w:lineRule="auto"/>
        <w:jc w:val="center"/>
        <w:textAlignment w:val="auto"/>
        <w:rPr>
          <w:rFonts w:hint="eastAsia" w:ascii="宋体" w:hAnsi="宋体" w:eastAsia="宋体" w:cs="宋体"/>
          <w:b/>
          <w:color w:val="auto"/>
          <w:sz w:val="24"/>
          <w:szCs w:val="24"/>
          <w:highlight w:val="none"/>
          <w:lang w:eastAsia="zh-CN"/>
        </w:rPr>
        <w:sectPr>
          <w:pgSz w:w="11906" w:h="16838"/>
          <w:pgMar w:top="851" w:right="1134" w:bottom="851" w:left="1134"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宋体" w:hAnsi="宋体" w:eastAsia="宋体" w:cs="宋体"/>
          <w:b/>
          <w:color w:val="auto"/>
          <w:sz w:val="24"/>
          <w:szCs w:val="24"/>
          <w:highlight w:val="none"/>
          <w:lang w:eastAsia="zh-CN"/>
        </w:rPr>
        <w:drawing>
          <wp:inline distT="0" distB="0" distL="114300" distR="114300">
            <wp:extent cx="5962650" cy="8435975"/>
            <wp:effectExtent l="0" t="0" r="0" b="3175"/>
            <wp:docPr id="1" name="图片 1" descr="中标通知书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标通知书_03"/>
                    <pic:cNvPicPr>
                      <a:picLocks noChangeAspect="1"/>
                    </pic:cNvPicPr>
                  </pic:nvPicPr>
                  <pic:blipFill>
                    <a:blip r:embed="rId8"/>
                    <a:stretch>
                      <a:fillRect/>
                    </a:stretch>
                  </pic:blipFill>
                  <pic:spPr>
                    <a:xfrm>
                      <a:off x="0" y="0"/>
                      <a:ext cx="5962650" cy="8435975"/>
                    </a:xfrm>
                    <a:prstGeom prst="rect">
                      <a:avLst/>
                    </a:prstGeom>
                  </pic:spPr>
                </pic:pic>
              </a:graphicData>
            </a:graphic>
          </wp:inline>
        </w:drawing>
      </w:r>
    </w:p>
    <w:p w14:paraId="58F9873F">
      <w:pPr>
        <w:keepNext w:val="0"/>
        <w:keepLines w:val="0"/>
        <w:pageBreakBefore w:val="0"/>
        <w:kinsoku/>
        <w:wordWrap/>
        <w:overflowPunct/>
        <w:topLinePunct w:val="0"/>
        <w:autoSpaceDE/>
        <w:autoSpaceDN/>
        <w:bidi w:val="0"/>
        <w:spacing w:line="324" w:lineRule="auto"/>
        <w:textAlignment w:val="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附件2</w:t>
      </w:r>
    </w:p>
    <w:p w14:paraId="16750145">
      <w:pPr>
        <w:keepNext w:val="0"/>
        <w:keepLines w:val="0"/>
        <w:pageBreakBefore w:val="0"/>
        <w:kinsoku/>
        <w:wordWrap/>
        <w:overflowPunct/>
        <w:topLinePunct w:val="0"/>
        <w:autoSpaceDE/>
        <w:autoSpaceDN/>
        <w:bidi w:val="0"/>
        <w:spacing w:line="324" w:lineRule="auto"/>
        <w:textAlignment w:val="auto"/>
        <w:rPr>
          <w:rFonts w:ascii="楷体_GB2312" w:hAnsi="宋体" w:eastAsia="宋体" w:cs="宋体"/>
          <w:color w:val="auto"/>
          <w:sz w:val="24"/>
          <w:szCs w:val="24"/>
          <w:highlight w:val="none"/>
        </w:rPr>
      </w:pPr>
      <w:r>
        <w:rPr>
          <w:rFonts w:hint="eastAsia" w:ascii="宋体" w:hAnsi="宋体" w:eastAsia="宋体" w:cs="宋体"/>
          <w:b/>
          <w:bCs/>
          <w:color w:val="auto"/>
          <w:sz w:val="24"/>
          <w:szCs w:val="24"/>
          <w:highlight w:val="none"/>
        </w:rPr>
        <w:t>投标货物分项报价一览表</w:t>
      </w:r>
    </w:p>
    <w:tbl>
      <w:tblPr>
        <w:tblStyle w:val="3"/>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226"/>
        <w:gridCol w:w="1083"/>
        <w:gridCol w:w="1182"/>
        <w:gridCol w:w="746"/>
        <w:gridCol w:w="781"/>
        <w:gridCol w:w="781"/>
        <w:gridCol w:w="1482"/>
        <w:gridCol w:w="1536"/>
        <w:gridCol w:w="706"/>
        <w:gridCol w:w="706"/>
        <w:gridCol w:w="818"/>
        <w:gridCol w:w="1303"/>
        <w:gridCol w:w="1541"/>
        <w:gridCol w:w="703"/>
      </w:tblGrid>
      <w:tr w14:paraId="04F7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14:paraId="2E69E385">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序号</w:t>
            </w:r>
          </w:p>
        </w:tc>
        <w:tc>
          <w:tcPr>
            <w:tcW w:w="404" w:type="pct"/>
            <w:tcBorders>
              <w:top w:val="single" w:color="auto" w:sz="4" w:space="0"/>
              <w:left w:val="single" w:color="auto" w:sz="4" w:space="0"/>
              <w:bottom w:val="single" w:color="auto" w:sz="4" w:space="0"/>
              <w:right w:val="single" w:color="auto" w:sz="4" w:space="0"/>
            </w:tcBorders>
            <w:vAlign w:val="center"/>
          </w:tcPr>
          <w:p w14:paraId="47296704">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货物名称</w:t>
            </w:r>
          </w:p>
        </w:tc>
        <w:tc>
          <w:tcPr>
            <w:tcW w:w="357" w:type="pct"/>
            <w:tcBorders>
              <w:top w:val="single" w:color="auto" w:sz="4" w:space="0"/>
              <w:left w:val="single" w:color="auto" w:sz="4" w:space="0"/>
              <w:bottom w:val="single" w:color="auto" w:sz="4" w:space="0"/>
              <w:right w:val="single" w:color="auto" w:sz="4" w:space="0"/>
            </w:tcBorders>
            <w:vAlign w:val="center"/>
          </w:tcPr>
          <w:p w14:paraId="1D5F60AA">
            <w:pPr>
              <w:widowControl/>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型号</w:t>
            </w:r>
          </w:p>
          <w:p w14:paraId="4A4AA8B1">
            <w:pPr>
              <w:widowControl/>
              <w:spacing w:line="360" w:lineRule="auto"/>
              <w:jc w:val="center"/>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sz w:val="21"/>
                <w:szCs w:val="21"/>
              </w:rPr>
              <w:t>规格</w:t>
            </w:r>
          </w:p>
        </w:tc>
        <w:tc>
          <w:tcPr>
            <w:tcW w:w="390" w:type="pct"/>
            <w:tcBorders>
              <w:top w:val="single" w:color="auto" w:sz="4" w:space="0"/>
              <w:left w:val="single" w:color="auto" w:sz="4" w:space="0"/>
              <w:bottom w:val="single" w:color="auto" w:sz="4" w:space="0"/>
              <w:right w:val="single" w:color="auto" w:sz="4" w:space="0"/>
            </w:tcBorders>
            <w:vAlign w:val="center"/>
          </w:tcPr>
          <w:p w14:paraId="4130EB50">
            <w:pPr>
              <w:widowControl/>
              <w:spacing w:line="360" w:lineRule="auto"/>
              <w:jc w:val="center"/>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制造商</w:t>
            </w:r>
          </w:p>
        </w:tc>
        <w:tc>
          <w:tcPr>
            <w:tcW w:w="246" w:type="pct"/>
            <w:tcBorders>
              <w:top w:val="single" w:color="auto" w:sz="4" w:space="0"/>
              <w:left w:val="single" w:color="auto" w:sz="4" w:space="0"/>
              <w:bottom w:val="single" w:color="auto" w:sz="4" w:space="0"/>
              <w:right w:val="single" w:color="auto" w:sz="4" w:space="0"/>
            </w:tcBorders>
            <w:vAlign w:val="center"/>
          </w:tcPr>
          <w:p w14:paraId="546D45C5">
            <w:pPr>
              <w:widowControl/>
              <w:spacing w:line="360" w:lineRule="auto"/>
              <w:jc w:val="center"/>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产</w:t>
            </w:r>
          </w:p>
          <w:p w14:paraId="763991DA">
            <w:pPr>
              <w:widowControl/>
              <w:spacing w:line="360" w:lineRule="auto"/>
              <w:jc w:val="center"/>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地</w:t>
            </w:r>
          </w:p>
        </w:tc>
        <w:tc>
          <w:tcPr>
            <w:tcW w:w="257" w:type="pct"/>
            <w:tcBorders>
              <w:top w:val="single" w:color="auto" w:sz="4" w:space="0"/>
              <w:left w:val="single" w:color="auto" w:sz="4" w:space="0"/>
              <w:bottom w:val="single" w:color="auto" w:sz="4" w:space="0"/>
              <w:right w:val="single" w:color="auto" w:sz="4" w:space="0"/>
            </w:tcBorders>
            <w:vAlign w:val="center"/>
          </w:tcPr>
          <w:p w14:paraId="3A743ABA">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单</w:t>
            </w:r>
          </w:p>
          <w:p w14:paraId="30DB2843">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位</w:t>
            </w:r>
          </w:p>
        </w:tc>
        <w:tc>
          <w:tcPr>
            <w:tcW w:w="257" w:type="pct"/>
            <w:tcBorders>
              <w:top w:val="single" w:color="auto" w:sz="4" w:space="0"/>
              <w:left w:val="single" w:color="auto" w:sz="4" w:space="0"/>
              <w:bottom w:val="single" w:color="auto" w:sz="4" w:space="0"/>
              <w:right w:val="single" w:color="auto" w:sz="4" w:space="0"/>
            </w:tcBorders>
            <w:vAlign w:val="center"/>
          </w:tcPr>
          <w:p w14:paraId="7E937BE7">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数量</w:t>
            </w:r>
          </w:p>
        </w:tc>
        <w:tc>
          <w:tcPr>
            <w:tcW w:w="489" w:type="pct"/>
            <w:tcBorders>
              <w:top w:val="single" w:color="auto" w:sz="4" w:space="0"/>
              <w:left w:val="single" w:color="auto" w:sz="4" w:space="0"/>
              <w:bottom w:val="single" w:color="auto" w:sz="4" w:space="0"/>
              <w:right w:val="single" w:color="auto" w:sz="4" w:space="0"/>
            </w:tcBorders>
            <w:vAlign w:val="center"/>
          </w:tcPr>
          <w:p w14:paraId="41DE57F7">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单价（RMB）</w:t>
            </w:r>
          </w:p>
        </w:tc>
        <w:tc>
          <w:tcPr>
            <w:tcW w:w="507" w:type="pct"/>
            <w:tcBorders>
              <w:top w:val="single" w:color="auto" w:sz="4" w:space="0"/>
              <w:left w:val="single" w:color="auto" w:sz="4" w:space="0"/>
              <w:bottom w:val="single" w:color="auto" w:sz="4" w:space="0"/>
              <w:right w:val="single" w:color="auto" w:sz="4" w:space="0"/>
            </w:tcBorders>
            <w:vAlign w:val="center"/>
          </w:tcPr>
          <w:p w14:paraId="4A642288">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小计（RMB）</w:t>
            </w:r>
          </w:p>
        </w:tc>
        <w:tc>
          <w:tcPr>
            <w:tcW w:w="232" w:type="pct"/>
            <w:tcBorders>
              <w:top w:val="single" w:color="auto" w:sz="4" w:space="0"/>
              <w:left w:val="single" w:color="auto" w:sz="4" w:space="0"/>
              <w:bottom w:val="single" w:color="auto" w:sz="4" w:space="0"/>
              <w:right w:val="single" w:color="auto" w:sz="4" w:space="0"/>
            </w:tcBorders>
            <w:vAlign w:val="center"/>
          </w:tcPr>
          <w:p w14:paraId="6C15B2CF">
            <w:pPr>
              <w:spacing w:line="360" w:lineRule="auto"/>
              <w:ind w:right="-107" w:rightChars="-51"/>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运输及</w:t>
            </w:r>
          </w:p>
          <w:p w14:paraId="7F69DA4A">
            <w:pPr>
              <w:spacing w:line="360" w:lineRule="auto"/>
              <w:ind w:right="-107" w:rightChars="-51"/>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保险费</w:t>
            </w:r>
          </w:p>
        </w:tc>
        <w:tc>
          <w:tcPr>
            <w:tcW w:w="232" w:type="pct"/>
            <w:tcBorders>
              <w:top w:val="single" w:color="auto" w:sz="4" w:space="0"/>
              <w:left w:val="single" w:color="auto" w:sz="4" w:space="0"/>
              <w:bottom w:val="single" w:color="auto" w:sz="4" w:space="0"/>
              <w:right w:val="single" w:color="auto" w:sz="4" w:space="0"/>
            </w:tcBorders>
            <w:vAlign w:val="center"/>
          </w:tcPr>
          <w:p w14:paraId="535A42D2">
            <w:pPr>
              <w:spacing w:line="360" w:lineRule="auto"/>
              <w:ind w:right="-107" w:rightChars="-51"/>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技术</w:t>
            </w:r>
          </w:p>
          <w:p w14:paraId="197A010B">
            <w:pPr>
              <w:spacing w:line="360" w:lineRule="auto"/>
              <w:ind w:right="-107" w:rightChars="-51"/>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服务费</w:t>
            </w:r>
          </w:p>
        </w:tc>
        <w:tc>
          <w:tcPr>
            <w:tcW w:w="270" w:type="pct"/>
            <w:tcBorders>
              <w:top w:val="single" w:color="auto" w:sz="4" w:space="0"/>
              <w:left w:val="single" w:color="auto" w:sz="4" w:space="0"/>
              <w:bottom w:val="single" w:color="auto" w:sz="4" w:space="0"/>
              <w:right w:val="single" w:color="auto" w:sz="4" w:space="0"/>
            </w:tcBorders>
            <w:vAlign w:val="center"/>
          </w:tcPr>
          <w:p w14:paraId="68FE1506">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税费</w:t>
            </w:r>
          </w:p>
        </w:tc>
        <w:tc>
          <w:tcPr>
            <w:tcW w:w="430" w:type="pct"/>
            <w:tcBorders>
              <w:top w:val="single" w:color="auto" w:sz="4" w:space="0"/>
              <w:left w:val="single" w:color="auto" w:sz="4" w:space="0"/>
              <w:bottom w:val="single" w:color="auto" w:sz="4" w:space="0"/>
              <w:right w:val="single" w:color="auto" w:sz="4" w:space="0"/>
            </w:tcBorders>
            <w:vAlign w:val="center"/>
          </w:tcPr>
          <w:p w14:paraId="57B57033">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交货日期</w:t>
            </w:r>
          </w:p>
        </w:tc>
        <w:tc>
          <w:tcPr>
            <w:tcW w:w="508" w:type="pct"/>
            <w:tcBorders>
              <w:top w:val="single" w:color="auto" w:sz="4" w:space="0"/>
              <w:left w:val="single" w:color="auto" w:sz="4" w:space="0"/>
              <w:bottom w:val="single" w:color="auto" w:sz="4" w:space="0"/>
              <w:right w:val="single" w:color="auto" w:sz="4" w:space="0"/>
            </w:tcBorders>
            <w:vAlign w:val="center"/>
          </w:tcPr>
          <w:p w14:paraId="0C11FA8C">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交货地（港）</w:t>
            </w:r>
          </w:p>
        </w:tc>
        <w:tc>
          <w:tcPr>
            <w:tcW w:w="231" w:type="pct"/>
            <w:tcBorders>
              <w:top w:val="single" w:color="auto" w:sz="4" w:space="0"/>
              <w:left w:val="single" w:color="auto" w:sz="4" w:space="0"/>
              <w:bottom w:val="single" w:color="auto" w:sz="4" w:space="0"/>
              <w:right w:val="single" w:color="auto" w:sz="4" w:space="0"/>
            </w:tcBorders>
            <w:vAlign w:val="center"/>
          </w:tcPr>
          <w:p w14:paraId="7B2F2F2B">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备</w:t>
            </w:r>
          </w:p>
          <w:p w14:paraId="14CB40B5">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注</w:t>
            </w:r>
          </w:p>
        </w:tc>
      </w:tr>
      <w:tr w14:paraId="0D36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14:paraId="01B71200">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404" w:type="pct"/>
            <w:tcBorders>
              <w:top w:val="single" w:color="auto" w:sz="4" w:space="0"/>
              <w:left w:val="single" w:color="auto" w:sz="4" w:space="0"/>
              <w:bottom w:val="single" w:color="auto" w:sz="4" w:space="0"/>
              <w:right w:val="single" w:color="auto" w:sz="4" w:space="0"/>
            </w:tcBorders>
            <w:vAlign w:val="center"/>
          </w:tcPr>
          <w:p w14:paraId="127CF367">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超高效液相色谱高分辨质谱仪</w:t>
            </w:r>
          </w:p>
        </w:tc>
        <w:tc>
          <w:tcPr>
            <w:tcW w:w="357" w:type="pct"/>
            <w:tcBorders>
              <w:top w:val="single" w:color="auto" w:sz="4" w:space="0"/>
              <w:left w:val="single" w:color="auto" w:sz="4" w:space="0"/>
              <w:bottom w:val="single" w:color="auto" w:sz="4" w:space="0"/>
              <w:right w:val="single" w:color="auto" w:sz="4" w:space="0"/>
            </w:tcBorders>
            <w:vAlign w:val="center"/>
          </w:tcPr>
          <w:p w14:paraId="66A4FE5F">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ACQUITY UPLC I-Class PLUS/</w:t>
            </w:r>
            <w:r>
              <w:rPr>
                <w:rFonts w:hint="eastAsia" w:ascii="宋体" w:hAnsi="宋体" w:cs="宋体"/>
                <w:b w:val="0"/>
                <w:bCs w:val="0"/>
                <w:color w:val="auto"/>
                <w:sz w:val="21"/>
                <w:szCs w:val="21"/>
                <w:lang w:val="en-US" w:eastAsia="zh-CN"/>
              </w:rPr>
              <w:t>X</w:t>
            </w:r>
            <w:r>
              <w:rPr>
                <w:rFonts w:hint="eastAsia" w:ascii="宋体" w:hAnsi="宋体" w:eastAsia="宋体" w:cs="宋体"/>
                <w:b w:val="0"/>
                <w:bCs w:val="0"/>
                <w:color w:val="auto"/>
                <w:sz w:val="21"/>
                <w:szCs w:val="21"/>
                <w:lang w:val="en-US" w:eastAsia="zh-CN"/>
              </w:rPr>
              <w:t>evo MRT</w:t>
            </w:r>
          </w:p>
        </w:tc>
        <w:tc>
          <w:tcPr>
            <w:tcW w:w="390" w:type="pct"/>
            <w:tcBorders>
              <w:top w:val="single" w:color="auto" w:sz="4" w:space="0"/>
              <w:left w:val="single" w:color="auto" w:sz="4" w:space="0"/>
              <w:bottom w:val="single" w:color="auto" w:sz="4" w:space="0"/>
              <w:right w:val="single" w:color="auto" w:sz="4" w:space="0"/>
            </w:tcBorders>
            <w:vAlign w:val="center"/>
          </w:tcPr>
          <w:p w14:paraId="6801FF83">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rPr>
              <w:t>沃特世科技（上海）有限公司</w:t>
            </w:r>
          </w:p>
        </w:tc>
        <w:tc>
          <w:tcPr>
            <w:tcW w:w="246" w:type="pct"/>
            <w:tcBorders>
              <w:top w:val="single" w:color="auto" w:sz="4" w:space="0"/>
              <w:left w:val="single" w:color="auto" w:sz="4" w:space="0"/>
              <w:bottom w:val="single" w:color="auto" w:sz="4" w:space="0"/>
              <w:right w:val="single" w:color="auto" w:sz="4" w:space="0"/>
            </w:tcBorders>
            <w:vAlign w:val="center"/>
          </w:tcPr>
          <w:p w14:paraId="30F6C832">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中国</w:t>
            </w:r>
          </w:p>
        </w:tc>
        <w:tc>
          <w:tcPr>
            <w:tcW w:w="257" w:type="pct"/>
            <w:tcBorders>
              <w:top w:val="single" w:color="auto" w:sz="4" w:space="0"/>
              <w:left w:val="single" w:color="auto" w:sz="4" w:space="0"/>
              <w:bottom w:val="single" w:color="auto" w:sz="4" w:space="0"/>
              <w:right w:val="single" w:color="auto" w:sz="4" w:space="0"/>
            </w:tcBorders>
            <w:vAlign w:val="center"/>
          </w:tcPr>
          <w:p w14:paraId="66D37F4C">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台</w:t>
            </w:r>
          </w:p>
        </w:tc>
        <w:tc>
          <w:tcPr>
            <w:tcW w:w="257" w:type="pct"/>
            <w:tcBorders>
              <w:top w:val="single" w:color="auto" w:sz="4" w:space="0"/>
              <w:left w:val="single" w:color="auto" w:sz="4" w:space="0"/>
              <w:bottom w:val="single" w:color="auto" w:sz="4" w:space="0"/>
              <w:right w:val="single" w:color="auto" w:sz="4" w:space="0"/>
            </w:tcBorders>
            <w:vAlign w:val="center"/>
          </w:tcPr>
          <w:p w14:paraId="1F0C5E06">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489" w:type="pct"/>
            <w:tcBorders>
              <w:top w:val="single" w:color="auto" w:sz="4" w:space="0"/>
              <w:left w:val="single" w:color="auto" w:sz="4" w:space="0"/>
              <w:bottom w:val="single" w:color="auto" w:sz="4" w:space="0"/>
              <w:right w:val="single" w:color="auto" w:sz="4" w:space="0"/>
            </w:tcBorders>
            <w:vAlign w:val="center"/>
          </w:tcPr>
          <w:p w14:paraId="22D95905">
            <w:pPr>
              <w:spacing w:line="360" w:lineRule="auto"/>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4766000</w:t>
            </w:r>
          </w:p>
        </w:tc>
        <w:tc>
          <w:tcPr>
            <w:tcW w:w="507" w:type="pct"/>
            <w:tcBorders>
              <w:top w:val="single" w:color="auto" w:sz="4" w:space="0"/>
              <w:left w:val="single" w:color="auto" w:sz="4" w:space="0"/>
              <w:bottom w:val="single" w:color="auto" w:sz="4" w:space="0"/>
              <w:right w:val="single" w:color="auto" w:sz="4" w:space="0"/>
            </w:tcBorders>
            <w:vAlign w:val="center"/>
          </w:tcPr>
          <w:p w14:paraId="0007D28C">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4766000</w:t>
            </w:r>
          </w:p>
        </w:tc>
        <w:tc>
          <w:tcPr>
            <w:tcW w:w="232" w:type="pct"/>
            <w:tcBorders>
              <w:top w:val="single" w:color="auto" w:sz="4" w:space="0"/>
              <w:left w:val="single" w:color="auto" w:sz="4" w:space="0"/>
              <w:bottom w:val="single" w:color="auto" w:sz="4" w:space="0"/>
              <w:right w:val="single" w:color="auto" w:sz="4" w:space="0"/>
            </w:tcBorders>
            <w:vAlign w:val="center"/>
          </w:tcPr>
          <w:p w14:paraId="66F713DB">
            <w:pPr>
              <w:spacing w:line="360" w:lineRule="auto"/>
              <w:jc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已含</w:t>
            </w:r>
            <w:r>
              <w:rPr>
                <w:rFonts w:hint="eastAsia" w:ascii="宋体" w:hAnsi="宋体" w:cs="宋体"/>
                <w:b w:val="0"/>
                <w:bCs w:val="0"/>
                <w:color w:val="auto"/>
                <w:sz w:val="21"/>
                <w:szCs w:val="21"/>
                <w:lang w:val="en-US" w:eastAsia="zh-CN"/>
              </w:rPr>
              <w:t>主机中</w:t>
            </w:r>
          </w:p>
        </w:tc>
        <w:tc>
          <w:tcPr>
            <w:tcW w:w="232" w:type="pct"/>
            <w:tcBorders>
              <w:top w:val="single" w:color="auto" w:sz="4" w:space="0"/>
              <w:left w:val="single" w:color="auto" w:sz="4" w:space="0"/>
              <w:bottom w:val="single" w:color="auto" w:sz="4" w:space="0"/>
              <w:right w:val="single" w:color="auto" w:sz="4" w:space="0"/>
            </w:tcBorders>
            <w:vAlign w:val="center"/>
          </w:tcPr>
          <w:p w14:paraId="716F5D90">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已含</w:t>
            </w:r>
            <w:r>
              <w:rPr>
                <w:rFonts w:hint="eastAsia" w:ascii="宋体" w:hAnsi="宋体" w:cs="宋体"/>
                <w:b w:val="0"/>
                <w:bCs w:val="0"/>
                <w:color w:val="auto"/>
                <w:sz w:val="21"/>
                <w:szCs w:val="21"/>
                <w:lang w:val="en-US" w:eastAsia="zh-CN"/>
              </w:rPr>
              <w:t>主机中</w:t>
            </w:r>
          </w:p>
        </w:tc>
        <w:tc>
          <w:tcPr>
            <w:tcW w:w="270" w:type="pct"/>
            <w:tcBorders>
              <w:top w:val="single" w:color="auto" w:sz="4" w:space="0"/>
              <w:left w:val="single" w:color="auto" w:sz="4" w:space="0"/>
              <w:bottom w:val="single" w:color="auto" w:sz="4" w:space="0"/>
              <w:right w:val="single" w:color="auto" w:sz="4" w:space="0"/>
            </w:tcBorders>
            <w:vAlign w:val="center"/>
          </w:tcPr>
          <w:p w14:paraId="12993C60">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已含</w:t>
            </w:r>
            <w:r>
              <w:rPr>
                <w:rFonts w:hint="eastAsia" w:ascii="宋体" w:hAnsi="宋体" w:cs="宋体"/>
                <w:b w:val="0"/>
                <w:bCs w:val="0"/>
                <w:color w:val="auto"/>
                <w:sz w:val="21"/>
                <w:szCs w:val="21"/>
                <w:lang w:val="en-US" w:eastAsia="zh-CN"/>
              </w:rPr>
              <w:t>主机中</w:t>
            </w:r>
          </w:p>
        </w:tc>
        <w:tc>
          <w:tcPr>
            <w:tcW w:w="430" w:type="pct"/>
            <w:tcBorders>
              <w:top w:val="single" w:color="auto" w:sz="4" w:space="0"/>
              <w:left w:val="single" w:color="auto" w:sz="4" w:space="0"/>
              <w:bottom w:val="single" w:color="auto" w:sz="4" w:space="0"/>
              <w:right w:val="single" w:color="auto" w:sz="4" w:space="0"/>
            </w:tcBorders>
            <w:vAlign w:val="center"/>
          </w:tcPr>
          <w:p w14:paraId="7B57085F">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签订合同后45天内完成供货</w:t>
            </w:r>
          </w:p>
        </w:tc>
        <w:tc>
          <w:tcPr>
            <w:tcW w:w="508" w:type="pct"/>
            <w:tcBorders>
              <w:top w:val="single" w:color="auto" w:sz="4" w:space="0"/>
              <w:left w:val="single" w:color="auto" w:sz="4" w:space="0"/>
              <w:bottom w:val="single" w:color="auto" w:sz="4" w:space="0"/>
              <w:right w:val="single" w:color="auto" w:sz="4" w:space="0"/>
            </w:tcBorders>
            <w:vAlign w:val="center"/>
          </w:tcPr>
          <w:p w14:paraId="4AB5100D">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河南中医药大学龙子湖校区指定地点</w:t>
            </w:r>
          </w:p>
        </w:tc>
        <w:tc>
          <w:tcPr>
            <w:tcW w:w="231" w:type="pct"/>
            <w:tcBorders>
              <w:top w:val="single" w:color="auto" w:sz="4" w:space="0"/>
              <w:left w:val="single" w:color="auto" w:sz="4" w:space="0"/>
              <w:bottom w:val="single" w:color="auto" w:sz="4" w:space="0"/>
              <w:right w:val="single" w:color="auto" w:sz="4" w:space="0"/>
            </w:tcBorders>
            <w:vAlign w:val="center"/>
          </w:tcPr>
          <w:p w14:paraId="0C902FA7">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r>
      <w:tr w14:paraId="21B1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14:paraId="350EBD90">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404" w:type="pct"/>
            <w:tcBorders>
              <w:top w:val="single" w:color="auto" w:sz="4" w:space="0"/>
              <w:left w:val="single" w:color="auto" w:sz="4" w:space="0"/>
              <w:bottom w:val="single" w:color="auto" w:sz="4" w:space="0"/>
              <w:right w:val="single" w:color="auto" w:sz="4" w:space="0"/>
            </w:tcBorders>
            <w:vAlign w:val="center"/>
          </w:tcPr>
          <w:p w14:paraId="137BA59B">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高效液相色谱仪</w:t>
            </w:r>
          </w:p>
        </w:tc>
        <w:tc>
          <w:tcPr>
            <w:tcW w:w="357" w:type="pct"/>
            <w:tcBorders>
              <w:top w:val="single" w:color="auto" w:sz="4" w:space="0"/>
              <w:left w:val="single" w:color="auto" w:sz="4" w:space="0"/>
              <w:bottom w:val="single" w:color="auto" w:sz="4" w:space="0"/>
              <w:right w:val="single" w:color="auto" w:sz="4" w:space="0"/>
            </w:tcBorders>
            <w:vAlign w:val="center"/>
          </w:tcPr>
          <w:p w14:paraId="53D16E25">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1260 Infinity III</w:t>
            </w:r>
          </w:p>
        </w:tc>
        <w:tc>
          <w:tcPr>
            <w:tcW w:w="390" w:type="pct"/>
            <w:tcBorders>
              <w:top w:val="single" w:color="auto" w:sz="4" w:space="0"/>
              <w:left w:val="single" w:color="auto" w:sz="4" w:space="0"/>
              <w:bottom w:val="single" w:color="auto" w:sz="4" w:space="0"/>
              <w:right w:val="single" w:color="auto" w:sz="4" w:space="0"/>
            </w:tcBorders>
            <w:vAlign w:val="center"/>
          </w:tcPr>
          <w:p w14:paraId="096993A5">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安捷伦科技（中国）有限公司</w:t>
            </w:r>
          </w:p>
        </w:tc>
        <w:tc>
          <w:tcPr>
            <w:tcW w:w="246" w:type="pct"/>
            <w:tcBorders>
              <w:top w:val="single" w:color="auto" w:sz="4" w:space="0"/>
              <w:left w:val="single" w:color="auto" w:sz="4" w:space="0"/>
              <w:bottom w:val="single" w:color="auto" w:sz="4" w:space="0"/>
              <w:right w:val="single" w:color="auto" w:sz="4" w:space="0"/>
            </w:tcBorders>
            <w:vAlign w:val="center"/>
          </w:tcPr>
          <w:p w14:paraId="4E5878E4">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中国</w:t>
            </w:r>
          </w:p>
        </w:tc>
        <w:tc>
          <w:tcPr>
            <w:tcW w:w="257" w:type="pct"/>
            <w:tcBorders>
              <w:top w:val="single" w:color="auto" w:sz="4" w:space="0"/>
              <w:left w:val="single" w:color="auto" w:sz="4" w:space="0"/>
              <w:bottom w:val="single" w:color="auto" w:sz="4" w:space="0"/>
              <w:right w:val="single" w:color="auto" w:sz="4" w:space="0"/>
            </w:tcBorders>
            <w:vAlign w:val="center"/>
          </w:tcPr>
          <w:p w14:paraId="58CC3AC5">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台</w:t>
            </w:r>
          </w:p>
        </w:tc>
        <w:tc>
          <w:tcPr>
            <w:tcW w:w="257" w:type="pct"/>
            <w:tcBorders>
              <w:top w:val="single" w:color="auto" w:sz="4" w:space="0"/>
              <w:left w:val="single" w:color="auto" w:sz="4" w:space="0"/>
              <w:bottom w:val="single" w:color="auto" w:sz="4" w:space="0"/>
              <w:right w:val="single" w:color="auto" w:sz="4" w:space="0"/>
            </w:tcBorders>
            <w:vAlign w:val="center"/>
          </w:tcPr>
          <w:p w14:paraId="0528E9A2">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489" w:type="pct"/>
            <w:tcBorders>
              <w:top w:val="single" w:color="auto" w:sz="4" w:space="0"/>
              <w:left w:val="single" w:color="auto" w:sz="4" w:space="0"/>
              <w:bottom w:val="single" w:color="auto" w:sz="4" w:space="0"/>
              <w:right w:val="single" w:color="auto" w:sz="4" w:space="0"/>
            </w:tcBorders>
            <w:vAlign w:val="center"/>
          </w:tcPr>
          <w:p w14:paraId="5E89A6EA">
            <w:pPr>
              <w:spacing w:line="360" w:lineRule="auto"/>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648000</w:t>
            </w:r>
          </w:p>
        </w:tc>
        <w:tc>
          <w:tcPr>
            <w:tcW w:w="507" w:type="pct"/>
            <w:tcBorders>
              <w:top w:val="single" w:color="auto" w:sz="4" w:space="0"/>
              <w:left w:val="single" w:color="auto" w:sz="4" w:space="0"/>
              <w:bottom w:val="single" w:color="auto" w:sz="4" w:space="0"/>
              <w:right w:val="single" w:color="auto" w:sz="4" w:space="0"/>
            </w:tcBorders>
            <w:vAlign w:val="center"/>
          </w:tcPr>
          <w:p w14:paraId="345929B8">
            <w:pPr>
              <w:spacing w:line="360" w:lineRule="auto"/>
              <w:jc w:val="center"/>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648000</w:t>
            </w:r>
          </w:p>
        </w:tc>
        <w:tc>
          <w:tcPr>
            <w:tcW w:w="232" w:type="pct"/>
            <w:tcBorders>
              <w:top w:val="single" w:color="auto" w:sz="4" w:space="0"/>
              <w:left w:val="single" w:color="auto" w:sz="4" w:space="0"/>
              <w:bottom w:val="single" w:color="auto" w:sz="4" w:space="0"/>
              <w:right w:val="single" w:color="auto" w:sz="4" w:space="0"/>
            </w:tcBorders>
            <w:shd w:val="clear" w:color="auto" w:fill="auto"/>
            <w:vAlign w:val="center"/>
          </w:tcPr>
          <w:p w14:paraId="1BAA0025">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已含</w:t>
            </w:r>
            <w:r>
              <w:rPr>
                <w:rFonts w:hint="eastAsia" w:ascii="宋体" w:hAnsi="宋体" w:cs="宋体"/>
                <w:b w:val="0"/>
                <w:bCs w:val="0"/>
                <w:color w:val="auto"/>
                <w:sz w:val="21"/>
                <w:szCs w:val="21"/>
                <w:lang w:val="en-US" w:eastAsia="zh-CN"/>
              </w:rPr>
              <w:t>主机中</w:t>
            </w:r>
          </w:p>
        </w:tc>
        <w:tc>
          <w:tcPr>
            <w:tcW w:w="232" w:type="pct"/>
            <w:tcBorders>
              <w:top w:val="single" w:color="auto" w:sz="4" w:space="0"/>
              <w:left w:val="single" w:color="auto" w:sz="4" w:space="0"/>
              <w:bottom w:val="single" w:color="auto" w:sz="4" w:space="0"/>
              <w:right w:val="single" w:color="auto" w:sz="4" w:space="0"/>
            </w:tcBorders>
            <w:shd w:val="clear" w:color="auto" w:fill="auto"/>
            <w:vAlign w:val="center"/>
          </w:tcPr>
          <w:p w14:paraId="46E38AFF">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已含</w:t>
            </w:r>
            <w:r>
              <w:rPr>
                <w:rFonts w:hint="eastAsia" w:ascii="宋体" w:hAnsi="宋体" w:cs="宋体"/>
                <w:b w:val="0"/>
                <w:bCs w:val="0"/>
                <w:color w:val="auto"/>
                <w:sz w:val="21"/>
                <w:szCs w:val="21"/>
                <w:lang w:val="en-US" w:eastAsia="zh-CN"/>
              </w:rPr>
              <w:t>主机中</w:t>
            </w:r>
          </w:p>
        </w:tc>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14:paraId="6163C1D6">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已含</w:t>
            </w:r>
            <w:r>
              <w:rPr>
                <w:rFonts w:hint="eastAsia" w:ascii="宋体" w:hAnsi="宋体" w:cs="宋体"/>
                <w:b w:val="0"/>
                <w:bCs w:val="0"/>
                <w:color w:val="auto"/>
                <w:sz w:val="21"/>
                <w:szCs w:val="21"/>
                <w:lang w:val="en-US" w:eastAsia="zh-CN"/>
              </w:rPr>
              <w:t>主机中</w:t>
            </w:r>
          </w:p>
        </w:tc>
        <w:tc>
          <w:tcPr>
            <w:tcW w:w="430" w:type="pct"/>
            <w:tcBorders>
              <w:top w:val="single" w:color="auto" w:sz="4" w:space="0"/>
              <w:left w:val="single" w:color="auto" w:sz="4" w:space="0"/>
              <w:bottom w:val="single" w:color="auto" w:sz="4" w:space="0"/>
              <w:right w:val="single" w:color="auto" w:sz="4" w:space="0"/>
            </w:tcBorders>
            <w:vAlign w:val="center"/>
          </w:tcPr>
          <w:p w14:paraId="2631D812">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签订合同后45天内完成供货</w:t>
            </w:r>
          </w:p>
        </w:tc>
        <w:tc>
          <w:tcPr>
            <w:tcW w:w="508" w:type="pct"/>
            <w:tcBorders>
              <w:top w:val="single" w:color="auto" w:sz="4" w:space="0"/>
              <w:left w:val="single" w:color="auto" w:sz="4" w:space="0"/>
              <w:bottom w:val="single" w:color="auto" w:sz="4" w:space="0"/>
              <w:right w:val="single" w:color="auto" w:sz="4" w:space="0"/>
            </w:tcBorders>
            <w:vAlign w:val="center"/>
          </w:tcPr>
          <w:p w14:paraId="53453183">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河南中医药大学龙子湖校区指定地点</w:t>
            </w:r>
          </w:p>
        </w:tc>
        <w:tc>
          <w:tcPr>
            <w:tcW w:w="231" w:type="pct"/>
            <w:tcBorders>
              <w:top w:val="single" w:color="auto" w:sz="4" w:space="0"/>
              <w:left w:val="single" w:color="auto" w:sz="4" w:space="0"/>
              <w:bottom w:val="single" w:color="auto" w:sz="4" w:space="0"/>
              <w:right w:val="single" w:color="auto" w:sz="4" w:space="0"/>
            </w:tcBorders>
            <w:vAlign w:val="center"/>
          </w:tcPr>
          <w:p w14:paraId="3B7E8D83">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r>
      <w:tr w14:paraId="6932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14:paraId="013D5244">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404" w:type="pct"/>
            <w:tcBorders>
              <w:top w:val="single" w:color="auto" w:sz="4" w:space="0"/>
              <w:left w:val="single" w:color="auto" w:sz="4" w:space="0"/>
              <w:bottom w:val="single" w:color="auto" w:sz="4" w:space="0"/>
              <w:right w:val="single" w:color="auto" w:sz="4" w:space="0"/>
            </w:tcBorders>
            <w:vAlign w:val="center"/>
          </w:tcPr>
          <w:p w14:paraId="373AB795">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傅里叶变换红外光谱仪</w:t>
            </w:r>
          </w:p>
        </w:tc>
        <w:tc>
          <w:tcPr>
            <w:tcW w:w="357" w:type="pct"/>
            <w:tcBorders>
              <w:top w:val="single" w:color="auto" w:sz="4" w:space="0"/>
              <w:left w:val="single" w:color="auto" w:sz="4" w:space="0"/>
              <w:bottom w:val="single" w:color="auto" w:sz="4" w:space="0"/>
              <w:right w:val="single" w:color="auto" w:sz="4" w:space="0"/>
            </w:tcBorders>
            <w:vAlign w:val="center"/>
          </w:tcPr>
          <w:p w14:paraId="177FB49C">
            <w:pPr>
              <w:spacing w:line="360" w:lineRule="auto"/>
              <w:jc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Nicolet iS50</w:t>
            </w:r>
          </w:p>
        </w:tc>
        <w:tc>
          <w:tcPr>
            <w:tcW w:w="390" w:type="pct"/>
            <w:tcBorders>
              <w:top w:val="single" w:color="auto" w:sz="4" w:space="0"/>
              <w:left w:val="single" w:color="auto" w:sz="4" w:space="0"/>
              <w:bottom w:val="single" w:color="auto" w:sz="4" w:space="0"/>
              <w:right w:val="single" w:color="auto" w:sz="4" w:space="0"/>
            </w:tcBorders>
            <w:vAlign w:val="center"/>
          </w:tcPr>
          <w:p w14:paraId="20AEB6CA">
            <w:pPr>
              <w:spacing w:line="360" w:lineRule="auto"/>
              <w:jc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赛默飞世尔（广州）生物科技有限公司</w:t>
            </w:r>
          </w:p>
        </w:tc>
        <w:tc>
          <w:tcPr>
            <w:tcW w:w="246" w:type="pct"/>
            <w:tcBorders>
              <w:top w:val="single" w:color="auto" w:sz="4" w:space="0"/>
              <w:left w:val="single" w:color="auto" w:sz="4" w:space="0"/>
              <w:bottom w:val="single" w:color="auto" w:sz="4" w:space="0"/>
              <w:right w:val="single" w:color="auto" w:sz="4" w:space="0"/>
            </w:tcBorders>
            <w:vAlign w:val="center"/>
          </w:tcPr>
          <w:p w14:paraId="6110AA5A">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中国</w:t>
            </w:r>
          </w:p>
        </w:tc>
        <w:tc>
          <w:tcPr>
            <w:tcW w:w="257" w:type="pct"/>
            <w:tcBorders>
              <w:top w:val="single" w:color="auto" w:sz="4" w:space="0"/>
              <w:left w:val="single" w:color="auto" w:sz="4" w:space="0"/>
              <w:bottom w:val="single" w:color="auto" w:sz="4" w:space="0"/>
              <w:right w:val="single" w:color="auto" w:sz="4" w:space="0"/>
            </w:tcBorders>
            <w:vAlign w:val="center"/>
          </w:tcPr>
          <w:p w14:paraId="79FC6702">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台</w:t>
            </w:r>
          </w:p>
        </w:tc>
        <w:tc>
          <w:tcPr>
            <w:tcW w:w="257" w:type="pct"/>
            <w:tcBorders>
              <w:top w:val="single" w:color="auto" w:sz="4" w:space="0"/>
              <w:left w:val="single" w:color="auto" w:sz="4" w:space="0"/>
              <w:bottom w:val="single" w:color="auto" w:sz="4" w:space="0"/>
              <w:right w:val="single" w:color="auto" w:sz="4" w:space="0"/>
            </w:tcBorders>
            <w:vAlign w:val="center"/>
          </w:tcPr>
          <w:p w14:paraId="4A55019A">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489" w:type="pct"/>
            <w:tcBorders>
              <w:top w:val="single" w:color="auto" w:sz="4" w:space="0"/>
              <w:left w:val="single" w:color="auto" w:sz="4" w:space="0"/>
              <w:bottom w:val="single" w:color="auto" w:sz="4" w:space="0"/>
              <w:right w:val="single" w:color="auto" w:sz="4" w:space="0"/>
            </w:tcBorders>
            <w:vAlign w:val="center"/>
          </w:tcPr>
          <w:p w14:paraId="0E696ADB">
            <w:pPr>
              <w:spacing w:line="360" w:lineRule="auto"/>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452000</w:t>
            </w:r>
          </w:p>
        </w:tc>
        <w:tc>
          <w:tcPr>
            <w:tcW w:w="507" w:type="pct"/>
            <w:tcBorders>
              <w:top w:val="single" w:color="auto" w:sz="4" w:space="0"/>
              <w:left w:val="single" w:color="auto" w:sz="4" w:space="0"/>
              <w:bottom w:val="single" w:color="auto" w:sz="4" w:space="0"/>
              <w:right w:val="single" w:color="auto" w:sz="4" w:space="0"/>
            </w:tcBorders>
            <w:vAlign w:val="center"/>
          </w:tcPr>
          <w:p w14:paraId="7ABAE16B">
            <w:pPr>
              <w:spacing w:line="360" w:lineRule="auto"/>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452000</w:t>
            </w:r>
          </w:p>
        </w:tc>
        <w:tc>
          <w:tcPr>
            <w:tcW w:w="232" w:type="pct"/>
            <w:tcBorders>
              <w:top w:val="single" w:color="auto" w:sz="4" w:space="0"/>
              <w:left w:val="single" w:color="auto" w:sz="4" w:space="0"/>
              <w:bottom w:val="single" w:color="auto" w:sz="4" w:space="0"/>
              <w:right w:val="single" w:color="auto" w:sz="4" w:space="0"/>
            </w:tcBorders>
            <w:shd w:val="clear" w:color="auto" w:fill="auto"/>
            <w:vAlign w:val="center"/>
          </w:tcPr>
          <w:p w14:paraId="386AF96A">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已含</w:t>
            </w:r>
            <w:r>
              <w:rPr>
                <w:rFonts w:hint="eastAsia" w:ascii="宋体" w:hAnsi="宋体" w:cs="宋体"/>
                <w:b w:val="0"/>
                <w:bCs w:val="0"/>
                <w:color w:val="auto"/>
                <w:sz w:val="21"/>
                <w:szCs w:val="21"/>
                <w:lang w:val="en-US" w:eastAsia="zh-CN"/>
              </w:rPr>
              <w:t>主机中</w:t>
            </w:r>
          </w:p>
        </w:tc>
        <w:tc>
          <w:tcPr>
            <w:tcW w:w="232" w:type="pct"/>
            <w:tcBorders>
              <w:top w:val="single" w:color="auto" w:sz="4" w:space="0"/>
              <w:left w:val="single" w:color="auto" w:sz="4" w:space="0"/>
              <w:bottom w:val="single" w:color="auto" w:sz="4" w:space="0"/>
              <w:right w:val="single" w:color="auto" w:sz="4" w:space="0"/>
            </w:tcBorders>
            <w:shd w:val="clear" w:color="auto" w:fill="auto"/>
            <w:vAlign w:val="center"/>
          </w:tcPr>
          <w:p w14:paraId="419354AD">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已含</w:t>
            </w:r>
            <w:r>
              <w:rPr>
                <w:rFonts w:hint="eastAsia" w:ascii="宋体" w:hAnsi="宋体" w:cs="宋体"/>
                <w:b w:val="0"/>
                <w:bCs w:val="0"/>
                <w:color w:val="auto"/>
                <w:sz w:val="21"/>
                <w:szCs w:val="21"/>
                <w:lang w:val="en-US" w:eastAsia="zh-CN"/>
              </w:rPr>
              <w:t>主机中</w:t>
            </w:r>
          </w:p>
        </w:tc>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14:paraId="03C2B2B9">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已含</w:t>
            </w:r>
            <w:r>
              <w:rPr>
                <w:rFonts w:hint="eastAsia" w:ascii="宋体" w:hAnsi="宋体" w:cs="宋体"/>
                <w:b w:val="0"/>
                <w:bCs w:val="0"/>
                <w:color w:val="auto"/>
                <w:sz w:val="21"/>
                <w:szCs w:val="21"/>
                <w:lang w:val="en-US" w:eastAsia="zh-CN"/>
              </w:rPr>
              <w:t>主机中</w:t>
            </w:r>
          </w:p>
        </w:tc>
        <w:tc>
          <w:tcPr>
            <w:tcW w:w="430" w:type="pct"/>
            <w:tcBorders>
              <w:top w:val="single" w:color="auto" w:sz="4" w:space="0"/>
              <w:left w:val="single" w:color="auto" w:sz="4" w:space="0"/>
              <w:bottom w:val="single" w:color="auto" w:sz="4" w:space="0"/>
              <w:right w:val="single" w:color="auto" w:sz="4" w:space="0"/>
            </w:tcBorders>
            <w:vAlign w:val="center"/>
          </w:tcPr>
          <w:p w14:paraId="39E5BBC5">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签订合同后45天内完成供货</w:t>
            </w:r>
          </w:p>
        </w:tc>
        <w:tc>
          <w:tcPr>
            <w:tcW w:w="508" w:type="pct"/>
            <w:tcBorders>
              <w:top w:val="single" w:color="auto" w:sz="4" w:space="0"/>
              <w:left w:val="single" w:color="auto" w:sz="4" w:space="0"/>
              <w:bottom w:val="single" w:color="auto" w:sz="4" w:space="0"/>
              <w:right w:val="single" w:color="auto" w:sz="4" w:space="0"/>
            </w:tcBorders>
            <w:vAlign w:val="center"/>
          </w:tcPr>
          <w:p w14:paraId="2A760AF5">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河南中医药大学龙子湖校区指定地点</w:t>
            </w:r>
          </w:p>
        </w:tc>
        <w:tc>
          <w:tcPr>
            <w:tcW w:w="231" w:type="pct"/>
            <w:tcBorders>
              <w:top w:val="single" w:color="auto" w:sz="4" w:space="0"/>
              <w:left w:val="single" w:color="auto" w:sz="4" w:space="0"/>
              <w:bottom w:val="single" w:color="auto" w:sz="4" w:space="0"/>
              <w:right w:val="single" w:color="auto" w:sz="4" w:space="0"/>
            </w:tcBorders>
            <w:vAlign w:val="center"/>
          </w:tcPr>
          <w:p w14:paraId="410060F1">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r>
      <w:tr w14:paraId="410E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14:paraId="3F9FEFBE">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p>
        </w:tc>
        <w:tc>
          <w:tcPr>
            <w:tcW w:w="404" w:type="pct"/>
            <w:tcBorders>
              <w:top w:val="single" w:color="auto" w:sz="4" w:space="0"/>
              <w:left w:val="single" w:color="auto" w:sz="4" w:space="0"/>
              <w:bottom w:val="single" w:color="auto" w:sz="4" w:space="0"/>
              <w:right w:val="single" w:color="auto" w:sz="4" w:space="0"/>
            </w:tcBorders>
            <w:vAlign w:val="center"/>
          </w:tcPr>
          <w:p w14:paraId="01D45AF9">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备品备件</w:t>
            </w:r>
          </w:p>
          <w:p w14:paraId="3FD4E3DB">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及其他</w:t>
            </w:r>
          </w:p>
        </w:tc>
        <w:tc>
          <w:tcPr>
            <w:tcW w:w="747" w:type="pct"/>
            <w:gridSpan w:val="2"/>
            <w:tcBorders>
              <w:top w:val="single" w:color="auto" w:sz="4" w:space="0"/>
              <w:left w:val="single" w:color="auto" w:sz="4" w:space="0"/>
              <w:bottom w:val="single" w:color="auto" w:sz="4" w:space="0"/>
              <w:right w:val="single" w:color="auto" w:sz="4" w:space="0"/>
            </w:tcBorders>
            <w:vAlign w:val="center"/>
          </w:tcPr>
          <w:p w14:paraId="5DD6EB25">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配件</w:t>
            </w:r>
          </w:p>
          <w:p w14:paraId="197226BA">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消耗品</w:t>
            </w:r>
          </w:p>
          <w:p w14:paraId="784D503F">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维护工具盒：</w:t>
            </w:r>
          </w:p>
        </w:tc>
        <w:tc>
          <w:tcPr>
            <w:tcW w:w="246" w:type="pct"/>
            <w:tcBorders>
              <w:top w:val="single" w:color="auto" w:sz="4" w:space="0"/>
              <w:left w:val="single" w:color="auto" w:sz="4" w:space="0"/>
              <w:bottom w:val="single" w:color="auto" w:sz="4" w:space="0"/>
              <w:right w:val="single" w:color="auto" w:sz="4" w:space="0"/>
            </w:tcBorders>
            <w:vAlign w:val="center"/>
          </w:tcPr>
          <w:p w14:paraId="24FE0E07">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中国</w:t>
            </w:r>
          </w:p>
        </w:tc>
        <w:tc>
          <w:tcPr>
            <w:tcW w:w="257" w:type="pct"/>
            <w:tcBorders>
              <w:top w:val="single" w:color="auto" w:sz="4" w:space="0"/>
              <w:left w:val="single" w:color="auto" w:sz="4" w:space="0"/>
              <w:bottom w:val="single" w:color="auto" w:sz="4" w:space="0"/>
              <w:right w:val="single" w:color="auto" w:sz="4" w:space="0"/>
            </w:tcBorders>
            <w:vAlign w:val="center"/>
          </w:tcPr>
          <w:p w14:paraId="2A60063E">
            <w:pPr>
              <w:spacing w:line="360" w:lineRule="auto"/>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套</w:t>
            </w:r>
          </w:p>
        </w:tc>
        <w:tc>
          <w:tcPr>
            <w:tcW w:w="257" w:type="pct"/>
            <w:tcBorders>
              <w:top w:val="single" w:color="auto" w:sz="4" w:space="0"/>
              <w:left w:val="single" w:color="auto" w:sz="4" w:space="0"/>
              <w:bottom w:val="single" w:color="auto" w:sz="4" w:space="0"/>
              <w:right w:val="single" w:color="auto" w:sz="4" w:space="0"/>
            </w:tcBorders>
            <w:vAlign w:val="center"/>
          </w:tcPr>
          <w:p w14:paraId="2A449154">
            <w:pPr>
              <w:spacing w:line="360" w:lineRule="auto"/>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1</w:t>
            </w:r>
          </w:p>
        </w:tc>
        <w:tc>
          <w:tcPr>
            <w:tcW w:w="489" w:type="pct"/>
            <w:tcBorders>
              <w:top w:val="single" w:color="auto" w:sz="4" w:space="0"/>
              <w:left w:val="single" w:color="auto" w:sz="4" w:space="0"/>
              <w:bottom w:val="single" w:color="auto" w:sz="4" w:space="0"/>
              <w:right w:val="single" w:color="auto" w:sz="4" w:space="0"/>
            </w:tcBorders>
            <w:vAlign w:val="center"/>
          </w:tcPr>
          <w:p w14:paraId="5B85F602">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随主机</w:t>
            </w:r>
          </w:p>
        </w:tc>
        <w:tc>
          <w:tcPr>
            <w:tcW w:w="507" w:type="pct"/>
            <w:tcBorders>
              <w:top w:val="single" w:color="auto" w:sz="4" w:space="0"/>
              <w:left w:val="single" w:color="auto" w:sz="4" w:space="0"/>
              <w:bottom w:val="single" w:color="auto" w:sz="4" w:space="0"/>
              <w:right w:val="single" w:color="auto" w:sz="4" w:space="0"/>
            </w:tcBorders>
            <w:vAlign w:val="center"/>
          </w:tcPr>
          <w:p w14:paraId="6FEA9DF0">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随主机</w:t>
            </w:r>
          </w:p>
        </w:tc>
        <w:tc>
          <w:tcPr>
            <w:tcW w:w="232" w:type="pct"/>
            <w:tcBorders>
              <w:top w:val="single" w:color="auto" w:sz="4" w:space="0"/>
              <w:left w:val="single" w:color="auto" w:sz="4" w:space="0"/>
              <w:bottom w:val="single" w:color="auto" w:sz="4" w:space="0"/>
              <w:right w:val="single" w:color="auto" w:sz="4" w:space="0"/>
            </w:tcBorders>
            <w:vAlign w:val="center"/>
          </w:tcPr>
          <w:p w14:paraId="318EB03D">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已含</w:t>
            </w:r>
            <w:r>
              <w:rPr>
                <w:rFonts w:hint="eastAsia" w:ascii="宋体" w:hAnsi="宋体" w:cs="宋体"/>
                <w:b w:val="0"/>
                <w:bCs w:val="0"/>
                <w:color w:val="auto"/>
                <w:sz w:val="21"/>
                <w:szCs w:val="21"/>
                <w:lang w:val="en-US" w:eastAsia="zh-CN"/>
              </w:rPr>
              <w:t>主机中</w:t>
            </w:r>
          </w:p>
        </w:tc>
        <w:tc>
          <w:tcPr>
            <w:tcW w:w="232" w:type="pct"/>
            <w:tcBorders>
              <w:top w:val="single" w:color="auto" w:sz="4" w:space="0"/>
              <w:left w:val="single" w:color="auto" w:sz="4" w:space="0"/>
              <w:bottom w:val="single" w:color="auto" w:sz="4" w:space="0"/>
              <w:right w:val="single" w:color="auto" w:sz="4" w:space="0"/>
            </w:tcBorders>
            <w:vAlign w:val="center"/>
          </w:tcPr>
          <w:p w14:paraId="6C84A0BA">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已含</w:t>
            </w:r>
            <w:r>
              <w:rPr>
                <w:rFonts w:hint="eastAsia" w:ascii="宋体" w:hAnsi="宋体" w:cs="宋体"/>
                <w:b w:val="0"/>
                <w:bCs w:val="0"/>
                <w:color w:val="auto"/>
                <w:sz w:val="21"/>
                <w:szCs w:val="21"/>
                <w:lang w:val="en-US" w:eastAsia="zh-CN"/>
              </w:rPr>
              <w:t>主机中</w:t>
            </w:r>
          </w:p>
        </w:tc>
        <w:tc>
          <w:tcPr>
            <w:tcW w:w="270" w:type="pct"/>
            <w:tcBorders>
              <w:top w:val="single" w:color="auto" w:sz="4" w:space="0"/>
              <w:left w:val="single" w:color="auto" w:sz="4" w:space="0"/>
              <w:bottom w:val="single" w:color="auto" w:sz="4" w:space="0"/>
              <w:right w:val="single" w:color="auto" w:sz="4" w:space="0"/>
            </w:tcBorders>
            <w:vAlign w:val="center"/>
          </w:tcPr>
          <w:p w14:paraId="3408ED6A">
            <w:pPr>
              <w:spacing w:line="360" w:lineRule="auto"/>
              <w:jc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已含</w:t>
            </w:r>
            <w:r>
              <w:rPr>
                <w:rFonts w:hint="eastAsia" w:ascii="宋体" w:hAnsi="宋体" w:cs="宋体"/>
                <w:b w:val="0"/>
                <w:bCs w:val="0"/>
                <w:color w:val="auto"/>
                <w:sz w:val="21"/>
                <w:szCs w:val="21"/>
                <w:lang w:val="en-US" w:eastAsia="zh-CN"/>
              </w:rPr>
              <w:t>主机中</w:t>
            </w:r>
          </w:p>
        </w:tc>
        <w:tc>
          <w:tcPr>
            <w:tcW w:w="430" w:type="pct"/>
            <w:tcBorders>
              <w:top w:val="single" w:color="auto" w:sz="4" w:space="0"/>
              <w:left w:val="single" w:color="auto" w:sz="4" w:space="0"/>
              <w:bottom w:val="single" w:color="auto" w:sz="4" w:space="0"/>
              <w:right w:val="single" w:color="auto" w:sz="4" w:space="0"/>
            </w:tcBorders>
            <w:vAlign w:val="center"/>
          </w:tcPr>
          <w:p w14:paraId="6DAEFBBB">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签订合同后45天内完成供货</w:t>
            </w:r>
          </w:p>
        </w:tc>
        <w:tc>
          <w:tcPr>
            <w:tcW w:w="508" w:type="pct"/>
            <w:tcBorders>
              <w:top w:val="single" w:color="auto" w:sz="4" w:space="0"/>
              <w:left w:val="single" w:color="auto" w:sz="4" w:space="0"/>
              <w:bottom w:val="single" w:color="auto" w:sz="4" w:space="0"/>
              <w:right w:val="single" w:color="auto" w:sz="4" w:space="0"/>
            </w:tcBorders>
            <w:vAlign w:val="center"/>
          </w:tcPr>
          <w:p w14:paraId="26B04928">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河南中医药大学龙子湖校区指定地点</w:t>
            </w:r>
          </w:p>
        </w:tc>
        <w:tc>
          <w:tcPr>
            <w:tcW w:w="231" w:type="pct"/>
            <w:tcBorders>
              <w:top w:val="single" w:color="auto" w:sz="4" w:space="0"/>
              <w:left w:val="single" w:color="auto" w:sz="4" w:space="0"/>
              <w:bottom w:val="single" w:color="auto" w:sz="4" w:space="0"/>
              <w:right w:val="single" w:color="auto" w:sz="4" w:space="0"/>
            </w:tcBorders>
            <w:vAlign w:val="center"/>
          </w:tcPr>
          <w:p w14:paraId="79175CD8">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w:t>
            </w:r>
          </w:p>
        </w:tc>
      </w:tr>
      <w:tr w14:paraId="0D83C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14:paraId="40DDB62C">
            <w:pPr>
              <w:spacing w:line="360" w:lineRule="auto"/>
              <w:jc w:val="center"/>
              <w:rPr>
                <w:rFonts w:hint="eastAsia" w:ascii="宋体" w:hAnsi="宋体" w:eastAsia="宋体" w:cs="宋体"/>
                <w:b w:val="0"/>
                <w:bCs w:val="0"/>
                <w:color w:val="auto"/>
                <w:sz w:val="21"/>
                <w:szCs w:val="21"/>
              </w:rPr>
            </w:pPr>
          </w:p>
        </w:tc>
        <w:tc>
          <w:tcPr>
            <w:tcW w:w="404" w:type="pct"/>
            <w:tcBorders>
              <w:top w:val="single" w:color="auto" w:sz="4" w:space="0"/>
              <w:left w:val="single" w:color="auto" w:sz="4" w:space="0"/>
              <w:bottom w:val="single" w:color="auto" w:sz="4" w:space="0"/>
              <w:right w:val="single" w:color="auto" w:sz="4" w:space="0"/>
            </w:tcBorders>
            <w:vAlign w:val="center"/>
          </w:tcPr>
          <w:p w14:paraId="3365BAD1">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合计</w:t>
            </w:r>
          </w:p>
        </w:tc>
        <w:tc>
          <w:tcPr>
            <w:tcW w:w="747" w:type="pct"/>
            <w:gridSpan w:val="2"/>
            <w:tcBorders>
              <w:top w:val="single" w:color="auto" w:sz="4" w:space="0"/>
              <w:left w:val="single" w:color="auto" w:sz="4" w:space="0"/>
              <w:bottom w:val="single" w:color="auto" w:sz="4" w:space="0"/>
              <w:right w:val="single" w:color="auto" w:sz="4" w:space="0"/>
            </w:tcBorders>
            <w:vAlign w:val="center"/>
          </w:tcPr>
          <w:p w14:paraId="7FA1D386">
            <w:pPr>
              <w:spacing w:line="360" w:lineRule="auto"/>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w:t>
            </w:r>
          </w:p>
        </w:tc>
        <w:tc>
          <w:tcPr>
            <w:tcW w:w="246" w:type="pct"/>
            <w:tcBorders>
              <w:top w:val="single" w:color="auto" w:sz="4" w:space="0"/>
              <w:left w:val="single" w:color="auto" w:sz="4" w:space="0"/>
              <w:bottom w:val="single" w:color="auto" w:sz="4" w:space="0"/>
              <w:right w:val="single" w:color="auto" w:sz="4" w:space="0"/>
            </w:tcBorders>
            <w:vAlign w:val="center"/>
          </w:tcPr>
          <w:p w14:paraId="6A76FE96">
            <w:pPr>
              <w:spacing w:line="360" w:lineRule="auto"/>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w:t>
            </w:r>
          </w:p>
        </w:tc>
        <w:tc>
          <w:tcPr>
            <w:tcW w:w="257" w:type="pct"/>
            <w:tcBorders>
              <w:top w:val="single" w:color="auto" w:sz="4" w:space="0"/>
              <w:left w:val="single" w:color="auto" w:sz="4" w:space="0"/>
              <w:bottom w:val="single" w:color="auto" w:sz="4" w:space="0"/>
              <w:right w:val="single" w:color="auto" w:sz="4" w:space="0"/>
            </w:tcBorders>
            <w:vAlign w:val="center"/>
          </w:tcPr>
          <w:p w14:paraId="02B7C5AF">
            <w:pPr>
              <w:spacing w:line="360" w:lineRule="auto"/>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w:t>
            </w:r>
          </w:p>
        </w:tc>
        <w:tc>
          <w:tcPr>
            <w:tcW w:w="257" w:type="pct"/>
            <w:tcBorders>
              <w:top w:val="single" w:color="auto" w:sz="4" w:space="0"/>
              <w:left w:val="single" w:color="auto" w:sz="4" w:space="0"/>
              <w:bottom w:val="single" w:color="auto" w:sz="4" w:space="0"/>
              <w:right w:val="single" w:color="auto" w:sz="4" w:space="0"/>
            </w:tcBorders>
            <w:vAlign w:val="center"/>
          </w:tcPr>
          <w:p w14:paraId="7C09A662">
            <w:pPr>
              <w:spacing w:line="360" w:lineRule="auto"/>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w:t>
            </w:r>
          </w:p>
        </w:tc>
        <w:tc>
          <w:tcPr>
            <w:tcW w:w="489" w:type="pct"/>
            <w:tcBorders>
              <w:top w:val="single" w:color="auto" w:sz="4" w:space="0"/>
              <w:left w:val="single" w:color="auto" w:sz="4" w:space="0"/>
              <w:bottom w:val="single" w:color="auto" w:sz="4" w:space="0"/>
              <w:right w:val="single" w:color="auto" w:sz="4" w:space="0"/>
            </w:tcBorders>
            <w:vAlign w:val="center"/>
          </w:tcPr>
          <w:p w14:paraId="03AF1BC7">
            <w:pPr>
              <w:spacing w:line="360" w:lineRule="auto"/>
              <w:jc w:val="center"/>
              <w:rPr>
                <w:rFonts w:hint="eastAsia" w:ascii="宋体" w:hAnsi="宋体" w:eastAsia="宋体" w:cs="宋体"/>
                <w:b w:val="0"/>
                <w:bCs w:val="0"/>
                <w:color w:val="auto"/>
                <w:sz w:val="21"/>
                <w:szCs w:val="21"/>
                <w:lang w:val="en-US" w:eastAsia="zh-CN"/>
              </w:rPr>
            </w:pPr>
          </w:p>
        </w:tc>
        <w:tc>
          <w:tcPr>
            <w:tcW w:w="507" w:type="pct"/>
            <w:tcBorders>
              <w:top w:val="single" w:color="auto" w:sz="4" w:space="0"/>
              <w:left w:val="single" w:color="auto" w:sz="4" w:space="0"/>
              <w:bottom w:val="single" w:color="auto" w:sz="4" w:space="0"/>
              <w:right w:val="single" w:color="auto" w:sz="4" w:space="0"/>
            </w:tcBorders>
            <w:vAlign w:val="center"/>
          </w:tcPr>
          <w:p w14:paraId="042300AD">
            <w:pPr>
              <w:spacing w:line="360" w:lineRule="auto"/>
              <w:jc w:val="center"/>
              <w:rPr>
                <w:rFonts w:hint="eastAsia" w:ascii="宋体" w:hAnsi="宋体" w:eastAsia="宋体" w:cs="宋体"/>
                <w:b w:val="0"/>
                <w:bCs w:val="0"/>
                <w:color w:val="auto"/>
                <w:sz w:val="21"/>
                <w:szCs w:val="21"/>
              </w:rPr>
            </w:pPr>
          </w:p>
        </w:tc>
        <w:tc>
          <w:tcPr>
            <w:tcW w:w="232" w:type="pct"/>
            <w:tcBorders>
              <w:top w:val="single" w:color="auto" w:sz="4" w:space="0"/>
              <w:left w:val="single" w:color="auto" w:sz="4" w:space="0"/>
              <w:bottom w:val="single" w:color="auto" w:sz="4" w:space="0"/>
              <w:right w:val="single" w:color="auto" w:sz="4" w:space="0"/>
            </w:tcBorders>
            <w:vAlign w:val="center"/>
          </w:tcPr>
          <w:p w14:paraId="586FD889">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w:t>
            </w:r>
          </w:p>
        </w:tc>
        <w:tc>
          <w:tcPr>
            <w:tcW w:w="232" w:type="pct"/>
            <w:tcBorders>
              <w:top w:val="single" w:color="auto" w:sz="4" w:space="0"/>
              <w:left w:val="single" w:color="auto" w:sz="4" w:space="0"/>
              <w:bottom w:val="single" w:color="auto" w:sz="4" w:space="0"/>
              <w:right w:val="single" w:color="auto" w:sz="4" w:space="0"/>
            </w:tcBorders>
            <w:vAlign w:val="center"/>
          </w:tcPr>
          <w:p w14:paraId="48E98AC7">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w:t>
            </w:r>
          </w:p>
        </w:tc>
        <w:tc>
          <w:tcPr>
            <w:tcW w:w="270" w:type="pct"/>
            <w:tcBorders>
              <w:top w:val="single" w:color="auto" w:sz="4" w:space="0"/>
              <w:left w:val="single" w:color="auto" w:sz="4" w:space="0"/>
              <w:bottom w:val="single" w:color="auto" w:sz="4" w:space="0"/>
              <w:right w:val="single" w:color="auto" w:sz="4" w:space="0"/>
            </w:tcBorders>
            <w:vAlign w:val="center"/>
          </w:tcPr>
          <w:p w14:paraId="1E3713EF">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w:t>
            </w:r>
          </w:p>
        </w:tc>
        <w:tc>
          <w:tcPr>
            <w:tcW w:w="430" w:type="pct"/>
            <w:tcBorders>
              <w:top w:val="single" w:color="auto" w:sz="4" w:space="0"/>
              <w:left w:val="single" w:color="auto" w:sz="4" w:space="0"/>
              <w:bottom w:val="single" w:color="auto" w:sz="4" w:space="0"/>
              <w:right w:val="single" w:color="auto" w:sz="4" w:space="0"/>
            </w:tcBorders>
            <w:vAlign w:val="center"/>
          </w:tcPr>
          <w:p w14:paraId="14338274">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w:t>
            </w:r>
          </w:p>
        </w:tc>
        <w:tc>
          <w:tcPr>
            <w:tcW w:w="508" w:type="pct"/>
            <w:tcBorders>
              <w:top w:val="single" w:color="auto" w:sz="4" w:space="0"/>
              <w:left w:val="single" w:color="auto" w:sz="4" w:space="0"/>
              <w:bottom w:val="single" w:color="auto" w:sz="4" w:space="0"/>
              <w:right w:val="single" w:color="auto" w:sz="4" w:space="0"/>
            </w:tcBorders>
            <w:vAlign w:val="center"/>
          </w:tcPr>
          <w:p w14:paraId="4AEE556A">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w:t>
            </w:r>
          </w:p>
        </w:tc>
        <w:tc>
          <w:tcPr>
            <w:tcW w:w="231" w:type="pct"/>
            <w:tcBorders>
              <w:top w:val="single" w:color="auto" w:sz="4" w:space="0"/>
              <w:left w:val="single" w:color="auto" w:sz="4" w:space="0"/>
              <w:bottom w:val="single" w:color="auto" w:sz="4" w:space="0"/>
              <w:right w:val="single" w:color="auto" w:sz="4" w:space="0"/>
            </w:tcBorders>
            <w:vAlign w:val="center"/>
          </w:tcPr>
          <w:p w14:paraId="71F06091">
            <w:pPr>
              <w:spacing w:line="360" w:lineRule="auto"/>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w:t>
            </w:r>
          </w:p>
        </w:tc>
      </w:tr>
      <w:tr w14:paraId="3257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86" w:type="pct"/>
            <w:gridSpan w:val="2"/>
            <w:tcBorders>
              <w:top w:val="single" w:color="auto" w:sz="4" w:space="0"/>
              <w:left w:val="single" w:color="auto" w:sz="4" w:space="0"/>
              <w:bottom w:val="single" w:color="auto" w:sz="4" w:space="0"/>
              <w:right w:val="single" w:color="auto" w:sz="4" w:space="0"/>
            </w:tcBorders>
            <w:vAlign w:val="center"/>
          </w:tcPr>
          <w:p w14:paraId="7CD34497">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人民币</w:t>
            </w:r>
          </w:p>
          <w:p w14:paraId="1C1D2523">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总价</w:t>
            </w:r>
          </w:p>
        </w:tc>
        <w:tc>
          <w:tcPr>
            <w:tcW w:w="4413" w:type="pct"/>
            <w:gridSpan w:val="13"/>
            <w:tcBorders>
              <w:top w:val="single" w:color="auto" w:sz="4" w:space="0"/>
              <w:left w:val="single" w:color="auto" w:sz="4" w:space="0"/>
              <w:bottom w:val="single" w:color="auto" w:sz="4" w:space="0"/>
              <w:right w:val="single" w:color="auto" w:sz="4" w:space="0"/>
            </w:tcBorders>
            <w:vAlign w:val="center"/>
          </w:tcPr>
          <w:p w14:paraId="73C1CED2">
            <w:pPr>
              <w:spacing w:line="360" w:lineRule="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u w:val="single"/>
                <w:lang w:val="en-US" w:eastAsia="zh-CN"/>
              </w:rPr>
              <w:fldChar w:fldCharType="begin"/>
            </w:r>
            <w:r>
              <w:rPr>
                <w:rFonts w:hint="eastAsia" w:ascii="宋体" w:hAnsi="宋体" w:cs="宋体"/>
                <w:b w:val="0"/>
                <w:bCs w:val="0"/>
                <w:color w:val="auto"/>
                <w:sz w:val="21"/>
                <w:szCs w:val="21"/>
                <w:u w:val="single"/>
                <w:lang w:val="en-US" w:eastAsia="zh-CN"/>
              </w:rPr>
              <w:instrText xml:space="preserve"> = 5866000 \* CHINESENUM2 \* MERGEFORMAT </w:instrText>
            </w:r>
            <w:r>
              <w:rPr>
                <w:rFonts w:hint="eastAsia" w:ascii="宋体" w:hAnsi="宋体" w:cs="宋体"/>
                <w:b w:val="0"/>
                <w:bCs w:val="0"/>
                <w:color w:val="auto"/>
                <w:sz w:val="21"/>
                <w:szCs w:val="21"/>
                <w:u w:val="single"/>
                <w:lang w:val="en-US" w:eastAsia="zh-CN"/>
              </w:rPr>
              <w:fldChar w:fldCharType="separate"/>
            </w:r>
            <w:r>
              <w:rPr>
                <w:rFonts w:hint="eastAsia" w:ascii="宋体" w:hAnsi="宋体" w:cs="宋体"/>
                <w:b w:val="0"/>
                <w:bCs w:val="0"/>
                <w:color w:val="auto"/>
                <w:sz w:val="21"/>
                <w:szCs w:val="21"/>
                <w:u w:val="single"/>
                <w:lang w:val="en-US" w:eastAsia="zh-CN"/>
              </w:rPr>
              <w:t>伍佰捌拾陆万陆仟</w:t>
            </w:r>
            <w:r>
              <w:rPr>
                <w:rFonts w:hint="eastAsia" w:ascii="宋体" w:hAnsi="宋体" w:cs="宋体"/>
                <w:b w:val="0"/>
                <w:bCs w:val="0"/>
                <w:color w:val="auto"/>
                <w:sz w:val="21"/>
                <w:szCs w:val="21"/>
                <w:u w:val="single"/>
                <w:lang w:val="en-US" w:eastAsia="zh-CN"/>
              </w:rPr>
              <w:fldChar w:fldCharType="end"/>
            </w:r>
            <w:r>
              <w:rPr>
                <w:rFonts w:hint="eastAsia" w:ascii="宋体" w:hAnsi="宋体" w:cs="宋体"/>
                <w:b w:val="0"/>
                <w:bCs w:val="0"/>
                <w:color w:val="auto"/>
                <w:sz w:val="21"/>
                <w:szCs w:val="21"/>
                <w:u w:val="single"/>
                <w:lang w:val="en-US" w:eastAsia="zh-CN"/>
              </w:rPr>
              <w:t>元整</w:t>
            </w:r>
            <w:r>
              <w:rPr>
                <w:rFonts w:hint="eastAsia" w:ascii="宋体" w:hAnsi="宋体" w:eastAsia="宋体" w:cs="宋体"/>
                <w:b w:val="0"/>
                <w:bCs w:val="0"/>
                <w:color w:val="auto"/>
                <w:sz w:val="21"/>
                <w:szCs w:val="21"/>
                <w:u w:val="single"/>
                <w:lang w:val="en-US" w:eastAsia="zh-CN"/>
              </w:rPr>
              <w:t xml:space="preserve"> </w:t>
            </w:r>
            <w:r>
              <w:rPr>
                <w:rFonts w:hint="eastAsia" w:ascii="宋体" w:hAnsi="宋体" w:eastAsia="宋体" w:cs="宋体"/>
                <w:b w:val="0"/>
                <w:bCs w:val="0"/>
                <w:color w:val="auto"/>
                <w:sz w:val="21"/>
                <w:szCs w:val="21"/>
              </w:rPr>
              <w:t>（￥：</w:t>
            </w:r>
            <w:r>
              <w:rPr>
                <w:rFonts w:hint="eastAsia" w:ascii="宋体" w:hAnsi="宋体" w:cs="宋体"/>
                <w:b w:val="0"/>
                <w:bCs w:val="0"/>
                <w:color w:val="auto"/>
                <w:sz w:val="21"/>
                <w:szCs w:val="21"/>
                <w:u w:val="single"/>
                <w:lang w:val="en-US" w:eastAsia="zh-CN"/>
              </w:rPr>
              <w:t xml:space="preserve">5866000.00 </w:t>
            </w:r>
            <w:r>
              <w:rPr>
                <w:rFonts w:hint="eastAsia" w:ascii="宋体" w:hAnsi="宋体" w:eastAsia="宋体" w:cs="宋体"/>
                <w:b w:val="0"/>
                <w:bCs w:val="0"/>
                <w:color w:val="auto"/>
                <w:sz w:val="21"/>
                <w:szCs w:val="21"/>
                <w:u w:val="single"/>
                <w:lang w:val="en-US" w:eastAsia="zh-CN"/>
              </w:rPr>
              <w:t xml:space="preserve"> </w:t>
            </w:r>
            <w:r>
              <w:rPr>
                <w:rFonts w:hint="eastAsia" w:ascii="宋体" w:hAnsi="宋体" w:eastAsia="宋体" w:cs="宋体"/>
                <w:b w:val="0"/>
                <w:bCs w:val="0"/>
                <w:color w:val="auto"/>
                <w:sz w:val="21"/>
                <w:szCs w:val="21"/>
              </w:rPr>
              <w:t>）</w:t>
            </w:r>
          </w:p>
        </w:tc>
      </w:tr>
      <w:tr w14:paraId="5CC6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86" w:type="pct"/>
            <w:gridSpan w:val="2"/>
            <w:tcBorders>
              <w:top w:val="single" w:color="auto" w:sz="4" w:space="0"/>
              <w:left w:val="single" w:color="auto" w:sz="4" w:space="0"/>
              <w:bottom w:val="single" w:color="auto" w:sz="4" w:space="0"/>
              <w:right w:val="single" w:color="auto" w:sz="4" w:space="0"/>
            </w:tcBorders>
            <w:vAlign w:val="center"/>
          </w:tcPr>
          <w:p w14:paraId="2E3331F4">
            <w:pPr>
              <w:spacing w:line="36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备注</w:t>
            </w:r>
          </w:p>
        </w:tc>
        <w:tc>
          <w:tcPr>
            <w:tcW w:w="4413" w:type="pct"/>
            <w:gridSpan w:val="13"/>
            <w:tcBorders>
              <w:top w:val="single" w:color="auto" w:sz="4" w:space="0"/>
              <w:left w:val="single" w:color="auto" w:sz="4" w:space="0"/>
              <w:bottom w:val="single" w:color="auto" w:sz="4" w:space="0"/>
              <w:right w:val="single" w:color="auto" w:sz="4" w:space="0"/>
            </w:tcBorders>
            <w:vAlign w:val="center"/>
          </w:tcPr>
          <w:p w14:paraId="32ACA135">
            <w:pPr>
              <w:spacing w:line="360"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另附</w:t>
            </w:r>
            <w:r>
              <w:rPr>
                <w:rFonts w:hint="eastAsia" w:ascii="宋体" w:hAnsi="宋体" w:eastAsia="宋体" w:cs="宋体"/>
                <w:b w:val="0"/>
                <w:bCs w:val="0"/>
                <w:color w:val="auto"/>
                <w:kern w:val="0"/>
                <w:sz w:val="21"/>
                <w:szCs w:val="21"/>
              </w:rPr>
              <w:t>制造商</w:t>
            </w:r>
            <w:r>
              <w:rPr>
                <w:rFonts w:hint="eastAsia" w:ascii="宋体" w:hAnsi="宋体" w:eastAsia="宋体" w:cs="宋体"/>
                <w:b w:val="0"/>
                <w:bCs w:val="0"/>
                <w:color w:val="auto"/>
                <w:sz w:val="21"/>
                <w:szCs w:val="21"/>
              </w:rPr>
              <w:t>：</w:t>
            </w:r>
            <w:r>
              <w:rPr>
                <w:rFonts w:hint="eastAsia" w:ascii="宋体" w:hAnsi="宋体" w:eastAsia="宋体" w:cs="宋体"/>
                <w:b w:val="0"/>
                <w:bCs w:val="0"/>
                <w:color w:val="auto"/>
                <w:sz w:val="21"/>
                <w:szCs w:val="21"/>
                <w:lang w:eastAsia="zh-CN"/>
              </w:rPr>
              <w:t>河南中医药大学科研公共服务平台液质联用检测升级建设项目</w:t>
            </w:r>
            <w:r>
              <w:rPr>
                <w:rFonts w:hint="eastAsia" w:ascii="宋体" w:hAnsi="宋体" w:eastAsia="宋体" w:cs="宋体"/>
                <w:b w:val="0"/>
                <w:bCs w:val="0"/>
                <w:color w:val="auto"/>
                <w:sz w:val="21"/>
                <w:szCs w:val="21"/>
                <w:lang w:val="en-US" w:eastAsia="zh-CN"/>
              </w:rPr>
              <w:t>设备</w:t>
            </w:r>
            <w:r>
              <w:rPr>
                <w:rFonts w:hint="eastAsia" w:ascii="宋体" w:hAnsi="宋体" w:eastAsia="宋体" w:cs="宋体"/>
                <w:b w:val="0"/>
                <w:bCs w:val="0"/>
                <w:color w:val="auto"/>
                <w:sz w:val="21"/>
                <w:szCs w:val="21"/>
              </w:rPr>
              <w:t>配置清单</w:t>
            </w:r>
          </w:p>
        </w:tc>
      </w:tr>
    </w:tbl>
    <w:p w14:paraId="528043A8">
      <w:pPr>
        <w:keepNext w:val="0"/>
        <w:keepLines w:val="0"/>
        <w:pageBreakBefore w:val="0"/>
        <w:kinsoku/>
        <w:wordWrap/>
        <w:overflowPunct/>
        <w:topLinePunct w:val="0"/>
        <w:autoSpaceDE/>
        <w:autoSpaceDN/>
        <w:bidi w:val="0"/>
        <w:spacing w:line="324" w:lineRule="auto"/>
        <w:textAlignment w:val="auto"/>
        <w:rPr>
          <w:rFonts w:ascii="宋体" w:hAnsi="宋体" w:eastAsia="宋体"/>
          <w:b/>
          <w:color w:val="auto"/>
          <w:sz w:val="24"/>
          <w:szCs w:val="24"/>
          <w:highlight w:val="none"/>
        </w:rPr>
      </w:pPr>
    </w:p>
    <w:p w14:paraId="6F3CB827">
      <w:pPr>
        <w:keepNext w:val="0"/>
        <w:keepLines w:val="0"/>
        <w:pageBreakBefore w:val="0"/>
        <w:kinsoku/>
        <w:wordWrap/>
        <w:overflowPunct/>
        <w:topLinePunct w:val="0"/>
        <w:autoSpaceDE/>
        <w:autoSpaceDN/>
        <w:bidi w:val="0"/>
        <w:spacing w:line="324" w:lineRule="auto"/>
        <w:textAlignment w:val="auto"/>
        <w:rPr>
          <w:rFonts w:ascii="宋体" w:hAnsi="宋体" w:eastAsia="宋体"/>
          <w:b/>
          <w:color w:val="auto"/>
          <w:szCs w:val="21"/>
          <w:highlight w:val="none"/>
        </w:rPr>
      </w:pPr>
      <w:r>
        <w:rPr>
          <w:rFonts w:hint="eastAsia" w:ascii="宋体" w:hAnsi="宋体" w:eastAsia="宋体"/>
          <w:b/>
          <w:color w:val="auto"/>
          <w:szCs w:val="21"/>
          <w:highlight w:val="none"/>
        </w:rPr>
        <w:t>甲方货物负责人签字：</w:t>
      </w:r>
    </w:p>
    <w:p w14:paraId="2F8D3F90">
      <w:pPr>
        <w:keepNext w:val="0"/>
        <w:keepLines w:val="0"/>
        <w:pageBreakBefore w:val="0"/>
        <w:kinsoku/>
        <w:wordWrap/>
        <w:overflowPunct/>
        <w:topLinePunct w:val="0"/>
        <w:autoSpaceDE/>
        <w:autoSpaceDN/>
        <w:bidi w:val="0"/>
        <w:spacing w:line="324" w:lineRule="auto"/>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 xml:space="preserve"> </w:t>
      </w:r>
    </w:p>
    <w:p w14:paraId="4E1256BB">
      <w:pPr>
        <w:keepNext w:val="0"/>
        <w:keepLines w:val="0"/>
        <w:pageBreakBefore w:val="0"/>
        <w:kinsoku/>
        <w:wordWrap/>
        <w:overflowPunct/>
        <w:topLinePunct w:val="0"/>
        <w:autoSpaceDE/>
        <w:autoSpaceDN/>
        <w:bidi w:val="0"/>
        <w:spacing w:line="324" w:lineRule="auto"/>
        <w:textAlignment w:val="auto"/>
        <w:rPr>
          <w:rFonts w:ascii="宋体" w:hAnsi="宋体" w:eastAsia="宋体"/>
          <w:b/>
          <w:color w:val="auto"/>
          <w:kern w:val="0"/>
          <w:sz w:val="24"/>
          <w:szCs w:val="24"/>
          <w:highlight w:val="none"/>
        </w:rPr>
      </w:pPr>
      <w:r>
        <w:rPr>
          <w:rFonts w:hint="eastAsia" w:ascii="宋体" w:hAnsi="宋体" w:eastAsia="宋体"/>
          <w:b/>
          <w:color w:val="auto"/>
          <w:sz w:val="24"/>
          <w:szCs w:val="24"/>
          <w:highlight w:val="none"/>
        </w:rPr>
        <w:t xml:space="preserve"> </w:t>
      </w:r>
    </w:p>
    <w:p w14:paraId="42BC5037">
      <w:pPr>
        <w:keepNext w:val="0"/>
        <w:keepLines w:val="0"/>
        <w:pageBreakBefore w:val="0"/>
        <w:kinsoku/>
        <w:wordWrap/>
        <w:overflowPunct/>
        <w:topLinePunct w:val="0"/>
        <w:autoSpaceDE/>
        <w:autoSpaceDN/>
        <w:bidi w:val="0"/>
        <w:spacing w:line="324" w:lineRule="auto"/>
        <w:textAlignment w:val="auto"/>
        <w:rPr>
          <w:rFonts w:hint="eastAsia" w:ascii="宋体" w:hAnsi="宋体" w:eastAsia="宋体"/>
          <w:b/>
          <w:color w:val="auto"/>
          <w:kern w:val="0"/>
          <w:sz w:val="24"/>
          <w:szCs w:val="24"/>
          <w:highlight w:val="none"/>
        </w:rPr>
        <w:sectPr>
          <w:pgSz w:w="16838" w:h="11906" w:orient="landscape"/>
          <w:pgMar w:top="1134" w:right="794" w:bottom="1134" w:left="107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50DFB369">
      <w:pPr>
        <w:keepNext w:val="0"/>
        <w:keepLines w:val="0"/>
        <w:pageBreakBefore w:val="0"/>
        <w:kinsoku/>
        <w:wordWrap/>
        <w:overflowPunct/>
        <w:topLinePunct w:val="0"/>
        <w:autoSpaceDE/>
        <w:autoSpaceDN/>
        <w:bidi w:val="0"/>
        <w:spacing w:line="324" w:lineRule="auto"/>
        <w:textAlignment w:val="auto"/>
        <w:rPr>
          <w:rFonts w:ascii="宋体" w:hAnsi="宋体" w:eastAsia="宋体"/>
          <w:color w:val="auto"/>
          <w:sz w:val="28"/>
          <w:szCs w:val="28"/>
          <w:highlight w:val="none"/>
        </w:rPr>
      </w:pPr>
      <w:r>
        <w:rPr>
          <w:rFonts w:hint="eastAsia" w:ascii="宋体" w:hAnsi="宋体" w:eastAsia="宋体"/>
          <w:b/>
          <w:color w:val="auto"/>
          <w:kern w:val="0"/>
          <w:sz w:val="24"/>
          <w:szCs w:val="24"/>
          <w:highlight w:val="none"/>
        </w:rPr>
        <w:t>附件3：</w:t>
      </w:r>
      <w:r>
        <w:rPr>
          <w:rFonts w:hint="eastAsia" w:ascii="宋体" w:hAnsi="宋体" w:eastAsia="宋体"/>
          <w:b/>
          <w:color w:val="auto"/>
          <w:kern w:val="0"/>
          <w:sz w:val="28"/>
          <w:szCs w:val="28"/>
          <w:highlight w:val="none"/>
        </w:rPr>
        <w:t>制造商</w:t>
      </w:r>
      <w:r>
        <w:rPr>
          <w:rFonts w:hint="eastAsia" w:ascii="宋体" w:hAnsi="宋体" w:eastAsia="宋体"/>
          <w:b/>
          <w:color w:val="auto"/>
          <w:sz w:val="28"/>
          <w:szCs w:val="28"/>
          <w:highlight w:val="none"/>
        </w:rPr>
        <w:t>：</w:t>
      </w:r>
    </w:p>
    <w:p w14:paraId="150F8157">
      <w:pPr>
        <w:keepNext w:val="0"/>
        <w:keepLines w:val="0"/>
        <w:pageBreakBefore w:val="0"/>
        <w:widowControl w:val="0"/>
        <w:numPr>
          <w:ilvl w:val="-1"/>
          <w:numId w:val="0"/>
        </w:numPr>
        <w:tabs>
          <w:tab w:val="left" w:pos="312"/>
        </w:tabs>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配置清单</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854"/>
      </w:tblGrid>
      <w:tr w14:paraId="5831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5000" w:type="pct"/>
            <w:tcBorders>
              <w:tl2br w:val="nil"/>
              <w:tr2bl w:val="nil"/>
            </w:tcBorders>
            <w:shd w:val="clear" w:color="auto" w:fill="auto"/>
            <w:noWrap/>
            <w:vAlign w:val="center"/>
          </w:tcPr>
          <w:p w14:paraId="3B536264">
            <w:pPr>
              <w:keepNext w:val="0"/>
              <w:keepLines w:val="0"/>
              <w:pageBreakBefore w:val="0"/>
              <w:widowControl/>
              <w:tabs>
                <w:tab w:val="left" w:pos="851"/>
                <w:tab w:val="left" w:pos="3990"/>
              </w:tabs>
              <w:kinsoku/>
              <w:wordWrap/>
              <w:overflowPunct/>
              <w:topLinePunct w:val="0"/>
              <w:bidi w:val="0"/>
              <w:spacing w:line="360" w:lineRule="auto"/>
              <w:jc w:val="left"/>
              <w:textAlignment w:val="auto"/>
              <w:rPr>
                <w:rFonts w:hint="eastAsia" w:ascii="宋体" w:hAnsi="宋体" w:cs="宋体"/>
                <w:b/>
                <w:bCs/>
                <w:color w:val="auto"/>
                <w:sz w:val="24"/>
                <w:szCs w:val="24"/>
                <w:highlight w:val="none"/>
                <w:u w:val="none"/>
                <w:lang w:val="en-US" w:eastAsia="zh-CN"/>
              </w:rPr>
            </w:pPr>
            <w:r>
              <w:rPr>
                <w:rFonts w:hint="eastAsia" w:ascii="宋体" w:hAnsi="宋体" w:cs="宋体"/>
                <w:b/>
                <w:bCs/>
                <w:color w:val="auto"/>
                <w:sz w:val="24"/>
                <w:szCs w:val="24"/>
                <w:highlight w:val="none"/>
                <w:u w:val="none"/>
                <w:lang w:val="en-US" w:eastAsia="zh-CN"/>
              </w:rPr>
              <w:t>产品名称：超高效液相色谱高分辨质谱仪</w:t>
            </w:r>
          </w:p>
          <w:p w14:paraId="607F3560">
            <w:pPr>
              <w:keepNext w:val="0"/>
              <w:keepLines w:val="0"/>
              <w:pageBreakBefore w:val="0"/>
              <w:widowControl/>
              <w:tabs>
                <w:tab w:val="left" w:pos="851"/>
                <w:tab w:val="left" w:pos="3990"/>
              </w:tabs>
              <w:kinsoku/>
              <w:wordWrap/>
              <w:overflowPunct/>
              <w:topLinePunct w:val="0"/>
              <w:bidi w:val="0"/>
              <w:spacing w:line="360" w:lineRule="auto"/>
              <w:jc w:val="left"/>
              <w:textAlignment w:val="auto"/>
              <w:rPr>
                <w:rFonts w:hint="eastAsia" w:ascii="宋体" w:hAnsi="宋体" w:cs="宋体"/>
                <w:b/>
                <w:bCs/>
                <w:color w:val="auto"/>
                <w:sz w:val="24"/>
                <w:szCs w:val="24"/>
                <w:highlight w:val="none"/>
                <w:u w:val="none"/>
                <w:lang w:val="en-US" w:eastAsia="zh-CN"/>
              </w:rPr>
            </w:pPr>
            <w:r>
              <w:rPr>
                <w:rFonts w:hint="eastAsia" w:ascii="宋体" w:hAnsi="宋体" w:cs="宋体"/>
                <w:b/>
                <w:bCs/>
                <w:color w:val="auto"/>
                <w:sz w:val="24"/>
                <w:szCs w:val="24"/>
                <w:highlight w:val="none"/>
                <w:u w:val="none"/>
                <w:lang w:val="en-US" w:eastAsia="zh-CN"/>
              </w:rPr>
              <w:t>品牌：沃特世</w:t>
            </w:r>
          </w:p>
          <w:p w14:paraId="74D99E6A">
            <w:pPr>
              <w:keepNext w:val="0"/>
              <w:keepLines w:val="0"/>
              <w:pageBreakBefore w:val="0"/>
              <w:widowControl/>
              <w:tabs>
                <w:tab w:val="left" w:pos="851"/>
                <w:tab w:val="left" w:pos="3990"/>
              </w:tabs>
              <w:kinsoku/>
              <w:wordWrap/>
              <w:overflowPunct/>
              <w:topLinePunct w:val="0"/>
              <w:bidi w:val="0"/>
              <w:spacing w:line="360" w:lineRule="auto"/>
              <w:jc w:val="left"/>
              <w:textAlignment w:val="auto"/>
              <w:rPr>
                <w:rFonts w:hint="eastAsia" w:ascii="宋体" w:hAnsi="宋体" w:eastAsia="宋体" w:cs="宋体"/>
                <w:b/>
                <w:bCs/>
                <w:i w:val="0"/>
                <w:iCs w:val="0"/>
                <w:color w:val="auto"/>
                <w:sz w:val="24"/>
                <w:szCs w:val="24"/>
                <w:u w:val="none"/>
              </w:rPr>
            </w:pPr>
            <w:r>
              <w:rPr>
                <w:rFonts w:hint="eastAsia" w:ascii="宋体" w:hAnsi="宋体" w:cs="宋体"/>
                <w:b/>
                <w:bCs/>
                <w:color w:val="auto"/>
                <w:sz w:val="24"/>
                <w:szCs w:val="24"/>
                <w:highlight w:val="none"/>
                <w:u w:val="none"/>
                <w:lang w:val="en-US" w:eastAsia="zh-CN"/>
              </w:rPr>
              <w:t>型号：ACQUITY UPLC I-Class PLUS/Xevo MRT</w:t>
            </w:r>
          </w:p>
        </w:tc>
      </w:tr>
      <w:tr w14:paraId="4B71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15145CC3">
            <w:pPr>
              <w:keepNext w:val="0"/>
              <w:keepLines w:val="0"/>
              <w:widowControl/>
              <w:suppressLineNumbers w:val="0"/>
              <w:spacing w:line="360" w:lineRule="auto"/>
              <w:jc w:val="left"/>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b/>
                <w:bCs/>
                <w:i w:val="0"/>
                <w:iCs w:val="0"/>
                <w:color w:val="auto"/>
                <w:kern w:val="0"/>
                <w:sz w:val="24"/>
                <w:szCs w:val="24"/>
                <w:u w:val="none"/>
                <w:lang w:val="en-US" w:eastAsia="zh-CN" w:bidi="ar"/>
              </w:rPr>
              <w:t>配置（或系统组成）</w:t>
            </w:r>
          </w:p>
        </w:tc>
      </w:tr>
      <w:tr w14:paraId="5C7B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399598C9">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 高效液相色谱系统（二元泵、自动进样器、柱温箱）</w:t>
            </w:r>
          </w:p>
        </w:tc>
      </w:tr>
      <w:tr w14:paraId="2D88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4EE22AC8">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 高分辨质谱主机（四极杆、飞行时间、检测器）</w:t>
            </w:r>
          </w:p>
        </w:tc>
      </w:tr>
      <w:tr w14:paraId="74FE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132FA023">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 无油机械泵、涡轮分子泵</w:t>
            </w:r>
          </w:p>
        </w:tc>
      </w:tr>
      <w:tr w14:paraId="2E13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3C95F72D">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 复合离子源（ESI和APCI），含喷针5个</w:t>
            </w:r>
          </w:p>
        </w:tc>
      </w:tr>
      <w:tr w14:paraId="3257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1C5F291A">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 仪器控制及采集软件</w:t>
            </w:r>
          </w:p>
        </w:tc>
      </w:tr>
      <w:tr w14:paraId="203E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5CB067FB">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 高分辨筛查软件、筛查数据库、代谢组学软件、蛋白组学软件</w:t>
            </w:r>
          </w:p>
        </w:tc>
      </w:tr>
      <w:tr w14:paraId="5C93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633321AA">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 30 L/min以上氮气发生器（含五年维护包）</w:t>
            </w:r>
          </w:p>
        </w:tc>
      </w:tr>
      <w:tr w14:paraId="46A0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29321608">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 UPS不间断电源（不小于10KVA ，2小时）</w:t>
            </w:r>
          </w:p>
        </w:tc>
      </w:tr>
      <w:tr w14:paraId="3EBB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17C5F8ED">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 数据处理工作站及输出设备</w:t>
            </w:r>
          </w:p>
        </w:tc>
      </w:tr>
      <w:tr w14:paraId="3999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0A1F898F">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 配套色谱柱5根、样品瓶1000个、内插管1000个、质谱校正液2套</w:t>
            </w:r>
          </w:p>
        </w:tc>
      </w:tr>
      <w:tr w14:paraId="72AE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079356D6">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 超高效液相色谱系统（二元泵、自动进样器、柱温箱）</w:t>
            </w:r>
          </w:p>
        </w:tc>
      </w:tr>
      <w:tr w14:paraId="499F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0F432502">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 数据图像输出设备（A4、彩色、双面、扫描），数据转移设备2套（固态，≥4TB）。</w:t>
            </w:r>
          </w:p>
        </w:tc>
      </w:tr>
      <w:tr w14:paraId="08C7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41FED13C">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 保证仪器正常使用所需其他相应设备。</w:t>
            </w:r>
          </w:p>
        </w:tc>
      </w:tr>
      <w:tr w14:paraId="3A87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4EBAAD61">
            <w:pPr>
              <w:keepNext w:val="0"/>
              <w:keepLines w:val="0"/>
              <w:pageBreakBefore w:val="0"/>
              <w:widowControl/>
              <w:tabs>
                <w:tab w:val="left" w:pos="851"/>
                <w:tab w:val="left" w:pos="3990"/>
              </w:tabs>
              <w:kinsoku/>
              <w:wordWrap/>
              <w:overflowPunct/>
              <w:topLinePunct w:val="0"/>
              <w:bidi w:val="0"/>
              <w:spacing w:line="360" w:lineRule="auto"/>
              <w:jc w:val="left"/>
              <w:textAlignment w:val="auto"/>
              <w:rPr>
                <w:rFonts w:hint="eastAsia" w:ascii="宋体" w:hAnsi="宋体" w:cs="宋体"/>
                <w:b/>
                <w:bCs/>
                <w:color w:val="auto"/>
                <w:sz w:val="24"/>
                <w:szCs w:val="24"/>
                <w:highlight w:val="none"/>
                <w:u w:val="none"/>
                <w:lang w:val="en-US" w:eastAsia="zh-CN"/>
              </w:rPr>
            </w:pPr>
            <w:r>
              <w:rPr>
                <w:rFonts w:hint="eastAsia" w:ascii="宋体" w:hAnsi="宋体" w:cs="宋体"/>
                <w:b/>
                <w:bCs/>
                <w:color w:val="auto"/>
                <w:sz w:val="24"/>
                <w:szCs w:val="24"/>
                <w:highlight w:val="none"/>
                <w:u w:val="none"/>
                <w:lang w:val="en-US" w:eastAsia="zh-CN"/>
              </w:rPr>
              <w:t>产品名称：高效液相色谱仪</w:t>
            </w:r>
          </w:p>
          <w:p w14:paraId="1A01D4E1">
            <w:pPr>
              <w:keepNext w:val="0"/>
              <w:keepLines w:val="0"/>
              <w:pageBreakBefore w:val="0"/>
              <w:widowControl/>
              <w:tabs>
                <w:tab w:val="left" w:pos="851"/>
                <w:tab w:val="left" w:pos="3990"/>
              </w:tabs>
              <w:kinsoku/>
              <w:wordWrap/>
              <w:overflowPunct/>
              <w:topLinePunct w:val="0"/>
              <w:bidi w:val="0"/>
              <w:spacing w:line="360" w:lineRule="auto"/>
              <w:jc w:val="left"/>
              <w:textAlignment w:val="auto"/>
              <w:rPr>
                <w:rFonts w:hint="eastAsia" w:ascii="宋体" w:hAnsi="宋体" w:cs="宋体"/>
                <w:b/>
                <w:bCs/>
                <w:color w:val="auto"/>
                <w:sz w:val="24"/>
                <w:szCs w:val="24"/>
                <w:highlight w:val="none"/>
                <w:u w:val="none"/>
                <w:lang w:val="en-US" w:eastAsia="zh-CN"/>
              </w:rPr>
            </w:pPr>
            <w:r>
              <w:rPr>
                <w:rFonts w:hint="eastAsia" w:ascii="宋体" w:hAnsi="宋体" w:cs="宋体"/>
                <w:b/>
                <w:bCs/>
                <w:color w:val="auto"/>
                <w:sz w:val="24"/>
                <w:szCs w:val="24"/>
                <w:highlight w:val="none"/>
                <w:u w:val="none"/>
                <w:lang w:val="en-US" w:eastAsia="zh-CN"/>
              </w:rPr>
              <w:t>品牌：安捷伦</w:t>
            </w:r>
          </w:p>
          <w:p w14:paraId="1163BA2F">
            <w:pPr>
              <w:keepNext w:val="0"/>
              <w:keepLines w:val="0"/>
              <w:pageBreakBefore w:val="0"/>
              <w:widowControl/>
              <w:tabs>
                <w:tab w:val="left" w:pos="851"/>
                <w:tab w:val="left" w:pos="3990"/>
              </w:tabs>
              <w:kinsoku/>
              <w:wordWrap/>
              <w:overflowPunct/>
              <w:topLinePunct w:val="0"/>
              <w:bidi w:val="0"/>
              <w:spacing w:line="360" w:lineRule="auto"/>
              <w:jc w:val="left"/>
              <w:textAlignment w:val="auto"/>
              <w:rPr>
                <w:rFonts w:hint="eastAsia" w:ascii="宋体" w:hAnsi="宋体" w:eastAsia="宋体" w:cs="宋体"/>
                <w:b/>
                <w:bCs/>
                <w:i w:val="0"/>
                <w:iCs w:val="0"/>
                <w:color w:val="auto"/>
                <w:sz w:val="24"/>
                <w:szCs w:val="24"/>
                <w:u w:val="none"/>
              </w:rPr>
            </w:pPr>
            <w:r>
              <w:rPr>
                <w:rFonts w:hint="eastAsia" w:ascii="宋体" w:hAnsi="宋体" w:cs="宋体"/>
                <w:b/>
                <w:bCs/>
                <w:color w:val="auto"/>
                <w:sz w:val="24"/>
                <w:szCs w:val="24"/>
                <w:highlight w:val="none"/>
                <w:u w:val="none"/>
                <w:lang w:val="en-US" w:eastAsia="zh-CN"/>
              </w:rPr>
              <w:t>型号：1260 Infinity III</w:t>
            </w:r>
          </w:p>
        </w:tc>
      </w:tr>
      <w:tr w14:paraId="3D69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22F53DA0">
            <w:pPr>
              <w:keepNext w:val="0"/>
              <w:keepLines w:val="0"/>
              <w:widowControl/>
              <w:suppressLineNumbers w:val="0"/>
              <w:spacing w:line="360" w:lineRule="auto"/>
              <w:jc w:val="left"/>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b/>
                <w:bCs/>
                <w:i w:val="0"/>
                <w:iCs w:val="0"/>
                <w:color w:val="auto"/>
                <w:kern w:val="0"/>
                <w:sz w:val="24"/>
                <w:szCs w:val="24"/>
                <w:u w:val="none"/>
                <w:lang w:val="en-US" w:eastAsia="zh-CN" w:bidi="ar"/>
              </w:rPr>
              <w:t>仪器主要配置：</w:t>
            </w:r>
          </w:p>
        </w:tc>
      </w:tr>
      <w:tr w14:paraId="4CD7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70507E94">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 四元梯度输液泵（包含自动柱塞清洗，主动阀）   数量 1套；</w:t>
            </w:r>
          </w:p>
        </w:tc>
      </w:tr>
      <w:tr w14:paraId="099F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65990E97">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 智能助手套件                                 数量 1套；</w:t>
            </w:r>
          </w:p>
        </w:tc>
      </w:tr>
      <w:tr w14:paraId="2DF4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187F4568">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 自动进样器                                   数量 1套；</w:t>
            </w:r>
          </w:p>
        </w:tc>
      </w:tr>
      <w:tr w14:paraId="0B1E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38EFBCA8">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 智能化柱温箱                                 数量 1套；</w:t>
            </w:r>
          </w:p>
        </w:tc>
      </w:tr>
      <w:tr w14:paraId="0D06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0BD6184A">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 二极管阵列检测器                             数量 1套；</w:t>
            </w:r>
          </w:p>
        </w:tc>
      </w:tr>
      <w:tr w14:paraId="55C7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tcBorders>
              <w:tl2br w:val="nil"/>
              <w:tr2bl w:val="nil"/>
            </w:tcBorders>
            <w:shd w:val="clear" w:color="auto" w:fill="auto"/>
            <w:noWrap/>
            <w:vAlign w:val="center"/>
          </w:tcPr>
          <w:p w14:paraId="2A93D28A">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 荧光检测器                                   数量1套；</w:t>
            </w:r>
          </w:p>
        </w:tc>
      </w:tr>
      <w:tr w14:paraId="4B08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1BA1CA7D">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 柱后衍生仪                                   数量1套；</w:t>
            </w:r>
          </w:p>
        </w:tc>
      </w:tr>
      <w:tr w14:paraId="2DA5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6CCCB85F">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 四元泵工具包                                 数量 1套；</w:t>
            </w:r>
          </w:p>
        </w:tc>
      </w:tr>
      <w:tr w14:paraId="67A3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3CADCFFE">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 2mL样品瓶包含瓶盖和瓶垫                      数量1000个；</w:t>
            </w:r>
          </w:p>
        </w:tc>
      </w:tr>
      <w:tr w14:paraId="6E57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51F585C1">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 C18分析柱 3.1×50 mm，2.7 μm               数量 1根；</w:t>
            </w:r>
          </w:p>
        </w:tc>
      </w:tr>
      <w:tr w14:paraId="522B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0F974A58">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 C18分析柱4.6×250 mm，5 μm                数量3根；</w:t>
            </w:r>
          </w:p>
        </w:tc>
      </w:tr>
      <w:tr w14:paraId="67D8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720A7A22">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 鬼峰捕集柱                                  数量1套；</w:t>
            </w:r>
          </w:p>
        </w:tc>
      </w:tr>
      <w:tr w14:paraId="771F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7E2697BA">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 手拧接头                                    数量 10个；</w:t>
            </w:r>
          </w:p>
        </w:tc>
      </w:tr>
      <w:tr w14:paraId="680A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1184002B">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 过滤白头                                    数量 10个；</w:t>
            </w:r>
          </w:p>
        </w:tc>
      </w:tr>
      <w:tr w14:paraId="006C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0C7FAC4D">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 PEEK备用毛细管管线                          数量1.5米；</w:t>
            </w:r>
          </w:p>
        </w:tc>
      </w:tr>
      <w:tr w14:paraId="1A6FA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632FF7D7">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 零死体积两通                                数量1个；</w:t>
            </w:r>
          </w:p>
        </w:tc>
      </w:tr>
      <w:tr w14:paraId="2776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5A27F819">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17 色谱工作站                                  数量1套；</w:t>
            </w:r>
          </w:p>
        </w:tc>
      </w:tr>
      <w:tr w14:paraId="1B0F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0D33F7BA">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 数据处理工作站                              数量2台。</w:t>
            </w:r>
          </w:p>
        </w:tc>
      </w:tr>
      <w:tr w14:paraId="72D6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64FF1074">
            <w:pPr>
              <w:keepNext w:val="0"/>
              <w:keepLines w:val="0"/>
              <w:pageBreakBefore w:val="0"/>
              <w:widowControl/>
              <w:tabs>
                <w:tab w:val="left" w:pos="851"/>
                <w:tab w:val="left" w:pos="3990"/>
              </w:tabs>
              <w:kinsoku/>
              <w:wordWrap/>
              <w:overflowPunct/>
              <w:topLinePunct w:val="0"/>
              <w:bidi w:val="0"/>
              <w:spacing w:line="360" w:lineRule="auto"/>
              <w:jc w:val="left"/>
              <w:textAlignment w:val="auto"/>
              <w:rPr>
                <w:rFonts w:hint="default" w:ascii="Arial" w:hAnsi="Arial" w:cs="Arial"/>
                <w:b/>
                <w:bCs/>
                <w:color w:val="auto"/>
                <w:sz w:val="24"/>
                <w:szCs w:val="24"/>
                <w:highlight w:val="none"/>
                <w:u w:val="none"/>
                <w:lang w:val="en-US" w:eastAsia="zh-CN"/>
              </w:rPr>
            </w:pPr>
            <w:r>
              <w:rPr>
                <w:rFonts w:hint="default" w:ascii="Arial" w:hAnsi="Arial" w:cs="Arial"/>
                <w:b/>
                <w:bCs/>
                <w:color w:val="auto"/>
                <w:sz w:val="24"/>
                <w:szCs w:val="24"/>
                <w:highlight w:val="none"/>
                <w:u w:val="none"/>
                <w:lang w:val="en-US" w:eastAsia="zh-CN"/>
              </w:rPr>
              <w:t>产品名称：</w:t>
            </w:r>
            <w:r>
              <w:rPr>
                <w:rFonts w:hint="default" w:ascii="Arial" w:hAnsi="Arial" w:cs="Arial"/>
                <w:b/>
                <w:bCs/>
                <w:color w:val="auto"/>
                <w:sz w:val="24"/>
                <w:szCs w:val="24"/>
                <w:highlight w:val="none"/>
                <w:lang w:val="en-US" w:eastAsia="zh-CN"/>
              </w:rPr>
              <w:t>傅里叶变换红外光谱仪</w:t>
            </w:r>
          </w:p>
          <w:p w14:paraId="58F70E66">
            <w:pPr>
              <w:keepNext w:val="0"/>
              <w:keepLines w:val="0"/>
              <w:pageBreakBefore w:val="0"/>
              <w:widowControl/>
              <w:tabs>
                <w:tab w:val="left" w:pos="851"/>
                <w:tab w:val="left" w:pos="3990"/>
              </w:tabs>
              <w:kinsoku/>
              <w:wordWrap/>
              <w:overflowPunct/>
              <w:topLinePunct w:val="0"/>
              <w:bidi w:val="0"/>
              <w:spacing w:line="360" w:lineRule="auto"/>
              <w:jc w:val="left"/>
              <w:textAlignment w:val="auto"/>
              <w:rPr>
                <w:rFonts w:hint="default" w:ascii="Arial" w:hAnsi="Arial" w:cs="Arial"/>
                <w:b/>
                <w:bCs/>
                <w:color w:val="auto"/>
                <w:sz w:val="24"/>
                <w:szCs w:val="24"/>
                <w:highlight w:val="none"/>
                <w:u w:val="none"/>
                <w:lang w:val="en-US" w:eastAsia="zh-CN"/>
              </w:rPr>
            </w:pPr>
            <w:r>
              <w:rPr>
                <w:rFonts w:hint="eastAsia" w:ascii="Arial" w:hAnsi="Arial" w:cs="Arial"/>
                <w:b/>
                <w:bCs/>
                <w:color w:val="auto"/>
                <w:sz w:val="24"/>
                <w:szCs w:val="24"/>
                <w:highlight w:val="none"/>
                <w:u w:val="none"/>
                <w:lang w:val="en-US" w:eastAsia="zh-CN"/>
              </w:rPr>
              <w:t>品牌：赛默飞世尔</w:t>
            </w:r>
          </w:p>
          <w:p w14:paraId="1C3C3E9D">
            <w:pPr>
              <w:keepNext w:val="0"/>
              <w:keepLines w:val="0"/>
              <w:pageBreakBefore w:val="0"/>
              <w:widowControl/>
              <w:tabs>
                <w:tab w:val="left" w:pos="851"/>
                <w:tab w:val="left" w:pos="3990"/>
              </w:tabs>
              <w:kinsoku/>
              <w:wordWrap/>
              <w:overflowPunct/>
              <w:topLinePunct w:val="0"/>
              <w:bidi w:val="0"/>
              <w:spacing w:line="360" w:lineRule="auto"/>
              <w:jc w:val="left"/>
              <w:textAlignment w:val="auto"/>
              <w:rPr>
                <w:rFonts w:hint="eastAsia" w:ascii="宋体" w:hAnsi="宋体" w:eastAsia="宋体" w:cs="宋体"/>
                <w:b/>
                <w:bCs/>
                <w:i w:val="0"/>
                <w:iCs w:val="0"/>
                <w:color w:val="auto"/>
                <w:sz w:val="24"/>
                <w:szCs w:val="24"/>
                <w:u w:val="none"/>
              </w:rPr>
            </w:pPr>
            <w:r>
              <w:rPr>
                <w:rFonts w:hint="default" w:ascii="Arial" w:hAnsi="Arial" w:cs="Arial"/>
                <w:b/>
                <w:bCs/>
                <w:color w:val="auto"/>
                <w:sz w:val="24"/>
                <w:szCs w:val="24"/>
                <w:highlight w:val="none"/>
                <w:u w:val="none"/>
                <w:lang w:val="en-US" w:eastAsia="zh-CN"/>
              </w:rPr>
              <w:t>产品型号：</w:t>
            </w:r>
            <w:r>
              <w:rPr>
                <w:rFonts w:hint="default" w:ascii="Arial" w:hAnsi="Arial" w:cs="Arial"/>
                <w:b/>
                <w:bCs/>
                <w:color w:val="auto"/>
                <w:sz w:val="24"/>
                <w:szCs w:val="24"/>
                <w:highlight w:val="none"/>
                <w:lang w:val="en-US" w:eastAsia="zh-CN"/>
              </w:rPr>
              <w:t>Nicolet iS50</w:t>
            </w:r>
          </w:p>
        </w:tc>
      </w:tr>
      <w:tr w14:paraId="1211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tcBorders>
              <w:tl2br w:val="nil"/>
              <w:tr2bl w:val="nil"/>
            </w:tcBorders>
            <w:shd w:val="clear" w:color="auto" w:fill="auto"/>
            <w:noWrap/>
            <w:vAlign w:val="center"/>
          </w:tcPr>
          <w:p w14:paraId="65FED992">
            <w:pPr>
              <w:keepNext w:val="0"/>
              <w:keepLines w:val="0"/>
              <w:widowControl/>
              <w:suppressLineNumbers w:val="0"/>
              <w:spacing w:line="360" w:lineRule="auto"/>
              <w:jc w:val="left"/>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b/>
                <w:bCs/>
                <w:i w:val="0"/>
                <w:iCs w:val="0"/>
                <w:color w:val="auto"/>
                <w:kern w:val="0"/>
                <w:sz w:val="24"/>
                <w:szCs w:val="24"/>
                <w:u w:val="none"/>
                <w:lang w:val="en-US" w:eastAsia="zh-CN" w:bidi="ar"/>
              </w:rPr>
              <w:t>配置清单</w:t>
            </w:r>
          </w:p>
        </w:tc>
      </w:tr>
      <w:tr w14:paraId="33B9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000" w:type="pct"/>
            <w:tcBorders>
              <w:tl2br w:val="nil"/>
              <w:tr2bl w:val="nil"/>
            </w:tcBorders>
            <w:shd w:val="clear" w:color="auto" w:fill="auto"/>
            <w:noWrap/>
            <w:vAlign w:val="center"/>
          </w:tcPr>
          <w:p w14:paraId="6969D03B">
            <w:pPr>
              <w:keepNext w:val="0"/>
              <w:keepLines w:val="0"/>
              <w:widowControl/>
              <w:suppressLineNumbers w:val="0"/>
              <w:spacing w:line="360" w:lineRule="auto"/>
              <w:jc w:val="left"/>
              <w:textAlignment w:val="center"/>
              <w:rPr>
                <w:rFonts w:ascii="Arial" w:hAnsi="Arial" w:eastAsia="宋体" w:cs="Arial"/>
                <w:i w:val="0"/>
                <w:iCs w:val="0"/>
                <w:color w:val="auto"/>
                <w:sz w:val="24"/>
                <w:szCs w:val="24"/>
                <w:u w:val="none"/>
              </w:rPr>
            </w:pPr>
            <w:r>
              <w:rPr>
                <w:rFonts w:hint="default" w:ascii="Arial" w:hAnsi="Arial" w:eastAsia="宋体" w:cs="Arial"/>
                <w:i w:val="0"/>
                <w:iCs w:val="0"/>
                <w:color w:val="auto"/>
                <w:kern w:val="0"/>
                <w:sz w:val="24"/>
                <w:szCs w:val="24"/>
                <w:u w:val="none"/>
                <w:lang w:val="en-US" w:eastAsia="zh-CN" w:bidi="ar"/>
              </w:rPr>
              <w:t xml:space="preserve">1 </w:t>
            </w:r>
            <w:r>
              <w:rPr>
                <w:rFonts w:hint="eastAsia" w:ascii="宋体" w:hAnsi="宋体" w:eastAsia="宋体" w:cs="宋体"/>
                <w:i w:val="0"/>
                <w:iCs w:val="0"/>
                <w:color w:val="auto"/>
                <w:kern w:val="0"/>
                <w:sz w:val="24"/>
                <w:szCs w:val="24"/>
                <w:u w:val="none"/>
                <w:lang w:val="en-US" w:eastAsia="zh-CN" w:bidi="ar"/>
              </w:rPr>
              <w:t xml:space="preserve">红外光谱仪主机           </w:t>
            </w:r>
            <w:r>
              <w:rPr>
                <w:rFonts w:hint="default" w:ascii="Arial" w:hAnsi="Arial" w:eastAsia="宋体" w:cs="Arial"/>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 xml:space="preserve">套                    </w:t>
            </w:r>
          </w:p>
        </w:tc>
      </w:tr>
      <w:tr w14:paraId="4625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000" w:type="pct"/>
            <w:tcBorders>
              <w:tl2br w:val="nil"/>
              <w:tr2bl w:val="nil"/>
            </w:tcBorders>
            <w:shd w:val="clear" w:color="auto" w:fill="auto"/>
            <w:noWrap/>
            <w:vAlign w:val="center"/>
          </w:tcPr>
          <w:p w14:paraId="201CB3D1">
            <w:pPr>
              <w:keepNext w:val="0"/>
              <w:keepLines w:val="0"/>
              <w:widowControl/>
              <w:suppressLineNumbers w:val="0"/>
              <w:spacing w:line="360" w:lineRule="auto"/>
              <w:jc w:val="left"/>
              <w:textAlignment w:val="center"/>
              <w:rPr>
                <w:rFonts w:hint="default" w:ascii="Arial" w:hAnsi="Arial" w:eastAsia="宋体" w:cs="Arial"/>
                <w:i w:val="0"/>
                <w:iCs w:val="0"/>
                <w:color w:val="auto"/>
                <w:sz w:val="24"/>
                <w:szCs w:val="24"/>
                <w:u w:val="none"/>
              </w:rPr>
            </w:pPr>
            <w:r>
              <w:rPr>
                <w:rFonts w:hint="default" w:ascii="Arial" w:hAnsi="Arial" w:eastAsia="宋体" w:cs="Arial"/>
                <w:i w:val="0"/>
                <w:iCs w:val="0"/>
                <w:color w:val="auto"/>
                <w:kern w:val="0"/>
                <w:sz w:val="24"/>
                <w:szCs w:val="24"/>
                <w:u w:val="none"/>
                <w:lang w:val="en-US" w:eastAsia="zh-CN" w:bidi="ar"/>
              </w:rPr>
              <w:t xml:space="preserve">2 </w:t>
            </w:r>
            <w:r>
              <w:rPr>
                <w:rFonts w:hint="eastAsia" w:ascii="宋体" w:hAnsi="宋体" w:eastAsia="宋体" w:cs="宋体"/>
                <w:i w:val="0"/>
                <w:iCs w:val="0"/>
                <w:color w:val="auto"/>
                <w:kern w:val="0"/>
                <w:sz w:val="24"/>
                <w:szCs w:val="24"/>
                <w:u w:val="none"/>
                <w:lang w:val="en-US" w:eastAsia="zh-CN" w:bidi="ar"/>
              </w:rPr>
              <w:t>衰减全反射</w:t>
            </w:r>
            <w:r>
              <w:rPr>
                <w:rFonts w:hint="default" w:ascii="Arial" w:hAnsi="Arial" w:eastAsia="宋体" w:cs="Arial"/>
                <w:i w:val="0"/>
                <w:iCs w:val="0"/>
                <w:color w:val="auto"/>
                <w:kern w:val="0"/>
                <w:sz w:val="24"/>
                <w:szCs w:val="24"/>
                <w:u w:val="none"/>
                <w:lang w:val="en-US" w:eastAsia="zh-CN" w:bidi="ar"/>
              </w:rPr>
              <w:t>ATR</w:t>
            </w:r>
            <w:r>
              <w:rPr>
                <w:rFonts w:hint="eastAsia" w:ascii="宋体" w:hAnsi="宋体" w:eastAsia="宋体" w:cs="宋体"/>
                <w:i w:val="0"/>
                <w:iCs w:val="0"/>
                <w:color w:val="auto"/>
                <w:kern w:val="0"/>
                <w:sz w:val="24"/>
                <w:szCs w:val="24"/>
                <w:u w:val="none"/>
                <w:lang w:val="en-US" w:eastAsia="zh-CN" w:bidi="ar"/>
              </w:rPr>
              <w:t xml:space="preserve">附件      </w:t>
            </w:r>
            <w:r>
              <w:rPr>
                <w:rFonts w:hint="default" w:ascii="Arial" w:hAnsi="Arial" w:eastAsia="宋体" w:cs="Arial"/>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套</w:t>
            </w:r>
          </w:p>
        </w:tc>
      </w:tr>
      <w:tr w14:paraId="35DD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5000" w:type="pct"/>
            <w:tcBorders>
              <w:tl2br w:val="nil"/>
              <w:tr2bl w:val="nil"/>
            </w:tcBorders>
            <w:shd w:val="clear" w:color="auto" w:fill="auto"/>
            <w:noWrap/>
            <w:vAlign w:val="center"/>
          </w:tcPr>
          <w:p w14:paraId="67CD114A">
            <w:pPr>
              <w:keepNext w:val="0"/>
              <w:keepLines w:val="0"/>
              <w:widowControl/>
              <w:suppressLineNumbers w:val="0"/>
              <w:spacing w:line="360" w:lineRule="auto"/>
              <w:jc w:val="both"/>
              <w:textAlignment w:val="center"/>
              <w:rPr>
                <w:rFonts w:hint="default" w:ascii="Arial" w:hAnsi="Arial" w:eastAsia="宋体" w:cs="Arial"/>
                <w:i w:val="0"/>
                <w:iCs w:val="0"/>
                <w:color w:val="auto"/>
                <w:sz w:val="24"/>
                <w:szCs w:val="24"/>
                <w:u w:val="none"/>
              </w:rPr>
            </w:pPr>
            <w:r>
              <w:rPr>
                <w:rFonts w:hint="default" w:ascii="Arial" w:hAnsi="Arial" w:eastAsia="宋体" w:cs="Arial"/>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 xml:space="preserve">固体制样工具包            </w:t>
            </w:r>
            <w:r>
              <w:rPr>
                <w:rFonts w:hint="default" w:ascii="Arial" w:hAnsi="Arial" w:eastAsia="宋体" w:cs="Arial"/>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套</w:t>
            </w:r>
          </w:p>
        </w:tc>
      </w:tr>
      <w:tr w14:paraId="140B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tcBorders>
              <w:tl2br w:val="nil"/>
              <w:tr2bl w:val="nil"/>
            </w:tcBorders>
            <w:shd w:val="clear" w:color="auto" w:fill="auto"/>
            <w:noWrap/>
            <w:vAlign w:val="center"/>
          </w:tcPr>
          <w:p w14:paraId="2E0FC7F9">
            <w:pPr>
              <w:keepNext w:val="0"/>
              <w:keepLines w:val="0"/>
              <w:widowControl/>
              <w:suppressLineNumbers w:val="0"/>
              <w:spacing w:line="360" w:lineRule="auto"/>
              <w:jc w:val="left"/>
              <w:textAlignment w:val="center"/>
              <w:rPr>
                <w:rFonts w:hint="default" w:ascii="Arial" w:hAnsi="Arial" w:eastAsia="宋体" w:cs="Arial"/>
                <w:i w:val="0"/>
                <w:iCs w:val="0"/>
                <w:color w:val="auto"/>
                <w:sz w:val="24"/>
                <w:szCs w:val="24"/>
                <w:u w:val="none"/>
              </w:rPr>
            </w:pPr>
            <w:r>
              <w:rPr>
                <w:rFonts w:hint="default" w:ascii="Arial" w:hAnsi="Arial" w:eastAsia="宋体" w:cs="Arial"/>
                <w:i w:val="0"/>
                <w:iCs w:val="0"/>
                <w:color w:val="auto"/>
                <w:kern w:val="0"/>
                <w:sz w:val="24"/>
                <w:szCs w:val="24"/>
                <w:u w:val="none"/>
                <w:lang w:val="en-US" w:eastAsia="zh-CN" w:bidi="ar"/>
              </w:rPr>
              <w:t>4</w:t>
            </w:r>
            <w:r>
              <w:rPr>
                <w:rFonts w:hint="eastAsia" w:ascii="宋体" w:hAnsi="宋体" w:eastAsia="宋体" w:cs="宋体"/>
                <w:i w:val="0"/>
                <w:iCs w:val="0"/>
                <w:color w:val="auto"/>
                <w:kern w:val="0"/>
                <w:sz w:val="24"/>
                <w:szCs w:val="24"/>
                <w:u w:val="none"/>
                <w:lang w:val="en-US" w:eastAsia="zh-CN" w:bidi="ar"/>
              </w:rPr>
              <w:t xml:space="preserve">液体制样工具包            </w:t>
            </w:r>
            <w:r>
              <w:rPr>
                <w:rFonts w:hint="default" w:ascii="Arial" w:hAnsi="Arial" w:eastAsia="宋体" w:cs="Arial"/>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套</w:t>
            </w:r>
          </w:p>
        </w:tc>
      </w:tr>
      <w:tr w14:paraId="64E8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000" w:type="pct"/>
            <w:tcBorders>
              <w:tl2br w:val="nil"/>
              <w:tr2bl w:val="nil"/>
            </w:tcBorders>
            <w:shd w:val="clear" w:color="auto" w:fill="auto"/>
            <w:noWrap/>
            <w:vAlign w:val="center"/>
          </w:tcPr>
          <w:p w14:paraId="122A33B0">
            <w:pPr>
              <w:keepNext w:val="0"/>
              <w:keepLines w:val="0"/>
              <w:widowControl/>
              <w:suppressLineNumbers w:val="0"/>
              <w:spacing w:line="360" w:lineRule="auto"/>
              <w:jc w:val="left"/>
              <w:textAlignment w:val="center"/>
              <w:rPr>
                <w:rFonts w:hint="default" w:ascii="Arial" w:hAnsi="Arial" w:eastAsia="宋体" w:cs="Arial"/>
                <w:i w:val="0"/>
                <w:iCs w:val="0"/>
                <w:color w:val="auto"/>
                <w:sz w:val="24"/>
                <w:szCs w:val="24"/>
                <w:u w:val="none"/>
              </w:rPr>
            </w:pPr>
            <w:r>
              <w:rPr>
                <w:rFonts w:hint="default" w:ascii="Arial" w:hAnsi="Arial" w:eastAsia="宋体" w:cs="Arial"/>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 xml:space="preserve">专用数据处理设备 </w:t>
            </w:r>
            <w:r>
              <w:rPr>
                <w:rFonts w:hint="default" w:ascii="Arial" w:hAnsi="Arial" w:eastAsia="宋体" w:cs="Arial"/>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套（配置</w:t>
            </w:r>
            <w:r>
              <w:rPr>
                <w:rFonts w:hint="default" w:ascii="Arial" w:hAnsi="Arial" w:eastAsia="宋体" w:cs="Arial"/>
                <w:i w:val="0"/>
                <w:iCs w:val="0"/>
                <w:color w:val="auto"/>
                <w:kern w:val="0"/>
                <w:sz w:val="24"/>
                <w:szCs w:val="24"/>
                <w:u w:val="none"/>
                <w:lang w:val="en-US" w:eastAsia="zh-CN" w:bidi="ar"/>
              </w:rPr>
              <w:t>i7</w:t>
            </w:r>
            <w:r>
              <w:rPr>
                <w:rFonts w:hint="eastAsia" w:ascii="宋体" w:hAnsi="宋体" w:eastAsia="宋体" w:cs="宋体"/>
                <w:i w:val="0"/>
                <w:iCs w:val="0"/>
                <w:color w:val="auto"/>
                <w:kern w:val="0"/>
                <w:sz w:val="24"/>
                <w:szCs w:val="24"/>
                <w:u w:val="none"/>
                <w:lang w:val="en-US" w:eastAsia="zh-CN" w:bidi="ar"/>
              </w:rPr>
              <w:t>或更高性能处理器、</w:t>
            </w:r>
            <w:r>
              <w:rPr>
                <w:rFonts w:hint="default" w:ascii="Arial" w:hAnsi="Arial" w:eastAsia="宋体" w:cs="Arial"/>
                <w:i w:val="0"/>
                <w:iCs w:val="0"/>
                <w:color w:val="auto"/>
                <w:kern w:val="0"/>
                <w:sz w:val="24"/>
                <w:szCs w:val="24"/>
                <w:u w:val="none"/>
                <w:lang w:val="en-US" w:eastAsia="zh-CN" w:bidi="ar"/>
              </w:rPr>
              <w:t>32 GB</w:t>
            </w:r>
            <w:r>
              <w:rPr>
                <w:rFonts w:hint="eastAsia" w:ascii="宋体" w:hAnsi="宋体" w:eastAsia="宋体" w:cs="宋体"/>
                <w:i w:val="0"/>
                <w:iCs w:val="0"/>
                <w:color w:val="auto"/>
                <w:kern w:val="0"/>
                <w:sz w:val="24"/>
                <w:szCs w:val="24"/>
                <w:u w:val="none"/>
                <w:lang w:val="en-US" w:eastAsia="zh-CN" w:bidi="ar"/>
              </w:rPr>
              <w:t>内存、</w:t>
            </w:r>
            <w:r>
              <w:rPr>
                <w:rFonts w:hint="default" w:ascii="Arial" w:hAnsi="Arial" w:eastAsia="宋体" w:cs="Arial"/>
                <w:i w:val="0"/>
                <w:iCs w:val="0"/>
                <w:color w:val="auto"/>
                <w:kern w:val="0"/>
                <w:sz w:val="24"/>
                <w:szCs w:val="24"/>
                <w:u w:val="none"/>
                <w:lang w:val="en-US" w:eastAsia="zh-CN" w:bidi="ar"/>
              </w:rPr>
              <w:t>4 TB</w:t>
            </w:r>
            <w:r>
              <w:rPr>
                <w:rFonts w:hint="eastAsia" w:ascii="宋体" w:hAnsi="宋体" w:eastAsia="宋体" w:cs="宋体"/>
                <w:i w:val="0"/>
                <w:iCs w:val="0"/>
                <w:color w:val="auto"/>
                <w:kern w:val="0"/>
                <w:sz w:val="24"/>
                <w:szCs w:val="24"/>
                <w:u w:val="none"/>
                <w:lang w:val="en-US" w:eastAsia="zh-CN" w:bidi="ar"/>
              </w:rPr>
              <w:t>硬盘、</w:t>
            </w:r>
            <w:r>
              <w:rPr>
                <w:rFonts w:hint="default" w:ascii="Arial" w:hAnsi="Arial" w:eastAsia="宋体" w:cs="Arial"/>
                <w:i w:val="0"/>
                <w:iCs w:val="0"/>
                <w:color w:val="auto"/>
                <w:kern w:val="0"/>
                <w:sz w:val="24"/>
                <w:szCs w:val="24"/>
                <w:u w:val="none"/>
                <w:lang w:val="en-US" w:eastAsia="zh-CN" w:bidi="ar"/>
              </w:rPr>
              <w:t>DVD</w:t>
            </w:r>
            <w:r>
              <w:rPr>
                <w:rFonts w:hint="eastAsia" w:ascii="宋体" w:hAnsi="宋体" w:eastAsia="宋体" w:cs="宋体"/>
                <w:i w:val="0"/>
                <w:iCs w:val="0"/>
                <w:color w:val="auto"/>
                <w:kern w:val="0"/>
                <w:sz w:val="24"/>
                <w:szCs w:val="24"/>
                <w:u w:val="none"/>
                <w:lang w:val="en-US" w:eastAsia="zh-CN" w:bidi="ar"/>
              </w:rPr>
              <w:t>刻录光驱、</w:t>
            </w:r>
            <w:r>
              <w:rPr>
                <w:rFonts w:hint="default" w:ascii="Arial" w:hAnsi="Arial" w:eastAsia="宋体" w:cs="Arial"/>
                <w:i w:val="0"/>
                <w:iCs w:val="0"/>
                <w:color w:val="auto"/>
                <w:kern w:val="0"/>
                <w:sz w:val="24"/>
                <w:szCs w:val="24"/>
                <w:u w:val="none"/>
                <w:lang w:val="en-US" w:eastAsia="zh-CN" w:bidi="ar"/>
              </w:rPr>
              <w:t>4 GB</w:t>
            </w:r>
            <w:r>
              <w:rPr>
                <w:rFonts w:hint="eastAsia" w:ascii="宋体" w:hAnsi="宋体" w:eastAsia="宋体" w:cs="宋体"/>
                <w:i w:val="0"/>
                <w:iCs w:val="0"/>
                <w:color w:val="auto"/>
                <w:kern w:val="0"/>
                <w:sz w:val="24"/>
                <w:szCs w:val="24"/>
                <w:u w:val="none"/>
                <w:lang w:val="en-US" w:eastAsia="zh-CN" w:bidi="ar"/>
              </w:rPr>
              <w:t>及以上显存的独立显卡，并预装</w:t>
            </w:r>
            <w:r>
              <w:rPr>
                <w:rFonts w:hint="default" w:ascii="Arial" w:hAnsi="Arial" w:eastAsia="宋体" w:cs="Arial"/>
                <w:i w:val="0"/>
                <w:iCs w:val="0"/>
                <w:color w:val="auto"/>
                <w:kern w:val="0"/>
                <w:sz w:val="24"/>
                <w:szCs w:val="24"/>
                <w:u w:val="none"/>
                <w:lang w:val="en-US" w:eastAsia="zh-CN" w:bidi="ar"/>
              </w:rPr>
              <w:t>Windows 10</w:t>
            </w:r>
            <w:r>
              <w:rPr>
                <w:rFonts w:hint="eastAsia" w:ascii="宋体" w:hAnsi="宋体" w:eastAsia="宋体" w:cs="宋体"/>
                <w:i w:val="0"/>
                <w:iCs w:val="0"/>
                <w:color w:val="auto"/>
                <w:kern w:val="0"/>
                <w:sz w:val="24"/>
                <w:szCs w:val="24"/>
                <w:u w:val="none"/>
                <w:lang w:val="en-US" w:eastAsia="zh-CN" w:bidi="ar"/>
              </w:rPr>
              <w:t>或更新操作系统，同时配备</w:t>
            </w:r>
            <w:r>
              <w:rPr>
                <w:rFonts w:hint="default" w:ascii="Arial" w:hAnsi="Arial" w:eastAsia="宋体" w:cs="Arial"/>
                <w:i w:val="0"/>
                <w:iCs w:val="0"/>
                <w:color w:val="auto"/>
                <w:kern w:val="0"/>
                <w:sz w:val="24"/>
                <w:szCs w:val="24"/>
                <w:u w:val="none"/>
                <w:lang w:val="en-US" w:eastAsia="zh-CN" w:bidi="ar"/>
              </w:rPr>
              <w:t>27</w:t>
            </w:r>
            <w:r>
              <w:rPr>
                <w:rFonts w:hint="eastAsia" w:ascii="宋体" w:hAnsi="宋体" w:eastAsia="宋体" w:cs="宋体"/>
                <w:i w:val="0"/>
                <w:iCs w:val="0"/>
                <w:color w:val="auto"/>
                <w:kern w:val="0"/>
                <w:sz w:val="24"/>
                <w:szCs w:val="24"/>
                <w:u w:val="none"/>
                <w:lang w:val="en-US" w:eastAsia="zh-CN" w:bidi="ar"/>
              </w:rPr>
              <w:t>英寸及以上显示器）及数据图像输出设备</w:t>
            </w:r>
            <w:r>
              <w:rPr>
                <w:rFonts w:hint="default" w:ascii="Arial" w:hAnsi="Arial" w:eastAsia="宋体" w:cs="Arial"/>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套（自动双面、复印）。</w:t>
            </w:r>
          </w:p>
        </w:tc>
      </w:tr>
    </w:tbl>
    <w:p w14:paraId="3674FEF7">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default" w:ascii="Arial" w:hAnsi="Arial" w:eastAsia="宋体" w:cs="Arial"/>
          <w:b/>
          <w:bCs/>
          <w:i w:val="0"/>
          <w:iCs w:val="0"/>
          <w:color w:val="auto"/>
          <w:kern w:val="0"/>
          <w:sz w:val="24"/>
          <w:szCs w:val="24"/>
          <w:u w:val="none"/>
          <w:lang w:val="en-US" w:eastAsia="zh-CN" w:bidi="ar"/>
        </w:rPr>
      </w:pPr>
    </w:p>
    <w:p w14:paraId="70D8D3D9">
      <w:pPr>
        <w:keepNext w:val="0"/>
        <w:keepLines w:val="0"/>
        <w:pageBreakBefore w:val="0"/>
        <w:kinsoku/>
        <w:wordWrap/>
        <w:overflowPunct/>
        <w:topLinePunct w:val="0"/>
        <w:autoSpaceDE/>
        <w:autoSpaceDN/>
        <w:bidi w:val="0"/>
        <w:spacing w:line="324" w:lineRule="auto"/>
        <w:textAlignment w:val="auto"/>
        <w:rPr>
          <w:rFonts w:ascii="宋体" w:hAnsi="宋体" w:eastAsia="宋体"/>
          <w:b/>
          <w:color w:val="auto"/>
          <w:szCs w:val="21"/>
          <w:highlight w:val="none"/>
        </w:rPr>
      </w:pPr>
      <w:r>
        <w:rPr>
          <w:rFonts w:hint="eastAsia" w:ascii="宋体" w:hAnsi="宋体" w:eastAsia="宋体"/>
          <w:b/>
          <w:color w:val="auto"/>
          <w:szCs w:val="21"/>
          <w:highlight w:val="none"/>
        </w:rPr>
        <w:t>甲方货物负责人签字：</w:t>
      </w:r>
    </w:p>
    <w:p w14:paraId="34787319">
      <w:pPr>
        <w:keepNext w:val="0"/>
        <w:keepLines w:val="0"/>
        <w:pageBreakBefore w:val="0"/>
        <w:kinsoku/>
        <w:wordWrap/>
        <w:overflowPunct/>
        <w:topLinePunct w:val="0"/>
        <w:autoSpaceDE/>
        <w:autoSpaceDN/>
        <w:bidi w:val="0"/>
        <w:spacing w:line="324" w:lineRule="auto"/>
        <w:textAlignment w:val="auto"/>
        <w:rPr>
          <w:rFonts w:hint="eastAsia" w:ascii="宋体" w:hAnsi="宋体" w:eastAsia="宋体"/>
          <w:b/>
          <w:color w:val="auto"/>
          <w:szCs w:val="21"/>
          <w:highlight w:val="none"/>
        </w:rPr>
        <w:sectPr>
          <w:pgSz w:w="11906" w:h="16838"/>
          <w:pgMar w:top="794" w:right="1134" w:bottom="1077" w:left="113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3F8588F7">
      <w:pPr>
        <w:keepNext w:val="0"/>
        <w:keepLines w:val="0"/>
        <w:pageBreakBefore w:val="0"/>
        <w:kinsoku/>
        <w:wordWrap/>
        <w:overflowPunct/>
        <w:topLinePunct w:val="0"/>
        <w:autoSpaceDE/>
        <w:autoSpaceDN/>
        <w:bidi w:val="0"/>
        <w:spacing w:line="324" w:lineRule="auto"/>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附件4：                                         货物</w:t>
      </w:r>
      <w:r>
        <w:rPr>
          <w:rFonts w:ascii="宋体" w:hAnsi="宋体" w:eastAsia="宋体"/>
          <w:b/>
          <w:color w:val="auto"/>
          <w:sz w:val="24"/>
          <w:szCs w:val="24"/>
          <w:highlight w:val="none"/>
        </w:rPr>
        <w:t>技术</w:t>
      </w:r>
      <w:r>
        <w:rPr>
          <w:rFonts w:hint="eastAsia" w:ascii="宋体" w:hAnsi="宋体" w:eastAsia="宋体"/>
          <w:b/>
          <w:color w:val="auto"/>
          <w:sz w:val="24"/>
          <w:szCs w:val="24"/>
          <w:highlight w:val="none"/>
        </w:rPr>
        <w:t>参数及配置表</w:t>
      </w:r>
    </w:p>
    <w:tbl>
      <w:tblPr>
        <w:tblStyle w:val="3"/>
        <w:tblW w:w="507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3"/>
        <w:gridCol w:w="1039"/>
        <w:gridCol w:w="2826"/>
        <w:gridCol w:w="1161"/>
        <w:gridCol w:w="5879"/>
        <w:gridCol w:w="592"/>
        <w:gridCol w:w="1108"/>
        <w:gridCol w:w="777"/>
        <w:gridCol w:w="1339"/>
      </w:tblGrid>
      <w:tr w14:paraId="68FEFC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36" w:type="pct"/>
            <w:tcBorders>
              <w:top w:val="single" w:color="auto" w:sz="4" w:space="0"/>
              <w:left w:val="single" w:color="auto" w:sz="4" w:space="0"/>
              <w:bottom w:val="single" w:color="auto" w:sz="4" w:space="0"/>
              <w:right w:val="single" w:color="auto" w:sz="4" w:space="0"/>
            </w:tcBorders>
            <w:vAlign w:val="center"/>
          </w:tcPr>
          <w:p w14:paraId="5CEEB1A5">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序号</w:t>
            </w:r>
          </w:p>
        </w:tc>
        <w:tc>
          <w:tcPr>
            <w:tcW w:w="348" w:type="pct"/>
            <w:tcBorders>
              <w:top w:val="single" w:color="auto" w:sz="4" w:space="0"/>
              <w:left w:val="nil"/>
              <w:bottom w:val="single" w:color="auto" w:sz="4" w:space="0"/>
              <w:right w:val="single" w:color="auto" w:sz="4" w:space="0"/>
            </w:tcBorders>
            <w:vAlign w:val="center"/>
          </w:tcPr>
          <w:p w14:paraId="76C133E3">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货物或配置名称</w:t>
            </w:r>
          </w:p>
        </w:tc>
        <w:tc>
          <w:tcPr>
            <w:tcW w:w="838" w:type="pct"/>
            <w:tcBorders>
              <w:top w:val="single" w:color="auto" w:sz="4" w:space="0"/>
              <w:left w:val="nil"/>
              <w:bottom w:val="single" w:color="auto" w:sz="4" w:space="0"/>
              <w:right w:val="single" w:color="auto" w:sz="4" w:space="0"/>
            </w:tcBorders>
            <w:vAlign w:val="center"/>
          </w:tcPr>
          <w:p w14:paraId="0207FA67">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图片</w:t>
            </w:r>
          </w:p>
        </w:tc>
        <w:tc>
          <w:tcPr>
            <w:tcW w:w="376" w:type="pct"/>
            <w:tcBorders>
              <w:top w:val="single" w:color="auto" w:sz="4" w:space="0"/>
              <w:left w:val="nil"/>
              <w:bottom w:val="single" w:color="auto" w:sz="4" w:space="0"/>
              <w:right w:val="single" w:color="auto" w:sz="4" w:space="0"/>
            </w:tcBorders>
            <w:vAlign w:val="center"/>
          </w:tcPr>
          <w:p w14:paraId="6130D3D0">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型号规格</w:t>
            </w:r>
          </w:p>
        </w:tc>
        <w:tc>
          <w:tcPr>
            <w:tcW w:w="1917" w:type="pct"/>
            <w:tcBorders>
              <w:top w:val="single" w:color="auto" w:sz="4" w:space="0"/>
              <w:left w:val="nil"/>
              <w:bottom w:val="single" w:color="auto" w:sz="4" w:space="0"/>
              <w:right w:val="single" w:color="auto" w:sz="4" w:space="0"/>
            </w:tcBorders>
            <w:vAlign w:val="center"/>
          </w:tcPr>
          <w:p w14:paraId="75A513A1">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规格参数</w:t>
            </w:r>
          </w:p>
        </w:tc>
        <w:tc>
          <w:tcPr>
            <w:tcW w:w="203" w:type="pct"/>
            <w:tcBorders>
              <w:top w:val="single" w:color="auto" w:sz="4" w:space="0"/>
              <w:left w:val="nil"/>
              <w:bottom w:val="single" w:color="auto" w:sz="4" w:space="0"/>
              <w:right w:val="single" w:color="auto" w:sz="4" w:space="0"/>
            </w:tcBorders>
            <w:vAlign w:val="center"/>
          </w:tcPr>
          <w:p w14:paraId="095D7518">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数量</w:t>
            </w:r>
          </w:p>
        </w:tc>
        <w:tc>
          <w:tcPr>
            <w:tcW w:w="370" w:type="pct"/>
            <w:tcBorders>
              <w:top w:val="single" w:color="auto" w:sz="4" w:space="0"/>
              <w:left w:val="nil"/>
              <w:bottom w:val="single" w:color="auto" w:sz="4" w:space="0"/>
              <w:right w:val="single" w:color="auto" w:sz="4" w:space="0"/>
            </w:tcBorders>
            <w:vAlign w:val="center"/>
          </w:tcPr>
          <w:p w14:paraId="7BFD15FA">
            <w:pPr>
              <w:keepNext w:val="0"/>
              <w:keepLines w:val="0"/>
              <w:pageBreakBefore w:val="0"/>
              <w:kinsoku/>
              <w:wordWrap/>
              <w:overflowPunct/>
              <w:topLinePunct w:val="0"/>
              <w:autoSpaceDE/>
              <w:autoSpaceDN/>
              <w:bidi w:val="0"/>
              <w:spacing w:line="240" w:lineRule="auto"/>
              <w:ind w:right="-107" w:rightChars="-51"/>
              <w:jc w:val="center"/>
              <w:textAlignment w:val="auto"/>
              <w:rPr>
                <w:rFonts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制造厂(商)</w:t>
            </w:r>
          </w:p>
        </w:tc>
        <w:tc>
          <w:tcPr>
            <w:tcW w:w="263" w:type="pct"/>
            <w:tcBorders>
              <w:top w:val="single" w:color="auto" w:sz="4" w:space="0"/>
              <w:left w:val="nil"/>
              <w:bottom w:val="single" w:color="auto" w:sz="4" w:space="0"/>
              <w:right w:val="single" w:color="auto" w:sz="4" w:space="0"/>
            </w:tcBorders>
            <w:vAlign w:val="center"/>
          </w:tcPr>
          <w:p w14:paraId="14E29033">
            <w:pPr>
              <w:keepNext w:val="0"/>
              <w:keepLines w:val="0"/>
              <w:pageBreakBefore w:val="0"/>
              <w:kinsoku/>
              <w:wordWrap/>
              <w:overflowPunct/>
              <w:topLinePunct w:val="0"/>
              <w:autoSpaceDE/>
              <w:autoSpaceDN/>
              <w:bidi w:val="0"/>
              <w:spacing w:line="240" w:lineRule="auto"/>
              <w:ind w:right="-107" w:rightChars="-51"/>
              <w:jc w:val="center"/>
              <w:textAlignment w:val="auto"/>
              <w:rPr>
                <w:rFonts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原产地</w:t>
            </w:r>
          </w:p>
          <w:p w14:paraId="313F9A45">
            <w:pPr>
              <w:keepNext w:val="0"/>
              <w:keepLines w:val="0"/>
              <w:pageBreakBefore w:val="0"/>
              <w:kinsoku/>
              <w:wordWrap/>
              <w:overflowPunct/>
              <w:topLinePunct w:val="0"/>
              <w:autoSpaceDE/>
              <w:autoSpaceDN/>
              <w:bidi w:val="0"/>
              <w:spacing w:line="240" w:lineRule="auto"/>
              <w:ind w:right="-107" w:rightChars="-51"/>
              <w:jc w:val="center"/>
              <w:textAlignment w:val="auto"/>
              <w:rPr>
                <w:rFonts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(国)</w:t>
            </w:r>
          </w:p>
        </w:tc>
        <w:tc>
          <w:tcPr>
            <w:tcW w:w="445" w:type="pct"/>
            <w:tcBorders>
              <w:top w:val="single" w:color="auto" w:sz="4" w:space="0"/>
              <w:left w:val="nil"/>
              <w:bottom w:val="single" w:color="auto" w:sz="4" w:space="0"/>
              <w:right w:val="single" w:color="auto" w:sz="4" w:space="0"/>
            </w:tcBorders>
            <w:vAlign w:val="center"/>
          </w:tcPr>
          <w:p w14:paraId="404ABF9D">
            <w:pPr>
              <w:keepNext w:val="0"/>
              <w:keepLines w:val="0"/>
              <w:pageBreakBefore w:val="0"/>
              <w:kinsoku/>
              <w:wordWrap/>
              <w:overflowPunct/>
              <w:topLinePunct w:val="0"/>
              <w:autoSpaceDE/>
              <w:autoSpaceDN/>
              <w:bidi w:val="0"/>
              <w:spacing w:line="240" w:lineRule="auto"/>
              <w:ind w:right="-107" w:rightChars="-51"/>
              <w:jc w:val="center"/>
              <w:textAlignment w:val="auto"/>
              <w:rPr>
                <w:rFonts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甲方货物负责人签字确认</w:t>
            </w:r>
          </w:p>
        </w:tc>
      </w:tr>
      <w:tr w14:paraId="4C6FAD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236" w:type="pct"/>
            <w:tcBorders>
              <w:top w:val="single" w:color="auto" w:sz="4" w:space="0"/>
              <w:left w:val="single" w:color="auto" w:sz="4" w:space="0"/>
              <w:bottom w:val="single" w:color="auto" w:sz="4" w:space="0"/>
              <w:right w:val="single" w:color="auto" w:sz="4" w:space="0"/>
            </w:tcBorders>
            <w:vAlign w:val="center"/>
          </w:tcPr>
          <w:p w14:paraId="4BC8CFE2">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1</w:t>
            </w:r>
          </w:p>
        </w:tc>
        <w:tc>
          <w:tcPr>
            <w:tcW w:w="348" w:type="pct"/>
            <w:tcBorders>
              <w:top w:val="single" w:color="auto" w:sz="4" w:space="0"/>
              <w:left w:val="nil"/>
              <w:bottom w:val="single" w:color="auto" w:sz="4" w:space="0"/>
              <w:right w:val="single" w:color="auto" w:sz="4" w:space="0"/>
            </w:tcBorders>
            <w:vAlign w:val="center"/>
          </w:tcPr>
          <w:p w14:paraId="7C1ACEC2">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b w:val="0"/>
                <w:bCs/>
                <w:color w:val="auto"/>
                <w:sz w:val="21"/>
                <w:szCs w:val="21"/>
                <w:highlight w:val="none"/>
              </w:rPr>
            </w:pPr>
            <w:r>
              <w:rPr>
                <w:rFonts w:hint="eastAsia" w:ascii="宋体" w:hAnsi="宋体" w:eastAsia="宋体" w:cs="宋体"/>
                <w:b w:val="0"/>
                <w:bCs/>
                <w:color w:val="auto"/>
                <w:sz w:val="21"/>
                <w:szCs w:val="21"/>
              </w:rPr>
              <w:t>超高效液相色谱高分辨质谱仪</w:t>
            </w:r>
          </w:p>
        </w:tc>
        <w:tc>
          <w:tcPr>
            <w:tcW w:w="838" w:type="pct"/>
            <w:tcBorders>
              <w:top w:val="single" w:color="auto" w:sz="4" w:space="0"/>
              <w:left w:val="nil"/>
              <w:bottom w:val="single" w:color="auto" w:sz="4" w:space="0"/>
              <w:right w:val="single" w:color="auto" w:sz="4" w:space="0"/>
            </w:tcBorders>
            <w:vAlign w:val="center"/>
          </w:tcPr>
          <w:p w14:paraId="3764972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b w:val="0"/>
                <w:bCs/>
                <w:color w:val="auto"/>
                <w:sz w:val="21"/>
                <w:szCs w:val="21"/>
                <w:highlight w:val="none"/>
                <w:lang w:eastAsia="zh-CN"/>
              </w:rPr>
            </w:pPr>
            <w:r>
              <w:rPr>
                <w:b w:val="0"/>
                <w:bCs/>
                <w:color w:val="auto"/>
              </w:rPr>
              <w:drawing>
                <wp:inline distT="0" distB="0" distL="114300" distR="114300">
                  <wp:extent cx="1500505" cy="2209800"/>
                  <wp:effectExtent l="0" t="0" r="444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1500505" cy="2209800"/>
                          </a:xfrm>
                          <a:prstGeom prst="rect">
                            <a:avLst/>
                          </a:prstGeom>
                          <a:noFill/>
                          <a:ln>
                            <a:noFill/>
                          </a:ln>
                        </pic:spPr>
                      </pic:pic>
                    </a:graphicData>
                  </a:graphic>
                </wp:inline>
              </w:drawing>
            </w:r>
          </w:p>
        </w:tc>
        <w:tc>
          <w:tcPr>
            <w:tcW w:w="376" w:type="pct"/>
            <w:tcBorders>
              <w:top w:val="single" w:color="auto" w:sz="4" w:space="0"/>
              <w:left w:val="nil"/>
              <w:bottom w:val="single" w:color="auto" w:sz="4" w:space="0"/>
              <w:right w:val="single" w:color="auto" w:sz="4" w:space="0"/>
            </w:tcBorders>
            <w:vAlign w:val="center"/>
          </w:tcPr>
          <w:p w14:paraId="4E7FEA92">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b w:val="0"/>
                <w:bCs/>
                <w:color w:val="auto"/>
                <w:sz w:val="21"/>
                <w:szCs w:val="21"/>
                <w:highlight w:val="none"/>
              </w:rPr>
            </w:pPr>
            <w:r>
              <w:rPr>
                <w:rFonts w:hint="eastAsia" w:ascii="宋体" w:hAnsi="宋体" w:eastAsia="宋体" w:cs="宋体"/>
                <w:b w:val="0"/>
                <w:bCs/>
                <w:color w:val="auto"/>
                <w:sz w:val="21"/>
                <w:szCs w:val="21"/>
                <w:lang w:val="en-US" w:eastAsia="zh-CN"/>
              </w:rPr>
              <w:t>ACQUITY UPLC I-Class PLUS/</w:t>
            </w:r>
            <w:r>
              <w:rPr>
                <w:rFonts w:hint="eastAsia" w:ascii="宋体" w:hAnsi="宋体" w:cs="宋体"/>
                <w:b w:val="0"/>
                <w:bCs/>
                <w:color w:val="auto"/>
                <w:sz w:val="21"/>
                <w:szCs w:val="21"/>
                <w:lang w:val="en-US" w:eastAsia="zh-CN"/>
              </w:rPr>
              <w:t>X</w:t>
            </w:r>
            <w:r>
              <w:rPr>
                <w:rFonts w:hint="eastAsia" w:ascii="宋体" w:hAnsi="宋体" w:eastAsia="宋体" w:cs="宋体"/>
                <w:b w:val="0"/>
                <w:bCs/>
                <w:color w:val="auto"/>
                <w:sz w:val="21"/>
                <w:szCs w:val="21"/>
                <w:lang w:val="en-US" w:eastAsia="zh-CN"/>
              </w:rPr>
              <w:t>evo MRT</w:t>
            </w:r>
          </w:p>
        </w:tc>
        <w:tc>
          <w:tcPr>
            <w:tcW w:w="1917" w:type="pct"/>
            <w:tcBorders>
              <w:top w:val="single" w:color="auto" w:sz="4" w:space="0"/>
              <w:left w:val="nil"/>
              <w:bottom w:val="single" w:color="auto" w:sz="4" w:space="0"/>
              <w:right w:val="single" w:color="auto" w:sz="4" w:space="0"/>
            </w:tcBorders>
            <w:vAlign w:val="center"/>
          </w:tcPr>
          <w:p w14:paraId="13F8F719">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val="0"/>
                <w:bCs/>
                <w:i w:val="0"/>
                <w:iCs w:val="0"/>
                <w:color w:val="auto"/>
                <w:kern w:val="0"/>
                <w:sz w:val="21"/>
                <w:szCs w:val="21"/>
                <w:highlight w:val="none"/>
                <w:u w:val="none"/>
                <w:lang w:val="en-US" w:eastAsia="zh-CN" w:bidi="ar"/>
              </w:rPr>
              <w:t>一、仪器设备的使用用途、范围及要求</w:t>
            </w:r>
          </w:p>
          <w:p w14:paraId="07054D20">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主要用于中药中有效成分或代谢组学，代谢物鉴定等定性定量分析。</w:t>
            </w:r>
          </w:p>
          <w:p w14:paraId="75943834">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二、工作条件</w:t>
            </w:r>
          </w:p>
          <w:p w14:paraId="088D855C">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2.1工作电压：220V±10%，50Hz；</w:t>
            </w:r>
          </w:p>
          <w:p w14:paraId="2DFF0795">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2.2温度：15.0~25.0℃；</w:t>
            </w:r>
          </w:p>
          <w:p w14:paraId="7415832D">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2.3湿度：20%~60%，无冷凝；</w:t>
            </w:r>
          </w:p>
          <w:p w14:paraId="0B4FC91B">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三、配置（或系统组成）</w:t>
            </w:r>
          </w:p>
          <w:p w14:paraId="253FD60F">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3.1 高效液相色谱系统（二元泵、自动进样器、柱温箱）</w:t>
            </w:r>
          </w:p>
          <w:p w14:paraId="19DFE29F">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3.2 高分辨质谱主机（四极杆、飞行时间、检测器）</w:t>
            </w:r>
          </w:p>
          <w:p w14:paraId="422F9553">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3.3 无油机械泵、涡轮分子泵</w:t>
            </w:r>
          </w:p>
          <w:p w14:paraId="539FFEF2">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3.4 复合离子源（ESI和APCI），含喷针5个</w:t>
            </w:r>
          </w:p>
          <w:p w14:paraId="6E663B2E">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3.5 仪器控制及采集软件</w:t>
            </w:r>
          </w:p>
          <w:p w14:paraId="37E5731F">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3.6 高分辨筛查软件、筛查数据库、代谢组学软件、蛋白组学软件</w:t>
            </w:r>
          </w:p>
          <w:p w14:paraId="40775914">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3.7 30 L/min以上氮气发生器（含五年维护包）</w:t>
            </w:r>
          </w:p>
          <w:p w14:paraId="1E1247FD">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3.8 UPS不间断电源（不小于10KVA ，2小时）</w:t>
            </w:r>
          </w:p>
          <w:p w14:paraId="015D1C77">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3.9 数据处理工作站及输出设备</w:t>
            </w:r>
          </w:p>
          <w:p w14:paraId="2E8FD29B">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3.10 配套色谱柱5根、样品瓶1000个、内插管1000个、质谱校正液2套</w:t>
            </w:r>
          </w:p>
          <w:p w14:paraId="0D81CE69">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3.11 超高效液相色谱系统（二元泵、自动进样器、柱温箱）</w:t>
            </w:r>
          </w:p>
          <w:p w14:paraId="300E8EAF">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3.12 数据图像输出设备（A4、彩色、双面、扫描），数据转移设备2套（固态，4TB）。</w:t>
            </w:r>
          </w:p>
          <w:p w14:paraId="3DFD2F5E">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3.13 保证仪器正常使用所需其他相应设备。</w:t>
            </w:r>
          </w:p>
          <w:p w14:paraId="7BECF0EC">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四、附件、特殊工具、备用配件及要求</w:t>
            </w:r>
          </w:p>
          <w:p w14:paraId="5DAD2F15">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4.1 提供随机保证仪器正常使用和维护所需的标准配件、附件及维修工具等。</w:t>
            </w:r>
          </w:p>
          <w:p w14:paraId="2BA0608A">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val="0"/>
                <w:bCs/>
                <w:i w:val="0"/>
                <w:iCs w:val="0"/>
                <w:color w:val="auto"/>
                <w:kern w:val="0"/>
                <w:sz w:val="21"/>
                <w:szCs w:val="21"/>
                <w:highlight w:val="none"/>
                <w:u w:val="none"/>
                <w:lang w:val="en-US" w:eastAsia="zh-CN" w:bidi="ar"/>
              </w:rPr>
              <w:t>4.2 提供保证机器正常运行三年所需的备用配件。</w:t>
            </w:r>
          </w:p>
          <w:p w14:paraId="7D94BF11">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val="0"/>
                <w:bCs/>
                <w:i w:val="0"/>
                <w:iCs w:val="0"/>
                <w:color w:val="auto"/>
                <w:kern w:val="0"/>
                <w:sz w:val="21"/>
                <w:szCs w:val="21"/>
                <w:highlight w:val="none"/>
                <w:u w:val="none"/>
                <w:lang w:val="en-US" w:eastAsia="zh-CN" w:bidi="ar"/>
              </w:rPr>
              <w:t>售后服务及其他</w:t>
            </w:r>
          </w:p>
          <w:p w14:paraId="187F9870">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w:t>
            </w:r>
            <w:r>
              <w:rPr>
                <w:rStyle w:val="5"/>
                <w:b w:val="0"/>
                <w:bCs/>
                <w:color w:val="auto"/>
                <w:sz w:val="21"/>
                <w:szCs w:val="21"/>
                <w:highlight w:val="none"/>
                <w:lang w:val="en-US" w:eastAsia="zh-CN" w:bidi="ar"/>
              </w:rPr>
              <w:t>.</w:t>
            </w:r>
            <w:r>
              <w:rPr>
                <w:rStyle w:val="6"/>
                <w:b w:val="0"/>
                <w:bCs/>
                <w:color w:val="auto"/>
                <w:sz w:val="21"/>
                <w:szCs w:val="21"/>
                <w:highlight w:val="none"/>
                <w:lang w:val="en-US" w:eastAsia="zh-CN" w:bidi="ar"/>
              </w:rPr>
              <w:t>提供仪器设备的安装、操作手册；提供仪器设备的维修保养文件，提供仪器设备的工作软件说明书以及培训视频；</w:t>
            </w:r>
          </w:p>
          <w:p w14:paraId="397201F3">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2.制造商及设备总承包商的技术代表到工作现场进行工作，协助安装、检查，进行安装前的条件确认，并根据实际情况提出整改建议，仪器安装过程中协助进行安装调试，进行启动前的培训和工作现场培训。</w:t>
            </w:r>
          </w:p>
          <w:p w14:paraId="57A11827">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3.安装调试：免费安装调试，设备到达后，接到用户方通知之日起7个工作日内，技术人员到达现场，与用户方技术人员共同开箱清点货物，进行安装、调试、培训。</w:t>
            </w:r>
          </w:p>
          <w:p w14:paraId="4D8827DF">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4.技术培训服务：安装验收完3个月内或根据用户时间要求，制造商应安排专职应用工程师免费在用户所在地对用户进行5天以上的仪器原理、操作和日常维护等的现场培训；仪器安装后一年内提供两名免费培训名额并能使其达到独立操作和仪器维护水平。并及时免费提供技术咨询和软件升级服务、不定期的仪器应用技术培训服务。</w:t>
            </w:r>
          </w:p>
          <w:p w14:paraId="581DF729">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val="0"/>
                <w:bCs/>
                <w:i w:val="0"/>
                <w:iCs w:val="0"/>
                <w:color w:val="auto"/>
                <w:kern w:val="0"/>
                <w:sz w:val="21"/>
                <w:szCs w:val="21"/>
                <w:highlight w:val="none"/>
                <w:u w:val="none"/>
                <w:lang w:val="en-US" w:eastAsia="zh-CN" w:bidi="ar"/>
              </w:rPr>
              <w:t>5.保修：仪器自安装、验收、现场培训之日起，制造商提供三年免费保修服务，在保修期内，所有服务及配件全部免费，由供应商提供原厂售后服务承诺；保修期后，制造商应保证长期供应零备件和正常的售后服务；保修期满时提供一次免费的仪器维护保养，确保仪器处于安装初始状态。</w:t>
            </w:r>
          </w:p>
          <w:p w14:paraId="36AA7C22">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0"/>
                <w:sz w:val="21"/>
                <w:szCs w:val="21"/>
                <w:highlight w:val="none"/>
                <w:u w:val="none"/>
                <w:lang w:val="en-US" w:eastAsia="zh-CN" w:bidi="ar"/>
              </w:rPr>
            </w:pPr>
          </w:p>
          <w:p w14:paraId="4C811EB0">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val="0"/>
                <w:bCs/>
                <w:i w:val="0"/>
                <w:iCs w:val="0"/>
                <w:color w:val="auto"/>
                <w:kern w:val="0"/>
                <w:sz w:val="21"/>
                <w:szCs w:val="21"/>
                <w:highlight w:val="none"/>
                <w:u w:val="none"/>
                <w:lang w:val="en-US" w:eastAsia="zh-CN" w:bidi="ar"/>
              </w:rPr>
              <w:t>各项配置（或系统组成）的技术指标参数</w:t>
            </w:r>
          </w:p>
          <w:p w14:paraId="23E5317B">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val="0"/>
                <w:bCs/>
                <w:i w:val="0"/>
                <w:iCs w:val="0"/>
                <w:color w:val="auto"/>
                <w:kern w:val="0"/>
                <w:sz w:val="21"/>
                <w:szCs w:val="21"/>
                <w:highlight w:val="none"/>
                <w:u w:val="none"/>
                <w:lang w:val="en-US" w:eastAsia="zh-CN" w:bidi="ar"/>
              </w:rPr>
              <w:t>1.1 液相色谱二元溶剂管理系统</w:t>
            </w:r>
          </w:p>
          <w:p w14:paraId="6A415F65">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1.1.1 流速范围：0.001-2 mL/min，以 0.001ml/min 为增量</w:t>
            </w:r>
          </w:p>
          <w:p w14:paraId="654E69F1">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*1.1.2 最高操作压力：≥18000psi</w:t>
            </w:r>
          </w:p>
          <w:p w14:paraId="26A30F29">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1.1.3 色谱泵压力传感器数量：4</w:t>
            </w:r>
          </w:p>
          <w:p w14:paraId="4AFB3E02">
            <w:pPr>
              <w:keepNext w:val="0"/>
              <w:keepLines w:val="0"/>
              <w:pageBreakBefore w:val="0"/>
              <w:widowControl/>
              <w:kinsoku/>
              <w:wordWrap/>
              <w:overflowPunct/>
              <w:topLinePunct w:val="0"/>
              <w:autoSpaceDE/>
              <w:autoSpaceDN/>
              <w:bidi w:val="0"/>
              <w:spacing w:line="240" w:lineRule="auto"/>
              <w:rPr>
                <w:rFonts w:ascii="宋体" w:hAnsi="宋体" w:cs="宋体"/>
                <w:b w:val="0"/>
                <w:bCs/>
                <w:color w:val="auto"/>
                <w:sz w:val="21"/>
                <w:szCs w:val="21"/>
                <w:highlight w:val="none"/>
              </w:rPr>
            </w:pPr>
            <w:r>
              <w:rPr>
                <w:rFonts w:hint="eastAsia" w:ascii="宋体" w:hAnsi="宋体" w:eastAsia="宋体" w:cs="宋体"/>
                <w:b w:val="0"/>
                <w:bCs/>
                <w:i w:val="0"/>
                <w:iCs w:val="0"/>
                <w:color w:val="auto"/>
                <w:kern w:val="0"/>
                <w:sz w:val="21"/>
                <w:szCs w:val="21"/>
                <w:highlight w:val="none"/>
                <w:u w:val="none"/>
                <w:lang w:val="en-US" w:eastAsia="zh-CN" w:bidi="ar"/>
              </w:rPr>
              <w:t>1.1.4 延迟体积：≤75 µL，含50µL混合器，不随反压变化。</w:t>
            </w:r>
          </w:p>
          <w:p w14:paraId="371C7F5F">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ascii="宋体" w:hAnsi="宋体" w:cs="宋体"/>
                <w:b w:val="0"/>
                <w:bCs/>
                <w:color w:val="auto"/>
                <w:sz w:val="21"/>
                <w:szCs w:val="21"/>
                <w:highlight w:val="none"/>
              </w:rPr>
            </w:pPr>
            <w:r>
              <w:rPr>
                <w:rFonts w:hint="eastAsia" w:ascii="宋体" w:hAnsi="宋体" w:eastAsia="宋体" w:cs="宋体"/>
                <w:b w:val="0"/>
                <w:bCs/>
                <w:i w:val="0"/>
                <w:iCs w:val="0"/>
                <w:color w:val="auto"/>
                <w:kern w:val="0"/>
                <w:sz w:val="21"/>
                <w:szCs w:val="21"/>
                <w:highlight w:val="none"/>
                <w:u w:val="none"/>
                <w:lang w:val="en-US" w:eastAsia="zh-CN" w:bidi="ar"/>
              </w:rPr>
              <w:t>1.1.5 六通道在线脱气机：在线真空脱气，其中两对进样清洗液脱气。</w:t>
            </w:r>
          </w:p>
          <w:p w14:paraId="39BDB492">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ascii="宋体" w:hAnsi="宋体" w:cs="宋体"/>
                <w:b w:val="0"/>
                <w:bCs/>
                <w:color w:val="auto"/>
                <w:sz w:val="21"/>
                <w:szCs w:val="21"/>
                <w:highlight w:val="none"/>
              </w:rPr>
            </w:pPr>
            <w:r>
              <w:rPr>
                <w:rFonts w:hint="eastAsia" w:ascii="宋体" w:hAnsi="宋体" w:eastAsia="宋体" w:cs="宋体"/>
                <w:b w:val="0"/>
                <w:bCs/>
                <w:i w:val="0"/>
                <w:iCs w:val="0"/>
                <w:color w:val="auto"/>
                <w:kern w:val="0"/>
                <w:sz w:val="21"/>
                <w:szCs w:val="21"/>
                <w:highlight w:val="none"/>
                <w:u w:val="none"/>
                <w:lang w:val="en-US" w:eastAsia="zh-CN" w:bidi="ar"/>
              </w:rPr>
              <w:t>1.1.6 梯度模式：预编11种梯度曲线（包括线性曲线、梯级曲线</w:t>
            </w:r>
            <w:r>
              <w:rPr>
                <w:rFonts w:hint="default" w:ascii="宋体" w:hAnsi="宋体" w:eastAsia="宋体" w:cs="宋体"/>
                <w:b w:val="0"/>
                <w:bCs/>
                <w:i w:val="0"/>
                <w:iCs w:val="0"/>
                <w:color w:val="auto"/>
                <w:kern w:val="0"/>
                <w:sz w:val="21"/>
                <w:szCs w:val="21"/>
                <w:highlight w:val="none"/>
                <w:u w:val="none"/>
                <w:lang w:val="en-US" w:eastAsia="zh-CN" w:bidi="ar"/>
              </w:rPr>
              <w:t>[2]、凹曲线[4]和凸曲线[4]）</w:t>
            </w:r>
          </w:p>
          <w:p w14:paraId="470276A9">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1.1.7 流量精度：＜0.075%RSD</w:t>
            </w:r>
          </w:p>
          <w:p w14:paraId="6D306880">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1.1.8 梯度精度：±0.15%，不随反压变化</w:t>
            </w:r>
          </w:p>
          <w:p w14:paraId="30793221">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1.1.9 梯度准确度：± 0.5%，不随反压变化</w:t>
            </w:r>
          </w:p>
          <w:p w14:paraId="256218EB">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1.1.10 样品管理系统</w:t>
            </w:r>
          </w:p>
          <w:p w14:paraId="10E38B63">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1.1.10.1样品管理器耐压：≥18000psi</w:t>
            </w:r>
          </w:p>
          <w:p w14:paraId="7693123B">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1.1.10.2 样品数量：96位2mL样品瓶</w:t>
            </w:r>
          </w:p>
          <w:p w14:paraId="5F7C4104">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1.1.10.3 进样范围：0.1-100µL</w:t>
            </w:r>
          </w:p>
          <w:p w14:paraId="36030CC7">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1.1.10.4 进样次数：每个样品1-99次进样</w:t>
            </w:r>
          </w:p>
          <w:p w14:paraId="25830D22">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1.1.10.5 进样精度：≤0.25%RSD</w:t>
            </w:r>
          </w:p>
          <w:p w14:paraId="02EBA81A">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1.1.10.6 进样线性度：&gt;0.999</w:t>
            </w:r>
          </w:p>
          <w:p w14:paraId="076FA70F">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1.1.10.7 样品控制温度：4-40℃</w:t>
            </w:r>
          </w:p>
          <w:p w14:paraId="0BE1A2C3">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1.1.10.8 样品污染度：≤0.001%</w:t>
            </w:r>
          </w:p>
          <w:p w14:paraId="574A73F7">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1.1.11 柱温箱</w:t>
            </w:r>
          </w:p>
          <w:p w14:paraId="4E3F54D2">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1.1.11.1 控温范围：最高控温温度90℃</w:t>
            </w:r>
          </w:p>
          <w:p w14:paraId="5B88C545">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1.1.11.2 控温精度：±0.3℃</w:t>
            </w:r>
          </w:p>
          <w:p w14:paraId="233C73C4">
            <w:pPr>
              <w:keepNext w:val="0"/>
              <w:keepLines w:val="0"/>
              <w:pageBreakBefore w:val="0"/>
              <w:widowControl/>
              <w:suppressLineNumbers w:val="0"/>
              <w:kinsoku/>
              <w:wordWrap/>
              <w:overflowPunct/>
              <w:topLinePunct w:val="0"/>
              <w:autoSpaceDE/>
              <w:autoSpaceDN/>
              <w:bidi w:val="0"/>
              <w:spacing w:line="240" w:lineRule="auto"/>
              <w:jc w:val="left"/>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1.1.11.3 色谱柱信息跟踪记录：在线记录色谱柱使用信息。</w:t>
            </w:r>
          </w:p>
          <w:p w14:paraId="0B244600">
            <w:pPr>
              <w:keepNext w:val="0"/>
              <w:keepLines w:val="0"/>
              <w:pageBreakBefore w:val="0"/>
              <w:widowControl/>
              <w:kinsoku/>
              <w:wordWrap/>
              <w:overflowPunct/>
              <w:topLinePunct w:val="0"/>
              <w:autoSpaceDE/>
              <w:autoSpaceDN/>
              <w:bidi w:val="0"/>
              <w:spacing w:line="240" w:lineRule="auto"/>
              <w:rPr>
                <w:rFonts w:ascii="宋体" w:hAnsi="宋体" w:cs="宋体"/>
                <w:b w:val="0"/>
                <w:bCs/>
                <w:color w:val="auto"/>
                <w:sz w:val="21"/>
                <w:szCs w:val="21"/>
                <w:highlight w:val="none"/>
              </w:rPr>
            </w:pPr>
            <w:r>
              <w:rPr>
                <w:rFonts w:hint="eastAsia" w:ascii="宋体" w:hAnsi="宋体" w:eastAsia="宋体" w:cs="宋体"/>
                <w:b w:val="0"/>
                <w:bCs/>
                <w:i w:val="0"/>
                <w:iCs w:val="0"/>
                <w:color w:val="auto"/>
                <w:kern w:val="0"/>
                <w:sz w:val="21"/>
                <w:szCs w:val="21"/>
                <w:highlight w:val="none"/>
                <w:u w:val="none"/>
                <w:lang w:val="en-US" w:eastAsia="zh-CN" w:bidi="ar"/>
              </w:rPr>
              <w:t>1.2 超高效液相色谱系统</w:t>
            </w:r>
          </w:p>
          <w:p w14:paraId="61584A96">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1.2.1 梯度混合泵</w:t>
            </w:r>
          </w:p>
          <w:p w14:paraId="5DA201D7">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1.2.1.1 二元高压梯度混合；</w:t>
            </w:r>
          </w:p>
          <w:p w14:paraId="6876ACF3">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1.2.1.2 压力范围：最高压力15,000 psi；</w:t>
            </w:r>
          </w:p>
          <w:p w14:paraId="6F670665">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1.2.1.3 压力波动：&lt;1%或0.2 Mpa；</w:t>
            </w:r>
          </w:p>
          <w:p w14:paraId="50B6CDF1">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1.2.1.4 流速范围：0.001~ 8.000mL/min，步进0.001 mL/min；</w:t>
            </w:r>
          </w:p>
          <w:p w14:paraId="3AFBBD0B">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*1.2.1.5 流速精密度：≤ 0.05% RSD；</w:t>
            </w:r>
          </w:p>
          <w:p w14:paraId="60B6C7D9">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1.2.1.6 流速准确度：≤ ±0.1%；</w:t>
            </w:r>
          </w:p>
          <w:p w14:paraId="110B87E3">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1.2.1.7 梯度延迟体积：≤35μL，且不随反压变化；</w:t>
            </w:r>
          </w:p>
          <w:p w14:paraId="26A609B8">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1.2.1.8 梯度组成比例精密度：&lt;0.15%；</w:t>
            </w:r>
          </w:p>
          <w:p w14:paraId="3E6FC9F5">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1.2.1.9 梯度组成比例准确度：≤ ±0.2%；</w:t>
            </w:r>
          </w:p>
          <w:p w14:paraId="27497201">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1.2.1.10 梯度组成比例范围：0-100%；</w:t>
            </w:r>
          </w:p>
          <w:p w14:paraId="4904CE79">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1.2.1.11 淋洗液数量≥6个；</w:t>
            </w:r>
          </w:p>
          <w:p w14:paraId="33B7576C">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1.2.1.12 泵清洗：带柱塞杆及密封圈自动清洗系统，可同时监测泵头微漏；</w:t>
            </w:r>
          </w:p>
          <w:p w14:paraId="33BCBDE3">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1.2.1.13 带过压保护功能，能进行漏液监测；</w:t>
            </w:r>
          </w:p>
          <w:p w14:paraId="5BED589B">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1.2.1.14 梯度模式：除线性变化模式外，还可呈现8种不同梯度指数变化模式设定。</w:t>
            </w:r>
          </w:p>
          <w:p w14:paraId="2F896496">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1.2.2 柱温箱</w:t>
            </w:r>
          </w:p>
          <w:p w14:paraId="533C3F4F">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1.2.2.1 半导体制热，内含湿度、气漏、温度在线检测，配</w:t>
            </w:r>
            <w:r>
              <w:rPr>
                <w:rStyle w:val="6"/>
                <w:b w:val="0"/>
                <w:bCs/>
                <w:color w:val="auto"/>
                <w:sz w:val="21"/>
                <w:szCs w:val="21"/>
                <w:highlight w:val="none"/>
                <w:lang w:val="en-US" w:eastAsia="zh-CN" w:bidi="ar"/>
              </w:rPr>
              <w:t>有预热器；</w:t>
            </w:r>
          </w:p>
          <w:p w14:paraId="07610667">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1.2.2.2 控温范围：5-120℃，室温下18℃（带降温功能）；</w:t>
            </w:r>
          </w:p>
          <w:p w14:paraId="1761EFA4">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1.2.2.3 温度精确度：≤ ±0.5℃；</w:t>
            </w:r>
          </w:p>
          <w:p w14:paraId="1FB1D142">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1.2.2.4 温控稳定性：≤ ±0.05℃；</w:t>
            </w:r>
          </w:p>
          <w:p w14:paraId="4B1BB894">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1.2.2.5 柱容量：色谱柱≥2根，最长可安装色谱柱≥30cm；</w:t>
            </w:r>
          </w:p>
          <w:p w14:paraId="096DBE9B">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1.2.2.6 有湿度，气体，温度传感器，能在线监测溶剂泄漏情况。</w:t>
            </w:r>
          </w:p>
          <w:p w14:paraId="2E696312">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1.2.3 自动进样器</w:t>
            </w:r>
          </w:p>
          <w:p w14:paraId="418664BD">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1.2.3.1 216位2 mL样品瓶，可兼容孔板及常规样品瓶；</w:t>
            </w:r>
          </w:p>
          <w:p w14:paraId="70075093">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1.2.3.2 进样方式：需保证无样品损失残留；</w:t>
            </w:r>
          </w:p>
          <w:p w14:paraId="3EA022BC">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1.2.3.3 进样体积：0.01~100 μL；</w:t>
            </w:r>
          </w:p>
          <w:p w14:paraId="3D4B3FB5">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1.2.3.4 进样体积准确度≤0.5%；</w:t>
            </w:r>
          </w:p>
          <w:p w14:paraId="5688E259">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1.2.3.5 交叉污染≤0.004%；</w:t>
            </w:r>
          </w:p>
          <w:p w14:paraId="68AA5B11">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1.2.3.6 具自动防沉淀振摇及侧移功能；</w:t>
            </w:r>
          </w:p>
          <w:p w14:paraId="43E68C3A">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1.2.3.7 具在线稀释和在线衍生功能。</w:t>
            </w:r>
          </w:p>
          <w:p w14:paraId="1CE8990C">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1.3 质谱硬件部分</w:t>
            </w:r>
          </w:p>
          <w:p w14:paraId="7AE37FCC">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1.3.1 大气压离子源为双正交设计，且为偏离轴型，有效防止大量复杂样品对仪器的污染。</w:t>
            </w:r>
          </w:p>
          <w:p w14:paraId="67A12C0F">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1.3.2离子源和质谱间有隔断阀，待机时及清洗离子源时均可真空隔断，清洗时不必放空真空系统。</w:t>
            </w:r>
          </w:p>
          <w:p w14:paraId="4B9CC00E">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1.3.3 长时间待机过程时，质谱系统不消耗氮气。</w:t>
            </w:r>
          </w:p>
          <w:p w14:paraId="4C68BE78">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1.3.4 离子源配置大气压多功能复合离子源，标配电喷雾电离(ESI)离子化检测。</w:t>
            </w:r>
          </w:p>
          <w:p w14:paraId="53F12649">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1.3.5 离子源为卡扣式无需工具型设计，易于切换时安装和拆卸，无需泄真空即可实现不同离子源之间的切换。</w:t>
            </w:r>
          </w:p>
          <w:p w14:paraId="01DCAA03">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*1.3.6离子传接口技术，采用锥孔设计，离子传输接口不得使用毛细管接口（包括金属或石英等各种材料），防止热裂解、冷凝而导致的样品分解和堵塞，维护简单，离子源清冼时，无需卸真空，使用成本低。</w:t>
            </w:r>
          </w:p>
          <w:p w14:paraId="150B7166">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1.3.7离子源脱溶剂温度可达到650℃，可有效提高离子化效率和离子传输。</w:t>
            </w:r>
          </w:p>
          <w:p w14:paraId="0DBE5B78">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1.4质量分析器：具备高稳定性全金属钼四极杆质量分析器和高分辨率的飞行时间质量分析器，可实现超快速扫描条件下的一级和二级高分辨率分析。</w:t>
            </w:r>
          </w:p>
          <w:p w14:paraId="134E5359">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*1.4.1 分辨率≥140000FWHM (m/z 609)，且分辨率不受采样速率影响（提供数据证明文件）</w:t>
            </w:r>
          </w:p>
          <w:p w14:paraId="39FB82F7">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1.4.2质量范围：40–4000 m/z。</w:t>
            </w:r>
          </w:p>
          <w:p w14:paraId="205DF2DB">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*1.4.3采用100 Hz扫描速度进行MSMS数据采集，利血平母离子(m/z 609.28)及碎片离子(m/z 195.09)分辨率≥100,000 FWHM （提供数据证明文件）</w:t>
            </w:r>
          </w:p>
          <w:p w14:paraId="560B3DA0">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1.4.4 质量准确度：MS和MS/MS模式下</w:t>
            </w:r>
            <w:r>
              <w:rPr>
                <w:rStyle w:val="6"/>
                <w:b w:val="0"/>
                <w:bCs/>
                <w:color w:val="auto"/>
                <w:sz w:val="21"/>
                <w:szCs w:val="21"/>
                <w:highlight w:val="none"/>
                <w:lang w:val="en-US" w:eastAsia="zh-CN" w:bidi="ar"/>
              </w:rPr>
              <w:t>≤500 ppb。</w:t>
            </w:r>
          </w:p>
          <w:p w14:paraId="0045C2CA">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1.4.5灵敏度</w:t>
            </w:r>
          </w:p>
          <w:p w14:paraId="1C6152C3">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*1.4.5.1一级质谱灵敏度（ESI+）：1pg利血平柱上进样，MS模式下，分辨率≥100,000 FWHM，S/N ≥ 15000:1，且原始数据，无平滑。（提供数据证明文件）</w:t>
            </w:r>
          </w:p>
          <w:p w14:paraId="25294276">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*1.4.5.2 一级质谱灵敏度（ESI-）：1pg亮氨酸脑啡肽溶液柱上进样，分辨率≥100,000 FWHM，在m/z 554处，S/N ≥ 10000:1，且原始数据，无平滑。</w:t>
            </w:r>
          </w:p>
          <w:p w14:paraId="3CEE994B">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1.5 动态范围：≥ 5个数量级。</w:t>
            </w:r>
          </w:p>
          <w:p w14:paraId="29E32B23">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1.6 采集速率(Hz): MS/MS模式100 Hz。</w:t>
            </w:r>
          </w:p>
          <w:p w14:paraId="34C8403E">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1.7离子传输技术采用偏轴式设计，同时可有效的排除中性干扰，降低噪声，提高离子的高效率聚焦传输能力，增强系统的检测灵敏度。</w:t>
            </w:r>
          </w:p>
          <w:p w14:paraId="4D9A11A1">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1.8 碰撞池技术采用新型结构，加载射频场和一定的电场实现离子束的压缩聚集，对二级离子更精确的控制、捕获聚焦，提高点空比，同时缩短一级离子二级离子的转换赶时间，确保低丰度离子的灵敏度和分辨率。</w:t>
            </w:r>
          </w:p>
          <w:p w14:paraId="41CF0209">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1.9 检测器技术采用双通道信号转换技术，有效提高系统的线性动态范围，能够确保系统在分析复杂样本时，高效率地同时兼顾灵敏度和高质量精度的超高分辨率。</w:t>
            </w:r>
          </w:p>
          <w:p w14:paraId="60652307">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1.10 真空系统技术采用一级无油机械泵，噪声极小且维护成本非常小，同时配备多个二级分子涡轮泵，实现系统稳定的真空供给，软件系统对分子涡轮泵的工作状态实时监控。</w:t>
            </w:r>
          </w:p>
          <w:p w14:paraId="12287D86">
            <w:pPr>
              <w:spacing w:line="240" w:lineRule="auto"/>
              <w:rPr>
                <w:rFonts w:ascii="宋体" w:hAnsi="宋体" w:eastAsia="宋体"/>
                <w:b w:val="0"/>
                <w:bCs/>
                <w:color w:val="auto"/>
                <w:sz w:val="21"/>
                <w:szCs w:val="21"/>
                <w:highlight w:val="none"/>
              </w:rPr>
            </w:pPr>
            <w:r>
              <w:rPr>
                <w:rFonts w:hint="eastAsia" w:ascii="宋体" w:hAnsi="宋体" w:eastAsia="宋体" w:cs="宋体"/>
                <w:b w:val="0"/>
                <w:bCs/>
                <w:i w:val="0"/>
                <w:iCs w:val="0"/>
                <w:color w:val="auto"/>
                <w:kern w:val="0"/>
                <w:sz w:val="21"/>
                <w:szCs w:val="21"/>
                <w:highlight w:val="none"/>
                <w:u w:val="none"/>
                <w:lang w:val="en-US" w:eastAsia="zh-CN" w:bidi="ar"/>
              </w:rPr>
              <w:t xml:space="preserve">1.11 数据处理工作站：CPU：3.0Hz主频6核12线程，内存64GB，硬盘12T, </w:t>
            </w:r>
            <w:r>
              <w:rPr>
                <w:rStyle w:val="7"/>
                <w:rFonts w:eastAsia="宋体"/>
                <w:b w:val="0"/>
                <w:bCs/>
                <w:color w:val="auto"/>
                <w:sz w:val="21"/>
                <w:szCs w:val="21"/>
                <w:highlight w:val="none"/>
                <w:lang w:val="en-US" w:eastAsia="zh-CN" w:bidi="ar"/>
              </w:rPr>
              <w:t>Windows 10</w:t>
            </w:r>
            <w:r>
              <w:rPr>
                <w:rStyle w:val="6"/>
                <w:b w:val="0"/>
                <w:bCs/>
                <w:color w:val="auto"/>
                <w:sz w:val="21"/>
                <w:szCs w:val="21"/>
                <w:highlight w:val="none"/>
                <w:lang w:val="en-US" w:eastAsia="zh-CN" w:bidi="ar"/>
              </w:rPr>
              <w:t>或更新专业版操作系统。</w:t>
            </w:r>
          </w:p>
        </w:tc>
        <w:tc>
          <w:tcPr>
            <w:tcW w:w="203" w:type="pct"/>
            <w:tcBorders>
              <w:top w:val="single" w:color="auto" w:sz="4" w:space="0"/>
              <w:left w:val="nil"/>
              <w:bottom w:val="single" w:color="auto" w:sz="4" w:space="0"/>
              <w:right w:val="single" w:color="auto" w:sz="4" w:space="0"/>
            </w:tcBorders>
            <w:vAlign w:val="center"/>
          </w:tcPr>
          <w:p w14:paraId="124586D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 w:val="0"/>
                <w:bCs/>
                <w:color w:val="auto"/>
                <w:sz w:val="21"/>
                <w:szCs w:val="21"/>
                <w:highlight w:val="none"/>
                <w:lang w:val="en-US" w:eastAsia="zh-CN"/>
              </w:rPr>
            </w:pPr>
            <w:r>
              <w:rPr>
                <w:rFonts w:hint="eastAsia" w:ascii="宋体" w:hAnsi="宋体" w:eastAsia="宋体"/>
                <w:b w:val="0"/>
                <w:bCs/>
                <w:color w:val="auto"/>
                <w:sz w:val="21"/>
                <w:szCs w:val="21"/>
                <w:highlight w:val="none"/>
                <w:lang w:val="en-US" w:eastAsia="zh-CN"/>
              </w:rPr>
              <w:t>1台</w:t>
            </w:r>
          </w:p>
        </w:tc>
        <w:tc>
          <w:tcPr>
            <w:tcW w:w="370" w:type="pct"/>
            <w:tcBorders>
              <w:top w:val="single" w:color="auto" w:sz="4" w:space="0"/>
              <w:left w:val="nil"/>
              <w:bottom w:val="single" w:color="auto" w:sz="4" w:space="0"/>
              <w:right w:val="single" w:color="auto" w:sz="4" w:space="0"/>
            </w:tcBorders>
            <w:vAlign w:val="center"/>
          </w:tcPr>
          <w:p w14:paraId="68DE0F1D">
            <w:pPr>
              <w:keepNext w:val="0"/>
              <w:keepLines w:val="0"/>
              <w:pageBreakBefore w:val="0"/>
              <w:kinsoku/>
              <w:wordWrap/>
              <w:overflowPunct/>
              <w:topLinePunct w:val="0"/>
              <w:autoSpaceDE/>
              <w:autoSpaceDN/>
              <w:bidi w:val="0"/>
              <w:spacing w:line="240" w:lineRule="auto"/>
              <w:ind w:right="-107" w:rightChars="-51"/>
              <w:jc w:val="center"/>
              <w:textAlignment w:val="auto"/>
              <w:rPr>
                <w:rFonts w:ascii="宋体" w:hAnsi="宋体" w:eastAsia="宋体"/>
                <w:b w:val="0"/>
                <w:bCs/>
                <w:color w:val="auto"/>
                <w:kern w:val="0"/>
                <w:sz w:val="21"/>
                <w:szCs w:val="21"/>
                <w:highlight w:val="none"/>
              </w:rPr>
            </w:pPr>
            <w:r>
              <w:rPr>
                <w:rFonts w:hint="eastAsia" w:ascii="宋体" w:hAnsi="宋体" w:cs="宋体"/>
                <w:b w:val="0"/>
                <w:bCs/>
                <w:color w:val="auto"/>
                <w:sz w:val="21"/>
                <w:szCs w:val="21"/>
                <w:lang w:val="en-US" w:eastAsia="zh-CN"/>
              </w:rPr>
              <w:t>沃特世科技（上海）有限公司</w:t>
            </w:r>
          </w:p>
        </w:tc>
        <w:tc>
          <w:tcPr>
            <w:tcW w:w="263" w:type="pct"/>
            <w:tcBorders>
              <w:top w:val="single" w:color="auto" w:sz="4" w:space="0"/>
              <w:left w:val="nil"/>
              <w:bottom w:val="single" w:color="auto" w:sz="4" w:space="0"/>
              <w:right w:val="single" w:color="auto" w:sz="4" w:space="0"/>
            </w:tcBorders>
            <w:vAlign w:val="center"/>
          </w:tcPr>
          <w:p w14:paraId="07CB8F4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lang w:eastAsia="zh-CN"/>
              </w:rPr>
              <w:t>中国</w:t>
            </w:r>
          </w:p>
        </w:tc>
        <w:tc>
          <w:tcPr>
            <w:tcW w:w="445" w:type="pct"/>
            <w:tcBorders>
              <w:top w:val="single" w:color="auto" w:sz="4" w:space="0"/>
              <w:left w:val="nil"/>
              <w:bottom w:val="single" w:color="auto" w:sz="4" w:space="0"/>
              <w:right w:val="single" w:color="auto" w:sz="4" w:space="0"/>
            </w:tcBorders>
            <w:vAlign w:val="center"/>
          </w:tcPr>
          <w:p w14:paraId="652BC4A9">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b w:val="0"/>
                <w:bCs/>
                <w:color w:val="auto"/>
                <w:sz w:val="21"/>
                <w:szCs w:val="21"/>
                <w:highlight w:val="none"/>
              </w:rPr>
            </w:pPr>
          </w:p>
        </w:tc>
      </w:tr>
      <w:tr w14:paraId="0C8568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236" w:type="pct"/>
            <w:tcBorders>
              <w:top w:val="single" w:color="auto" w:sz="4" w:space="0"/>
              <w:left w:val="single" w:color="auto" w:sz="4" w:space="0"/>
              <w:bottom w:val="single" w:color="auto" w:sz="4" w:space="0"/>
              <w:right w:val="single" w:color="auto" w:sz="4" w:space="0"/>
            </w:tcBorders>
            <w:vAlign w:val="center"/>
          </w:tcPr>
          <w:p w14:paraId="36432AF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b w:val="0"/>
                <w:bCs/>
                <w:color w:val="auto"/>
                <w:sz w:val="21"/>
                <w:szCs w:val="21"/>
                <w:highlight w:val="none"/>
                <w:lang w:val="en-US" w:eastAsia="zh-CN"/>
              </w:rPr>
            </w:pPr>
            <w:r>
              <w:rPr>
                <w:rFonts w:hint="eastAsia" w:ascii="宋体" w:hAnsi="宋体" w:eastAsia="宋体"/>
                <w:b w:val="0"/>
                <w:bCs/>
                <w:color w:val="auto"/>
                <w:sz w:val="21"/>
                <w:szCs w:val="21"/>
                <w:highlight w:val="none"/>
                <w:lang w:val="en-US" w:eastAsia="zh-CN"/>
              </w:rPr>
              <w:t>2</w:t>
            </w:r>
          </w:p>
        </w:tc>
        <w:tc>
          <w:tcPr>
            <w:tcW w:w="348" w:type="pct"/>
            <w:tcBorders>
              <w:top w:val="single" w:color="auto" w:sz="4" w:space="0"/>
              <w:left w:val="nil"/>
              <w:bottom w:val="single" w:color="auto" w:sz="4" w:space="0"/>
              <w:right w:val="single" w:color="auto" w:sz="4" w:space="0"/>
            </w:tcBorders>
            <w:shd w:val="clear" w:color="auto" w:fill="auto"/>
            <w:vAlign w:val="center"/>
          </w:tcPr>
          <w:p w14:paraId="4C048B1F">
            <w:pPr>
              <w:spacing w:line="240" w:lineRule="auto"/>
              <w:jc w:val="center"/>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color w:val="auto"/>
                <w:sz w:val="21"/>
                <w:szCs w:val="21"/>
              </w:rPr>
              <w:t>高效液相色谱仪</w:t>
            </w:r>
          </w:p>
        </w:tc>
        <w:tc>
          <w:tcPr>
            <w:tcW w:w="838" w:type="pct"/>
            <w:tcBorders>
              <w:top w:val="single" w:color="auto" w:sz="4" w:space="0"/>
              <w:left w:val="nil"/>
              <w:bottom w:val="single" w:color="auto" w:sz="4" w:space="0"/>
              <w:right w:val="single" w:color="auto" w:sz="4" w:space="0"/>
            </w:tcBorders>
            <w:shd w:val="clear" w:color="auto" w:fill="auto"/>
            <w:vAlign w:val="center"/>
          </w:tcPr>
          <w:p w14:paraId="5A69F560">
            <w:pPr>
              <w:spacing w:line="240" w:lineRule="auto"/>
              <w:jc w:val="center"/>
              <w:rPr>
                <w:rFonts w:hint="eastAsia" w:ascii="宋体" w:hAnsi="宋体" w:eastAsia="宋体" w:cs="宋体"/>
                <w:b w:val="0"/>
                <w:bCs/>
                <w:color w:val="auto"/>
                <w:kern w:val="2"/>
                <w:sz w:val="21"/>
                <w:szCs w:val="21"/>
                <w:lang w:val="en-US" w:eastAsia="zh-CN" w:bidi="ar-SA"/>
              </w:rPr>
            </w:pPr>
            <w:r>
              <w:rPr>
                <w:b w:val="0"/>
                <w:bCs/>
                <w:color w:val="auto"/>
              </w:rPr>
              <w:drawing>
                <wp:inline distT="0" distB="0" distL="114300" distR="114300">
                  <wp:extent cx="1341755" cy="2760980"/>
                  <wp:effectExtent l="0" t="0" r="10795"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1341755" cy="2760980"/>
                          </a:xfrm>
                          <a:prstGeom prst="rect">
                            <a:avLst/>
                          </a:prstGeom>
                          <a:noFill/>
                          <a:ln>
                            <a:noFill/>
                          </a:ln>
                        </pic:spPr>
                      </pic:pic>
                    </a:graphicData>
                  </a:graphic>
                </wp:inline>
              </w:drawing>
            </w:r>
          </w:p>
        </w:tc>
        <w:tc>
          <w:tcPr>
            <w:tcW w:w="376" w:type="pct"/>
            <w:tcBorders>
              <w:top w:val="single" w:color="auto" w:sz="4" w:space="0"/>
              <w:left w:val="nil"/>
              <w:bottom w:val="single" w:color="auto" w:sz="4" w:space="0"/>
              <w:right w:val="single" w:color="auto" w:sz="4" w:space="0"/>
            </w:tcBorders>
            <w:vAlign w:val="center"/>
          </w:tcPr>
          <w:p w14:paraId="069FC212">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1260 Infinity III</w:t>
            </w:r>
          </w:p>
        </w:tc>
        <w:tc>
          <w:tcPr>
            <w:tcW w:w="1917" w:type="pct"/>
            <w:tcBorders>
              <w:top w:val="single" w:color="auto" w:sz="4" w:space="0"/>
              <w:left w:val="nil"/>
              <w:bottom w:val="single" w:color="auto" w:sz="4" w:space="0"/>
              <w:right w:val="single" w:color="auto" w:sz="4" w:space="0"/>
            </w:tcBorders>
            <w:vAlign w:val="center"/>
          </w:tcPr>
          <w:p w14:paraId="077646D5">
            <w:pPr>
              <w:adjustRightInd w:val="0"/>
              <w:snapToGrid w:val="0"/>
              <w:spacing w:line="240" w:lineRule="auto"/>
              <w:jc w:val="left"/>
              <w:rPr>
                <w:rFonts w:hint="eastAsia"/>
                <w:b w:val="0"/>
                <w:bCs/>
                <w:color w:val="auto"/>
                <w:szCs w:val="21"/>
              </w:rPr>
            </w:pPr>
            <w:r>
              <w:rPr>
                <w:rFonts w:hint="eastAsia"/>
                <w:b w:val="0"/>
                <w:bCs/>
                <w:color w:val="auto"/>
                <w:szCs w:val="21"/>
              </w:rPr>
              <w:t>一、仪器设备的使用用途、范围及要求</w:t>
            </w:r>
          </w:p>
          <w:p w14:paraId="7493527E">
            <w:pPr>
              <w:adjustRightInd w:val="0"/>
              <w:snapToGrid w:val="0"/>
              <w:spacing w:line="240" w:lineRule="auto"/>
              <w:jc w:val="left"/>
              <w:rPr>
                <w:b w:val="0"/>
                <w:bCs/>
                <w:color w:val="auto"/>
                <w:szCs w:val="21"/>
              </w:rPr>
            </w:pPr>
            <w:r>
              <w:rPr>
                <w:rFonts w:hint="eastAsia"/>
                <w:b w:val="0"/>
                <w:bCs/>
                <w:color w:val="auto"/>
                <w:szCs w:val="21"/>
              </w:rPr>
              <w:t>用于中药中毒素的定性定量分析。</w:t>
            </w:r>
          </w:p>
          <w:p w14:paraId="0B26C9C9">
            <w:pPr>
              <w:adjustRightInd w:val="0"/>
              <w:snapToGrid w:val="0"/>
              <w:spacing w:line="240" w:lineRule="auto"/>
              <w:jc w:val="left"/>
              <w:rPr>
                <w:b w:val="0"/>
                <w:bCs/>
                <w:color w:val="auto"/>
                <w:szCs w:val="21"/>
              </w:rPr>
            </w:pPr>
            <w:r>
              <w:rPr>
                <w:rFonts w:hint="eastAsia"/>
                <w:b w:val="0"/>
                <w:bCs/>
                <w:color w:val="auto"/>
                <w:szCs w:val="21"/>
              </w:rPr>
              <w:t>二、仪器主要配置要求</w:t>
            </w:r>
          </w:p>
          <w:p w14:paraId="3CAD7C4A">
            <w:pPr>
              <w:adjustRightInd w:val="0"/>
              <w:snapToGrid w:val="0"/>
              <w:spacing w:line="240" w:lineRule="auto"/>
              <w:jc w:val="left"/>
              <w:rPr>
                <w:b w:val="0"/>
                <w:bCs/>
                <w:color w:val="auto"/>
                <w:szCs w:val="21"/>
              </w:rPr>
            </w:pPr>
            <w:r>
              <w:rPr>
                <w:rFonts w:hint="eastAsia"/>
                <w:b w:val="0"/>
                <w:bCs/>
                <w:color w:val="auto"/>
                <w:szCs w:val="21"/>
              </w:rPr>
              <w:t>2.1 四元梯度输液泵（包含自动柱塞清洗，主动阀）   数量 1套；</w:t>
            </w:r>
          </w:p>
          <w:p w14:paraId="57B41A82">
            <w:pPr>
              <w:adjustRightInd w:val="0"/>
              <w:snapToGrid w:val="0"/>
              <w:spacing w:line="240" w:lineRule="auto"/>
              <w:jc w:val="left"/>
              <w:rPr>
                <w:b w:val="0"/>
                <w:bCs/>
                <w:color w:val="auto"/>
                <w:szCs w:val="21"/>
              </w:rPr>
            </w:pPr>
            <w:r>
              <w:rPr>
                <w:rFonts w:hint="eastAsia"/>
                <w:b w:val="0"/>
                <w:bCs/>
                <w:color w:val="auto"/>
                <w:szCs w:val="21"/>
              </w:rPr>
              <w:t>2.2 智能助手套件                   数量 1套；</w:t>
            </w:r>
          </w:p>
          <w:p w14:paraId="5D166FC5">
            <w:pPr>
              <w:adjustRightInd w:val="0"/>
              <w:snapToGrid w:val="0"/>
              <w:spacing w:line="240" w:lineRule="auto"/>
              <w:jc w:val="left"/>
              <w:rPr>
                <w:b w:val="0"/>
                <w:bCs/>
                <w:color w:val="auto"/>
                <w:szCs w:val="21"/>
              </w:rPr>
            </w:pPr>
            <w:r>
              <w:rPr>
                <w:rFonts w:hint="eastAsia"/>
                <w:b w:val="0"/>
                <w:bCs/>
                <w:color w:val="auto"/>
                <w:szCs w:val="21"/>
              </w:rPr>
              <w:t>2.3 自动进样器                     数量 1套；</w:t>
            </w:r>
          </w:p>
          <w:p w14:paraId="3F5B3B72">
            <w:pPr>
              <w:adjustRightInd w:val="0"/>
              <w:snapToGrid w:val="0"/>
              <w:spacing w:line="240" w:lineRule="auto"/>
              <w:jc w:val="left"/>
              <w:rPr>
                <w:b w:val="0"/>
                <w:bCs/>
                <w:color w:val="auto"/>
                <w:szCs w:val="21"/>
              </w:rPr>
            </w:pPr>
            <w:r>
              <w:rPr>
                <w:rFonts w:hint="eastAsia"/>
                <w:b w:val="0"/>
                <w:bCs/>
                <w:color w:val="auto"/>
                <w:szCs w:val="21"/>
              </w:rPr>
              <w:t>2.4 智能化柱温箱                   数量 1套；</w:t>
            </w:r>
          </w:p>
          <w:p w14:paraId="69ECB1EF">
            <w:pPr>
              <w:adjustRightInd w:val="0"/>
              <w:snapToGrid w:val="0"/>
              <w:spacing w:line="240" w:lineRule="auto"/>
              <w:jc w:val="left"/>
              <w:rPr>
                <w:b w:val="0"/>
                <w:bCs/>
                <w:color w:val="auto"/>
                <w:szCs w:val="21"/>
              </w:rPr>
            </w:pPr>
            <w:r>
              <w:rPr>
                <w:rFonts w:hint="eastAsia"/>
                <w:b w:val="0"/>
                <w:bCs/>
                <w:color w:val="auto"/>
                <w:szCs w:val="21"/>
              </w:rPr>
              <w:t>2.5 二极管阵列检测器               数量 1套；</w:t>
            </w:r>
          </w:p>
          <w:p w14:paraId="263906B6">
            <w:pPr>
              <w:adjustRightInd w:val="0"/>
              <w:snapToGrid w:val="0"/>
              <w:spacing w:line="240" w:lineRule="auto"/>
              <w:jc w:val="left"/>
              <w:rPr>
                <w:b w:val="0"/>
                <w:bCs/>
                <w:color w:val="auto"/>
                <w:szCs w:val="21"/>
              </w:rPr>
            </w:pPr>
            <w:r>
              <w:rPr>
                <w:rFonts w:hint="eastAsia"/>
                <w:b w:val="0"/>
                <w:bCs/>
                <w:color w:val="auto"/>
                <w:szCs w:val="21"/>
              </w:rPr>
              <w:t>2.6 荧光检测器                     数量1套；</w:t>
            </w:r>
          </w:p>
          <w:p w14:paraId="79CC4D6F">
            <w:pPr>
              <w:adjustRightInd w:val="0"/>
              <w:snapToGrid w:val="0"/>
              <w:spacing w:line="240" w:lineRule="auto"/>
              <w:jc w:val="left"/>
              <w:rPr>
                <w:b w:val="0"/>
                <w:bCs/>
                <w:color w:val="auto"/>
                <w:szCs w:val="21"/>
              </w:rPr>
            </w:pPr>
            <w:r>
              <w:rPr>
                <w:rFonts w:hint="eastAsia"/>
                <w:b w:val="0"/>
                <w:bCs/>
                <w:color w:val="auto"/>
                <w:szCs w:val="21"/>
              </w:rPr>
              <w:t>2.7 柱后衍生仪                     数量1套；</w:t>
            </w:r>
          </w:p>
          <w:p w14:paraId="22089C43">
            <w:pPr>
              <w:adjustRightInd w:val="0"/>
              <w:snapToGrid w:val="0"/>
              <w:spacing w:line="240" w:lineRule="auto"/>
              <w:jc w:val="left"/>
              <w:rPr>
                <w:b w:val="0"/>
                <w:bCs/>
                <w:color w:val="auto"/>
                <w:szCs w:val="21"/>
              </w:rPr>
            </w:pPr>
            <w:r>
              <w:rPr>
                <w:rFonts w:hint="eastAsia"/>
                <w:b w:val="0"/>
                <w:bCs/>
                <w:color w:val="auto"/>
                <w:szCs w:val="21"/>
              </w:rPr>
              <w:t>2.8 四元泵工具包                   数量 1套；</w:t>
            </w:r>
          </w:p>
          <w:p w14:paraId="2E1C2D84">
            <w:pPr>
              <w:adjustRightInd w:val="0"/>
              <w:snapToGrid w:val="0"/>
              <w:spacing w:line="240" w:lineRule="auto"/>
              <w:jc w:val="left"/>
              <w:rPr>
                <w:b w:val="0"/>
                <w:bCs/>
                <w:color w:val="auto"/>
                <w:szCs w:val="21"/>
              </w:rPr>
            </w:pPr>
            <w:r>
              <w:rPr>
                <w:rFonts w:hint="eastAsia"/>
                <w:b w:val="0"/>
                <w:bCs/>
                <w:color w:val="auto"/>
                <w:szCs w:val="21"/>
              </w:rPr>
              <w:t>2.9 2mL样品瓶包含瓶盖和瓶垫        数量1000个；</w:t>
            </w:r>
          </w:p>
          <w:p w14:paraId="44787231">
            <w:pPr>
              <w:adjustRightInd w:val="0"/>
              <w:snapToGrid w:val="0"/>
              <w:spacing w:line="240" w:lineRule="auto"/>
              <w:jc w:val="left"/>
              <w:rPr>
                <w:b w:val="0"/>
                <w:bCs/>
                <w:color w:val="auto"/>
                <w:szCs w:val="21"/>
              </w:rPr>
            </w:pPr>
            <w:r>
              <w:rPr>
                <w:rFonts w:hint="eastAsia"/>
                <w:b w:val="0"/>
                <w:bCs/>
                <w:color w:val="auto"/>
                <w:szCs w:val="21"/>
              </w:rPr>
              <w:t>2.10 C18分析柱 3.1×50 mm，2.7 μm    数量 1根；</w:t>
            </w:r>
          </w:p>
          <w:p w14:paraId="4CD622D0">
            <w:pPr>
              <w:adjustRightInd w:val="0"/>
              <w:snapToGrid w:val="0"/>
              <w:spacing w:line="240" w:lineRule="auto"/>
              <w:jc w:val="left"/>
              <w:rPr>
                <w:b w:val="0"/>
                <w:bCs/>
                <w:color w:val="auto"/>
                <w:szCs w:val="21"/>
              </w:rPr>
            </w:pPr>
            <w:r>
              <w:rPr>
                <w:rFonts w:hint="eastAsia"/>
                <w:b w:val="0"/>
                <w:bCs/>
                <w:color w:val="auto"/>
                <w:szCs w:val="21"/>
              </w:rPr>
              <w:t>2.11 C18分析柱4.6×250 mm，5 μm     数量3根；</w:t>
            </w:r>
          </w:p>
          <w:p w14:paraId="22010331">
            <w:pPr>
              <w:adjustRightInd w:val="0"/>
              <w:snapToGrid w:val="0"/>
              <w:spacing w:line="240" w:lineRule="auto"/>
              <w:jc w:val="left"/>
              <w:rPr>
                <w:b w:val="0"/>
                <w:bCs/>
                <w:color w:val="auto"/>
                <w:szCs w:val="21"/>
              </w:rPr>
            </w:pPr>
            <w:r>
              <w:rPr>
                <w:rFonts w:hint="eastAsia"/>
                <w:b w:val="0"/>
                <w:bCs/>
                <w:color w:val="auto"/>
                <w:szCs w:val="21"/>
              </w:rPr>
              <w:t>2.12 鬼峰捕集柱                   数量1套；</w:t>
            </w:r>
          </w:p>
          <w:p w14:paraId="44CA8A24">
            <w:pPr>
              <w:adjustRightInd w:val="0"/>
              <w:snapToGrid w:val="0"/>
              <w:spacing w:line="240" w:lineRule="auto"/>
              <w:jc w:val="left"/>
              <w:rPr>
                <w:b w:val="0"/>
                <w:bCs/>
                <w:color w:val="auto"/>
                <w:szCs w:val="21"/>
              </w:rPr>
            </w:pPr>
            <w:r>
              <w:rPr>
                <w:rFonts w:hint="eastAsia"/>
                <w:b w:val="0"/>
                <w:bCs/>
                <w:color w:val="auto"/>
                <w:szCs w:val="21"/>
              </w:rPr>
              <w:t>2.13 手拧接头                     数量 10个；</w:t>
            </w:r>
          </w:p>
          <w:p w14:paraId="57D380C8">
            <w:pPr>
              <w:adjustRightInd w:val="0"/>
              <w:snapToGrid w:val="0"/>
              <w:spacing w:line="240" w:lineRule="auto"/>
              <w:jc w:val="left"/>
              <w:rPr>
                <w:b w:val="0"/>
                <w:bCs/>
                <w:color w:val="auto"/>
                <w:szCs w:val="21"/>
              </w:rPr>
            </w:pPr>
            <w:r>
              <w:rPr>
                <w:rFonts w:hint="eastAsia"/>
                <w:b w:val="0"/>
                <w:bCs/>
                <w:color w:val="auto"/>
                <w:szCs w:val="21"/>
              </w:rPr>
              <w:t>2.14 过滤白头                     数量 10个；</w:t>
            </w:r>
          </w:p>
          <w:p w14:paraId="62C3F12A">
            <w:pPr>
              <w:adjustRightInd w:val="0"/>
              <w:snapToGrid w:val="0"/>
              <w:spacing w:line="240" w:lineRule="auto"/>
              <w:jc w:val="left"/>
              <w:rPr>
                <w:b w:val="0"/>
                <w:bCs/>
                <w:color w:val="auto"/>
                <w:szCs w:val="21"/>
              </w:rPr>
            </w:pPr>
            <w:r>
              <w:rPr>
                <w:rFonts w:hint="eastAsia"/>
                <w:b w:val="0"/>
                <w:bCs/>
                <w:color w:val="auto"/>
                <w:szCs w:val="21"/>
              </w:rPr>
              <w:t>2.15 PEEK备用毛细管管线          数量1.5米；</w:t>
            </w:r>
          </w:p>
          <w:p w14:paraId="52F73F93">
            <w:pPr>
              <w:adjustRightInd w:val="0"/>
              <w:snapToGrid w:val="0"/>
              <w:spacing w:line="240" w:lineRule="auto"/>
              <w:jc w:val="left"/>
              <w:rPr>
                <w:b w:val="0"/>
                <w:bCs/>
                <w:color w:val="auto"/>
                <w:szCs w:val="21"/>
              </w:rPr>
            </w:pPr>
            <w:r>
              <w:rPr>
                <w:rFonts w:hint="eastAsia"/>
                <w:b w:val="0"/>
                <w:bCs/>
                <w:color w:val="auto"/>
                <w:szCs w:val="21"/>
              </w:rPr>
              <w:t>2.16 零死体积两通                 数量1个；</w:t>
            </w:r>
          </w:p>
          <w:p w14:paraId="1D8E4167">
            <w:pPr>
              <w:adjustRightInd w:val="0"/>
              <w:snapToGrid w:val="0"/>
              <w:spacing w:line="240" w:lineRule="auto"/>
              <w:jc w:val="left"/>
              <w:rPr>
                <w:b w:val="0"/>
                <w:bCs/>
                <w:color w:val="auto"/>
                <w:szCs w:val="21"/>
              </w:rPr>
            </w:pPr>
            <w:r>
              <w:rPr>
                <w:rFonts w:hint="eastAsia"/>
                <w:b w:val="0"/>
                <w:bCs/>
                <w:color w:val="auto"/>
                <w:szCs w:val="21"/>
              </w:rPr>
              <w:t>2.17 色谱工作站                   数量1套；</w:t>
            </w:r>
          </w:p>
          <w:p w14:paraId="7D0626CD">
            <w:pPr>
              <w:adjustRightInd w:val="0"/>
              <w:snapToGrid w:val="0"/>
              <w:spacing w:line="240" w:lineRule="auto"/>
              <w:jc w:val="left"/>
              <w:rPr>
                <w:b w:val="0"/>
                <w:bCs/>
                <w:color w:val="auto"/>
                <w:szCs w:val="21"/>
              </w:rPr>
            </w:pPr>
            <w:r>
              <w:rPr>
                <w:rFonts w:hint="eastAsia"/>
                <w:b w:val="0"/>
                <w:bCs/>
                <w:color w:val="auto"/>
                <w:szCs w:val="21"/>
              </w:rPr>
              <w:t>2.18 数据处理工作站               数量2台。</w:t>
            </w:r>
          </w:p>
          <w:p w14:paraId="29078652">
            <w:pPr>
              <w:adjustRightInd w:val="0"/>
              <w:snapToGrid w:val="0"/>
              <w:spacing w:line="240" w:lineRule="auto"/>
              <w:jc w:val="left"/>
              <w:rPr>
                <w:b w:val="0"/>
                <w:bCs/>
                <w:color w:val="auto"/>
                <w:szCs w:val="21"/>
              </w:rPr>
            </w:pPr>
            <w:r>
              <w:rPr>
                <w:rFonts w:hint="eastAsia"/>
                <w:b w:val="0"/>
                <w:bCs/>
                <w:color w:val="auto"/>
                <w:szCs w:val="21"/>
              </w:rPr>
              <w:t>性能参数</w:t>
            </w:r>
          </w:p>
          <w:p w14:paraId="210E23A3">
            <w:pPr>
              <w:adjustRightInd w:val="0"/>
              <w:snapToGrid w:val="0"/>
              <w:spacing w:line="240" w:lineRule="auto"/>
              <w:jc w:val="left"/>
              <w:rPr>
                <w:b w:val="0"/>
                <w:bCs/>
                <w:color w:val="auto"/>
                <w:szCs w:val="21"/>
              </w:rPr>
            </w:pPr>
            <w:r>
              <w:rPr>
                <w:rFonts w:hint="eastAsia"/>
                <w:b w:val="0"/>
                <w:bCs/>
                <w:color w:val="auto"/>
                <w:szCs w:val="21"/>
              </w:rPr>
              <w:t>1.1四元梯度输液泵</w:t>
            </w:r>
          </w:p>
          <w:p w14:paraId="03CCB408">
            <w:pPr>
              <w:adjustRightInd w:val="0"/>
              <w:snapToGrid w:val="0"/>
              <w:spacing w:line="240" w:lineRule="auto"/>
              <w:jc w:val="left"/>
              <w:rPr>
                <w:b w:val="0"/>
                <w:bCs/>
                <w:color w:val="auto"/>
                <w:szCs w:val="21"/>
              </w:rPr>
            </w:pPr>
            <w:r>
              <w:rPr>
                <w:rFonts w:hint="eastAsia"/>
                <w:b w:val="0"/>
                <w:bCs/>
                <w:color w:val="auto"/>
                <w:szCs w:val="21"/>
              </w:rPr>
              <w:t>*1.1.1 串联式双柱塞往复泵，自动连续可变冲程设计（20-100uL），可在软件里直接调节，通过齿轮和滚珠螺杆传输电力，浮动柱塞。主动电磁阀控制，自主溶剂压缩因子设置，主动阀设计。保证在不同流速及不同流动相组成下的最佳流速稳定性。配备自动柱塞清洗装置，有效防止高盐浓度流动相对柱塞的磨损，实时维护泵的使用性能。（已提供软件截图证明文件）</w:t>
            </w:r>
          </w:p>
          <w:p w14:paraId="07D7B1B5">
            <w:pPr>
              <w:adjustRightInd w:val="0"/>
              <w:snapToGrid w:val="0"/>
              <w:spacing w:line="240" w:lineRule="auto"/>
              <w:jc w:val="left"/>
              <w:rPr>
                <w:b w:val="0"/>
                <w:bCs/>
                <w:color w:val="auto"/>
                <w:szCs w:val="21"/>
              </w:rPr>
            </w:pPr>
            <w:r>
              <w:rPr>
                <w:rFonts w:hint="eastAsia"/>
                <w:b w:val="0"/>
                <w:bCs/>
                <w:color w:val="auto"/>
                <w:szCs w:val="21"/>
              </w:rPr>
              <w:t>1.1.2 流速范围：0.001～10.000mL/min，以0.001递增</w:t>
            </w:r>
          </w:p>
          <w:p w14:paraId="44C63AAD">
            <w:pPr>
              <w:adjustRightInd w:val="0"/>
              <w:snapToGrid w:val="0"/>
              <w:spacing w:line="240" w:lineRule="auto"/>
              <w:jc w:val="left"/>
              <w:rPr>
                <w:b w:val="0"/>
                <w:bCs/>
                <w:color w:val="auto"/>
                <w:szCs w:val="21"/>
              </w:rPr>
            </w:pPr>
            <w:r>
              <w:rPr>
                <w:rFonts w:hint="eastAsia"/>
                <w:b w:val="0"/>
                <w:bCs/>
                <w:color w:val="auto"/>
                <w:szCs w:val="21"/>
              </w:rPr>
              <w:t>1.1.3 流速精度：＜0.07%RSD</w:t>
            </w:r>
          </w:p>
          <w:p w14:paraId="18394AD0">
            <w:pPr>
              <w:adjustRightInd w:val="0"/>
              <w:snapToGrid w:val="0"/>
              <w:spacing w:line="240" w:lineRule="auto"/>
              <w:jc w:val="left"/>
              <w:rPr>
                <w:b w:val="0"/>
                <w:bCs/>
                <w:color w:val="auto"/>
                <w:szCs w:val="21"/>
              </w:rPr>
            </w:pPr>
            <w:r>
              <w:rPr>
                <w:rFonts w:hint="eastAsia"/>
                <w:b w:val="0"/>
                <w:bCs/>
                <w:color w:val="auto"/>
                <w:szCs w:val="21"/>
              </w:rPr>
              <w:t>1.1.4 流速准确度：±1%</w:t>
            </w:r>
          </w:p>
          <w:p w14:paraId="443E7BF0">
            <w:pPr>
              <w:adjustRightInd w:val="0"/>
              <w:snapToGrid w:val="0"/>
              <w:spacing w:line="240" w:lineRule="auto"/>
              <w:jc w:val="left"/>
              <w:rPr>
                <w:b w:val="0"/>
                <w:bCs/>
                <w:color w:val="auto"/>
                <w:szCs w:val="21"/>
              </w:rPr>
            </w:pPr>
            <w:r>
              <w:rPr>
                <w:rFonts w:hint="eastAsia"/>
                <w:b w:val="0"/>
                <w:bCs/>
                <w:color w:val="auto"/>
                <w:szCs w:val="21"/>
              </w:rPr>
              <w:t>1.1.5 真空脱气机：四通路在线真空膜过滤技术，内置真空泵，保证及时高效的脱气操作。</w:t>
            </w:r>
          </w:p>
          <w:p w14:paraId="1058FA1E">
            <w:pPr>
              <w:adjustRightInd w:val="0"/>
              <w:snapToGrid w:val="0"/>
              <w:spacing w:line="240" w:lineRule="auto"/>
              <w:jc w:val="left"/>
              <w:rPr>
                <w:b w:val="0"/>
                <w:bCs/>
                <w:color w:val="auto"/>
                <w:szCs w:val="21"/>
              </w:rPr>
            </w:pPr>
            <w:r>
              <w:rPr>
                <w:rFonts w:hint="eastAsia"/>
                <w:b w:val="0"/>
                <w:bCs/>
                <w:color w:val="auto"/>
                <w:szCs w:val="21"/>
              </w:rPr>
              <w:t>1.2. 智能助手套件</w:t>
            </w:r>
          </w:p>
          <w:p w14:paraId="068B0DB1">
            <w:pPr>
              <w:adjustRightInd w:val="0"/>
              <w:snapToGrid w:val="0"/>
              <w:spacing w:line="240" w:lineRule="auto"/>
              <w:jc w:val="left"/>
              <w:rPr>
                <w:b w:val="0"/>
                <w:bCs/>
                <w:color w:val="auto"/>
                <w:szCs w:val="21"/>
              </w:rPr>
            </w:pPr>
            <w:r>
              <w:rPr>
                <w:rFonts w:hint="eastAsia"/>
                <w:b w:val="0"/>
                <w:bCs/>
                <w:color w:val="auto"/>
                <w:szCs w:val="21"/>
              </w:rPr>
              <w:t>*1.2.1随机身配备工业级触屏，进行交互式操作，提供最先进的用户界面，可直观、快速地概览和控制高效液相色谱（HPLC）仪器的参数。（已提供实物图片证明）</w:t>
            </w:r>
          </w:p>
          <w:p w14:paraId="6ED5BC4A">
            <w:pPr>
              <w:adjustRightInd w:val="0"/>
              <w:snapToGrid w:val="0"/>
              <w:spacing w:line="240" w:lineRule="auto"/>
              <w:jc w:val="left"/>
              <w:rPr>
                <w:b w:val="0"/>
                <w:bCs/>
                <w:color w:val="auto"/>
                <w:szCs w:val="21"/>
              </w:rPr>
            </w:pPr>
            <w:r>
              <w:rPr>
                <w:rFonts w:hint="eastAsia"/>
                <w:b w:val="0"/>
                <w:bCs/>
                <w:color w:val="auto"/>
                <w:szCs w:val="21"/>
              </w:rPr>
              <w:t>1.2.2能够实现繁琐且重复的工作流程（如仪器启动和关闭）的自动化，以减少错误并最大限度地提高实验室效率。</w:t>
            </w:r>
          </w:p>
          <w:p w14:paraId="33D23797">
            <w:pPr>
              <w:adjustRightInd w:val="0"/>
              <w:snapToGrid w:val="0"/>
              <w:spacing w:line="240" w:lineRule="auto"/>
              <w:jc w:val="left"/>
              <w:rPr>
                <w:b w:val="0"/>
                <w:bCs/>
                <w:color w:val="auto"/>
                <w:szCs w:val="21"/>
              </w:rPr>
            </w:pPr>
            <w:r>
              <w:rPr>
                <w:rFonts w:hint="eastAsia"/>
                <w:b w:val="0"/>
                <w:bCs/>
                <w:color w:val="auto"/>
                <w:szCs w:val="21"/>
              </w:rPr>
              <w:t>1.2.3 通过直接在仪器上进行辅助故障排除和预测性维护，支持仪器最大限度地保持正常运行时间。已提供截屏证明文件。</w:t>
            </w:r>
          </w:p>
          <w:p w14:paraId="61B25A6C">
            <w:pPr>
              <w:adjustRightInd w:val="0"/>
              <w:snapToGrid w:val="0"/>
              <w:spacing w:line="240" w:lineRule="auto"/>
              <w:jc w:val="left"/>
              <w:rPr>
                <w:b w:val="0"/>
                <w:bCs/>
                <w:color w:val="auto"/>
                <w:szCs w:val="21"/>
              </w:rPr>
            </w:pPr>
            <w:r>
              <w:rPr>
                <w:rFonts w:hint="eastAsia"/>
                <w:b w:val="0"/>
                <w:bCs/>
                <w:color w:val="auto"/>
                <w:szCs w:val="21"/>
              </w:rPr>
              <w:t>*1.2.4 可提供5个不同的用户角色登录，并具备不同操作权限，已提供截屏证明文件。</w:t>
            </w:r>
          </w:p>
          <w:p w14:paraId="2034DAA4">
            <w:pPr>
              <w:adjustRightInd w:val="0"/>
              <w:snapToGrid w:val="0"/>
              <w:spacing w:line="240" w:lineRule="auto"/>
              <w:jc w:val="left"/>
              <w:rPr>
                <w:b w:val="0"/>
                <w:bCs/>
                <w:color w:val="auto"/>
                <w:szCs w:val="21"/>
              </w:rPr>
            </w:pPr>
            <w:r>
              <w:rPr>
                <w:rFonts w:hint="eastAsia"/>
                <w:b w:val="0"/>
                <w:bCs/>
                <w:color w:val="auto"/>
                <w:szCs w:val="21"/>
              </w:rPr>
              <w:t>*1.2.5进行启动和关闭任务的自动化、编程和定时调度，可设定50个任务程序且可根据分析项目名称命名（非method 1, method 2命名），每个任务程序中包含3项不同工作，如：purge, 预冲洗，平衡，后冲洗等（已提供触屏界面截图图片证明）。</w:t>
            </w:r>
          </w:p>
          <w:p w14:paraId="2B131BB0">
            <w:pPr>
              <w:adjustRightInd w:val="0"/>
              <w:snapToGrid w:val="0"/>
              <w:spacing w:line="240" w:lineRule="auto"/>
              <w:jc w:val="left"/>
              <w:rPr>
                <w:b w:val="0"/>
                <w:bCs/>
                <w:color w:val="auto"/>
                <w:szCs w:val="21"/>
              </w:rPr>
            </w:pPr>
            <w:r>
              <w:rPr>
                <w:rFonts w:hint="eastAsia"/>
                <w:b w:val="0"/>
                <w:bCs/>
                <w:color w:val="auto"/>
                <w:szCs w:val="21"/>
              </w:rPr>
              <w:t>1.2.6可自动冲洗多个流路，并可智能地根据压力波动判定仪器Purge和色谱柱平衡终（已提供触屏界面截图图片证明）。</w:t>
            </w:r>
          </w:p>
          <w:p w14:paraId="520B584F">
            <w:pPr>
              <w:adjustRightInd w:val="0"/>
              <w:snapToGrid w:val="0"/>
              <w:spacing w:line="240" w:lineRule="auto"/>
              <w:jc w:val="left"/>
              <w:rPr>
                <w:b w:val="0"/>
                <w:bCs/>
                <w:color w:val="auto"/>
                <w:szCs w:val="21"/>
              </w:rPr>
            </w:pPr>
            <w:r>
              <w:rPr>
                <w:rFonts w:hint="eastAsia"/>
                <w:b w:val="0"/>
                <w:bCs/>
                <w:color w:val="auto"/>
                <w:szCs w:val="21"/>
              </w:rPr>
              <w:t>1.2.7 3种任务开启模式：实时开启，定时开启，循环定时开启，并能在面板显示未来开启的具体日期和时间。</w:t>
            </w:r>
          </w:p>
          <w:p w14:paraId="63F981A9">
            <w:pPr>
              <w:adjustRightInd w:val="0"/>
              <w:snapToGrid w:val="0"/>
              <w:spacing w:line="240" w:lineRule="auto"/>
              <w:jc w:val="left"/>
              <w:rPr>
                <w:b w:val="0"/>
                <w:bCs/>
                <w:color w:val="auto"/>
                <w:szCs w:val="21"/>
              </w:rPr>
            </w:pPr>
            <w:r>
              <w:rPr>
                <w:rFonts w:hint="eastAsia"/>
                <w:b w:val="0"/>
                <w:bCs/>
                <w:color w:val="auto"/>
                <w:szCs w:val="21"/>
              </w:rPr>
              <w:t>1.2.8锁屏界面提供8种仪器状态显示供使用人员监控仪器</w:t>
            </w:r>
          </w:p>
          <w:p w14:paraId="3A2BB17F">
            <w:pPr>
              <w:adjustRightInd w:val="0"/>
              <w:snapToGrid w:val="0"/>
              <w:spacing w:line="240" w:lineRule="auto"/>
              <w:jc w:val="left"/>
              <w:rPr>
                <w:b w:val="0"/>
                <w:bCs/>
                <w:color w:val="auto"/>
                <w:szCs w:val="21"/>
              </w:rPr>
            </w:pPr>
            <w:r>
              <w:rPr>
                <w:rFonts w:hint="eastAsia"/>
                <w:b w:val="0"/>
                <w:bCs/>
                <w:color w:val="auto"/>
                <w:szCs w:val="21"/>
              </w:rPr>
              <w:t>1.2.9操作系统支持2种语言且必须支持中文。</w:t>
            </w:r>
          </w:p>
          <w:p w14:paraId="1AFEA06D">
            <w:pPr>
              <w:adjustRightInd w:val="0"/>
              <w:snapToGrid w:val="0"/>
              <w:spacing w:line="240" w:lineRule="auto"/>
              <w:jc w:val="left"/>
              <w:rPr>
                <w:b w:val="0"/>
                <w:bCs/>
                <w:color w:val="auto"/>
                <w:szCs w:val="21"/>
              </w:rPr>
            </w:pPr>
            <w:r>
              <w:rPr>
                <w:rFonts w:hint="eastAsia"/>
                <w:b w:val="0"/>
                <w:bCs/>
                <w:color w:val="auto"/>
                <w:szCs w:val="21"/>
              </w:rPr>
              <w:t>1.2.10面板操作不会干扰样品分析过程。</w:t>
            </w:r>
          </w:p>
          <w:p w14:paraId="27459592">
            <w:pPr>
              <w:adjustRightInd w:val="0"/>
              <w:snapToGrid w:val="0"/>
              <w:spacing w:line="240" w:lineRule="auto"/>
              <w:jc w:val="left"/>
              <w:rPr>
                <w:b w:val="0"/>
                <w:bCs/>
                <w:color w:val="auto"/>
                <w:szCs w:val="21"/>
              </w:rPr>
            </w:pPr>
            <w:r>
              <w:rPr>
                <w:rFonts w:hint="eastAsia"/>
                <w:b w:val="0"/>
                <w:bCs/>
                <w:color w:val="auto"/>
                <w:szCs w:val="21"/>
              </w:rPr>
              <w:t>1.3 自动进样器</w:t>
            </w:r>
          </w:p>
          <w:p w14:paraId="4A911DE7">
            <w:pPr>
              <w:adjustRightInd w:val="0"/>
              <w:snapToGrid w:val="0"/>
              <w:spacing w:line="240" w:lineRule="auto"/>
              <w:jc w:val="left"/>
              <w:rPr>
                <w:b w:val="0"/>
                <w:bCs/>
                <w:color w:val="auto"/>
                <w:szCs w:val="21"/>
              </w:rPr>
            </w:pPr>
            <w:r>
              <w:rPr>
                <w:rFonts w:hint="eastAsia"/>
                <w:b w:val="0"/>
                <w:bCs/>
                <w:color w:val="auto"/>
                <w:szCs w:val="21"/>
              </w:rPr>
              <w:t>1.3.1 自动进样器采用高压、阀进样技术，进样速度快，且进样系统中残留小。</w:t>
            </w:r>
          </w:p>
          <w:p w14:paraId="1B8D6751">
            <w:pPr>
              <w:adjustRightInd w:val="0"/>
              <w:snapToGrid w:val="0"/>
              <w:spacing w:line="240" w:lineRule="auto"/>
              <w:jc w:val="left"/>
              <w:rPr>
                <w:b w:val="0"/>
                <w:bCs/>
                <w:color w:val="auto"/>
                <w:szCs w:val="21"/>
              </w:rPr>
            </w:pPr>
            <w:r>
              <w:rPr>
                <w:rFonts w:hint="eastAsia"/>
                <w:b w:val="0"/>
                <w:bCs/>
                <w:color w:val="auto"/>
                <w:szCs w:val="21"/>
              </w:rPr>
              <w:t>1.3.2可进行编程进样，用于进行柱前衍生，柱前样品自动稀释，自动混合等复杂进样方式。此外，用户可根据样品的粘度，调节取样及进样速度。</w:t>
            </w:r>
          </w:p>
          <w:p w14:paraId="591B7CD3">
            <w:pPr>
              <w:adjustRightInd w:val="0"/>
              <w:snapToGrid w:val="0"/>
              <w:spacing w:line="240" w:lineRule="auto"/>
              <w:jc w:val="left"/>
              <w:rPr>
                <w:b w:val="0"/>
                <w:bCs/>
                <w:color w:val="auto"/>
                <w:szCs w:val="21"/>
              </w:rPr>
            </w:pPr>
            <w:r>
              <w:rPr>
                <w:rFonts w:hint="eastAsia"/>
                <w:b w:val="0"/>
                <w:bCs/>
                <w:color w:val="auto"/>
                <w:szCs w:val="21"/>
              </w:rPr>
              <w:t>1.3.3 自动进样器均采用深色避光盖板，便于光敏感样品的长时间放置；同时进样器内安装有照明装置，便于用户操作。</w:t>
            </w:r>
          </w:p>
          <w:p w14:paraId="4F4376AB">
            <w:pPr>
              <w:adjustRightInd w:val="0"/>
              <w:snapToGrid w:val="0"/>
              <w:spacing w:line="240" w:lineRule="auto"/>
              <w:jc w:val="left"/>
              <w:rPr>
                <w:b w:val="0"/>
                <w:bCs/>
                <w:color w:val="auto"/>
                <w:szCs w:val="21"/>
              </w:rPr>
            </w:pPr>
            <w:r>
              <w:rPr>
                <w:rFonts w:hint="eastAsia"/>
                <w:b w:val="0"/>
                <w:bCs/>
                <w:color w:val="auto"/>
                <w:szCs w:val="21"/>
              </w:rPr>
              <w:t>1.3.4 进样范围：0.1~100 μL，增量为0.1 μL。</w:t>
            </w:r>
          </w:p>
          <w:p w14:paraId="242CBF55">
            <w:pPr>
              <w:adjustRightInd w:val="0"/>
              <w:snapToGrid w:val="0"/>
              <w:spacing w:line="240" w:lineRule="auto"/>
              <w:jc w:val="left"/>
              <w:rPr>
                <w:b w:val="0"/>
                <w:bCs/>
                <w:color w:val="auto"/>
                <w:szCs w:val="21"/>
              </w:rPr>
            </w:pPr>
            <w:r>
              <w:rPr>
                <w:rFonts w:hint="eastAsia"/>
                <w:b w:val="0"/>
                <w:bCs/>
                <w:color w:val="auto"/>
                <w:szCs w:val="21"/>
              </w:rPr>
              <w:t>1.3.5 样品容量：可放置132个2mL样品瓶。</w:t>
            </w:r>
          </w:p>
          <w:p w14:paraId="4887754B">
            <w:pPr>
              <w:adjustRightInd w:val="0"/>
              <w:snapToGrid w:val="0"/>
              <w:spacing w:line="240" w:lineRule="auto"/>
              <w:jc w:val="left"/>
              <w:rPr>
                <w:b w:val="0"/>
                <w:bCs/>
                <w:color w:val="auto"/>
                <w:szCs w:val="21"/>
              </w:rPr>
            </w:pPr>
            <w:r>
              <w:rPr>
                <w:rFonts w:hint="eastAsia"/>
                <w:b w:val="0"/>
                <w:bCs/>
                <w:color w:val="auto"/>
                <w:szCs w:val="21"/>
              </w:rPr>
              <w:t>*1.3.6 最高操作压力：600bar。</w:t>
            </w:r>
          </w:p>
          <w:p w14:paraId="221C4E07">
            <w:pPr>
              <w:adjustRightInd w:val="0"/>
              <w:snapToGrid w:val="0"/>
              <w:spacing w:line="240" w:lineRule="auto"/>
              <w:jc w:val="left"/>
              <w:rPr>
                <w:b w:val="0"/>
                <w:bCs/>
                <w:color w:val="auto"/>
                <w:szCs w:val="21"/>
              </w:rPr>
            </w:pPr>
            <w:r>
              <w:rPr>
                <w:rFonts w:hint="eastAsia"/>
                <w:b w:val="0"/>
                <w:bCs/>
                <w:color w:val="auto"/>
                <w:szCs w:val="21"/>
              </w:rPr>
              <w:t>1.4 智能化柱温箱</w:t>
            </w:r>
          </w:p>
          <w:p w14:paraId="523647E8">
            <w:pPr>
              <w:adjustRightInd w:val="0"/>
              <w:snapToGrid w:val="0"/>
              <w:spacing w:line="240" w:lineRule="auto"/>
              <w:jc w:val="left"/>
              <w:rPr>
                <w:b w:val="0"/>
                <w:bCs/>
                <w:color w:val="auto"/>
                <w:szCs w:val="21"/>
              </w:rPr>
            </w:pPr>
            <w:r>
              <w:rPr>
                <w:rFonts w:hint="eastAsia"/>
                <w:b w:val="0"/>
                <w:bCs/>
                <w:color w:val="auto"/>
                <w:szCs w:val="21"/>
              </w:rPr>
              <w:t>1.4.1 控温范围：室温上4℃-85℃。</w:t>
            </w:r>
          </w:p>
          <w:p w14:paraId="1E6E1FCA">
            <w:pPr>
              <w:adjustRightInd w:val="0"/>
              <w:snapToGrid w:val="0"/>
              <w:spacing w:line="240" w:lineRule="auto"/>
              <w:jc w:val="left"/>
              <w:rPr>
                <w:b w:val="0"/>
                <w:bCs/>
                <w:color w:val="auto"/>
                <w:szCs w:val="21"/>
              </w:rPr>
            </w:pPr>
            <w:r>
              <w:rPr>
                <w:rFonts w:hint="eastAsia"/>
                <w:b w:val="0"/>
                <w:bCs/>
                <w:color w:val="auto"/>
                <w:szCs w:val="21"/>
              </w:rPr>
              <w:t>1.4.2 最大柱容量：可容纳30cm色谱柱2根。</w:t>
            </w:r>
          </w:p>
          <w:p w14:paraId="7F5CF621">
            <w:pPr>
              <w:adjustRightInd w:val="0"/>
              <w:snapToGrid w:val="0"/>
              <w:spacing w:line="240" w:lineRule="auto"/>
              <w:jc w:val="left"/>
              <w:rPr>
                <w:b w:val="0"/>
                <w:bCs/>
                <w:color w:val="auto"/>
                <w:szCs w:val="21"/>
              </w:rPr>
            </w:pPr>
            <w:r>
              <w:rPr>
                <w:rFonts w:hint="eastAsia"/>
                <w:b w:val="0"/>
                <w:bCs/>
                <w:color w:val="auto"/>
                <w:szCs w:val="21"/>
              </w:rPr>
              <w:t>1.5 二极管阵列检测器</w:t>
            </w:r>
          </w:p>
          <w:p w14:paraId="16C31869">
            <w:pPr>
              <w:adjustRightInd w:val="0"/>
              <w:snapToGrid w:val="0"/>
              <w:spacing w:line="240" w:lineRule="auto"/>
              <w:jc w:val="left"/>
              <w:rPr>
                <w:b w:val="0"/>
                <w:bCs/>
                <w:color w:val="auto"/>
                <w:szCs w:val="21"/>
              </w:rPr>
            </w:pPr>
            <w:r>
              <w:rPr>
                <w:rFonts w:hint="eastAsia"/>
                <w:b w:val="0"/>
                <w:bCs/>
                <w:color w:val="auto"/>
                <w:szCs w:val="21"/>
              </w:rPr>
              <w:t>1.5.1检测器类型：1024单元光电二极管阵列。</w:t>
            </w:r>
          </w:p>
          <w:p w14:paraId="74741AAF">
            <w:pPr>
              <w:adjustRightInd w:val="0"/>
              <w:snapToGrid w:val="0"/>
              <w:spacing w:line="240" w:lineRule="auto"/>
              <w:jc w:val="left"/>
              <w:rPr>
                <w:b w:val="0"/>
                <w:bCs/>
                <w:color w:val="auto"/>
                <w:szCs w:val="21"/>
              </w:rPr>
            </w:pPr>
            <w:r>
              <w:rPr>
                <w:rFonts w:hint="eastAsia"/>
                <w:b w:val="0"/>
                <w:bCs/>
                <w:color w:val="auto"/>
                <w:szCs w:val="21"/>
              </w:rPr>
              <w:t>1.5.2光源：氘灯和钨灯。</w:t>
            </w:r>
          </w:p>
          <w:p w14:paraId="0C79C17B">
            <w:pPr>
              <w:adjustRightInd w:val="0"/>
              <w:snapToGrid w:val="0"/>
              <w:spacing w:line="240" w:lineRule="auto"/>
              <w:jc w:val="left"/>
              <w:rPr>
                <w:b w:val="0"/>
                <w:bCs/>
                <w:color w:val="auto"/>
                <w:szCs w:val="21"/>
              </w:rPr>
            </w:pPr>
            <w:r>
              <w:rPr>
                <w:rFonts w:hint="eastAsia"/>
                <w:b w:val="0"/>
                <w:bCs/>
                <w:color w:val="auto"/>
                <w:szCs w:val="21"/>
              </w:rPr>
              <w:t>1.5.3数据采集频率：120Hz。</w:t>
            </w:r>
          </w:p>
          <w:p w14:paraId="0A789866">
            <w:pPr>
              <w:adjustRightInd w:val="0"/>
              <w:snapToGrid w:val="0"/>
              <w:spacing w:line="240" w:lineRule="auto"/>
              <w:jc w:val="left"/>
              <w:rPr>
                <w:b w:val="0"/>
                <w:bCs/>
                <w:color w:val="auto"/>
                <w:szCs w:val="21"/>
              </w:rPr>
            </w:pPr>
            <w:r>
              <w:rPr>
                <w:rFonts w:hint="eastAsia"/>
                <w:b w:val="0"/>
                <w:bCs/>
                <w:color w:val="auto"/>
                <w:szCs w:val="21"/>
              </w:rPr>
              <w:t>*1.5.4波长范围：190-950nm，已提供官方网站链接及截图证明；</w:t>
            </w:r>
          </w:p>
          <w:p w14:paraId="6782C55E">
            <w:pPr>
              <w:adjustRightInd w:val="0"/>
              <w:snapToGrid w:val="0"/>
              <w:spacing w:line="240" w:lineRule="auto"/>
              <w:jc w:val="left"/>
              <w:rPr>
                <w:b w:val="0"/>
                <w:bCs/>
                <w:color w:val="auto"/>
                <w:szCs w:val="21"/>
              </w:rPr>
            </w:pPr>
            <w:r>
              <w:rPr>
                <w:rFonts w:hint="eastAsia"/>
                <w:b w:val="0"/>
                <w:bCs/>
                <w:color w:val="auto"/>
                <w:szCs w:val="21"/>
              </w:rPr>
              <w:t>1.5.5噪音：≤± 0.7×10</w:t>
            </w:r>
            <w:r>
              <w:rPr>
                <w:rFonts w:hint="eastAsia"/>
                <w:b w:val="0"/>
                <w:bCs/>
                <w:color w:val="auto"/>
                <w:szCs w:val="21"/>
                <w:vertAlign w:val="superscript"/>
              </w:rPr>
              <w:t>-5</w:t>
            </w:r>
            <w:r>
              <w:rPr>
                <w:rFonts w:hint="eastAsia"/>
                <w:b w:val="0"/>
                <w:bCs/>
                <w:color w:val="auto"/>
                <w:szCs w:val="21"/>
              </w:rPr>
              <w:t xml:space="preserve"> AU，在 254 nm和750 nm 条件下。</w:t>
            </w:r>
          </w:p>
          <w:p w14:paraId="3EA383F4">
            <w:pPr>
              <w:adjustRightInd w:val="0"/>
              <w:snapToGrid w:val="0"/>
              <w:spacing w:line="240" w:lineRule="auto"/>
              <w:jc w:val="left"/>
              <w:rPr>
                <w:b w:val="0"/>
                <w:bCs/>
                <w:color w:val="auto"/>
                <w:szCs w:val="21"/>
              </w:rPr>
            </w:pPr>
            <w:r>
              <w:rPr>
                <w:rFonts w:hint="eastAsia"/>
                <w:b w:val="0"/>
                <w:bCs/>
                <w:color w:val="auto"/>
                <w:szCs w:val="21"/>
              </w:rPr>
              <w:t>1.5.6漂移：≤ 0.9×10</w:t>
            </w:r>
            <w:r>
              <w:rPr>
                <w:rFonts w:hint="eastAsia"/>
                <w:b w:val="0"/>
                <w:bCs/>
                <w:color w:val="auto"/>
                <w:szCs w:val="21"/>
                <w:vertAlign w:val="superscript"/>
              </w:rPr>
              <w:t>-3</w:t>
            </w:r>
            <w:r>
              <w:rPr>
                <w:rFonts w:hint="eastAsia"/>
                <w:b w:val="0"/>
                <w:bCs/>
                <w:color w:val="auto"/>
                <w:szCs w:val="21"/>
              </w:rPr>
              <w:t xml:space="preserve"> AU/h，在 254 nm 条件下。</w:t>
            </w:r>
          </w:p>
          <w:p w14:paraId="0EFB34FF">
            <w:pPr>
              <w:adjustRightInd w:val="0"/>
              <w:snapToGrid w:val="0"/>
              <w:spacing w:line="240" w:lineRule="auto"/>
              <w:jc w:val="left"/>
              <w:rPr>
                <w:b w:val="0"/>
                <w:bCs/>
                <w:color w:val="auto"/>
                <w:szCs w:val="21"/>
              </w:rPr>
            </w:pPr>
            <w:r>
              <w:rPr>
                <w:rFonts w:hint="eastAsia"/>
                <w:b w:val="0"/>
                <w:bCs/>
                <w:color w:val="auto"/>
                <w:szCs w:val="21"/>
              </w:rPr>
              <w:t>1.5.7 波长准确度：± 1 nm。</w:t>
            </w:r>
          </w:p>
          <w:p w14:paraId="27ED55AE">
            <w:pPr>
              <w:adjustRightInd w:val="0"/>
              <w:snapToGrid w:val="0"/>
              <w:spacing w:line="240" w:lineRule="auto"/>
              <w:jc w:val="left"/>
              <w:rPr>
                <w:b w:val="0"/>
                <w:bCs/>
                <w:color w:val="auto"/>
                <w:szCs w:val="21"/>
              </w:rPr>
            </w:pPr>
            <w:r>
              <w:rPr>
                <w:rFonts w:hint="eastAsia"/>
                <w:b w:val="0"/>
                <w:bCs/>
                <w:color w:val="auto"/>
                <w:szCs w:val="21"/>
              </w:rPr>
              <w:t>1.5.8 狭缝宽度：1、2、4、8、16 nm 可编程狭缝。</w:t>
            </w:r>
          </w:p>
          <w:p w14:paraId="168816CB">
            <w:pPr>
              <w:adjustRightInd w:val="0"/>
              <w:snapToGrid w:val="0"/>
              <w:spacing w:line="240" w:lineRule="auto"/>
              <w:jc w:val="left"/>
              <w:rPr>
                <w:b w:val="0"/>
                <w:bCs/>
                <w:color w:val="auto"/>
                <w:szCs w:val="21"/>
              </w:rPr>
            </w:pPr>
            <w:r>
              <w:rPr>
                <w:rFonts w:hint="eastAsia"/>
                <w:b w:val="0"/>
                <w:bCs/>
                <w:color w:val="auto"/>
                <w:szCs w:val="21"/>
              </w:rPr>
              <w:t>1.5.9二极管宽度：≤1 nm。</w:t>
            </w:r>
          </w:p>
          <w:p w14:paraId="2BDC6713">
            <w:pPr>
              <w:adjustRightInd w:val="0"/>
              <w:snapToGrid w:val="0"/>
              <w:spacing w:line="240" w:lineRule="auto"/>
              <w:jc w:val="left"/>
              <w:rPr>
                <w:b w:val="0"/>
                <w:bCs/>
                <w:color w:val="auto"/>
                <w:szCs w:val="21"/>
              </w:rPr>
            </w:pPr>
            <w:r>
              <w:rPr>
                <w:rFonts w:hint="eastAsia"/>
                <w:b w:val="0"/>
                <w:bCs/>
                <w:color w:val="auto"/>
                <w:szCs w:val="21"/>
              </w:rPr>
              <w:t>1.6.荧光检测器</w:t>
            </w:r>
          </w:p>
          <w:p w14:paraId="0A655F72">
            <w:pPr>
              <w:adjustRightInd w:val="0"/>
              <w:snapToGrid w:val="0"/>
              <w:spacing w:line="240" w:lineRule="auto"/>
              <w:jc w:val="left"/>
              <w:rPr>
                <w:b w:val="0"/>
                <w:bCs/>
                <w:color w:val="auto"/>
                <w:szCs w:val="21"/>
              </w:rPr>
            </w:pPr>
            <w:r>
              <w:rPr>
                <w:rFonts w:hint="eastAsia"/>
                <w:b w:val="0"/>
                <w:bCs/>
                <w:color w:val="auto"/>
                <w:szCs w:val="21"/>
              </w:rPr>
              <w:t>1.6.1性能 ：单波长运行。</w:t>
            </w:r>
          </w:p>
          <w:p w14:paraId="6084E69A">
            <w:pPr>
              <w:adjustRightInd w:val="0"/>
              <w:snapToGrid w:val="0"/>
              <w:spacing w:line="240" w:lineRule="auto"/>
              <w:jc w:val="left"/>
              <w:rPr>
                <w:b w:val="0"/>
                <w:bCs/>
                <w:color w:val="auto"/>
                <w:szCs w:val="21"/>
              </w:rPr>
            </w:pPr>
            <w:r>
              <w:rPr>
                <w:rFonts w:hint="eastAsia"/>
                <w:b w:val="0"/>
                <w:bCs/>
                <w:color w:val="auto"/>
                <w:szCs w:val="21"/>
              </w:rPr>
              <w:t>Raman (H</w:t>
            </w:r>
            <w:r>
              <w:rPr>
                <w:rFonts w:hint="eastAsia"/>
                <w:b w:val="0"/>
                <w:bCs/>
                <w:color w:val="auto"/>
                <w:szCs w:val="21"/>
                <w:vertAlign w:val="subscript"/>
              </w:rPr>
              <w:t>2</w:t>
            </w:r>
            <w:r>
              <w:rPr>
                <w:rFonts w:hint="eastAsia"/>
                <w:b w:val="0"/>
                <w:bCs/>
                <w:color w:val="auto"/>
                <w:szCs w:val="21"/>
              </w:rPr>
              <w:t>O)&gt; 500 ( 在信号端测量的噪声参比) ；</w:t>
            </w:r>
          </w:p>
          <w:p w14:paraId="63C64C68">
            <w:pPr>
              <w:adjustRightInd w:val="0"/>
              <w:snapToGrid w:val="0"/>
              <w:spacing w:line="240" w:lineRule="auto"/>
              <w:jc w:val="left"/>
              <w:rPr>
                <w:b w:val="0"/>
                <w:bCs/>
                <w:color w:val="auto"/>
                <w:szCs w:val="21"/>
              </w:rPr>
            </w:pPr>
            <w:r>
              <w:rPr>
                <w:rFonts w:hint="eastAsia"/>
                <w:b w:val="0"/>
                <w:bCs/>
                <w:color w:val="auto"/>
                <w:szCs w:val="21"/>
              </w:rPr>
              <w:t>Ex 350 nm, Em 397 nm, dark value 450 nm, 标准流通池；</w:t>
            </w:r>
          </w:p>
          <w:p w14:paraId="7B5B81AC">
            <w:pPr>
              <w:adjustRightInd w:val="0"/>
              <w:snapToGrid w:val="0"/>
              <w:spacing w:line="240" w:lineRule="auto"/>
              <w:jc w:val="left"/>
              <w:rPr>
                <w:b w:val="0"/>
                <w:bCs/>
                <w:color w:val="auto"/>
                <w:szCs w:val="21"/>
              </w:rPr>
            </w:pPr>
            <w:r>
              <w:rPr>
                <w:rFonts w:hint="eastAsia"/>
                <w:b w:val="0"/>
                <w:bCs/>
                <w:color w:val="auto"/>
                <w:szCs w:val="21"/>
              </w:rPr>
              <w:t>Raman (H</w:t>
            </w:r>
            <w:r>
              <w:rPr>
                <w:rFonts w:hint="eastAsia"/>
                <w:b w:val="0"/>
                <w:bCs/>
                <w:color w:val="auto"/>
                <w:szCs w:val="21"/>
                <w:vertAlign w:val="subscript"/>
              </w:rPr>
              <w:t>2</w:t>
            </w:r>
            <w:r>
              <w:rPr>
                <w:rFonts w:hint="eastAsia"/>
                <w:b w:val="0"/>
                <w:bCs/>
                <w:color w:val="auto"/>
                <w:szCs w:val="21"/>
              </w:rPr>
              <w:t>O )&gt; 3000 (在dark value 处测量的噪声参比)；</w:t>
            </w:r>
          </w:p>
          <w:p w14:paraId="55F450F5">
            <w:pPr>
              <w:adjustRightInd w:val="0"/>
              <w:snapToGrid w:val="0"/>
              <w:spacing w:line="240" w:lineRule="auto"/>
              <w:jc w:val="left"/>
              <w:rPr>
                <w:b w:val="0"/>
                <w:bCs/>
                <w:color w:val="auto"/>
                <w:szCs w:val="21"/>
              </w:rPr>
            </w:pPr>
            <w:r>
              <w:rPr>
                <w:rFonts w:hint="eastAsia"/>
                <w:b w:val="0"/>
                <w:bCs/>
                <w:color w:val="auto"/>
                <w:szCs w:val="21"/>
              </w:rPr>
              <w:t>Ex 350 nm, Em 397 nm, dark value 450 nm, 标准流通池；</w:t>
            </w:r>
          </w:p>
          <w:p w14:paraId="618CE453">
            <w:pPr>
              <w:adjustRightInd w:val="0"/>
              <w:snapToGrid w:val="0"/>
              <w:spacing w:line="240" w:lineRule="auto"/>
              <w:jc w:val="left"/>
              <w:rPr>
                <w:b w:val="0"/>
                <w:bCs/>
                <w:color w:val="auto"/>
                <w:szCs w:val="21"/>
              </w:rPr>
            </w:pPr>
            <w:r>
              <w:rPr>
                <w:rFonts w:hint="eastAsia"/>
                <w:b w:val="0"/>
                <w:bCs/>
                <w:color w:val="auto"/>
                <w:szCs w:val="21"/>
              </w:rPr>
              <w:t>1.6.2光源：氙闪灯，寿命长达4000小时；</w:t>
            </w:r>
          </w:p>
          <w:p w14:paraId="51B2E44C">
            <w:pPr>
              <w:adjustRightInd w:val="0"/>
              <w:snapToGrid w:val="0"/>
              <w:spacing w:line="240" w:lineRule="auto"/>
              <w:jc w:val="left"/>
              <w:rPr>
                <w:b w:val="0"/>
                <w:bCs/>
                <w:color w:val="auto"/>
                <w:szCs w:val="21"/>
              </w:rPr>
            </w:pPr>
            <w:r>
              <w:rPr>
                <w:rFonts w:hint="eastAsia"/>
                <w:b w:val="0"/>
                <w:bCs/>
                <w:color w:val="auto"/>
                <w:szCs w:val="21"/>
              </w:rPr>
              <w:t>1.6.3激发单色器 全息凹面光栅：F/1.6，闪耀波长300 ≥nm,范围200-1200 nm，零序，带宽20nm；</w:t>
            </w:r>
          </w:p>
          <w:p w14:paraId="2F478075">
            <w:pPr>
              <w:adjustRightInd w:val="0"/>
              <w:snapToGrid w:val="0"/>
              <w:spacing w:line="240" w:lineRule="auto"/>
              <w:jc w:val="left"/>
              <w:rPr>
                <w:b w:val="0"/>
                <w:bCs/>
                <w:color w:val="auto"/>
                <w:szCs w:val="21"/>
              </w:rPr>
            </w:pPr>
            <w:r>
              <w:rPr>
                <w:rFonts w:hint="eastAsia"/>
                <w:b w:val="0"/>
                <w:bCs/>
                <w:color w:val="auto"/>
                <w:szCs w:val="21"/>
              </w:rPr>
              <w:t>1.6.4发射单色器，全息凹面光栅：F/1.6，闪耀波长400 ≥nm，范围280-1200 nm，零序，带宽20nm；</w:t>
            </w:r>
          </w:p>
          <w:p w14:paraId="204DB3E9">
            <w:pPr>
              <w:adjustRightInd w:val="0"/>
              <w:snapToGrid w:val="0"/>
              <w:spacing w:line="240" w:lineRule="auto"/>
              <w:jc w:val="left"/>
              <w:rPr>
                <w:b w:val="0"/>
                <w:bCs/>
                <w:color w:val="auto"/>
                <w:szCs w:val="21"/>
              </w:rPr>
            </w:pPr>
            <w:r>
              <w:rPr>
                <w:rFonts w:hint="eastAsia"/>
                <w:b w:val="0"/>
                <w:bCs/>
                <w:color w:val="auto"/>
                <w:szCs w:val="21"/>
              </w:rPr>
              <w:t>1.6.5参比系统：内联激发测量；</w:t>
            </w:r>
          </w:p>
          <w:p w14:paraId="6ABA2E4C">
            <w:pPr>
              <w:adjustRightInd w:val="0"/>
              <w:snapToGrid w:val="0"/>
              <w:spacing w:line="240" w:lineRule="auto"/>
              <w:jc w:val="left"/>
              <w:rPr>
                <w:b w:val="0"/>
                <w:bCs/>
                <w:color w:val="auto"/>
                <w:szCs w:val="21"/>
              </w:rPr>
            </w:pPr>
            <w:r>
              <w:rPr>
                <w:rFonts w:hint="eastAsia"/>
                <w:b w:val="0"/>
                <w:bCs/>
                <w:color w:val="auto"/>
                <w:szCs w:val="21"/>
              </w:rPr>
              <w:t>1.6.6流通池：体积最小8 µL；</w:t>
            </w:r>
          </w:p>
          <w:p w14:paraId="3190E947">
            <w:pPr>
              <w:adjustRightInd w:val="0"/>
              <w:snapToGrid w:val="0"/>
              <w:spacing w:line="240" w:lineRule="auto"/>
              <w:jc w:val="left"/>
              <w:rPr>
                <w:b w:val="0"/>
                <w:bCs/>
                <w:color w:val="auto"/>
                <w:szCs w:val="21"/>
              </w:rPr>
            </w:pPr>
            <w:r>
              <w:rPr>
                <w:rFonts w:hint="eastAsia"/>
                <w:b w:val="0"/>
                <w:bCs/>
                <w:color w:val="auto"/>
                <w:szCs w:val="21"/>
              </w:rPr>
              <w:t>1.7. 柱后衍生仪（双泵双反应器）</w:t>
            </w:r>
          </w:p>
          <w:p w14:paraId="40A2F237">
            <w:pPr>
              <w:widowControl/>
              <w:adjustRightInd w:val="0"/>
              <w:snapToGrid w:val="0"/>
              <w:spacing w:line="240" w:lineRule="auto"/>
              <w:jc w:val="left"/>
              <w:rPr>
                <w:b w:val="0"/>
                <w:bCs/>
                <w:color w:val="auto"/>
                <w:szCs w:val="21"/>
              </w:rPr>
            </w:pPr>
            <w:r>
              <w:rPr>
                <w:rFonts w:hint="eastAsia"/>
                <w:b w:val="0"/>
                <w:bCs/>
                <w:color w:val="auto"/>
                <w:szCs w:val="21"/>
              </w:rPr>
              <w:t xml:space="preserve">1.7.1流速：0.01-2.50mL/min； </w:t>
            </w:r>
          </w:p>
          <w:p w14:paraId="7FC19FBA">
            <w:pPr>
              <w:widowControl/>
              <w:adjustRightInd w:val="0"/>
              <w:snapToGrid w:val="0"/>
              <w:spacing w:line="240" w:lineRule="auto"/>
              <w:jc w:val="left"/>
              <w:rPr>
                <w:b w:val="0"/>
                <w:bCs/>
                <w:color w:val="auto"/>
                <w:szCs w:val="21"/>
              </w:rPr>
            </w:pPr>
            <w:r>
              <w:rPr>
                <w:rFonts w:hint="eastAsia"/>
                <w:b w:val="0"/>
                <w:bCs/>
                <w:color w:val="auto"/>
                <w:szCs w:val="21"/>
              </w:rPr>
              <w:t xml:space="preserve">1.7.2压力范围：0-3000psi； </w:t>
            </w:r>
          </w:p>
          <w:p w14:paraId="669C48E8">
            <w:pPr>
              <w:widowControl/>
              <w:adjustRightInd w:val="0"/>
              <w:snapToGrid w:val="0"/>
              <w:spacing w:line="240" w:lineRule="auto"/>
              <w:jc w:val="left"/>
              <w:rPr>
                <w:b w:val="0"/>
                <w:bCs/>
                <w:color w:val="auto"/>
                <w:szCs w:val="21"/>
              </w:rPr>
            </w:pPr>
            <w:r>
              <w:rPr>
                <w:rFonts w:hint="eastAsia"/>
                <w:b w:val="0"/>
                <w:bCs/>
                <w:color w:val="auto"/>
                <w:szCs w:val="21"/>
              </w:rPr>
              <w:t xml:space="preserve">1.7.3温度控制范围 ：室温（25℃）至+150℃； </w:t>
            </w:r>
          </w:p>
          <w:p w14:paraId="01B81134">
            <w:pPr>
              <w:widowControl/>
              <w:adjustRightInd w:val="0"/>
              <w:snapToGrid w:val="0"/>
              <w:spacing w:line="240" w:lineRule="auto"/>
              <w:jc w:val="left"/>
              <w:rPr>
                <w:b w:val="0"/>
                <w:bCs/>
                <w:color w:val="auto"/>
                <w:szCs w:val="21"/>
              </w:rPr>
            </w:pPr>
            <w:r>
              <w:rPr>
                <w:rFonts w:hint="eastAsia"/>
                <w:b w:val="0"/>
                <w:bCs/>
                <w:color w:val="auto"/>
                <w:szCs w:val="21"/>
              </w:rPr>
              <w:t xml:space="preserve">1.7.4安全温度切止点：170℃； </w:t>
            </w:r>
          </w:p>
          <w:p w14:paraId="0E9A46E4">
            <w:pPr>
              <w:widowControl/>
              <w:adjustRightInd w:val="0"/>
              <w:snapToGrid w:val="0"/>
              <w:spacing w:line="240" w:lineRule="auto"/>
              <w:jc w:val="left"/>
              <w:rPr>
                <w:b w:val="0"/>
                <w:bCs/>
                <w:color w:val="auto"/>
                <w:szCs w:val="21"/>
              </w:rPr>
            </w:pPr>
            <w:r>
              <w:rPr>
                <w:rFonts w:hint="eastAsia"/>
                <w:b w:val="0"/>
                <w:bCs/>
                <w:color w:val="auto"/>
                <w:szCs w:val="21"/>
              </w:rPr>
              <w:t>1.7.5稳定时间：150℃，10 min内显示就绪。</w:t>
            </w:r>
          </w:p>
          <w:p w14:paraId="1560AD67">
            <w:pPr>
              <w:widowControl/>
              <w:adjustRightInd w:val="0"/>
              <w:snapToGrid w:val="0"/>
              <w:spacing w:line="240" w:lineRule="auto"/>
              <w:jc w:val="left"/>
              <w:rPr>
                <w:b w:val="0"/>
                <w:bCs/>
                <w:color w:val="auto"/>
                <w:szCs w:val="21"/>
              </w:rPr>
            </w:pPr>
            <w:r>
              <w:rPr>
                <w:rFonts w:hint="eastAsia"/>
                <w:b w:val="0"/>
                <w:bCs/>
                <w:color w:val="auto"/>
                <w:szCs w:val="21"/>
              </w:rPr>
              <w:t>1.7.6液晶面板：流速设定，压力读数，设定压力上/下限，设定温度，实际温度显示。</w:t>
            </w:r>
          </w:p>
          <w:p w14:paraId="2CC94290">
            <w:pPr>
              <w:widowControl/>
              <w:adjustRightInd w:val="0"/>
              <w:snapToGrid w:val="0"/>
              <w:spacing w:line="240" w:lineRule="auto"/>
              <w:jc w:val="left"/>
              <w:rPr>
                <w:b w:val="0"/>
                <w:bCs/>
                <w:color w:val="auto"/>
                <w:szCs w:val="21"/>
              </w:rPr>
            </w:pPr>
            <w:r>
              <w:rPr>
                <w:rFonts w:hint="eastAsia"/>
                <w:b w:val="0"/>
                <w:bCs/>
                <w:color w:val="auto"/>
                <w:szCs w:val="21"/>
              </w:rPr>
              <w:t>1.8 软件以及工作站</w:t>
            </w:r>
          </w:p>
          <w:p w14:paraId="651F9489">
            <w:pPr>
              <w:widowControl/>
              <w:adjustRightInd w:val="0"/>
              <w:snapToGrid w:val="0"/>
              <w:spacing w:line="240" w:lineRule="auto"/>
              <w:jc w:val="left"/>
              <w:rPr>
                <w:b w:val="0"/>
                <w:bCs/>
                <w:color w:val="auto"/>
                <w:szCs w:val="21"/>
              </w:rPr>
            </w:pPr>
            <w:r>
              <w:rPr>
                <w:rFonts w:hint="eastAsia"/>
                <w:b w:val="0"/>
                <w:bCs/>
                <w:color w:val="auto"/>
                <w:szCs w:val="21"/>
              </w:rPr>
              <w:t>1.8.1 真正意义上的四级仪器控制软件;</w:t>
            </w:r>
          </w:p>
          <w:p w14:paraId="05AFFBC4">
            <w:pPr>
              <w:widowControl/>
              <w:adjustRightInd w:val="0"/>
              <w:snapToGrid w:val="0"/>
              <w:spacing w:line="240" w:lineRule="auto"/>
              <w:jc w:val="left"/>
              <w:rPr>
                <w:b w:val="0"/>
                <w:bCs/>
                <w:color w:val="auto"/>
                <w:szCs w:val="21"/>
              </w:rPr>
            </w:pPr>
            <w:r>
              <w:rPr>
                <w:rFonts w:hint="eastAsia"/>
                <w:b w:val="0"/>
                <w:bCs/>
                <w:color w:val="auto"/>
                <w:szCs w:val="21"/>
              </w:rPr>
              <w:t>1.8.2 参数输入：仪器控制参数，数据采集及数据处理参数的设定；</w:t>
            </w:r>
          </w:p>
          <w:p w14:paraId="510BD52A">
            <w:pPr>
              <w:widowControl/>
              <w:adjustRightInd w:val="0"/>
              <w:snapToGrid w:val="0"/>
              <w:spacing w:line="240" w:lineRule="auto"/>
              <w:jc w:val="left"/>
              <w:rPr>
                <w:b w:val="0"/>
                <w:bCs/>
                <w:color w:val="auto"/>
                <w:szCs w:val="21"/>
              </w:rPr>
            </w:pPr>
            <w:r>
              <w:rPr>
                <w:rFonts w:hint="eastAsia"/>
                <w:b w:val="0"/>
                <w:bCs/>
                <w:color w:val="auto"/>
                <w:szCs w:val="21"/>
              </w:rPr>
              <w:t>1.8.3 报告：内置多种报告格式，可自动生成系统适应性报告、峰纯度报告、光谱检索报告等；用户也可编辑个性化的报告模板；</w:t>
            </w:r>
          </w:p>
          <w:p w14:paraId="39ECD3DB">
            <w:pPr>
              <w:widowControl/>
              <w:adjustRightInd w:val="0"/>
              <w:snapToGrid w:val="0"/>
              <w:spacing w:line="240" w:lineRule="auto"/>
              <w:jc w:val="left"/>
              <w:rPr>
                <w:b w:val="0"/>
                <w:bCs/>
                <w:color w:val="auto"/>
                <w:szCs w:val="21"/>
              </w:rPr>
            </w:pPr>
            <w:r>
              <w:rPr>
                <w:rFonts w:hint="eastAsia"/>
                <w:b w:val="0"/>
                <w:bCs/>
                <w:color w:val="auto"/>
                <w:szCs w:val="21"/>
              </w:rPr>
              <w:t>1.8.4 诊断：自动诊断仪器各个组件的多种性能，内置多种常见的液相分析出错原因分析；</w:t>
            </w:r>
          </w:p>
          <w:p w14:paraId="018021EA">
            <w:pPr>
              <w:widowControl/>
              <w:adjustRightInd w:val="0"/>
              <w:snapToGrid w:val="0"/>
              <w:spacing w:line="240" w:lineRule="auto"/>
              <w:jc w:val="left"/>
              <w:rPr>
                <w:b w:val="0"/>
                <w:bCs/>
                <w:color w:val="auto"/>
                <w:szCs w:val="21"/>
              </w:rPr>
            </w:pPr>
            <w:r>
              <w:rPr>
                <w:rFonts w:hint="eastAsia"/>
                <w:b w:val="0"/>
                <w:bCs/>
                <w:color w:val="auto"/>
                <w:szCs w:val="21"/>
              </w:rPr>
              <w:t>1.8.5早期维护预警（EMF）：提供消耗元件累计使用情况，以便及时进行系统预防性维护；</w:t>
            </w:r>
          </w:p>
          <w:p w14:paraId="369050D3">
            <w:pPr>
              <w:widowControl/>
              <w:adjustRightInd w:val="0"/>
              <w:snapToGrid w:val="0"/>
              <w:spacing w:line="240" w:lineRule="auto"/>
              <w:jc w:val="left"/>
              <w:rPr>
                <w:b w:val="0"/>
                <w:bCs/>
                <w:color w:val="auto"/>
                <w:szCs w:val="21"/>
              </w:rPr>
            </w:pPr>
            <w:r>
              <w:rPr>
                <w:rFonts w:hint="eastAsia"/>
                <w:b w:val="0"/>
                <w:bCs/>
                <w:color w:val="auto"/>
                <w:szCs w:val="21"/>
              </w:rPr>
              <w:t>1.8.6 数据处理工作站2套（配置i7 CPU，内存32GB，硬盘4T，显示器26英寸，数据输出设备），</w:t>
            </w:r>
            <w:r>
              <w:rPr>
                <w:b w:val="0"/>
                <w:bCs/>
                <w:color w:val="auto"/>
                <w:szCs w:val="21"/>
              </w:rPr>
              <w:t>Windows 1</w:t>
            </w:r>
            <w:r>
              <w:rPr>
                <w:rFonts w:hint="eastAsia"/>
                <w:b w:val="0"/>
                <w:bCs/>
                <w:color w:val="auto"/>
                <w:szCs w:val="21"/>
              </w:rPr>
              <w:t>1和Office专业正版软件。</w:t>
            </w:r>
          </w:p>
          <w:p w14:paraId="664C6B1A">
            <w:pPr>
              <w:widowControl/>
              <w:adjustRightInd w:val="0"/>
              <w:snapToGrid w:val="0"/>
              <w:spacing w:line="240" w:lineRule="auto"/>
              <w:jc w:val="left"/>
              <w:rPr>
                <w:b w:val="0"/>
                <w:bCs/>
                <w:color w:val="auto"/>
                <w:szCs w:val="21"/>
              </w:rPr>
            </w:pPr>
            <w:r>
              <w:rPr>
                <w:rFonts w:hint="eastAsia"/>
                <w:b w:val="0"/>
                <w:bCs/>
                <w:color w:val="auto"/>
                <w:szCs w:val="21"/>
              </w:rPr>
              <w:t>售后服务及其他</w:t>
            </w:r>
          </w:p>
          <w:p w14:paraId="04AB0AD0">
            <w:pPr>
              <w:widowControl/>
              <w:adjustRightInd w:val="0"/>
              <w:snapToGrid w:val="0"/>
              <w:spacing w:line="240" w:lineRule="auto"/>
              <w:jc w:val="left"/>
              <w:rPr>
                <w:b w:val="0"/>
                <w:bCs/>
                <w:color w:val="auto"/>
                <w:szCs w:val="21"/>
              </w:rPr>
            </w:pPr>
            <w:r>
              <w:rPr>
                <w:rFonts w:hint="eastAsia"/>
                <w:b w:val="0"/>
                <w:bCs/>
                <w:color w:val="auto"/>
                <w:szCs w:val="21"/>
              </w:rPr>
              <w:t>1.仪器在调试通过后，提供三年保修服务，在保修期内，所有服务及配件全部免费（消耗品除外），由制造商安捷伦科技公司提供售后服务承诺。</w:t>
            </w:r>
          </w:p>
          <w:p w14:paraId="67BD048E">
            <w:pPr>
              <w:widowControl/>
              <w:adjustRightInd w:val="0"/>
              <w:snapToGrid w:val="0"/>
              <w:spacing w:line="240" w:lineRule="auto"/>
              <w:jc w:val="left"/>
              <w:rPr>
                <w:b w:val="0"/>
                <w:bCs/>
                <w:color w:val="auto"/>
                <w:szCs w:val="21"/>
              </w:rPr>
            </w:pPr>
            <w:r>
              <w:rPr>
                <w:rFonts w:hint="eastAsia"/>
                <w:b w:val="0"/>
                <w:bCs/>
                <w:color w:val="auto"/>
                <w:szCs w:val="21"/>
              </w:rPr>
              <w:t>2.安捷伦科技公司在现场免费进行安装调试该系统，确保仪器技术指标验收合格；并负责在现场或培训基地培训买方的技术人员、操作和维护人员。</w:t>
            </w:r>
          </w:p>
          <w:p w14:paraId="19B1FAA9">
            <w:pPr>
              <w:spacing w:line="240" w:lineRule="auto"/>
              <w:rPr>
                <w:rFonts w:hint="eastAsia" w:ascii="宋体" w:hAnsi="宋体" w:eastAsia="宋体" w:cs="宋体"/>
                <w:b w:val="0"/>
                <w:bCs/>
                <w:i w:val="0"/>
                <w:iCs w:val="0"/>
                <w:color w:val="auto"/>
                <w:kern w:val="0"/>
                <w:sz w:val="21"/>
                <w:szCs w:val="21"/>
                <w:highlight w:val="none"/>
                <w:u w:val="none"/>
                <w:lang w:val="en-US" w:eastAsia="zh-CN" w:bidi="ar"/>
              </w:rPr>
            </w:pPr>
            <w:r>
              <w:rPr>
                <w:rFonts w:hint="eastAsia"/>
                <w:b w:val="0"/>
                <w:bCs/>
                <w:color w:val="auto"/>
                <w:szCs w:val="21"/>
              </w:rPr>
              <w:t>3.安捷伦科技公司在中国境内提供培训中心,免费培训用户的操作技术人员(贰人次/五天/壹台) 。</w:t>
            </w:r>
          </w:p>
        </w:tc>
        <w:tc>
          <w:tcPr>
            <w:tcW w:w="203" w:type="pct"/>
            <w:tcBorders>
              <w:top w:val="single" w:color="auto" w:sz="4" w:space="0"/>
              <w:left w:val="nil"/>
              <w:bottom w:val="single" w:color="auto" w:sz="4" w:space="0"/>
              <w:right w:val="single" w:color="auto" w:sz="4" w:space="0"/>
            </w:tcBorders>
            <w:vAlign w:val="center"/>
          </w:tcPr>
          <w:p w14:paraId="1B06F42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 w:val="0"/>
                <w:bCs/>
                <w:color w:val="auto"/>
                <w:sz w:val="21"/>
                <w:szCs w:val="21"/>
                <w:highlight w:val="none"/>
                <w:lang w:val="en-US" w:eastAsia="zh-CN"/>
              </w:rPr>
            </w:pPr>
            <w:r>
              <w:rPr>
                <w:rFonts w:hint="eastAsia" w:ascii="宋体" w:hAnsi="宋体" w:eastAsia="宋体"/>
                <w:b w:val="0"/>
                <w:bCs/>
                <w:color w:val="auto"/>
                <w:sz w:val="21"/>
                <w:szCs w:val="21"/>
                <w:highlight w:val="none"/>
                <w:lang w:val="en-US" w:eastAsia="zh-CN"/>
              </w:rPr>
              <w:t>1台</w:t>
            </w:r>
          </w:p>
        </w:tc>
        <w:tc>
          <w:tcPr>
            <w:tcW w:w="370" w:type="pct"/>
            <w:tcBorders>
              <w:top w:val="single" w:color="auto" w:sz="4" w:space="0"/>
              <w:left w:val="nil"/>
              <w:bottom w:val="single" w:color="auto" w:sz="4" w:space="0"/>
              <w:right w:val="single" w:color="auto" w:sz="4" w:space="0"/>
            </w:tcBorders>
            <w:vAlign w:val="center"/>
          </w:tcPr>
          <w:p w14:paraId="69FFF4CA">
            <w:pPr>
              <w:keepNext w:val="0"/>
              <w:keepLines w:val="0"/>
              <w:pageBreakBefore w:val="0"/>
              <w:kinsoku/>
              <w:wordWrap/>
              <w:overflowPunct/>
              <w:topLinePunct w:val="0"/>
              <w:autoSpaceDE/>
              <w:autoSpaceDN/>
              <w:bidi w:val="0"/>
              <w:spacing w:line="240" w:lineRule="auto"/>
              <w:ind w:right="-107" w:rightChars="-51"/>
              <w:jc w:val="center"/>
              <w:textAlignment w:val="auto"/>
              <w:rPr>
                <w:rFonts w:hint="eastAsia" w:ascii="宋体" w:hAnsi="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安捷伦科技（中国）有限公司</w:t>
            </w:r>
          </w:p>
        </w:tc>
        <w:tc>
          <w:tcPr>
            <w:tcW w:w="263" w:type="pct"/>
            <w:tcBorders>
              <w:top w:val="single" w:color="auto" w:sz="4" w:space="0"/>
              <w:left w:val="nil"/>
              <w:bottom w:val="single" w:color="auto" w:sz="4" w:space="0"/>
              <w:right w:val="single" w:color="auto" w:sz="4" w:space="0"/>
            </w:tcBorders>
            <w:vAlign w:val="center"/>
          </w:tcPr>
          <w:p w14:paraId="20317CF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lang w:eastAsia="zh-CN"/>
              </w:rPr>
              <w:t>中国</w:t>
            </w:r>
          </w:p>
        </w:tc>
        <w:tc>
          <w:tcPr>
            <w:tcW w:w="445" w:type="pct"/>
            <w:tcBorders>
              <w:top w:val="single" w:color="auto" w:sz="4" w:space="0"/>
              <w:left w:val="nil"/>
              <w:bottom w:val="single" w:color="auto" w:sz="4" w:space="0"/>
              <w:right w:val="single" w:color="auto" w:sz="4" w:space="0"/>
            </w:tcBorders>
            <w:vAlign w:val="center"/>
          </w:tcPr>
          <w:p w14:paraId="21F8B64E">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b w:val="0"/>
                <w:bCs/>
                <w:color w:val="auto"/>
                <w:sz w:val="21"/>
                <w:szCs w:val="21"/>
                <w:highlight w:val="none"/>
              </w:rPr>
            </w:pPr>
          </w:p>
        </w:tc>
      </w:tr>
      <w:tr w14:paraId="6B9C24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236" w:type="pct"/>
            <w:tcBorders>
              <w:top w:val="single" w:color="auto" w:sz="4" w:space="0"/>
              <w:left w:val="single" w:color="auto" w:sz="4" w:space="0"/>
              <w:bottom w:val="single" w:color="auto" w:sz="4" w:space="0"/>
              <w:right w:val="single" w:color="auto" w:sz="4" w:space="0"/>
            </w:tcBorders>
            <w:vAlign w:val="center"/>
          </w:tcPr>
          <w:p w14:paraId="0A3FDD9F">
            <w:pPr>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b w:val="0"/>
                <w:bCs/>
                <w:color w:val="auto"/>
                <w:sz w:val="21"/>
                <w:szCs w:val="21"/>
                <w:highlight w:val="none"/>
                <w:lang w:val="en-US" w:eastAsia="zh-CN"/>
              </w:rPr>
            </w:pPr>
            <w:r>
              <w:rPr>
                <w:rFonts w:hint="eastAsia" w:ascii="宋体" w:hAnsi="宋体" w:eastAsia="宋体"/>
                <w:b w:val="0"/>
                <w:bCs/>
                <w:color w:val="auto"/>
                <w:sz w:val="21"/>
                <w:szCs w:val="21"/>
                <w:highlight w:val="none"/>
                <w:lang w:val="en-US" w:eastAsia="zh-CN"/>
              </w:rPr>
              <w:t>3</w:t>
            </w:r>
          </w:p>
        </w:tc>
        <w:tc>
          <w:tcPr>
            <w:tcW w:w="348" w:type="pct"/>
            <w:tcBorders>
              <w:top w:val="single" w:color="auto" w:sz="4" w:space="0"/>
              <w:left w:val="nil"/>
              <w:bottom w:val="single" w:color="auto" w:sz="4" w:space="0"/>
              <w:right w:val="single" w:color="auto" w:sz="4" w:space="0"/>
            </w:tcBorders>
            <w:shd w:val="clear" w:color="auto" w:fill="auto"/>
            <w:vAlign w:val="center"/>
          </w:tcPr>
          <w:p w14:paraId="77127AE6">
            <w:pPr>
              <w:spacing w:line="24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傅里叶变换红外光谱仪</w:t>
            </w:r>
          </w:p>
        </w:tc>
        <w:tc>
          <w:tcPr>
            <w:tcW w:w="838" w:type="pct"/>
            <w:tcBorders>
              <w:top w:val="single" w:color="auto" w:sz="4" w:space="0"/>
              <w:left w:val="nil"/>
              <w:bottom w:val="single" w:color="auto" w:sz="4" w:space="0"/>
              <w:right w:val="single" w:color="auto" w:sz="4" w:space="0"/>
            </w:tcBorders>
            <w:shd w:val="clear" w:color="auto" w:fill="auto"/>
            <w:vAlign w:val="center"/>
          </w:tcPr>
          <w:p w14:paraId="6CB924B8">
            <w:pPr>
              <w:spacing w:line="240" w:lineRule="auto"/>
              <w:jc w:val="center"/>
              <w:rPr>
                <w:b w:val="0"/>
                <w:bCs/>
                <w:color w:val="auto"/>
              </w:rPr>
            </w:pPr>
            <w:r>
              <w:rPr>
                <w:b w:val="0"/>
                <w:bCs/>
                <w:color w:val="auto"/>
              </w:rPr>
              <w:drawing>
                <wp:inline distT="0" distB="0" distL="114300" distR="114300">
                  <wp:extent cx="1643380" cy="1450340"/>
                  <wp:effectExtent l="0" t="0" r="13970" b="165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1643380" cy="1450340"/>
                          </a:xfrm>
                          <a:prstGeom prst="rect">
                            <a:avLst/>
                          </a:prstGeom>
                          <a:noFill/>
                          <a:ln>
                            <a:noFill/>
                          </a:ln>
                        </pic:spPr>
                      </pic:pic>
                    </a:graphicData>
                  </a:graphic>
                </wp:inline>
              </w:drawing>
            </w:r>
          </w:p>
        </w:tc>
        <w:tc>
          <w:tcPr>
            <w:tcW w:w="376" w:type="pct"/>
            <w:tcBorders>
              <w:top w:val="single" w:color="auto" w:sz="4" w:space="0"/>
              <w:left w:val="nil"/>
              <w:bottom w:val="single" w:color="auto" w:sz="4" w:space="0"/>
              <w:right w:val="single" w:color="auto" w:sz="4" w:space="0"/>
            </w:tcBorders>
            <w:vAlign w:val="center"/>
          </w:tcPr>
          <w:p w14:paraId="69828638">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Nicolet iS50</w:t>
            </w:r>
          </w:p>
        </w:tc>
        <w:tc>
          <w:tcPr>
            <w:tcW w:w="1917" w:type="pct"/>
            <w:tcBorders>
              <w:top w:val="single" w:color="auto" w:sz="4" w:space="0"/>
              <w:left w:val="nil"/>
              <w:bottom w:val="single" w:color="auto" w:sz="4" w:space="0"/>
              <w:right w:val="single" w:color="auto" w:sz="4" w:space="0"/>
            </w:tcBorders>
            <w:vAlign w:val="center"/>
          </w:tcPr>
          <w:p w14:paraId="01C71A97">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0"/>
                <w:sz w:val="21"/>
                <w:szCs w:val="21"/>
                <w:u w:val="none"/>
                <w:lang w:val="en-US" w:eastAsia="zh-CN" w:bidi="ar"/>
              </w:rPr>
            </w:pPr>
            <w:r>
              <w:rPr>
                <w:rFonts w:hint="eastAsia" w:ascii="宋体" w:hAnsi="宋体" w:eastAsia="宋体" w:cs="宋体"/>
                <w:b w:val="0"/>
                <w:bCs/>
                <w:i w:val="0"/>
                <w:iCs w:val="0"/>
                <w:color w:val="auto"/>
                <w:kern w:val="0"/>
                <w:sz w:val="21"/>
                <w:szCs w:val="21"/>
                <w:u w:val="none"/>
                <w:lang w:val="en-US" w:eastAsia="zh-CN" w:bidi="ar"/>
              </w:rPr>
              <w:t>一、设备功能</w:t>
            </w:r>
          </w:p>
          <w:p w14:paraId="40710F8A">
            <w:pPr>
              <w:keepNext w:val="0"/>
              <w:keepLines w:val="0"/>
              <w:pageBreakBefore w:val="0"/>
              <w:widowControl/>
              <w:suppressLineNumbers w:val="0"/>
              <w:kinsoku/>
              <w:wordWrap/>
              <w:overflowPunct/>
              <w:topLinePunct w:val="0"/>
              <w:autoSpaceDE/>
              <w:autoSpaceDN/>
              <w:bidi w:val="0"/>
              <w:spacing w:line="240" w:lineRule="auto"/>
              <w:jc w:val="both"/>
              <w:textAlignment w:val="center"/>
              <w:rPr>
                <w:rStyle w:val="6"/>
                <w:b w:val="0"/>
                <w:bCs/>
                <w:color w:val="auto"/>
                <w:sz w:val="21"/>
                <w:szCs w:val="21"/>
                <w:lang w:val="en-US" w:eastAsia="zh-CN" w:bidi="ar"/>
              </w:rPr>
            </w:pPr>
            <w:r>
              <w:rPr>
                <w:rFonts w:hint="eastAsia" w:ascii="宋体" w:hAnsi="宋体" w:eastAsia="宋体" w:cs="宋体"/>
                <w:b w:val="0"/>
                <w:bCs/>
                <w:i w:val="0"/>
                <w:iCs w:val="0"/>
                <w:color w:val="auto"/>
                <w:kern w:val="0"/>
                <w:sz w:val="21"/>
                <w:szCs w:val="21"/>
                <w:u w:val="none"/>
                <w:lang w:val="en-US" w:eastAsia="zh-CN" w:bidi="ar"/>
              </w:rPr>
              <w:t>傅里叶变换</w:t>
            </w:r>
            <w:r>
              <w:rPr>
                <w:rStyle w:val="6"/>
                <w:b w:val="0"/>
                <w:bCs/>
                <w:color w:val="auto"/>
                <w:sz w:val="21"/>
                <w:szCs w:val="21"/>
                <w:lang w:val="en-US" w:eastAsia="zh-CN" w:bidi="ar"/>
              </w:rPr>
              <w:t>红外光谱仪可用于研究分子的结构和化学键，也可以作为表征和鉴别化学物种的方法。红外光谱具有高度特征性，可以采用与标准化合物的红外光谱对比的方法来做分析鉴定。将已有的标准红外图谱贮存在计算机中，用以对比和检索，进行分析鉴定。利用化学键的特征波数来鉴别化合物的类型，并可用于定量测定。</w:t>
            </w:r>
          </w:p>
          <w:p w14:paraId="2A76C809">
            <w:pPr>
              <w:keepNext w:val="0"/>
              <w:keepLines w:val="0"/>
              <w:pageBreakBefore w:val="0"/>
              <w:widowControl/>
              <w:suppressLineNumbers w:val="0"/>
              <w:kinsoku/>
              <w:wordWrap/>
              <w:overflowPunct/>
              <w:topLinePunct w:val="0"/>
              <w:autoSpaceDE/>
              <w:autoSpaceDN/>
              <w:bidi w:val="0"/>
              <w:spacing w:line="240" w:lineRule="auto"/>
              <w:jc w:val="both"/>
              <w:textAlignment w:val="center"/>
              <w:rPr>
                <w:rStyle w:val="6"/>
                <w:rFonts w:hint="default"/>
                <w:b w:val="0"/>
                <w:bCs/>
                <w:color w:val="auto"/>
                <w:sz w:val="21"/>
                <w:szCs w:val="21"/>
                <w:lang w:val="en-US" w:eastAsia="zh-CN" w:bidi="ar"/>
              </w:rPr>
            </w:pPr>
            <w:r>
              <w:rPr>
                <w:rStyle w:val="6"/>
                <w:rFonts w:hint="eastAsia"/>
                <w:b w:val="0"/>
                <w:bCs/>
                <w:color w:val="auto"/>
                <w:sz w:val="21"/>
                <w:szCs w:val="21"/>
                <w:lang w:val="en-US" w:eastAsia="zh-CN" w:bidi="ar"/>
              </w:rPr>
              <w:t>二、性能参数</w:t>
            </w:r>
          </w:p>
          <w:p w14:paraId="2E9625B8">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1.1红外主机：高级研究型傅里叶变换红外光谱仪，并可由计算机控制转换，具有更高光谱分辨率、更快扫描速度、更强信噪比，更适合实验过程中的数据采集。</w:t>
            </w:r>
          </w:p>
          <w:p w14:paraId="1F174CAC">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default"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1.1.1 光谱范围：7800-350 cm</w:t>
            </w:r>
            <w:r>
              <w:rPr>
                <w:rStyle w:val="8"/>
                <w:rFonts w:hint="eastAsia"/>
                <w:b w:val="0"/>
                <w:bCs/>
                <w:color w:val="auto"/>
                <w:sz w:val="21"/>
                <w:szCs w:val="21"/>
                <w:vertAlign w:val="superscript"/>
                <w:lang w:val="en-US" w:eastAsia="zh-CN" w:bidi="ar"/>
              </w:rPr>
              <w:t>-</w:t>
            </w:r>
            <w:r>
              <w:rPr>
                <w:rStyle w:val="8"/>
                <w:b w:val="0"/>
                <w:bCs/>
                <w:color w:val="auto"/>
                <w:sz w:val="21"/>
                <w:szCs w:val="21"/>
                <w:vertAlign w:val="superscript"/>
                <w:lang w:val="en-US" w:eastAsia="zh-CN" w:bidi="ar"/>
              </w:rPr>
              <w:t>1</w:t>
            </w:r>
            <w:r>
              <w:rPr>
                <w:rStyle w:val="6"/>
                <w:b w:val="0"/>
                <w:bCs/>
                <w:color w:val="auto"/>
                <w:sz w:val="21"/>
                <w:szCs w:val="21"/>
                <w:lang w:val="en-US" w:eastAsia="zh-CN" w:bidi="ar"/>
              </w:rPr>
              <w:t>。</w:t>
            </w:r>
            <w:r>
              <w:rPr>
                <w:rStyle w:val="6"/>
                <w:rFonts w:hint="eastAsia"/>
                <w:b w:val="0"/>
                <w:bCs/>
                <w:color w:val="auto"/>
                <w:sz w:val="21"/>
                <w:szCs w:val="21"/>
                <w:lang w:val="en-US" w:eastAsia="zh-CN" w:bidi="ar"/>
              </w:rPr>
              <w:t>可扩展到28000-10cm</w:t>
            </w:r>
            <w:r>
              <w:rPr>
                <w:rStyle w:val="8"/>
                <w:rFonts w:hint="eastAsia"/>
                <w:b w:val="0"/>
                <w:bCs/>
                <w:color w:val="auto"/>
                <w:sz w:val="21"/>
                <w:szCs w:val="21"/>
                <w:vertAlign w:val="superscript"/>
                <w:lang w:val="en-US" w:eastAsia="zh-CN" w:bidi="ar"/>
              </w:rPr>
              <w:t>-</w:t>
            </w:r>
            <w:r>
              <w:rPr>
                <w:rStyle w:val="8"/>
                <w:b w:val="0"/>
                <w:bCs/>
                <w:color w:val="auto"/>
                <w:sz w:val="21"/>
                <w:szCs w:val="21"/>
                <w:vertAlign w:val="superscript"/>
                <w:lang w:val="en-US" w:eastAsia="zh-CN" w:bidi="ar"/>
              </w:rPr>
              <w:t>1</w:t>
            </w:r>
          </w:p>
          <w:p w14:paraId="554F1335">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1.1.2 全光谱范围线性度：≤0.</w:t>
            </w:r>
            <w:r>
              <w:rPr>
                <w:rFonts w:hint="eastAsia" w:ascii="宋体" w:hAnsi="宋体" w:cs="宋体"/>
                <w:b w:val="0"/>
                <w:bCs/>
                <w:i w:val="0"/>
                <w:iCs w:val="0"/>
                <w:color w:val="auto"/>
                <w:kern w:val="0"/>
                <w:sz w:val="21"/>
                <w:szCs w:val="21"/>
                <w:u w:val="none"/>
                <w:lang w:val="en-US" w:eastAsia="zh-CN" w:bidi="ar"/>
              </w:rPr>
              <w:t>07</w:t>
            </w:r>
            <w:r>
              <w:rPr>
                <w:rFonts w:hint="eastAsia" w:ascii="宋体" w:hAnsi="宋体" w:eastAsia="宋体" w:cs="宋体"/>
                <w:b w:val="0"/>
                <w:bCs/>
                <w:i w:val="0"/>
                <w:iCs w:val="0"/>
                <w:color w:val="auto"/>
                <w:kern w:val="0"/>
                <w:sz w:val="21"/>
                <w:szCs w:val="21"/>
                <w:u w:val="none"/>
                <w:lang w:val="en-US" w:eastAsia="zh-CN" w:bidi="ar"/>
              </w:rPr>
              <w:t>%T（纵坐标精度，ASTM标准）。</w:t>
            </w:r>
          </w:p>
          <w:p w14:paraId="339BD5A0">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*1.1.3 信噪比：≥6</w:t>
            </w:r>
            <w:r>
              <w:rPr>
                <w:rFonts w:hint="eastAsia" w:ascii="宋体" w:hAnsi="宋体" w:cs="宋体"/>
                <w:b w:val="0"/>
                <w:bCs/>
                <w:i w:val="0"/>
                <w:iCs w:val="0"/>
                <w:color w:val="auto"/>
                <w:kern w:val="0"/>
                <w:sz w:val="21"/>
                <w:szCs w:val="21"/>
                <w:highlight w:val="none"/>
                <w:u w:val="none"/>
                <w:lang w:val="en-US" w:eastAsia="zh-CN" w:bidi="ar"/>
              </w:rPr>
              <w:t>5</w:t>
            </w:r>
            <w:r>
              <w:rPr>
                <w:rFonts w:hint="eastAsia" w:ascii="宋体" w:hAnsi="宋体" w:eastAsia="宋体" w:cs="宋体"/>
                <w:b w:val="0"/>
                <w:bCs/>
                <w:i w:val="0"/>
                <w:iCs w:val="0"/>
                <w:color w:val="auto"/>
                <w:kern w:val="0"/>
                <w:sz w:val="21"/>
                <w:szCs w:val="21"/>
                <w:highlight w:val="none"/>
                <w:u w:val="none"/>
                <w:lang w:val="en-US" w:eastAsia="zh-CN" w:bidi="ar"/>
              </w:rPr>
              <w:t>000：1（4 cm</w:t>
            </w:r>
            <w:r>
              <w:rPr>
                <w:rStyle w:val="8"/>
                <w:rFonts w:hint="eastAsia"/>
                <w:b w:val="0"/>
                <w:bCs/>
                <w:color w:val="auto"/>
                <w:sz w:val="21"/>
                <w:szCs w:val="21"/>
                <w:highlight w:val="none"/>
                <w:vertAlign w:val="superscript"/>
                <w:lang w:val="en-US" w:eastAsia="zh-CN" w:bidi="ar"/>
              </w:rPr>
              <w:t>-</w:t>
            </w:r>
            <w:r>
              <w:rPr>
                <w:rStyle w:val="8"/>
                <w:b w:val="0"/>
                <w:bCs/>
                <w:color w:val="auto"/>
                <w:sz w:val="21"/>
                <w:szCs w:val="21"/>
                <w:highlight w:val="none"/>
                <w:vertAlign w:val="superscript"/>
                <w:lang w:val="en-US" w:eastAsia="zh-CN" w:bidi="ar"/>
              </w:rPr>
              <w:t>1</w:t>
            </w:r>
            <w:r>
              <w:rPr>
                <w:rStyle w:val="6"/>
                <w:b w:val="0"/>
                <w:bCs/>
                <w:color w:val="auto"/>
                <w:sz w:val="21"/>
                <w:szCs w:val="21"/>
                <w:highlight w:val="none"/>
                <w:lang w:val="en-US" w:eastAsia="zh-CN" w:bidi="ar"/>
              </w:rPr>
              <w:t>分辨率，1分钟，峰-峰值）。</w:t>
            </w:r>
          </w:p>
          <w:p w14:paraId="3B3E3A1A">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*1.1.4 光谱分辨率：</w:t>
            </w:r>
            <w:r>
              <w:rPr>
                <w:rFonts w:hint="eastAsia" w:ascii="宋体" w:hAnsi="宋体" w:cs="宋体"/>
                <w:b w:val="0"/>
                <w:bCs/>
                <w:i w:val="0"/>
                <w:iCs w:val="0"/>
                <w:color w:val="auto"/>
                <w:kern w:val="0"/>
                <w:sz w:val="21"/>
                <w:szCs w:val="21"/>
                <w:highlight w:val="none"/>
                <w:u w:val="none"/>
                <w:lang w:val="en-US" w:eastAsia="zh-CN" w:bidi="ar"/>
              </w:rPr>
              <w:t>0.09</w:t>
            </w:r>
            <w:r>
              <w:rPr>
                <w:rFonts w:hint="eastAsia" w:ascii="宋体" w:hAnsi="宋体" w:eastAsia="宋体" w:cs="宋体"/>
                <w:b w:val="0"/>
                <w:bCs/>
                <w:i w:val="0"/>
                <w:iCs w:val="0"/>
                <w:color w:val="auto"/>
                <w:kern w:val="0"/>
                <w:sz w:val="21"/>
                <w:szCs w:val="21"/>
                <w:highlight w:val="none"/>
                <w:u w:val="none"/>
                <w:lang w:val="en-US" w:eastAsia="zh-CN" w:bidi="ar"/>
              </w:rPr>
              <w:t>cm</w:t>
            </w:r>
            <w:r>
              <w:rPr>
                <w:rStyle w:val="8"/>
                <w:rFonts w:hint="eastAsia"/>
                <w:b w:val="0"/>
                <w:bCs/>
                <w:color w:val="auto"/>
                <w:sz w:val="21"/>
                <w:szCs w:val="21"/>
                <w:highlight w:val="none"/>
                <w:vertAlign w:val="superscript"/>
                <w:lang w:val="en-US" w:eastAsia="zh-CN" w:bidi="ar"/>
              </w:rPr>
              <w:t>-</w:t>
            </w:r>
            <w:r>
              <w:rPr>
                <w:rStyle w:val="8"/>
                <w:b w:val="0"/>
                <w:bCs/>
                <w:color w:val="auto"/>
                <w:sz w:val="21"/>
                <w:szCs w:val="21"/>
                <w:highlight w:val="none"/>
                <w:vertAlign w:val="superscript"/>
                <w:lang w:val="en-US" w:eastAsia="zh-CN" w:bidi="ar"/>
              </w:rPr>
              <w:t>1</w:t>
            </w:r>
          </w:p>
          <w:p w14:paraId="1BC26C5C">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*1.1.5 光阑：计算机控制连续可变2</w:t>
            </w:r>
            <w:r>
              <w:rPr>
                <w:rFonts w:hint="eastAsia" w:ascii="宋体" w:hAnsi="宋体" w:cs="宋体"/>
                <w:b w:val="0"/>
                <w:bCs/>
                <w:i w:val="0"/>
                <w:iCs w:val="0"/>
                <w:color w:val="auto"/>
                <w:kern w:val="0"/>
                <w:sz w:val="21"/>
                <w:szCs w:val="21"/>
                <w:highlight w:val="none"/>
                <w:u w:val="none"/>
                <w:lang w:val="en-US" w:eastAsia="zh-CN" w:bidi="ar"/>
              </w:rPr>
              <w:t>3</w:t>
            </w:r>
            <w:r>
              <w:rPr>
                <w:rFonts w:hint="eastAsia" w:ascii="宋体" w:hAnsi="宋体" w:eastAsia="宋体" w:cs="宋体"/>
                <w:b w:val="0"/>
                <w:bCs/>
                <w:i w:val="0"/>
                <w:iCs w:val="0"/>
                <w:color w:val="auto"/>
                <w:kern w:val="0"/>
                <w:sz w:val="21"/>
                <w:szCs w:val="21"/>
                <w:highlight w:val="none"/>
                <w:u w:val="none"/>
                <w:lang w:val="en-US" w:eastAsia="zh-CN" w:bidi="ar"/>
              </w:rPr>
              <w:t>0档自动控制光阑。</w:t>
            </w:r>
          </w:p>
          <w:p w14:paraId="3FB809A7">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*1.1.6 快速扫描：</w:t>
            </w:r>
            <w:r>
              <w:rPr>
                <w:rFonts w:hint="eastAsia" w:ascii="宋体" w:hAnsi="宋体" w:cs="宋体"/>
                <w:b w:val="0"/>
                <w:bCs/>
                <w:i w:val="0"/>
                <w:iCs w:val="0"/>
                <w:color w:val="auto"/>
                <w:kern w:val="0"/>
                <w:sz w:val="21"/>
                <w:szCs w:val="21"/>
                <w:highlight w:val="none"/>
                <w:u w:val="none"/>
                <w:lang w:val="en-US" w:eastAsia="zh-CN" w:bidi="ar"/>
              </w:rPr>
              <w:t>65</w:t>
            </w:r>
            <w:r>
              <w:rPr>
                <w:rFonts w:hint="eastAsia" w:ascii="宋体" w:hAnsi="宋体" w:eastAsia="宋体" w:cs="宋体"/>
                <w:b w:val="0"/>
                <w:bCs/>
                <w:i w:val="0"/>
                <w:iCs w:val="0"/>
                <w:color w:val="auto"/>
                <w:kern w:val="0"/>
                <w:sz w:val="21"/>
                <w:szCs w:val="21"/>
                <w:highlight w:val="none"/>
                <w:u w:val="none"/>
                <w:lang w:val="en-US" w:eastAsia="zh-CN" w:bidi="ar"/>
              </w:rPr>
              <w:t>张光谱/秒（@16 cm</w:t>
            </w:r>
            <w:r>
              <w:rPr>
                <w:rStyle w:val="8"/>
                <w:rFonts w:hint="eastAsia"/>
                <w:b w:val="0"/>
                <w:bCs/>
                <w:color w:val="auto"/>
                <w:sz w:val="21"/>
                <w:szCs w:val="21"/>
                <w:highlight w:val="none"/>
                <w:vertAlign w:val="superscript"/>
                <w:lang w:val="en-US" w:eastAsia="zh-CN" w:bidi="ar"/>
              </w:rPr>
              <w:t>-</w:t>
            </w:r>
            <w:r>
              <w:rPr>
                <w:rStyle w:val="8"/>
                <w:b w:val="0"/>
                <w:bCs/>
                <w:color w:val="auto"/>
                <w:sz w:val="21"/>
                <w:szCs w:val="21"/>
                <w:highlight w:val="none"/>
                <w:vertAlign w:val="superscript"/>
                <w:lang w:val="en-US" w:eastAsia="zh-CN" w:bidi="ar"/>
              </w:rPr>
              <w:t>1</w:t>
            </w:r>
            <w:r>
              <w:rPr>
                <w:rStyle w:val="6"/>
                <w:b w:val="0"/>
                <w:bCs/>
                <w:color w:val="auto"/>
                <w:sz w:val="21"/>
                <w:szCs w:val="21"/>
                <w:highlight w:val="none"/>
                <w:lang w:val="en-US" w:eastAsia="zh-CN" w:bidi="ar"/>
              </w:rPr>
              <w:t>）。</w:t>
            </w:r>
          </w:p>
          <w:p w14:paraId="2BF93B3E">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1.1.7 波数精度：</w:t>
            </w:r>
            <w:r>
              <w:rPr>
                <w:rFonts w:hint="eastAsia" w:ascii="宋体" w:hAnsi="宋体" w:cs="宋体"/>
                <w:b w:val="0"/>
                <w:bCs/>
                <w:i w:val="0"/>
                <w:iCs w:val="0"/>
                <w:color w:val="auto"/>
                <w:kern w:val="0"/>
                <w:sz w:val="21"/>
                <w:szCs w:val="21"/>
                <w:u w:val="none"/>
                <w:lang w:val="en-US" w:eastAsia="zh-CN" w:bidi="ar"/>
              </w:rPr>
              <w:t>0.0008</w:t>
            </w:r>
            <w:r>
              <w:rPr>
                <w:rFonts w:hint="eastAsia" w:ascii="宋体" w:hAnsi="宋体" w:eastAsia="宋体" w:cs="宋体"/>
                <w:b w:val="0"/>
                <w:bCs/>
                <w:i w:val="0"/>
                <w:iCs w:val="0"/>
                <w:color w:val="auto"/>
                <w:kern w:val="0"/>
                <w:sz w:val="21"/>
                <w:szCs w:val="21"/>
                <w:u w:val="none"/>
                <w:lang w:val="en-US" w:eastAsia="zh-CN" w:bidi="ar"/>
              </w:rPr>
              <w:t xml:space="preserve"> cm</w:t>
            </w:r>
            <w:r>
              <w:rPr>
                <w:rStyle w:val="8"/>
                <w:rFonts w:hint="eastAsia"/>
                <w:b w:val="0"/>
                <w:bCs/>
                <w:color w:val="auto"/>
                <w:sz w:val="21"/>
                <w:szCs w:val="21"/>
                <w:vertAlign w:val="superscript"/>
                <w:lang w:val="en-US" w:eastAsia="zh-CN" w:bidi="ar"/>
              </w:rPr>
              <w:t>-</w:t>
            </w:r>
            <w:r>
              <w:rPr>
                <w:rStyle w:val="8"/>
                <w:b w:val="0"/>
                <w:bCs/>
                <w:color w:val="auto"/>
                <w:sz w:val="21"/>
                <w:szCs w:val="21"/>
                <w:vertAlign w:val="superscript"/>
                <w:lang w:val="en-US" w:eastAsia="zh-CN" w:bidi="ar"/>
              </w:rPr>
              <w:t>1</w:t>
            </w:r>
            <w:r>
              <w:rPr>
                <w:rStyle w:val="6"/>
                <w:b w:val="0"/>
                <w:bCs/>
                <w:color w:val="auto"/>
                <w:sz w:val="21"/>
                <w:szCs w:val="21"/>
                <w:lang w:val="en-US" w:eastAsia="zh-CN" w:bidi="ar"/>
              </w:rPr>
              <w:t>。</w:t>
            </w:r>
          </w:p>
          <w:p w14:paraId="4D454CD9">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1.1.8 动镜速度：0.</w:t>
            </w:r>
            <w:r>
              <w:rPr>
                <w:rFonts w:hint="eastAsia" w:ascii="宋体" w:hAnsi="宋体" w:cs="宋体"/>
                <w:b w:val="0"/>
                <w:bCs/>
                <w:i w:val="0"/>
                <w:iCs w:val="0"/>
                <w:color w:val="auto"/>
                <w:kern w:val="0"/>
                <w:sz w:val="21"/>
                <w:szCs w:val="21"/>
                <w:u w:val="none"/>
                <w:lang w:val="en-US" w:eastAsia="zh-CN" w:bidi="ar"/>
              </w:rPr>
              <w:t>158</w:t>
            </w:r>
            <w:r>
              <w:rPr>
                <w:rFonts w:hint="eastAsia" w:ascii="宋体" w:hAnsi="宋体" w:eastAsia="宋体" w:cs="宋体"/>
                <w:b w:val="0"/>
                <w:bCs/>
                <w:i w:val="0"/>
                <w:iCs w:val="0"/>
                <w:color w:val="auto"/>
                <w:kern w:val="0"/>
                <w:sz w:val="21"/>
                <w:szCs w:val="21"/>
                <w:u w:val="none"/>
                <w:lang w:val="en-US" w:eastAsia="zh-CN" w:bidi="ar"/>
              </w:rPr>
              <w:t>-6.</w:t>
            </w:r>
            <w:r>
              <w:rPr>
                <w:rFonts w:hint="eastAsia" w:ascii="宋体" w:hAnsi="宋体" w:cs="宋体"/>
                <w:b w:val="0"/>
                <w:bCs/>
                <w:i w:val="0"/>
                <w:iCs w:val="0"/>
                <w:color w:val="auto"/>
                <w:kern w:val="0"/>
                <w:sz w:val="21"/>
                <w:szCs w:val="21"/>
                <w:u w:val="none"/>
                <w:lang w:val="en-US" w:eastAsia="zh-CN" w:bidi="ar"/>
              </w:rPr>
              <w:t>28</w:t>
            </w:r>
            <w:r>
              <w:rPr>
                <w:rFonts w:hint="eastAsia" w:ascii="宋体" w:hAnsi="宋体" w:eastAsia="宋体" w:cs="宋体"/>
                <w:b w:val="0"/>
                <w:bCs/>
                <w:i w:val="0"/>
                <w:iCs w:val="0"/>
                <w:color w:val="auto"/>
                <w:kern w:val="0"/>
                <w:sz w:val="21"/>
                <w:szCs w:val="21"/>
                <w:u w:val="none"/>
                <w:lang w:val="en-US" w:eastAsia="zh-CN" w:bidi="ar"/>
              </w:rPr>
              <w:t xml:space="preserve"> cm/s，12档可调。</w:t>
            </w:r>
          </w:p>
          <w:p w14:paraId="6EA4FFED">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default"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1.1.9 干涉仪：</w:t>
            </w:r>
            <w:r>
              <w:rPr>
                <w:rFonts w:hint="eastAsia" w:ascii="宋体" w:hAnsi="宋体" w:cs="宋体"/>
                <w:b w:val="0"/>
                <w:bCs/>
                <w:i w:val="0"/>
                <w:iCs w:val="0"/>
                <w:color w:val="auto"/>
                <w:kern w:val="0"/>
                <w:sz w:val="21"/>
                <w:szCs w:val="21"/>
                <w:u w:val="none"/>
                <w:lang w:val="en-US" w:eastAsia="zh-CN" w:bidi="ar"/>
              </w:rPr>
              <w:t>最新一代高速数字信号处理器控制磁浮式的平面镜迈克尔逊干涉仪</w:t>
            </w:r>
          </w:p>
          <w:p w14:paraId="2924F643">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default"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1.1.10 动态准直：具有实时自动高速扫描动态准直控制功能。</w:t>
            </w:r>
            <w:r>
              <w:rPr>
                <w:rFonts w:hint="eastAsia" w:ascii="宋体" w:hAnsi="宋体" w:cs="宋体"/>
                <w:b w:val="0"/>
                <w:bCs/>
                <w:i w:val="0"/>
                <w:iCs w:val="0"/>
                <w:color w:val="auto"/>
                <w:kern w:val="0"/>
                <w:sz w:val="21"/>
                <w:szCs w:val="21"/>
                <w:u w:val="none"/>
                <w:lang w:val="en-US" w:eastAsia="zh-CN" w:bidi="ar"/>
              </w:rPr>
              <w:t>每秒13万次以上，具有震动补偿和温度补偿功能，具自动调整功能，无需任何人工调整。</w:t>
            </w:r>
          </w:p>
          <w:p w14:paraId="01D16BC9">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1.1.11 红外光源：配置预准直、高能量、无“热点”效应的高稳定超长寿命中/远红外光源，可扩展多光源系统，质保10年。</w:t>
            </w:r>
          </w:p>
          <w:p w14:paraId="1A3AB90E">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1.1.12 检测器：高性能DLaTGS检测器，采用24位500KHz高精度、高速数据采集A/D转换，仪器能自动识别和参数设置。并配有光强自动衰减调节轮，支持高灵敏检测器选用。</w:t>
            </w:r>
          </w:p>
          <w:p w14:paraId="2885F9F9">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1.1.13激光器：高单色性、高稳定的He-Ne气体激光器，波长和功率长期稳定。</w:t>
            </w:r>
          </w:p>
          <w:p w14:paraId="40A41404">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1.1.14 扩展功能：可与气相色谱红外、热重分析仪、傅里叶拉曼、流变分析仪、凝胶色谱等联机。</w:t>
            </w:r>
          </w:p>
          <w:p w14:paraId="36C0E047">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1.1.15仪器自动认证系统：配置包括标准样品的仪器性能自动认证检测轮，标准样品为NG-11玻璃片和可溯源的NIST 1.5mil (38微米)聚苯乙烯膜。</w:t>
            </w:r>
          </w:p>
          <w:p w14:paraId="1AD5947E">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1.1.16 干燥密封系统：光谱仪样品仓配置防雾化镀层的红外透射密封窗片，具有良好干燥防潮性和维护的简易性。并可按应用需要选配湿度智能控制样品仓自动锁闭系统和智能吹扫控制装置等。</w:t>
            </w:r>
          </w:p>
          <w:p w14:paraId="00C2E655">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1.1.17永久准直光路：光学台采用永久准直光路设计，无需在使用过程中进行人工调整。所有元件均采用对针定位方式，即插即用。所有光学转镜采用金镜。</w:t>
            </w:r>
          </w:p>
          <w:p w14:paraId="763046F4">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1.1.18快捷检测操作系统：光谱仪主机面板配备快捷操作功能键，一个按键即可自动切换采集模式、优化实验参数和输出分析结果、完成检测过程，实现零培训智能化操作。</w:t>
            </w:r>
          </w:p>
          <w:p w14:paraId="1F6F0684">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1.2 操作软件</w:t>
            </w:r>
          </w:p>
          <w:p w14:paraId="1C621725">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1.2.1红外基础软件：除包括各种常规红外定性、定量检测分析处理、检索谱库和仪器性能自动测试等功能外，提供光谱采集自动光谱质量检查和判断提示，自动谱峰查找定量分析、智能模型编辑、ATR多模式校正、高精确物质鉴别等先进应用功能。软件与</w:t>
            </w:r>
            <w:r>
              <w:rPr>
                <w:rStyle w:val="7"/>
                <w:rFonts w:eastAsia="宋体"/>
                <w:b w:val="0"/>
                <w:bCs/>
                <w:color w:val="auto"/>
                <w:sz w:val="21"/>
                <w:szCs w:val="21"/>
                <w:lang w:val="en-US" w:eastAsia="zh-CN" w:bidi="ar"/>
              </w:rPr>
              <w:t>Windows10</w:t>
            </w:r>
            <w:r>
              <w:rPr>
                <w:rStyle w:val="6"/>
                <w:b w:val="0"/>
                <w:bCs/>
                <w:color w:val="auto"/>
                <w:sz w:val="21"/>
                <w:szCs w:val="21"/>
                <w:lang w:val="en-US" w:eastAsia="zh-CN" w:bidi="ar"/>
              </w:rPr>
              <w:t>兼容。</w:t>
            </w:r>
          </w:p>
          <w:p w14:paraId="59CDDD90">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1.2.2混合物光谱分离鉴别分析软件：能对混合物和污染物样品红外光谱进行采集自动搜索分离鉴别、给出含量比列，支持不同红外光谱格式，可连网检索光谱化学结构，提供全程多媒体教学，操作界面可进行中文等多语言切换。</w:t>
            </w:r>
          </w:p>
          <w:p w14:paraId="5ABC2A39">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2"/>
                <w:sz w:val="21"/>
                <w:szCs w:val="21"/>
                <w:highlight w:val="none"/>
                <w:u w:val="none"/>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*1.2.3红外光谱库：具有谱库检索和建库功能，提供无机，有机及高分子等红外光谱库，大于20万张标准物质谱图，终身免费使用。</w:t>
            </w:r>
          </w:p>
          <w:p w14:paraId="492AA011">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1.3附件</w:t>
            </w:r>
          </w:p>
          <w:p w14:paraId="4BECC6AF">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1.3.1衰减全反射附件，1套。与光谱仪同品牌的光学元件，能够尽可能提高光通量，从而可在数秒内获得样品数据。具有智能芯片识别技术和稳健的晶体装配系统，与光谱仪集成一体，确保操作准确。整体金刚石晶体可提供卓越的耐用性。</w:t>
            </w:r>
          </w:p>
          <w:p w14:paraId="4FAD6C5F">
            <w:pPr>
              <w:keepNext w:val="0"/>
              <w:keepLines w:val="0"/>
              <w:pageBreakBefore w:val="0"/>
              <w:widowControl/>
              <w:suppressLineNumbers w:val="0"/>
              <w:kinsoku/>
              <w:wordWrap/>
              <w:overflowPunct/>
              <w:topLinePunct w:val="0"/>
              <w:autoSpaceDE/>
              <w:autoSpaceDN/>
              <w:bidi w:val="0"/>
              <w:spacing w:line="240" w:lineRule="auto"/>
              <w:jc w:val="both"/>
              <w:textAlignment w:val="center"/>
              <w:rPr>
                <w:rFonts w:hint="eastAsia" w:ascii="宋体" w:hAnsi="宋体" w:eastAsia="宋体" w:cs="宋体"/>
                <w:b w:val="0"/>
                <w:bCs/>
                <w:i w:val="0"/>
                <w:iCs w:val="0"/>
                <w:color w:val="auto"/>
                <w:kern w:val="2"/>
                <w:sz w:val="21"/>
                <w:szCs w:val="21"/>
                <w:u w:val="none"/>
                <w:lang w:val="en-US" w:eastAsia="zh-CN" w:bidi="ar-SA"/>
              </w:rPr>
            </w:pPr>
            <w:r>
              <w:rPr>
                <w:rFonts w:hint="eastAsia" w:ascii="宋体" w:hAnsi="宋体" w:eastAsia="宋体" w:cs="宋体"/>
                <w:b w:val="0"/>
                <w:bCs/>
                <w:i w:val="0"/>
                <w:iCs w:val="0"/>
                <w:color w:val="auto"/>
                <w:kern w:val="0"/>
                <w:sz w:val="21"/>
                <w:szCs w:val="21"/>
                <w:u w:val="none"/>
                <w:lang w:val="en-US" w:eastAsia="zh-CN" w:bidi="ar"/>
              </w:rPr>
              <w:t>1.3.2 压片机组件，1箱。包括小型油压机（不小于2吨），7mm压片模具，固定环，插板，玛瑙研钵和研杵，50克KBr粉末。</w:t>
            </w:r>
          </w:p>
          <w:p w14:paraId="01867561">
            <w:pPr>
              <w:spacing w:line="240" w:lineRule="auto"/>
              <w:rPr>
                <w:rFonts w:hint="eastAsia"/>
                <w:b w:val="0"/>
                <w:bCs/>
                <w:color w:val="auto"/>
                <w:szCs w:val="21"/>
              </w:rPr>
            </w:pPr>
            <w:r>
              <w:rPr>
                <w:rFonts w:hint="eastAsia" w:ascii="宋体" w:hAnsi="宋体" w:eastAsia="宋体" w:cs="宋体"/>
                <w:b w:val="0"/>
                <w:bCs/>
                <w:i w:val="0"/>
                <w:iCs w:val="0"/>
                <w:color w:val="auto"/>
                <w:kern w:val="0"/>
                <w:sz w:val="21"/>
                <w:szCs w:val="21"/>
                <w:u w:val="none"/>
                <w:lang w:val="en-US" w:eastAsia="zh-CN" w:bidi="ar"/>
              </w:rPr>
              <w:t>1.3.3漫反射附件，光斑向上、可以测试各类大小及外形的样品，样品台高度可以做精密调节以获得最大信号。其中红外信号的投射及收集为同一个球面镜，其光收集面的物理尺寸不得小于8厘米。光收集面的尺寸决定了对实际样品的检测能力。</w:t>
            </w:r>
          </w:p>
        </w:tc>
        <w:tc>
          <w:tcPr>
            <w:tcW w:w="203" w:type="pct"/>
            <w:tcBorders>
              <w:top w:val="single" w:color="auto" w:sz="4" w:space="0"/>
              <w:left w:val="nil"/>
              <w:bottom w:val="single" w:color="auto" w:sz="4" w:space="0"/>
              <w:right w:val="single" w:color="auto" w:sz="4" w:space="0"/>
            </w:tcBorders>
            <w:vAlign w:val="center"/>
          </w:tcPr>
          <w:p w14:paraId="78BEC68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b w:val="0"/>
                <w:bCs/>
                <w:color w:val="auto"/>
                <w:sz w:val="21"/>
                <w:szCs w:val="21"/>
                <w:highlight w:val="none"/>
                <w:lang w:val="en-US" w:eastAsia="zh-CN"/>
              </w:rPr>
            </w:pPr>
            <w:r>
              <w:rPr>
                <w:rFonts w:hint="eastAsia" w:ascii="宋体" w:hAnsi="宋体" w:eastAsia="宋体"/>
                <w:b w:val="0"/>
                <w:bCs/>
                <w:color w:val="auto"/>
                <w:sz w:val="21"/>
                <w:szCs w:val="21"/>
                <w:highlight w:val="none"/>
                <w:lang w:val="en-US" w:eastAsia="zh-CN"/>
              </w:rPr>
              <w:t>1台</w:t>
            </w:r>
          </w:p>
        </w:tc>
        <w:tc>
          <w:tcPr>
            <w:tcW w:w="370" w:type="pct"/>
            <w:tcBorders>
              <w:top w:val="single" w:color="auto" w:sz="4" w:space="0"/>
              <w:left w:val="nil"/>
              <w:bottom w:val="single" w:color="auto" w:sz="4" w:space="0"/>
              <w:right w:val="single" w:color="auto" w:sz="4" w:space="0"/>
            </w:tcBorders>
            <w:vAlign w:val="center"/>
          </w:tcPr>
          <w:p w14:paraId="2E249136">
            <w:pPr>
              <w:keepNext w:val="0"/>
              <w:keepLines w:val="0"/>
              <w:pageBreakBefore w:val="0"/>
              <w:kinsoku/>
              <w:wordWrap/>
              <w:overflowPunct/>
              <w:topLinePunct w:val="0"/>
              <w:autoSpaceDE/>
              <w:autoSpaceDN/>
              <w:bidi w:val="0"/>
              <w:spacing w:line="240" w:lineRule="auto"/>
              <w:ind w:right="-107" w:rightChars="-51"/>
              <w:jc w:val="center"/>
              <w:textAlignment w:val="auto"/>
              <w:rPr>
                <w:rFonts w:hint="eastAsia" w:ascii="宋体" w:hAnsi="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赛默飞世尔（广州）生物科技有限公司</w:t>
            </w:r>
          </w:p>
        </w:tc>
        <w:tc>
          <w:tcPr>
            <w:tcW w:w="263" w:type="pct"/>
            <w:tcBorders>
              <w:top w:val="single" w:color="auto" w:sz="4" w:space="0"/>
              <w:left w:val="nil"/>
              <w:bottom w:val="single" w:color="auto" w:sz="4" w:space="0"/>
              <w:right w:val="single" w:color="auto" w:sz="4" w:space="0"/>
            </w:tcBorders>
            <w:vAlign w:val="center"/>
          </w:tcPr>
          <w:p w14:paraId="26EC8861">
            <w:pPr>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b w:val="0"/>
                <w:bCs/>
                <w:color w:val="auto"/>
                <w:sz w:val="21"/>
                <w:szCs w:val="21"/>
                <w:highlight w:val="none"/>
                <w:lang w:val="en-US" w:eastAsia="zh-CN"/>
              </w:rPr>
            </w:pPr>
            <w:r>
              <w:rPr>
                <w:rFonts w:hint="eastAsia" w:ascii="宋体" w:hAnsi="宋体" w:eastAsia="宋体"/>
                <w:b w:val="0"/>
                <w:bCs/>
                <w:color w:val="auto"/>
                <w:sz w:val="21"/>
                <w:szCs w:val="21"/>
                <w:highlight w:val="none"/>
                <w:lang w:val="en-US" w:eastAsia="zh-CN"/>
              </w:rPr>
              <w:t>中国</w:t>
            </w:r>
          </w:p>
        </w:tc>
        <w:tc>
          <w:tcPr>
            <w:tcW w:w="445" w:type="pct"/>
            <w:tcBorders>
              <w:top w:val="single" w:color="auto" w:sz="4" w:space="0"/>
              <w:left w:val="nil"/>
              <w:bottom w:val="single" w:color="auto" w:sz="4" w:space="0"/>
              <w:right w:val="single" w:color="auto" w:sz="4" w:space="0"/>
            </w:tcBorders>
            <w:vAlign w:val="center"/>
          </w:tcPr>
          <w:p w14:paraId="49A31F05">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b w:val="0"/>
                <w:bCs/>
                <w:color w:val="auto"/>
                <w:sz w:val="21"/>
                <w:szCs w:val="21"/>
                <w:highlight w:val="none"/>
              </w:rPr>
            </w:pPr>
          </w:p>
        </w:tc>
      </w:tr>
    </w:tbl>
    <w:p w14:paraId="428E1F7E">
      <w:pPr>
        <w:keepNext w:val="0"/>
        <w:keepLines w:val="0"/>
        <w:pageBreakBefore w:val="0"/>
        <w:kinsoku/>
        <w:wordWrap/>
        <w:overflowPunct/>
        <w:topLinePunct w:val="0"/>
        <w:autoSpaceDE/>
        <w:autoSpaceDN/>
        <w:bidi w:val="0"/>
        <w:spacing w:line="324" w:lineRule="auto"/>
        <w:textAlignment w:val="auto"/>
        <w:rPr>
          <w:rFonts w:hint="eastAsia" w:ascii="宋体" w:hAnsi="宋体" w:eastAsia="宋体"/>
          <w:b/>
          <w:color w:val="auto"/>
          <w:szCs w:val="21"/>
          <w:highlight w:val="none"/>
        </w:rPr>
      </w:pPr>
    </w:p>
    <w:p w14:paraId="73742E50">
      <w:pPr>
        <w:keepNext w:val="0"/>
        <w:keepLines w:val="0"/>
        <w:pageBreakBefore w:val="0"/>
        <w:kinsoku/>
        <w:wordWrap/>
        <w:overflowPunct/>
        <w:topLinePunct w:val="0"/>
        <w:autoSpaceDE/>
        <w:autoSpaceDN/>
        <w:bidi w:val="0"/>
        <w:spacing w:line="324" w:lineRule="auto"/>
        <w:textAlignment w:val="auto"/>
        <w:rPr>
          <w:rFonts w:ascii="Times New Roman" w:hAnsi="Times New Roman" w:eastAsia="宋体"/>
          <w:b/>
          <w:color w:val="auto"/>
          <w:szCs w:val="21"/>
          <w:highlight w:val="none"/>
        </w:rPr>
      </w:pPr>
      <w:r>
        <w:rPr>
          <w:rFonts w:hint="eastAsia" w:ascii="宋体" w:hAnsi="宋体" w:eastAsia="宋体"/>
          <w:b/>
          <w:color w:val="auto"/>
          <w:szCs w:val="21"/>
          <w:highlight w:val="none"/>
        </w:rPr>
        <w:t>甲方货物负责人签字：</w:t>
      </w:r>
    </w:p>
    <w:p w14:paraId="447B8D67">
      <w:pPr>
        <w:keepNext w:val="0"/>
        <w:keepLines w:val="0"/>
        <w:pageBreakBefore w:val="0"/>
        <w:widowControl/>
        <w:kinsoku/>
        <w:wordWrap/>
        <w:overflowPunct/>
        <w:topLinePunct w:val="0"/>
        <w:autoSpaceDE/>
        <w:autoSpaceDN/>
        <w:bidi w:val="0"/>
        <w:spacing w:line="324" w:lineRule="auto"/>
        <w:jc w:val="left"/>
        <w:textAlignment w:val="auto"/>
        <w:rPr>
          <w:rFonts w:ascii="宋体" w:hAnsi="宋体" w:eastAsia="宋体" w:cs="宋体"/>
          <w:b/>
          <w:color w:val="auto"/>
          <w:sz w:val="24"/>
          <w:szCs w:val="24"/>
          <w:highlight w:val="none"/>
        </w:rPr>
        <w:sectPr>
          <w:pgSz w:w="16838" w:h="11906" w:orient="landscape"/>
          <w:pgMar w:top="1134" w:right="1077" w:bottom="1134" w:left="79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33FE0037">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 xml:space="preserve">附件5：            </w:t>
      </w:r>
    </w:p>
    <w:p w14:paraId="39FA21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b/>
          <w:color w:val="auto"/>
          <w:sz w:val="32"/>
          <w:szCs w:val="32"/>
          <w:highlight w:val="none"/>
        </w:rPr>
      </w:pPr>
      <w:r>
        <w:rPr>
          <w:rFonts w:hint="eastAsia" w:ascii="宋体" w:hAnsi="宋体" w:eastAsia="宋体"/>
          <w:b/>
          <w:color w:val="auto"/>
          <w:sz w:val="32"/>
          <w:szCs w:val="32"/>
          <w:highlight w:val="none"/>
        </w:rPr>
        <w:t>供货商：</w:t>
      </w:r>
      <w:r>
        <w:rPr>
          <w:rFonts w:hint="eastAsia" w:ascii="宋体" w:hAnsi="宋体" w:eastAsia="宋体"/>
          <w:b/>
          <w:color w:val="auto"/>
          <w:sz w:val="32"/>
          <w:szCs w:val="32"/>
          <w:highlight w:val="none"/>
          <w:lang w:eastAsia="zh-CN"/>
        </w:rPr>
        <w:t>河南省新异进出口贸易有限公司</w:t>
      </w:r>
      <w:r>
        <w:rPr>
          <w:rFonts w:hint="eastAsia" w:ascii="宋体" w:hAnsi="宋体" w:eastAsia="宋体"/>
          <w:b/>
          <w:color w:val="auto"/>
          <w:sz w:val="32"/>
          <w:szCs w:val="32"/>
          <w:highlight w:val="none"/>
        </w:rPr>
        <w:t>质量保障及服务表</w:t>
      </w:r>
    </w:p>
    <w:p w14:paraId="7109B9A4">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 xml:space="preserve">致：河南中医药大学： </w:t>
      </w:r>
    </w:p>
    <w:p w14:paraId="1A3A92CF">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 xml:space="preserve">根据贵方招标编号为豫财招标采购-2025-1449 </w:t>
      </w:r>
      <w:r>
        <w:rPr>
          <w:rFonts w:hint="eastAsia" w:ascii="宋体" w:hAnsi="宋体" w:eastAsia="宋体"/>
          <w:b/>
          <w:color w:val="auto"/>
          <w:sz w:val="24"/>
          <w:szCs w:val="24"/>
          <w:highlight w:val="none"/>
          <w:lang w:eastAsia="zh-CN"/>
        </w:rPr>
        <w:t>（</w:t>
      </w:r>
      <w:r>
        <w:rPr>
          <w:rFonts w:hint="eastAsia" w:ascii="宋体" w:hAnsi="宋体" w:eastAsia="宋体"/>
          <w:b/>
          <w:color w:val="auto"/>
          <w:sz w:val="24"/>
          <w:szCs w:val="24"/>
          <w:highlight w:val="none"/>
          <w:lang w:val="en-US" w:eastAsia="zh-CN"/>
        </w:rPr>
        <w:t>包2）</w:t>
      </w:r>
      <w:r>
        <w:rPr>
          <w:rFonts w:hint="eastAsia" w:ascii="宋体" w:hAnsi="宋体" w:eastAsia="宋体"/>
          <w:b/>
          <w:color w:val="auto"/>
          <w:sz w:val="24"/>
          <w:szCs w:val="24"/>
          <w:highlight w:val="none"/>
        </w:rPr>
        <w:t>的货物（具体货物见附件3），我公司对该项目售后产品做出如下质保及售后服务承诺：</w:t>
      </w: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490"/>
        <w:gridCol w:w="4500"/>
        <w:gridCol w:w="788"/>
      </w:tblGrid>
      <w:tr w14:paraId="6CE7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025C9E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序号</w:t>
            </w:r>
          </w:p>
        </w:tc>
        <w:tc>
          <w:tcPr>
            <w:tcW w:w="3490" w:type="dxa"/>
            <w:tcBorders>
              <w:top w:val="single" w:color="auto" w:sz="4" w:space="0"/>
              <w:left w:val="single" w:color="auto" w:sz="4" w:space="0"/>
              <w:bottom w:val="single" w:color="auto" w:sz="4" w:space="0"/>
              <w:right w:val="single" w:color="auto" w:sz="4" w:space="0"/>
            </w:tcBorders>
            <w:vAlign w:val="center"/>
          </w:tcPr>
          <w:p w14:paraId="2B49CE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质量保障措施及服务内容</w:t>
            </w:r>
          </w:p>
        </w:tc>
        <w:tc>
          <w:tcPr>
            <w:tcW w:w="4500" w:type="dxa"/>
            <w:tcBorders>
              <w:top w:val="single" w:color="auto" w:sz="4" w:space="0"/>
              <w:left w:val="single" w:color="auto" w:sz="4" w:space="0"/>
              <w:bottom w:val="single" w:color="auto" w:sz="4" w:space="0"/>
              <w:right w:val="single" w:color="auto" w:sz="4" w:space="0"/>
            </w:tcBorders>
            <w:vAlign w:val="center"/>
          </w:tcPr>
          <w:p w14:paraId="68F3C5F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承诺</w:t>
            </w:r>
          </w:p>
        </w:tc>
        <w:tc>
          <w:tcPr>
            <w:tcW w:w="788" w:type="dxa"/>
            <w:tcBorders>
              <w:top w:val="single" w:color="auto" w:sz="4" w:space="0"/>
              <w:left w:val="single" w:color="auto" w:sz="4" w:space="0"/>
              <w:bottom w:val="single" w:color="auto" w:sz="4" w:space="0"/>
              <w:right w:val="single" w:color="auto" w:sz="4" w:space="0"/>
            </w:tcBorders>
            <w:vAlign w:val="center"/>
          </w:tcPr>
          <w:p w14:paraId="493E59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备注</w:t>
            </w:r>
          </w:p>
        </w:tc>
      </w:tr>
      <w:tr w14:paraId="0699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tcBorders>
              <w:top w:val="single" w:color="auto" w:sz="4" w:space="0"/>
              <w:left w:val="single" w:color="auto" w:sz="4" w:space="0"/>
              <w:bottom w:val="single" w:color="auto" w:sz="4" w:space="0"/>
              <w:right w:val="single" w:color="auto" w:sz="4" w:space="0"/>
            </w:tcBorders>
            <w:vAlign w:val="center"/>
          </w:tcPr>
          <w:p w14:paraId="4EADB5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1</w:t>
            </w:r>
          </w:p>
        </w:tc>
        <w:tc>
          <w:tcPr>
            <w:tcW w:w="3490" w:type="dxa"/>
            <w:tcBorders>
              <w:top w:val="single" w:color="auto" w:sz="4" w:space="0"/>
              <w:left w:val="single" w:color="auto" w:sz="4" w:space="0"/>
              <w:bottom w:val="single" w:color="auto" w:sz="4" w:space="0"/>
              <w:right w:val="single" w:color="auto" w:sz="4" w:space="0"/>
            </w:tcBorders>
            <w:vAlign w:val="center"/>
          </w:tcPr>
          <w:p w14:paraId="6D3F4D69">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整机保修</w:t>
            </w:r>
          </w:p>
        </w:tc>
        <w:tc>
          <w:tcPr>
            <w:tcW w:w="4500" w:type="dxa"/>
            <w:tcBorders>
              <w:top w:val="single" w:color="auto" w:sz="4" w:space="0"/>
              <w:left w:val="single" w:color="auto" w:sz="4" w:space="0"/>
              <w:bottom w:val="single" w:color="auto" w:sz="4" w:space="0"/>
              <w:right w:val="single" w:color="auto" w:sz="4" w:space="0"/>
            </w:tcBorders>
            <w:vAlign w:val="center"/>
          </w:tcPr>
          <w:p w14:paraId="5C5A7151">
            <w:pPr>
              <w:rPr>
                <w:rFonts w:ascii="宋体" w:hAnsi="宋体" w:eastAsia="宋体"/>
                <w:color w:val="auto"/>
                <w:szCs w:val="21"/>
                <w:highlight w:val="none"/>
              </w:rPr>
            </w:pPr>
            <w:r>
              <w:rPr>
                <w:rFonts w:hint="eastAsia" w:ascii="宋体" w:hAnsi="宋体" w:eastAsia="宋体" w:cs="宋体"/>
                <w:color w:val="auto"/>
                <w:sz w:val="21"/>
                <w:szCs w:val="21"/>
              </w:rPr>
              <w:t>三年</w:t>
            </w:r>
          </w:p>
        </w:tc>
        <w:tc>
          <w:tcPr>
            <w:tcW w:w="788" w:type="dxa"/>
            <w:tcBorders>
              <w:top w:val="single" w:color="auto" w:sz="4" w:space="0"/>
              <w:left w:val="single" w:color="auto" w:sz="4" w:space="0"/>
              <w:bottom w:val="single" w:color="auto" w:sz="4" w:space="0"/>
              <w:right w:val="single" w:color="auto" w:sz="4" w:space="0"/>
            </w:tcBorders>
            <w:vAlign w:val="center"/>
          </w:tcPr>
          <w:p w14:paraId="60ABE677">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6ADB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tcBorders>
              <w:top w:val="single" w:color="auto" w:sz="4" w:space="0"/>
              <w:left w:val="single" w:color="auto" w:sz="4" w:space="0"/>
              <w:bottom w:val="single" w:color="auto" w:sz="4" w:space="0"/>
              <w:right w:val="single" w:color="auto" w:sz="4" w:space="0"/>
            </w:tcBorders>
            <w:vAlign w:val="center"/>
          </w:tcPr>
          <w:p w14:paraId="50223B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2</w:t>
            </w:r>
          </w:p>
        </w:tc>
        <w:tc>
          <w:tcPr>
            <w:tcW w:w="3490" w:type="dxa"/>
            <w:tcBorders>
              <w:top w:val="single" w:color="auto" w:sz="4" w:space="0"/>
              <w:left w:val="single" w:color="auto" w:sz="4" w:space="0"/>
              <w:bottom w:val="single" w:color="auto" w:sz="4" w:space="0"/>
              <w:right w:val="single" w:color="auto" w:sz="4" w:space="0"/>
            </w:tcBorders>
            <w:vAlign w:val="center"/>
          </w:tcPr>
          <w:p w14:paraId="283B46CE">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随机标准配件</w:t>
            </w:r>
          </w:p>
        </w:tc>
        <w:tc>
          <w:tcPr>
            <w:tcW w:w="4500" w:type="dxa"/>
            <w:tcBorders>
              <w:top w:val="single" w:color="auto" w:sz="4" w:space="0"/>
              <w:left w:val="single" w:color="auto" w:sz="4" w:space="0"/>
              <w:bottom w:val="single" w:color="auto" w:sz="4" w:space="0"/>
              <w:right w:val="single" w:color="auto" w:sz="4" w:space="0"/>
            </w:tcBorders>
            <w:vAlign w:val="center"/>
          </w:tcPr>
          <w:p w14:paraId="52F7E5E3">
            <w:pPr>
              <w:rPr>
                <w:rFonts w:ascii="Times New Roman" w:hAnsi="Times New Roman" w:eastAsia="宋体"/>
                <w:color w:val="auto"/>
                <w:szCs w:val="21"/>
                <w:highlight w:val="none"/>
              </w:rPr>
            </w:pPr>
            <w:r>
              <w:rPr>
                <w:rFonts w:hint="eastAsia" w:ascii="宋体" w:hAnsi="宋体" w:eastAsia="宋体" w:cs="宋体"/>
                <w:color w:val="auto"/>
                <w:sz w:val="21"/>
                <w:szCs w:val="21"/>
              </w:rPr>
              <w:t>三年</w:t>
            </w:r>
          </w:p>
        </w:tc>
        <w:tc>
          <w:tcPr>
            <w:tcW w:w="788" w:type="dxa"/>
            <w:tcBorders>
              <w:top w:val="single" w:color="auto" w:sz="4" w:space="0"/>
              <w:left w:val="single" w:color="auto" w:sz="4" w:space="0"/>
              <w:bottom w:val="single" w:color="auto" w:sz="4" w:space="0"/>
              <w:right w:val="single" w:color="auto" w:sz="4" w:space="0"/>
            </w:tcBorders>
            <w:vAlign w:val="center"/>
          </w:tcPr>
          <w:p w14:paraId="49C2AE44">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64426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vAlign w:val="center"/>
          </w:tcPr>
          <w:p w14:paraId="5E0B2C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3</w:t>
            </w:r>
          </w:p>
        </w:tc>
        <w:tc>
          <w:tcPr>
            <w:tcW w:w="3490" w:type="dxa"/>
            <w:tcBorders>
              <w:top w:val="single" w:color="auto" w:sz="4" w:space="0"/>
              <w:left w:val="single" w:color="auto" w:sz="4" w:space="0"/>
              <w:bottom w:val="single" w:color="auto" w:sz="4" w:space="0"/>
              <w:right w:val="single" w:color="auto" w:sz="4" w:space="0"/>
            </w:tcBorders>
            <w:vAlign w:val="center"/>
          </w:tcPr>
          <w:p w14:paraId="5C703908">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加购选配件</w:t>
            </w:r>
          </w:p>
        </w:tc>
        <w:tc>
          <w:tcPr>
            <w:tcW w:w="4500" w:type="dxa"/>
            <w:tcBorders>
              <w:top w:val="single" w:color="auto" w:sz="4" w:space="0"/>
              <w:left w:val="single" w:color="auto" w:sz="4" w:space="0"/>
              <w:bottom w:val="single" w:color="auto" w:sz="4" w:space="0"/>
              <w:right w:val="single" w:color="auto" w:sz="4" w:space="0"/>
            </w:tcBorders>
            <w:vAlign w:val="center"/>
          </w:tcPr>
          <w:p w14:paraId="0BB25AB8">
            <w:pPr>
              <w:rPr>
                <w:rFonts w:ascii="Times New Roman" w:hAnsi="Times New Roman" w:eastAsia="宋体"/>
                <w:color w:val="auto"/>
                <w:szCs w:val="21"/>
                <w:highlight w:val="none"/>
              </w:rPr>
            </w:pPr>
            <w:r>
              <w:rPr>
                <w:rFonts w:hint="eastAsia" w:ascii="宋体" w:hAnsi="宋体" w:eastAsia="宋体" w:cs="宋体"/>
                <w:color w:val="auto"/>
                <w:sz w:val="21"/>
                <w:szCs w:val="21"/>
              </w:rPr>
              <w:t>三年</w:t>
            </w:r>
          </w:p>
        </w:tc>
        <w:tc>
          <w:tcPr>
            <w:tcW w:w="788" w:type="dxa"/>
            <w:tcBorders>
              <w:top w:val="single" w:color="auto" w:sz="4" w:space="0"/>
              <w:left w:val="single" w:color="auto" w:sz="4" w:space="0"/>
              <w:bottom w:val="single" w:color="auto" w:sz="4" w:space="0"/>
              <w:right w:val="single" w:color="auto" w:sz="4" w:space="0"/>
            </w:tcBorders>
            <w:vAlign w:val="center"/>
          </w:tcPr>
          <w:p w14:paraId="31A3AF0D">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5EA5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1B306E0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4</w:t>
            </w:r>
          </w:p>
        </w:tc>
        <w:tc>
          <w:tcPr>
            <w:tcW w:w="3490" w:type="dxa"/>
            <w:tcBorders>
              <w:top w:val="single" w:color="auto" w:sz="4" w:space="0"/>
              <w:left w:val="single" w:color="auto" w:sz="4" w:space="0"/>
              <w:bottom w:val="single" w:color="auto" w:sz="4" w:space="0"/>
              <w:right w:val="single" w:color="auto" w:sz="4" w:space="0"/>
            </w:tcBorders>
            <w:vAlign w:val="center"/>
          </w:tcPr>
          <w:p w14:paraId="2C54FA05">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随机资料、光盘介质、软盘介质、连接线、指示灯、电源线、随机工具等。</w:t>
            </w:r>
          </w:p>
        </w:tc>
        <w:tc>
          <w:tcPr>
            <w:tcW w:w="4500" w:type="dxa"/>
            <w:tcBorders>
              <w:top w:val="single" w:color="auto" w:sz="4" w:space="0"/>
              <w:left w:val="single" w:color="auto" w:sz="4" w:space="0"/>
              <w:bottom w:val="single" w:color="auto" w:sz="4" w:space="0"/>
              <w:right w:val="single" w:color="auto" w:sz="4" w:space="0"/>
            </w:tcBorders>
            <w:vAlign w:val="center"/>
          </w:tcPr>
          <w:p w14:paraId="79ACB6BC">
            <w:pPr>
              <w:rPr>
                <w:rFonts w:ascii="宋体" w:hAnsi="宋体" w:eastAsia="宋体"/>
                <w:color w:val="auto"/>
                <w:szCs w:val="21"/>
                <w:highlight w:val="none"/>
              </w:rPr>
            </w:pPr>
            <w:r>
              <w:rPr>
                <w:rFonts w:hint="eastAsia" w:ascii="宋体" w:hAnsi="宋体" w:eastAsia="宋体" w:cs="宋体"/>
                <w:color w:val="auto"/>
                <w:sz w:val="21"/>
                <w:szCs w:val="21"/>
              </w:rPr>
              <w:t>随机配置见随机装箱清单</w:t>
            </w:r>
          </w:p>
        </w:tc>
        <w:tc>
          <w:tcPr>
            <w:tcW w:w="788" w:type="dxa"/>
            <w:tcBorders>
              <w:top w:val="single" w:color="auto" w:sz="4" w:space="0"/>
              <w:left w:val="single" w:color="auto" w:sz="4" w:space="0"/>
              <w:bottom w:val="single" w:color="auto" w:sz="4" w:space="0"/>
              <w:right w:val="single" w:color="auto" w:sz="4" w:space="0"/>
            </w:tcBorders>
            <w:vAlign w:val="center"/>
          </w:tcPr>
          <w:p w14:paraId="1DF5E1F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656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20" w:type="dxa"/>
            <w:tcBorders>
              <w:top w:val="single" w:color="auto" w:sz="4" w:space="0"/>
              <w:left w:val="single" w:color="auto" w:sz="4" w:space="0"/>
              <w:bottom w:val="single" w:color="auto" w:sz="4" w:space="0"/>
              <w:right w:val="single" w:color="auto" w:sz="4" w:space="0"/>
            </w:tcBorders>
            <w:vAlign w:val="center"/>
          </w:tcPr>
          <w:p w14:paraId="6B0218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5</w:t>
            </w:r>
          </w:p>
        </w:tc>
        <w:tc>
          <w:tcPr>
            <w:tcW w:w="3490" w:type="dxa"/>
            <w:tcBorders>
              <w:top w:val="single" w:color="auto" w:sz="4" w:space="0"/>
              <w:left w:val="single" w:color="auto" w:sz="4" w:space="0"/>
              <w:bottom w:val="single" w:color="auto" w:sz="4" w:space="0"/>
              <w:right w:val="single" w:color="auto" w:sz="4" w:space="0"/>
            </w:tcBorders>
            <w:vAlign w:val="center"/>
          </w:tcPr>
          <w:p w14:paraId="627C6253">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运输方式</w:t>
            </w:r>
          </w:p>
        </w:tc>
        <w:tc>
          <w:tcPr>
            <w:tcW w:w="4500" w:type="dxa"/>
            <w:tcBorders>
              <w:top w:val="single" w:color="auto" w:sz="4" w:space="0"/>
              <w:left w:val="single" w:color="auto" w:sz="4" w:space="0"/>
              <w:bottom w:val="single" w:color="auto" w:sz="4" w:space="0"/>
              <w:right w:val="single" w:color="auto" w:sz="4" w:space="0"/>
            </w:tcBorders>
            <w:vAlign w:val="center"/>
          </w:tcPr>
          <w:p w14:paraId="1ED770A8">
            <w:pPr>
              <w:rPr>
                <w:rFonts w:ascii="宋体" w:hAnsi="宋体" w:eastAsia="宋体"/>
                <w:color w:val="auto"/>
                <w:szCs w:val="21"/>
                <w:highlight w:val="none"/>
              </w:rPr>
            </w:pPr>
            <w:r>
              <w:rPr>
                <w:rFonts w:hint="eastAsia" w:ascii="宋体" w:hAnsi="宋体" w:eastAsia="宋体" w:cs="宋体"/>
                <w:color w:val="auto"/>
                <w:sz w:val="21"/>
                <w:szCs w:val="21"/>
              </w:rPr>
              <w:t>免费送货上门</w:t>
            </w:r>
          </w:p>
        </w:tc>
        <w:tc>
          <w:tcPr>
            <w:tcW w:w="788" w:type="dxa"/>
            <w:tcBorders>
              <w:top w:val="single" w:color="auto" w:sz="4" w:space="0"/>
              <w:left w:val="single" w:color="auto" w:sz="4" w:space="0"/>
              <w:bottom w:val="single" w:color="auto" w:sz="4" w:space="0"/>
              <w:right w:val="single" w:color="auto" w:sz="4" w:space="0"/>
            </w:tcBorders>
            <w:vAlign w:val="center"/>
          </w:tcPr>
          <w:p w14:paraId="1CF21DF5">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45CB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0" w:type="dxa"/>
            <w:tcBorders>
              <w:top w:val="single" w:color="auto" w:sz="4" w:space="0"/>
              <w:left w:val="single" w:color="auto" w:sz="4" w:space="0"/>
              <w:bottom w:val="single" w:color="auto" w:sz="4" w:space="0"/>
              <w:right w:val="single" w:color="auto" w:sz="4" w:space="0"/>
            </w:tcBorders>
            <w:vAlign w:val="center"/>
          </w:tcPr>
          <w:p w14:paraId="2405D3F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6</w:t>
            </w:r>
          </w:p>
        </w:tc>
        <w:tc>
          <w:tcPr>
            <w:tcW w:w="3490" w:type="dxa"/>
            <w:tcBorders>
              <w:top w:val="single" w:color="auto" w:sz="4" w:space="0"/>
              <w:left w:val="single" w:color="auto" w:sz="4" w:space="0"/>
              <w:bottom w:val="single" w:color="auto" w:sz="4" w:space="0"/>
              <w:right w:val="single" w:color="auto" w:sz="4" w:space="0"/>
            </w:tcBorders>
            <w:vAlign w:val="center"/>
          </w:tcPr>
          <w:p w14:paraId="7A7340A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交货时间</w:t>
            </w:r>
          </w:p>
        </w:tc>
        <w:tc>
          <w:tcPr>
            <w:tcW w:w="4500" w:type="dxa"/>
            <w:tcBorders>
              <w:top w:val="single" w:color="auto" w:sz="4" w:space="0"/>
              <w:left w:val="single" w:color="auto" w:sz="4" w:space="0"/>
              <w:bottom w:val="single" w:color="auto" w:sz="4" w:space="0"/>
              <w:right w:val="single" w:color="auto" w:sz="4" w:space="0"/>
            </w:tcBorders>
            <w:vAlign w:val="center"/>
          </w:tcPr>
          <w:p w14:paraId="7E575728">
            <w:pPr>
              <w:rPr>
                <w:rFonts w:ascii="宋体" w:hAnsi="宋体" w:eastAsia="宋体"/>
                <w:color w:val="auto"/>
                <w:szCs w:val="21"/>
                <w:highlight w:val="none"/>
              </w:rPr>
            </w:pPr>
            <w:r>
              <w:rPr>
                <w:rFonts w:hint="eastAsia" w:ascii="宋体" w:hAnsi="宋体" w:eastAsia="宋体" w:cs="宋体"/>
                <w:color w:val="auto"/>
                <w:sz w:val="21"/>
                <w:szCs w:val="21"/>
              </w:rPr>
              <w:t>*****年**月***日前交货完毕</w:t>
            </w:r>
          </w:p>
        </w:tc>
        <w:tc>
          <w:tcPr>
            <w:tcW w:w="788" w:type="dxa"/>
            <w:tcBorders>
              <w:top w:val="single" w:color="auto" w:sz="4" w:space="0"/>
              <w:left w:val="single" w:color="auto" w:sz="4" w:space="0"/>
              <w:bottom w:val="single" w:color="auto" w:sz="4" w:space="0"/>
              <w:right w:val="single" w:color="auto" w:sz="4" w:space="0"/>
            </w:tcBorders>
            <w:vAlign w:val="center"/>
          </w:tcPr>
          <w:p w14:paraId="438AC076">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284F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20" w:type="dxa"/>
            <w:tcBorders>
              <w:top w:val="single" w:color="auto" w:sz="4" w:space="0"/>
              <w:left w:val="single" w:color="auto" w:sz="4" w:space="0"/>
              <w:bottom w:val="single" w:color="auto" w:sz="4" w:space="0"/>
              <w:right w:val="single" w:color="auto" w:sz="4" w:space="0"/>
            </w:tcBorders>
            <w:vAlign w:val="center"/>
          </w:tcPr>
          <w:p w14:paraId="375E97D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7</w:t>
            </w:r>
          </w:p>
        </w:tc>
        <w:tc>
          <w:tcPr>
            <w:tcW w:w="3490" w:type="dxa"/>
            <w:tcBorders>
              <w:top w:val="single" w:color="auto" w:sz="4" w:space="0"/>
              <w:left w:val="single" w:color="auto" w:sz="4" w:space="0"/>
              <w:bottom w:val="single" w:color="auto" w:sz="4" w:space="0"/>
              <w:right w:val="single" w:color="auto" w:sz="4" w:space="0"/>
            </w:tcBorders>
            <w:vAlign w:val="center"/>
          </w:tcPr>
          <w:p w14:paraId="4CC28511">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 xml:space="preserve">安装、调试服务 </w:t>
            </w:r>
          </w:p>
        </w:tc>
        <w:tc>
          <w:tcPr>
            <w:tcW w:w="4500" w:type="dxa"/>
            <w:tcBorders>
              <w:top w:val="single" w:color="auto" w:sz="4" w:space="0"/>
              <w:left w:val="single" w:color="auto" w:sz="4" w:space="0"/>
              <w:bottom w:val="single" w:color="auto" w:sz="4" w:space="0"/>
              <w:right w:val="single" w:color="auto" w:sz="4" w:space="0"/>
            </w:tcBorders>
            <w:vAlign w:val="center"/>
          </w:tcPr>
          <w:p w14:paraId="339695B2">
            <w:pPr>
              <w:rPr>
                <w:rFonts w:ascii="宋体" w:hAnsi="宋体" w:eastAsia="宋体"/>
                <w:color w:val="auto"/>
                <w:szCs w:val="21"/>
                <w:highlight w:val="none"/>
              </w:rPr>
            </w:pPr>
            <w:r>
              <w:rPr>
                <w:rFonts w:hint="eastAsia" w:ascii="宋体" w:hAnsi="宋体" w:eastAsia="宋体" w:cs="宋体"/>
                <w:color w:val="auto"/>
                <w:sz w:val="21"/>
                <w:szCs w:val="21"/>
              </w:rPr>
              <w:t>免费安装调试</w:t>
            </w:r>
          </w:p>
        </w:tc>
        <w:tc>
          <w:tcPr>
            <w:tcW w:w="788" w:type="dxa"/>
            <w:tcBorders>
              <w:top w:val="single" w:color="auto" w:sz="4" w:space="0"/>
              <w:left w:val="single" w:color="auto" w:sz="4" w:space="0"/>
              <w:bottom w:val="single" w:color="auto" w:sz="4" w:space="0"/>
              <w:right w:val="single" w:color="auto" w:sz="4" w:space="0"/>
            </w:tcBorders>
            <w:vAlign w:val="center"/>
          </w:tcPr>
          <w:p w14:paraId="1F2E14DB">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40FD4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20" w:type="dxa"/>
            <w:tcBorders>
              <w:top w:val="single" w:color="auto" w:sz="4" w:space="0"/>
              <w:left w:val="single" w:color="auto" w:sz="4" w:space="0"/>
              <w:bottom w:val="single" w:color="auto" w:sz="4" w:space="0"/>
              <w:right w:val="single" w:color="auto" w:sz="4" w:space="0"/>
            </w:tcBorders>
            <w:vAlign w:val="center"/>
          </w:tcPr>
          <w:p w14:paraId="124BC21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8</w:t>
            </w:r>
          </w:p>
        </w:tc>
        <w:tc>
          <w:tcPr>
            <w:tcW w:w="3490" w:type="dxa"/>
            <w:tcBorders>
              <w:top w:val="single" w:color="auto" w:sz="4" w:space="0"/>
              <w:left w:val="single" w:color="auto" w:sz="4" w:space="0"/>
              <w:bottom w:val="single" w:color="auto" w:sz="4" w:space="0"/>
              <w:right w:val="single" w:color="auto" w:sz="4" w:space="0"/>
            </w:tcBorders>
            <w:vAlign w:val="center"/>
          </w:tcPr>
          <w:p w14:paraId="4E2325E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整机免费换货期限</w:t>
            </w:r>
          </w:p>
        </w:tc>
        <w:tc>
          <w:tcPr>
            <w:tcW w:w="4500" w:type="dxa"/>
            <w:tcBorders>
              <w:top w:val="single" w:color="auto" w:sz="4" w:space="0"/>
              <w:left w:val="single" w:color="auto" w:sz="4" w:space="0"/>
              <w:bottom w:val="single" w:color="auto" w:sz="4" w:space="0"/>
              <w:right w:val="single" w:color="auto" w:sz="4" w:space="0"/>
            </w:tcBorders>
            <w:vAlign w:val="center"/>
          </w:tcPr>
          <w:p w14:paraId="55BC1189">
            <w:pPr>
              <w:rPr>
                <w:rFonts w:ascii="宋体" w:hAnsi="宋体" w:eastAsia="宋体"/>
                <w:color w:val="auto"/>
                <w:szCs w:val="21"/>
                <w:highlight w:val="none"/>
              </w:rPr>
            </w:pPr>
            <w:r>
              <w:rPr>
                <w:rFonts w:hint="eastAsia" w:ascii="宋体" w:hAnsi="宋体" w:eastAsia="宋体" w:cs="宋体"/>
                <w:color w:val="auto"/>
                <w:sz w:val="21"/>
                <w:szCs w:val="21"/>
              </w:rPr>
              <w:t>12个月</w:t>
            </w:r>
          </w:p>
        </w:tc>
        <w:tc>
          <w:tcPr>
            <w:tcW w:w="788" w:type="dxa"/>
            <w:tcBorders>
              <w:top w:val="single" w:color="auto" w:sz="4" w:space="0"/>
              <w:left w:val="single" w:color="auto" w:sz="4" w:space="0"/>
              <w:bottom w:val="single" w:color="auto" w:sz="4" w:space="0"/>
              <w:right w:val="single" w:color="auto" w:sz="4" w:space="0"/>
            </w:tcBorders>
            <w:vAlign w:val="center"/>
          </w:tcPr>
          <w:p w14:paraId="00BB613E">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6B19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2A4AAA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9</w:t>
            </w:r>
          </w:p>
        </w:tc>
        <w:tc>
          <w:tcPr>
            <w:tcW w:w="3490" w:type="dxa"/>
            <w:tcBorders>
              <w:top w:val="single" w:color="auto" w:sz="4" w:space="0"/>
              <w:left w:val="single" w:color="auto" w:sz="4" w:space="0"/>
              <w:bottom w:val="single" w:color="auto" w:sz="4" w:space="0"/>
              <w:right w:val="single" w:color="auto" w:sz="4" w:space="0"/>
            </w:tcBorders>
            <w:vAlign w:val="center"/>
          </w:tcPr>
          <w:p w14:paraId="149E5490">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免费上门服务期</w:t>
            </w:r>
          </w:p>
        </w:tc>
        <w:tc>
          <w:tcPr>
            <w:tcW w:w="4500" w:type="dxa"/>
            <w:tcBorders>
              <w:top w:val="single" w:color="auto" w:sz="4" w:space="0"/>
              <w:left w:val="single" w:color="auto" w:sz="4" w:space="0"/>
              <w:bottom w:val="single" w:color="auto" w:sz="4" w:space="0"/>
              <w:right w:val="single" w:color="auto" w:sz="4" w:space="0"/>
            </w:tcBorders>
            <w:vAlign w:val="center"/>
          </w:tcPr>
          <w:p w14:paraId="33DCDDA6">
            <w:pPr>
              <w:rPr>
                <w:rFonts w:ascii="宋体" w:hAnsi="宋体" w:eastAsia="宋体"/>
                <w:color w:val="auto"/>
                <w:szCs w:val="21"/>
                <w:highlight w:val="none"/>
              </w:rPr>
            </w:pPr>
            <w:r>
              <w:rPr>
                <w:rFonts w:hint="eastAsia" w:ascii="宋体" w:hAnsi="宋体" w:eastAsia="宋体" w:cs="宋体"/>
                <w:color w:val="auto"/>
                <w:sz w:val="21"/>
                <w:szCs w:val="21"/>
              </w:rPr>
              <w:t>终身。提供随叫随到上门服务，全天候24小时响应（包括节假日如春节、国庆节、五一节等），</w:t>
            </w:r>
          </w:p>
        </w:tc>
        <w:tc>
          <w:tcPr>
            <w:tcW w:w="788" w:type="dxa"/>
            <w:tcBorders>
              <w:top w:val="single" w:color="auto" w:sz="4" w:space="0"/>
              <w:left w:val="single" w:color="auto" w:sz="4" w:space="0"/>
              <w:bottom w:val="single" w:color="auto" w:sz="4" w:space="0"/>
              <w:right w:val="single" w:color="auto" w:sz="4" w:space="0"/>
            </w:tcBorders>
            <w:vAlign w:val="center"/>
          </w:tcPr>
          <w:p w14:paraId="4770EB55">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2CFB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0" w:type="dxa"/>
            <w:tcBorders>
              <w:top w:val="single" w:color="auto" w:sz="4" w:space="0"/>
              <w:left w:val="single" w:color="auto" w:sz="4" w:space="0"/>
              <w:bottom w:val="single" w:color="auto" w:sz="4" w:space="0"/>
              <w:right w:val="single" w:color="auto" w:sz="4" w:space="0"/>
            </w:tcBorders>
            <w:vAlign w:val="center"/>
          </w:tcPr>
          <w:p w14:paraId="4EDAE3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10</w:t>
            </w:r>
          </w:p>
        </w:tc>
        <w:tc>
          <w:tcPr>
            <w:tcW w:w="3490" w:type="dxa"/>
            <w:tcBorders>
              <w:top w:val="single" w:color="auto" w:sz="4" w:space="0"/>
              <w:left w:val="single" w:color="auto" w:sz="4" w:space="0"/>
              <w:bottom w:val="single" w:color="auto" w:sz="4" w:space="0"/>
              <w:right w:val="single" w:color="auto" w:sz="4" w:space="0"/>
            </w:tcBorders>
            <w:vAlign w:val="center"/>
          </w:tcPr>
          <w:p w14:paraId="4561A67E">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质保期内产品故障服务响应时限</w:t>
            </w:r>
          </w:p>
        </w:tc>
        <w:tc>
          <w:tcPr>
            <w:tcW w:w="4500" w:type="dxa"/>
            <w:tcBorders>
              <w:top w:val="single" w:color="auto" w:sz="4" w:space="0"/>
              <w:left w:val="single" w:color="auto" w:sz="4" w:space="0"/>
              <w:bottom w:val="single" w:color="auto" w:sz="4" w:space="0"/>
              <w:right w:val="single" w:color="auto" w:sz="4" w:space="0"/>
            </w:tcBorders>
            <w:vAlign w:val="center"/>
          </w:tcPr>
          <w:p w14:paraId="54E3F473">
            <w:pPr>
              <w:rPr>
                <w:rFonts w:ascii="宋体" w:hAnsi="宋体" w:eastAsia="宋体"/>
                <w:color w:val="auto"/>
                <w:szCs w:val="21"/>
                <w:highlight w:val="none"/>
              </w:rPr>
            </w:pPr>
            <w:r>
              <w:rPr>
                <w:rFonts w:hint="eastAsia" w:ascii="宋体" w:hAnsi="宋体" w:eastAsia="宋体" w:cs="宋体"/>
                <w:color w:val="auto"/>
                <w:sz w:val="21"/>
                <w:szCs w:val="21"/>
              </w:rPr>
              <w:t>2个小时内响应</w:t>
            </w:r>
          </w:p>
        </w:tc>
        <w:tc>
          <w:tcPr>
            <w:tcW w:w="788" w:type="dxa"/>
            <w:tcBorders>
              <w:top w:val="single" w:color="auto" w:sz="4" w:space="0"/>
              <w:left w:val="single" w:color="auto" w:sz="4" w:space="0"/>
              <w:bottom w:val="single" w:color="auto" w:sz="4" w:space="0"/>
              <w:right w:val="single" w:color="auto" w:sz="4" w:space="0"/>
            </w:tcBorders>
            <w:vAlign w:val="center"/>
          </w:tcPr>
          <w:p w14:paraId="039A24AC">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2517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20" w:type="dxa"/>
            <w:tcBorders>
              <w:top w:val="single" w:color="auto" w:sz="4" w:space="0"/>
              <w:left w:val="single" w:color="auto" w:sz="4" w:space="0"/>
              <w:bottom w:val="single" w:color="auto" w:sz="4" w:space="0"/>
              <w:right w:val="single" w:color="auto" w:sz="4" w:space="0"/>
            </w:tcBorders>
            <w:vAlign w:val="center"/>
          </w:tcPr>
          <w:p w14:paraId="4D56BD1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11</w:t>
            </w:r>
          </w:p>
        </w:tc>
        <w:tc>
          <w:tcPr>
            <w:tcW w:w="3490" w:type="dxa"/>
            <w:tcBorders>
              <w:top w:val="single" w:color="auto" w:sz="4" w:space="0"/>
              <w:left w:val="single" w:color="auto" w:sz="4" w:space="0"/>
              <w:bottom w:val="single" w:color="auto" w:sz="4" w:space="0"/>
              <w:right w:val="single" w:color="auto" w:sz="4" w:space="0"/>
            </w:tcBorders>
            <w:vAlign w:val="center"/>
          </w:tcPr>
          <w:p w14:paraId="1114E5BD">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服务时间</w:t>
            </w:r>
          </w:p>
        </w:tc>
        <w:tc>
          <w:tcPr>
            <w:tcW w:w="4500" w:type="dxa"/>
            <w:tcBorders>
              <w:top w:val="single" w:color="auto" w:sz="4" w:space="0"/>
              <w:left w:val="single" w:color="auto" w:sz="4" w:space="0"/>
              <w:bottom w:val="single" w:color="auto" w:sz="4" w:space="0"/>
              <w:right w:val="single" w:color="auto" w:sz="4" w:space="0"/>
            </w:tcBorders>
            <w:vAlign w:val="center"/>
          </w:tcPr>
          <w:p w14:paraId="7F5E81DF">
            <w:pPr>
              <w:rPr>
                <w:rFonts w:ascii="宋体" w:hAnsi="宋体" w:eastAsia="宋体"/>
                <w:color w:val="auto"/>
                <w:szCs w:val="21"/>
                <w:highlight w:val="none"/>
              </w:rPr>
            </w:pPr>
            <w:r>
              <w:rPr>
                <w:rFonts w:hint="eastAsia" w:ascii="宋体" w:hAnsi="宋体" w:eastAsia="宋体" w:cs="宋体"/>
                <w:color w:val="auto"/>
                <w:sz w:val="21"/>
                <w:szCs w:val="21"/>
              </w:rPr>
              <w:t>24小时（包括节假日如春节、国庆节、五一节等）</w:t>
            </w:r>
          </w:p>
        </w:tc>
        <w:tc>
          <w:tcPr>
            <w:tcW w:w="788" w:type="dxa"/>
            <w:tcBorders>
              <w:top w:val="single" w:color="auto" w:sz="4" w:space="0"/>
              <w:left w:val="single" w:color="auto" w:sz="4" w:space="0"/>
              <w:bottom w:val="single" w:color="auto" w:sz="4" w:space="0"/>
              <w:right w:val="single" w:color="auto" w:sz="4" w:space="0"/>
            </w:tcBorders>
            <w:vAlign w:val="center"/>
          </w:tcPr>
          <w:p w14:paraId="35DA67B4">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183E4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tcBorders>
              <w:top w:val="single" w:color="auto" w:sz="4" w:space="0"/>
              <w:left w:val="single" w:color="auto" w:sz="4" w:space="0"/>
              <w:bottom w:val="single" w:color="auto" w:sz="4" w:space="0"/>
              <w:right w:val="single" w:color="auto" w:sz="4" w:space="0"/>
            </w:tcBorders>
            <w:vAlign w:val="center"/>
          </w:tcPr>
          <w:p w14:paraId="67614E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12</w:t>
            </w:r>
          </w:p>
        </w:tc>
        <w:tc>
          <w:tcPr>
            <w:tcW w:w="3490" w:type="dxa"/>
            <w:tcBorders>
              <w:top w:val="single" w:color="auto" w:sz="4" w:space="0"/>
              <w:left w:val="single" w:color="auto" w:sz="4" w:space="0"/>
              <w:bottom w:val="single" w:color="auto" w:sz="4" w:space="0"/>
              <w:right w:val="single" w:color="auto" w:sz="4" w:space="0"/>
            </w:tcBorders>
            <w:vAlign w:val="center"/>
          </w:tcPr>
          <w:p w14:paraId="005F411B">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上门时间</w:t>
            </w:r>
          </w:p>
        </w:tc>
        <w:tc>
          <w:tcPr>
            <w:tcW w:w="4500" w:type="dxa"/>
            <w:tcBorders>
              <w:top w:val="single" w:color="auto" w:sz="4" w:space="0"/>
              <w:left w:val="single" w:color="auto" w:sz="4" w:space="0"/>
              <w:bottom w:val="single" w:color="auto" w:sz="4" w:space="0"/>
              <w:right w:val="single" w:color="auto" w:sz="4" w:space="0"/>
            </w:tcBorders>
            <w:vAlign w:val="center"/>
          </w:tcPr>
          <w:p w14:paraId="09B0F1BB">
            <w:pPr>
              <w:rPr>
                <w:rFonts w:ascii="宋体" w:hAnsi="宋体" w:eastAsia="宋体"/>
                <w:color w:val="auto"/>
                <w:szCs w:val="21"/>
                <w:highlight w:val="none"/>
              </w:rPr>
            </w:pPr>
            <w:r>
              <w:rPr>
                <w:rFonts w:hint="eastAsia" w:ascii="宋体" w:hAnsi="宋体" w:eastAsia="宋体" w:cs="宋体"/>
                <w:color w:val="auto"/>
                <w:sz w:val="21"/>
                <w:szCs w:val="21"/>
              </w:rPr>
              <w:t>2小时内响应及时上门</w:t>
            </w:r>
          </w:p>
        </w:tc>
        <w:tc>
          <w:tcPr>
            <w:tcW w:w="788" w:type="dxa"/>
            <w:tcBorders>
              <w:top w:val="single" w:color="auto" w:sz="4" w:space="0"/>
              <w:left w:val="single" w:color="auto" w:sz="4" w:space="0"/>
              <w:bottom w:val="single" w:color="auto" w:sz="4" w:space="0"/>
              <w:right w:val="single" w:color="auto" w:sz="4" w:space="0"/>
            </w:tcBorders>
            <w:vAlign w:val="center"/>
          </w:tcPr>
          <w:p w14:paraId="7A518C30">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7BCF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tcBorders>
              <w:top w:val="single" w:color="auto" w:sz="4" w:space="0"/>
              <w:left w:val="single" w:color="auto" w:sz="4" w:space="0"/>
              <w:bottom w:val="single" w:color="auto" w:sz="4" w:space="0"/>
              <w:right w:val="single" w:color="auto" w:sz="4" w:space="0"/>
            </w:tcBorders>
            <w:vAlign w:val="center"/>
          </w:tcPr>
          <w:p w14:paraId="21AA62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13</w:t>
            </w:r>
          </w:p>
        </w:tc>
        <w:tc>
          <w:tcPr>
            <w:tcW w:w="3490" w:type="dxa"/>
            <w:tcBorders>
              <w:top w:val="single" w:color="auto" w:sz="4" w:space="0"/>
              <w:left w:val="single" w:color="auto" w:sz="4" w:space="0"/>
              <w:bottom w:val="single" w:color="auto" w:sz="4" w:space="0"/>
              <w:right w:val="single" w:color="auto" w:sz="4" w:space="0"/>
            </w:tcBorders>
            <w:vAlign w:val="center"/>
          </w:tcPr>
          <w:p w14:paraId="138DDB70">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故障修复时限</w:t>
            </w:r>
          </w:p>
        </w:tc>
        <w:tc>
          <w:tcPr>
            <w:tcW w:w="4500" w:type="dxa"/>
            <w:tcBorders>
              <w:top w:val="single" w:color="auto" w:sz="4" w:space="0"/>
              <w:left w:val="single" w:color="auto" w:sz="4" w:space="0"/>
              <w:bottom w:val="single" w:color="auto" w:sz="4" w:space="0"/>
              <w:right w:val="single" w:color="auto" w:sz="4" w:space="0"/>
            </w:tcBorders>
            <w:vAlign w:val="center"/>
          </w:tcPr>
          <w:p w14:paraId="73AFB86B">
            <w:pPr>
              <w:rPr>
                <w:rFonts w:ascii="宋体" w:hAnsi="宋体" w:eastAsia="宋体"/>
                <w:color w:val="auto"/>
                <w:szCs w:val="21"/>
                <w:highlight w:val="none"/>
              </w:rPr>
            </w:pPr>
            <w:r>
              <w:rPr>
                <w:rFonts w:hint="eastAsia" w:ascii="宋体" w:hAnsi="宋体" w:eastAsia="宋体" w:cs="宋体"/>
                <w:color w:val="auto"/>
                <w:sz w:val="21"/>
                <w:szCs w:val="21"/>
              </w:rPr>
              <w:t>8个小时内修复</w:t>
            </w:r>
          </w:p>
        </w:tc>
        <w:tc>
          <w:tcPr>
            <w:tcW w:w="788" w:type="dxa"/>
            <w:tcBorders>
              <w:top w:val="single" w:color="auto" w:sz="4" w:space="0"/>
              <w:left w:val="single" w:color="auto" w:sz="4" w:space="0"/>
              <w:bottom w:val="single" w:color="auto" w:sz="4" w:space="0"/>
              <w:right w:val="single" w:color="auto" w:sz="4" w:space="0"/>
            </w:tcBorders>
            <w:vAlign w:val="center"/>
          </w:tcPr>
          <w:p w14:paraId="7BEE9034">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0B1C7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tcBorders>
              <w:top w:val="single" w:color="auto" w:sz="4" w:space="0"/>
              <w:left w:val="single" w:color="auto" w:sz="4" w:space="0"/>
              <w:bottom w:val="single" w:color="auto" w:sz="4" w:space="0"/>
              <w:right w:val="single" w:color="auto" w:sz="4" w:space="0"/>
            </w:tcBorders>
            <w:vAlign w:val="center"/>
          </w:tcPr>
          <w:p w14:paraId="2B2C1C1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14</w:t>
            </w:r>
          </w:p>
        </w:tc>
        <w:tc>
          <w:tcPr>
            <w:tcW w:w="3490" w:type="dxa"/>
            <w:tcBorders>
              <w:top w:val="single" w:color="auto" w:sz="4" w:space="0"/>
              <w:left w:val="single" w:color="auto" w:sz="4" w:space="0"/>
              <w:bottom w:val="single" w:color="auto" w:sz="4" w:space="0"/>
              <w:right w:val="single" w:color="auto" w:sz="4" w:space="0"/>
            </w:tcBorders>
            <w:vAlign w:val="center"/>
          </w:tcPr>
          <w:p w14:paraId="18387D2D">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备品配件供应响应时限</w:t>
            </w:r>
          </w:p>
        </w:tc>
        <w:tc>
          <w:tcPr>
            <w:tcW w:w="4500" w:type="dxa"/>
            <w:tcBorders>
              <w:top w:val="single" w:color="auto" w:sz="4" w:space="0"/>
              <w:left w:val="single" w:color="auto" w:sz="4" w:space="0"/>
              <w:bottom w:val="single" w:color="auto" w:sz="4" w:space="0"/>
              <w:right w:val="single" w:color="auto" w:sz="4" w:space="0"/>
            </w:tcBorders>
            <w:vAlign w:val="center"/>
          </w:tcPr>
          <w:p w14:paraId="196D6754">
            <w:pPr>
              <w:rPr>
                <w:rFonts w:ascii="宋体" w:hAnsi="宋体" w:eastAsia="宋体"/>
                <w:color w:val="auto"/>
                <w:szCs w:val="21"/>
                <w:highlight w:val="none"/>
              </w:rPr>
            </w:pPr>
            <w:r>
              <w:rPr>
                <w:rFonts w:hint="eastAsia" w:ascii="宋体" w:hAnsi="宋体" w:eastAsia="宋体" w:cs="宋体"/>
                <w:color w:val="auto"/>
                <w:sz w:val="21"/>
                <w:szCs w:val="21"/>
              </w:rPr>
              <w:t>1个工作日内</w:t>
            </w:r>
          </w:p>
        </w:tc>
        <w:tc>
          <w:tcPr>
            <w:tcW w:w="788" w:type="dxa"/>
            <w:tcBorders>
              <w:top w:val="single" w:color="auto" w:sz="4" w:space="0"/>
              <w:left w:val="single" w:color="auto" w:sz="4" w:space="0"/>
              <w:bottom w:val="single" w:color="auto" w:sz="4" w:space="0"/>
              <w:right w:val="single" w:color="auto" w:sz="4" w:space="0"/>
            </w:tcBorders>
            <w:vAlign w:val="center"/>
          </w:tcPr>
          <w:p w14:paraId="01FA38E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44FF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53B5407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15</w:t>
            </w:r>
          </w:p>
        </w:tc>
        <w:tc>
          <w:tcPr>
            <w:tcW w:w="3490" w:type="dxa"/>
            <w:tcBorders>
              <w:top w:val="single" w:color="auto" w:sz="4" w:space="0"/>
              <w:left w:val="single" w:color="auto" w:sz="4" w:space="0"/>
              <w:bottom w:val="single" w:color="auto" w:sz="4" w:space="0"/>
              <w:right w:val="single" w:color="auto" w:sz="4" w:space="0"/>
            </w:tcBorders>
            <w:vAlign w:val="center"/>
          </w:tcPr>
          <w:p w14:paraId="2CF6D30B">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保质期满后的保修服务费用</w:t>
            </w:r>
          </w:p>
        </w:tc>
        <w:tc>
          <w:tcPr>
            <w:tcW w:w="4500" w:type="dxa"/>
            <w:tcBorders>
              <w:top w:val="single" w:color="auto" w:sz="4" w:space="0"/>
              <w:left w:val="single" w:color="auto" w:sz="4" w:space="0"/>
              <w:bottom w:val="single" w:color="auto" w:sz="4" w:space="0"/>
              <w:right w:val="single" w:color="auto" w:sz="4" w:space="0"/>
            </w:tcBorders>
            <w:vAlign w:val="center"/>
          </w:tcPr>
          <w:p w14:paraId="2751EE48">
            <w:pPr>
              <w:rPr>
                <w:rFonts w:ascii="宋体" w:hAnsi="宋体" w:eastAsia="宋体"/>
                <w:color w:val="auto"/>
                <w:szCs w:val="21"/>
                <w:highlight w:val="none"/>
              </w:rPr>
            </w:pPr>
            <w:r>
              <w:rPr>
                <w:rFonts w:hint="eastAsia" w:ascii="宋体" w:hAnsi="宋体" w:eastAsia="宋体" w:cs="宋体"/>
                <w:color w:val="auto"/>
                <w:sz w:val="21"/>
                <w:szCs w:val="21"/>
              </w:rPr>
              <w:t>详见开标一览表</w:t>
            </w:r>
          </w:p>
        </w:tc>
        <w:tc>
          <w:tcPr>
            <w:tcW w:w="788" w:type="dxa"/>
            <w:tcBorders>
              <w:top w:val="single" w:color="auto" w:sz="4" w:space="0"/>
              <w:left w:val="single" w:color="auto" w:sz="4" w:space="0"/>
              <w:bottom w:val="single" w:color="auto" w:sz="4" w:space="0"/>
              <w:right w:val="single" w:color="auto" w:sz="4" w:space="0"/>
            </w:tcBorders>
            <w:vAlign w:val="center"/>
          </w:tcPr>
          <w:p w14:paraId="2954B566">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0DAD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vAlign w:val="center"/>
          </w:tcPr>
          <w:p w14:paraId="1AB371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16</w:t>
            </w:r>
          </w:p>
        </w:tc>
        <w:tc>
          <w:tcPr>
            <w:tcW w:w="3490" w:type="dxa"/>
            <w:tcBorders>
              <w:top w:val="single" w:color="auto" w:sz="4" w:space="0"/>
              <w:left w:val="single" w:color="auto" w:sz="4" w:space="0"/>
              <w:bottom w:val="single" w:color="auto" w:sz="4" w:space="0"/>
              <w:right w:val="single" w:color="auto" w:sz="4" w:space="0"/>
            </w:tcBorders>
            <w:vAlign w:val="center"/>
          </w:tcPr>
          <w:p w14:paraId="5C0DC0AD">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免费技术支持</w:t>
            </w:r>
          </w:p>
        </w:tc>
        <w:tc>
          <w:tcPr>
            <w:tcW w:w="4500" w:type="dxa"/>
            <w:tcBorders>
              <w:top w:val="single" w:color="auto" w:sz="4" w:space="0"/>
              <w:left w:val="single" w:color="auto" w:sz="4" w:space="0"/>
              <w:bottom w:val="single" w:color="auto" w:sz="4" w:space="0"/>
              <w:right w:val="single" w:color="auto" w:sz="4" w:space="0"/>
            </w:tcBorders>
            <w:vAlign w:val="center"/>
          </w:tcPr>
          <w:p w14:paraId="6E7A4388">
            <w:pPr>
              <w:rPr>
                <w:rFonts w:ascii="宋体" w:hAnsi="宋体" w:eastAsia="宋体"/>
                <w:color w:val="auto"/>
                <w:szCs w:val="21"/>
                <w:highlight w:val="none"/>
              </w:rPr>
            </w:pPr>
            <w:r>
              <w:rPr>
                <w:rFonts w:hint="eastAsia" w:ascii="宋体" w:hAnsi="宋体" w:eastAsia="宋体" w:cs="宋体"/>
                <w:color w:val="auto"/>
                <w:sz w:val="21"/>
                <w:szCs w:val="21"/>
              </w:rPr>
              <w:t>终身</w:t>
            </w:r>
          </w:p>
        </w:tc>
        <w:tc>
          <w:tcPr>
            <w:tcW w:w="788" w:type="dxa"/>
            <w:tcBorders>
              <w:top w:val="single" w:color="auto" w:sz="4" w:space="0"/>
              <w:left w:val="single" w:color="auto" w:sz="4" w:space="0"/>
              <w:bottom w:val="single" w:color="auto" w:sz="4" w:space="0"/>
              <w:right w:val="single" w:color="auto" w:sz="4" w:space="0"/>
            </w:tcBorders>
            <w:vAlign w:val="center"/>
          </w:tcPr>
          <w:p w14:paraId="6214C52D">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4C9A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41A1F29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17</w:t>
            </w:r>
          </w:p>
        </w:tc>
        <w:tc>
          <w:tcPr>
            <w:tcW w:w="3490" w:type="dxa"/>
            <w:tcBorders>
              <w:top w:val="single" w:color="auto" w:sz="4" w:space="0"/>
              <w:left w:val="single" w:color="auto" w:sz="4" w:space="0"/>
              <w:bottom w:val="single" w:color="auto" w:sz="4" w:space="0"/>
              <w:right w:val="single" w:color="auto" w:sz="4" w:space="0"/>
            </w:tcBorders>
            <w:vAlign w:val="center"/>
          </w:tcPr>
          <w:p w14:paraId="7DD55EF0">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客户操作人员技术培训</w:t>
            </w:r>
          </w:p>
        </w:tc>
        <w:tc>
          <w:tcPr>
            <w:tcW w:w="4500" w:type="dxa"/>
            <w:tcBorders>
              <w:top w:val="single" w:color="auto" w:sz="4" w:space="0"/>
              <w:left w:val="single" w:color="auto" w:sz="4" w:space="0"/>
              <w:bottom w:val="single" w:color="auto" w:sz="4" w:space="0"/>
              <w:right w:val="single" w:color="auto" w:sz="4" w:space="0"/>
            </w:tcBorders>
            <w:vAlign w:val="center"/>
          </w:tcPr>
          <w:p w14:paraId="47727473">
            <w:pPr>
              <w:rPr>
                <w:rFonts w:ascii="宋体" w:hAnsi="宋体" w:eastAsia="宋体"/>
                <w:color w:val="auto"/>
                <w:szCs w:val="21"/>
                <w:highlight w:val="none"/>
              </w:rPr>
            </w:pPr>
            <w:r>
              <w:rPr>
                <w:rFonts w:hint="eastAsia" w:ascii="宋体" w:hAnsi="宋体" w:eastAsia="宋体" w:cs="宋体"/>
                <w:color w:val="auto"/>
                <w:sz w:val="21"/>
                <w:szCs w:val="21"/>
              </w:rPr>
              <w:t>免费技术培训至少</w:t>
            </w:r>
            <w:r>
              <w:rPr>
                <w:rFonts w:hint="eastAsia" w:ascii="宋体" w:hAnsi="宋体" w:eastAsia="宋体" w:cs="宋体"/>
                <w:color w:val="auto"/>
                <w:sz w:val="21"/>
                <w:szCs w:val="21"/>
                <w:lang w:val="en-US" w:eastAsia="zh-CN"/>
              </w:rPr>
              <w:t>3-5</w:t>
            </w:r>
            <w:r>
              <w:rPr>
                <w:rFonts w:hint="eastAsia" w:ascii="宋体" w:hAnsi="宋体" w:eastAsia="宋体" w:cs="宋体"/>
                <w:color w:val="auto"/>
                <w:sz w:val="21"/>
                <w:szCs w:val="21"/>
              </w:rPr>
              <w:t>名操作人员，操作和简单故障处理。</w:t>
            </w:r>
          </w:p>
        </w:tc>
        <w:tc>
          <w:tcPr>
            <w:tcW w:w="788" w:type="dxa"/>
            <w:tcBorders>
              <w:top w:val="single" w:color="auto" w:sz="4" w:space="0"/>
              <w:left w:val="single" w:color="auto" w:sz="4" w:space="0"/>
              <w:bottom w:val="single" w:color="auto" w:sz="4" w:space="0"/>
              <w:right w:val="single" w:color="auto" w:sz="4" w:space="0"/>
            </w:tcBorders>
            <w:vAlign w:val="center"/>
          </w:tcPr>
          <w:p w14:paraId="729EBEBB">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6A84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4A059B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18</w:t>
            </w:r>
          </w:p>
        </w:tc>
        <w:tc>
          <w:tcPr>
            <w:tcW w:w="3490" w:type="dxa"/>
            <w:tcBorders>
              <w:top w:val="single" w:color="auto" w:sz="4" w:space="0"/>
              <w:left w:val="single" w:color="auto" w:sz="4" w:space="0"/>
              <w:bottom w:val="single" w:color="auto" w:sz="4" w:space="0"/>
              <w:right w:val="single" w:color="auto" w:sz="4" w:space="0"/>
            </w:tcBorders>
            <w:vAlign w:val="center"/>
          </w:tcPr>
          <w:p w14:paraId="6870C465">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郑州维修部地址</w:t>
            </w:r>
          </w:p>
        </w:tc>
        <w:tc>
          <w:tcPr>
            <w:tcW w:w="4500" w:type="dxa"/>
            <w:tcBorders>
              <w:top w:val="single" w:color="auto" w:sz="4" w:space="0"/>
              <w:left w:val="single" w:color="auto" w:sz="4" w:space="0"/>
              <w:bottom w:val="single" w:color="auto" w:sz="4" w:space="0"/>
              <w:right w:val="single" w:color="auto" w:sz="4" w:space="0"/>
            </w:tcBorders>
            <w:vAlign w:val="center"/>
          </w:tcPr>
          <w:p w14:paraId="450018AE">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s="Times New Roman"/>
                <w:color w:val="auto"/>
                <w:szCs w:val="21"/>
              </w:rPr>
              <w:t>郑州市金水区黄河路85号1号楼23层23</w:t>
            </w:r>
            <w:r>
              <w:rPr>
                <w:rFonts w:hint="eastAsia" w:ascii="宋体" w:hAnsi="宋体" w:eastAsia="宋体" w:cs="Times New Roman"/>
                <w:color w:val="auto"/>
                <w:szCs w:val="21"/>
                <w:lang w:val="en-US" w:eastAsia="zh-CN"/>
              </w:rPr>
              <w:t>09</w:t>
            </w:r>
            <w:r>
              <w:rPr>
                <w:rFonts w:hint="eastAsia" w:ascii="宋体" w:hAnsi="宋体" w:eastAsia="宋体" w:cs="Times New Roman"/>
                <w:color w:val="auto"/>
                <w:szCs w:val="21"/>
              </w:rPr>
              <w:t xml:space="preserve">号 </w:t>
            </w:r>
          </w:p>
        </w:tc>
        <w:tc>
          <w:tcPr>
            <w:tcW w:w="788" w:type="dxa"/>
            <w:tcBorders>
              <w:top w:val="single" w:color="auto" w:sz="4" w:space="0"/>
              <w:left w:val="single" w:color="auto" w:sz="4" w:space="0"/>
              <w:bottom w:val="single" w:color="auto" w:sz="4" w:space="0"/>
              <w:right w:val="single" w:color="auto" w:sz="4" w:space="0"/>
            </w:tcBorders>
            <w:vAlign w:val="center"/>
          </w:tcPr>
          <w:p w14:paraId="33EE1F5B">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59BC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0" w:type="dxa"/>
            <w:tcBorders>
              <w:top w:val="single" w:color="auto" w:sz="4" w:space="0"/>
              <w:left w:val="single" w:color="auto" w:sz="4" w:space="0"/>
              <w:bottom w:val="single" w:color="auto" w:sz="4" w:space="0"/>
              <w:right w:val="single" w:color="auto" w:sz="4" w:space="0"/>
            </w:tcBorders>
            <w:vAlign w:val="center"/>
          </w:tcPr>
          <w:p w14:paraId="68BDE3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19</w:t>
            </w:r>
          </w:p>
        </w:tc>
        <w:tc>
          <w:tcPr>
            <w:tcW w:w="3490" w:type="dxa"/>
            <w:tcBorders>
              <w:top w:val="single" w:color="auto" w:sz="4" w:space="0"/>
              <w:left w:val="single" w:color="auto" w:sz="4" w:space="0"/>
              <w:bottom w:val="single" w:color="auto" w:sz="4" w:space="0"/>
              <w:right w:val="single" w:color="auto" w:sz="4" w:space="0"/>
            </w:tcBorders>
            <w:vAlign w:val="center"/>
          </w:tcPr>
          <w:p w14:paraId="3C42B7D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联系人</w:t>
            </w:r>
          </w:p>
        </w:tc>
        <w:tc>
          <w:tcPr>
            <w:tcW w:w="4500" w:type="dxa"/>
            <w:tcBorders>
              <w:top w:val="single" w:color="auto" w:sz="4" w:space="0"/>
              <w:left w:val="single" w:color="auto" w:sz="4" w:space="0"/>
              <w:bottom w:val="single" w:color="auto" w:sz="4" w:space="0"/>
              <w:right w:val="single" w:color="auto" w:sz="4" w:space="0"/>
            </w:tcBorders>
            <w:vAlign w:val="center"/>
          </w:tcPr>
          <w:p w14:paraId="429EC73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olor w:val="auto"/>
                <w:szCs w:val="21"/>
                <w:highlight w:val="none"/>
                <w:lang w:eastAsia="zh-CN"/>
              </w:rPr>
            </w:pPr>
            <w:r>
              <w:rPr>
                <w:rFonts w:hint="eastAsia" w:ascii="宋体" w:hAnsi="宋体" w:eastAsia="宋体"/>
                <w:color w:val="auto"/>
                <w:szCs w:val="21"/>
                <w:highlight w:val="none"/>
                <w:lang w:eastAsia="zh-CN"/>
              </w:rPr>
              <w:t>陈鹏</w:t>
            </w:r>
          </w:p>
        </w:tc>
        <w:tc>
          <w:tcPr>
            <w:tcW w:w="788" w:type="dxa"/>
            <w:tcBorders>
              <w:top w:val="single" w:color="auto" w:sz="4" w:space="0"/>
              <w:left w:val="single" w:color="auto" w:sz="4" w:space="0"/>
              <w:bottom w:val="single" w:color="auto" w:sz="4" w:space="0"/>
              <w:right w:val="single" w:color="auto" w:sz="4" w:space="0"/>
            </w:tcBorders>
            <w:vAlign w:val="center"/>
          </w:tcPr>
          <w:p w14:paraId="072F082D">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0D86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tcBorders>
              <w:top w:val="single" w:color="auto" w:sz="4" w:space="0"/>
              <w:left w:val="single" w:color="auto" w:sz="4" w:space="0"/>
              <w:bottom w:val="single" w:color="auto" w:sz="4" w:space="0"/>
              <w:right w:val="single" w:color="auto" w:sz="4" w:space="0"/>
            </w:tcBorders>
            <w:vAlign w:val="center"/>
          </w:tcPr>
          <w:p w14:paraId="0E45A0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20</w:t>
            </w:r>
          </w:p>
        </w:tc>
        <w:tc>
          <w:tcPr>
            <w:tcW w:w="3490" w:type="dxa"/>
            <w:tcBorders>
              <w:top w:val="single" w:color="auto" w:sz="4" w:space="0"/>
              <w:left w:val="single" w:color="auto" w:sz="4" w:space="0"/>
              <w:bottom w:val="single" w:color="auto" w:sz="4" w:space="0"/>
              <w:right w:val="single" w:color="auto" w:sz="4" w:space="0"/>
            </w:tcBorders>
            <w:vAlign w:val="center"/>
          </w:tcPr>
          <w:p w14:paraId="04E0C5A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联系电话</w:t>
            </w:r>
          </w:p>
        </w:tc>
        <w:tc>
          <w:tcPr>
            <w:tcW w:w="4500" w:type="dxa"/>
            <w:tcBorders>
              <w:top w:val="single" w:color="auto" w:sz="4" w:space="0"/>
              <w:left w:val="single" w:color="auto" w:sz="4" w:space="0"/>
              <w:bottom w:val="single" w:color="auto" w:sz="4" w:space="0"/>
              <w:right w:val="single" w:color="auto" w:sz="4" w:space="0"/>
            </w:tcBorders>
            <w:vAlign w:val="center"/>
          </w:tcPr>
          <w:p w14:paraId="21C771E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13837124434</w:t>
            </w:r>
          </w:p>
        </w:tc>
        <w:tc>
          <w:tcPr>
            <w:tcW w:w="788" w:type="dxa"/>
            <w:tcBorders>
              <w:top w:val="single" w:color="auto" w:sz="4" w:space="0"/>
              <w:left w:val="single" w:color="auto" w:sz="4" w:space="0"/>
              <w:bottom w:val="single" w:color="auto" w:sz="4" w:space="0"/>
              <w:right w:val="single" w:color="auto" w:sz="4" w:space="0"/>
            </w:tcBorders>
            <w:vAlign w:val="center"/>
          </w:tcPr>
          <w:p w14:paraId="2EEE87B7">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523E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0" w:type="dxa"/>
            <w:tcBorders>
              <w:top w:val="single" w:color="auto" w:sz="4" w:space="0"/>
              <w:left w:val="single" w:color="auto" w:sz="4" w:space="0"/>
              <w:bottom w:val="single" w:color="auto" w:sz="4" w:space="0"/>
              <w:right w:val="single" w:color="auto" w:sz="4" w:space="0"/>
            </w:tcBorders>
            <w:vAlign w:val="center"/>
          </w:tcPr>
          <w:p w14:paraId="3F92629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21</w:t>
            </w:r>
          </w:p>
        </w:tc>
        <w:tc>
          <w:tcPr>
            <w:tcW w:w="3490" w:type="dxa"/>
            <w:tcBorders>
              <w:top w:val="single" w:color="auto" w:sz="4" w:space="0"/>
              <w:left w:val="single" w:color="auto" w:sz="4" w:space="0"/>
              <w:bottom w:val="single" w:color="auto" w:sz="4" w:space="0"/>
              <w:right w:val="single" w:color="auto" w:sz="4" w:space="0"/>
            </w:tcBorders>
            <w:vAlign w:val="center"/>
          </w:tcPr>
          <w:p w14:paraId="4736C90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维修服务热线</w:t>
            </w:r>
          </w:p>
        </w:tc>
        <w:tc>
          <w:tcPr>
            <w:tcW w:w="4500" w:type="dxa"/>
            <w:tcBorders>
              <w:top w:val="single" w:color="auto" w:sz="4" w:space="0"/>
              <w:left w:val="single" w:color="auto" w:sz="4" w:space="0"/>
              <w:bottom w:val="single" w:color="auto" w:sz="4" w:space="0"/>
              <w:right w:val="single" w:color="auto" w:sz="4" w:space="0"/>
            </w:tcBorders>
            <w:vAlign w:val="center"/>
          </w:tcPr>
          <w:p w14:paraId="5036DE8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0371-53692586</w:t>
            </w:r>
          </w:p>
        </w:tc>
        <w:tc>
          <w:tcPr>
            <w:tcW w:w="788" w:type="dxa"/>
            <w:tcBorders>
              <w:top w:val="single" w:color="auto" w:sz="4" w:space="0"/>
              <w:left w:val="single" w:color="auto" w:sz="4" w:space="0"/>
              <w:bottom w:val="single" w:color="auto" w:sz="4" w:space="0"/>
              <w:right w:val="single" w:color="auto" w:sz="4" w:space="0"/>
            </w:tcBorders>
            <w:vAlign w:val="center"/>
          </w:tcPr>
          <w:p w14:paraId="758A8AFC">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r w14:paraId="5759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74BEB0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eastAsia="宋体"/>
                <w:color w:val="auto"/>
                <w:szCs w:val="21"/>
                <w:highlight w:val="none"/>
              </w:rPr>
            </w:pPr>
            <w:r>
              <w:rPr>
                <w:rFonts w:hint="eastAsia" w:ascii="Times New Roman" w:hAnsi="Times New Roman" w:eastAsia="宋体"/>
                <w:color w:val="auto"/>
                <w:szCs w:val="21"/>
                <w:highlight w:val="none"/>
              </w:rPr>
              <w:t>22</w:t>
            </w:r>
          </w:p>
        </w:tc>
        <w:tc>
          <w:tcPr>
            <w:tcW w:w="3490" w:type="dxa"/>
            <w:tcBorders>
              <w:top w:val="single" w:color="auto" w:sz="4" w:space="0"/>
              <w:left w:val="single" w:color="auto" w:sz="4" w:space="0"/>
              <w:bottom w:val="single" w:color="auto" w:sz="4" w:space="0"/>
              <w:right w:val="single" w:color="auto" w:sz="4" w:space="0"/>
            </w:tcBorders>
            <w:vAlign w:val="center"/>
          </w:tcPr>
          <w:p w14:paraId="5904BA22">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r>
              <w:rPr>
                <w:rFonts w:hint="eastAsia" w:ascii="宋体" w:hAnsi="宋体" w:eastAsia="宋体"/>
                <w:color w:val="auto"/>
                <w:szCs w:val="21"/>
                <w:highlight w:val="none"/>
              </w:rPr>
              <w:t>其他承诺</w:t>
            </w:r>
          </w:p>
        </w:tc>
        <w:tc>
          <w:tcPr>
            <w:tcW w:w="4500" w:type="dxa"/>
            <w:tcBorders>
              <w:top w:val="single" w:color="auto" w:sz="4" w:space="0"/>
              <w:left w:val="single" w:color="auto" w:sz="4" w:space="0"/>
              <w:bottom w:val="single" w:color="auto" w:sz="4" w:space="0"/>
              <w:right w:val="single" w:color="auto" w:sz="4" w:space="0"/>
            </w:tcBorders>
            <w:vAlign w:val="center"/>
          </w:tcPr>
          <w:p w14:paraId="6BB1E05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olor w:val="auto"/>
                <w:szCs w:val="21"/>
                <w:highlight w:val="none"/>
                <w:lang w:eastAsia="zh-CN"/>
              </w:rPr>
            </w:pPr>
            <w:r>
              <w:rPr>
                <w:rFonts w:hint="eastAsia" w:ascii="宋体" w:hAnsi="宋体" w:eastAsia="宋体"/>
                <w:color w:val="auto"/>
                <w:szCs w:val="21"/>
                <w:highlight w:val="none"/>
                <w:lang w:eastAsia="zh-CN"/>
              </w:rPr>
              <w:t>无</w:t>
            </w:r>
          </w:p>
        </w:tc>
        <w:tc>
          <w:tcPr>
            <w:tcW w:w="788" w:type="dxa"/>
            <w:tcBorders>
              <w:top w:val="single" w:color="auto" w:sz="4" w:space="0"/>
              <w:left w:val="single" w:color="auto" w:sz="4" w:space="0"/>
              <w:bottom w:val="single" w:color="auto" w:sz="4" w:space="0"/>
              <w:right w:val="single" w:color="auto" w:sz="4" w:space="0"/>
            </w:tcBorders>
            <w:vAlign w:val="center"/>
          </w:tcPr>
          <w:p w14:paraId="0B62EBEB">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olor w:val="auto"/>
                <w:szCs w:val="21"/>
                <w:highlight w:val="none"/>
              </w:rPr>
            </w:pPr>
          </w:p>
        </w:tc>
      </w:tr>
    </w:tbl>
    <w:p w14:paraId="5BCD37A1">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承诺公司签字（盖章）：</w:t>
      </w:r>
    </w:p>
    <w:p w14:paraId="741DFD4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b/>
          <w:color w:val="auto"/>
          <w:sz w:val="24"/>
          <w:szCs w:val="24"/>
          <w:highlight w:val="none"/>
        </w:rPr>
        <w:sectPr>
          <w:pgSz w:w="11906" w:h="16838"/>
          <w:pgMar w:top="1440" w:right="1247" w:bottom="1440" w:left="1247" w:header="851" w:footer="510"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771D844C">
      <w:pPr>
        <w:keepNext w:val="0"/>
        <w:keepLines w:val="0"/>
        <w:pageBreakBefore w:val="0"/>
        <w:kinsoku/>
        <w:wordWrap/>
        <w:overflowPunct/>
        <w:topLinePunct w:val="0"/>
        <w:autoSpaceDE/>
        <w:autoSpaceDN/>
        <w:bidi w:val="0"/>
        <w:spacing w:line="324" w:lineRule="auto"/>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 xml:space="preserve"> 附件6：</w:t>
      </w:r>
    </w:p>
    <w:p w14:paraId="5BD402D2">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b/>
          <w:color w:val="auto"/>
          <w:sz w:val="32"/>
          <w:szCs w:val="32"/>
          <w:highlight w:val="none"/>
        </w:rPr>
      </w:pPr>
      <w:r>
        <w:rPr>
          <w:rFonts w:hint="eastAsia" w:ascii="宋体" w:hAnsi="宋体" w:eastAsia="宋体"/>
          <w:b/>
          <w:color w:val="auto"/>
          <w:sz w:val="32"/>
          <w:szCs w:val="32"/>
          <w:highlight w:val="none"/>
        </w:rPr>
        <w:t>豫财招标采购-2025-1449</w:t>
      </w:r>
      <w:r>
        <w:rPr>
          <w:rFonts w:hint="eastAsia" w:ascii="宋体" w:hAnsi="宋体" w:eastAsia="宋体"/>
          <w:b/>
          <w:color w:val="auto"/>
          <w:sz w:val="32"/>
          <w:szCs w:val="32"/>
          <w:highlight w:val="none"/>
          <w:lang w:eastAsia="zh-CN"/>
        </w:rPr>
        <w:t>（</w:t>
      </w:r>
      <w:r>
        <w:rPr>
          <w:rFonts w:hint="eastAsia" w:ascii="宋体" w:hAnsi="宋体" w:eastAsia="宋体"/>
          <w:b/>
          <w:color w:val="auto"/>
          <w:sz w:val="32"/>
          <w:szCs w:val="32"/>
          <w:highlight w:val="none"/>
          <w:lang w:val="en-US" w:eastAsia="zh-CN"/>
        </w:rPr>
        <w:t>包2）</w:t>
      </w:r>
      <w:r>
        <w:rPr>
          <w:rFonts w:hint="eastAsia" w:ascii="宋体" w:hAnsi="宋体" w:eastAsia="宋体"/>
          <w:b/>
          <w:color w:val="auto"/>
          <w:sz w:val="32"/>
          <w:szCs w:val="32"/>
          <w:highlight w:val="none"/>
        </w:rPr>
        <w:t>合同安装培训计划表</w:t>
      </w:r>
    </w:p>
    <w:p w14:paraId="2035D8E3">
      <w:pPr>
        <w:keepNext w:val="0"/>
        <w:keepLines w:val="0"/>
        <w:pageBreakBefore w:val="0"/>
        <w:kinsoku/>
        <w:wordWrap/>
        <w:overflowPunct/>
        <w:topLinePunct w:val="0"/>
        <w:autoSpaceDE/>
        <w:autoSpaceDN/>
        <w:bidi w:val="0"/>
        <w:snapToGrid w:val="0"/>
        <w:spacing w:line="324" w:lineRule="auto"/>
        <w:textAlignment w:val="auto"/>
        <w:rPr>
          <w:rFonts w:ascii="宋体" w:hAnsi="宋体" w:eastAsia="宋体"/>
          <w:b/>
          <w:color w:val="auto"/>
          <w:szCs w:val="21"/>
          <w:highlight w:val="none"/>
        </w:rPr>
      </w:pPr>
      <w:r>
        <w:rPr>
          <w:rFonts w:hint="eastAsia" w:ascii="宋体" w:hAnsi="宋体" w:eastAsia="宋体"/>
          <w:b/>
          <w:color w:val="auto"/>
          <w:szCs w:val="21"/>
          <w:highlight w:val="none"/>
        </w:rPr>
        <w:t xml:space="preserve"> </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14:paraId="4542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3423BA27">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序号</w:t>
            </w:r>
          </w:p>
        </w:tc>
        <w:tc>
          <w:tcPr>
            <w:tcW w:w="2126" w:type="dxa"/>
            <w:tcBorders>
              <w:top w:val="single" w:color="auto" w:sz="4" w:space="0"/>
              <w:left w:val="single" w:color="auto" w:sz="4" w:space="0"/>
              <w:bottom w:val="single" w:color="auto" w:sz="4" w:space="0"/>
              <w:right w:val="single" w:color="auto" w:sz="4" w:space="0"/>
            </w:tcBorders>
            <w:vAlign w:val="center"/>
          </w:tcPr>
          <w:p w14:paraId="6A6D0FFA">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项目</w:t>
            </w:r>
          </w:p>
        </w:tc>
        <w:tc>
          <w:tcPr>
            <w:tcW w:w="6407" w:type="dxa"/>
            <w:tcBorders>
              <w:top w:val="single" w:color="auto" w:sz="4" w:space="0"/>
              <w:left w:val="single" w:color="auto" w:sz="4" w:space="0"/>
              <w:bottom w:val="single" w:color="auto" w:sz="4" w:space="0"/>
              <w:right w:val="single" w:color="auto" w:sz="4" w:space="0"/>
            </w:tcBorders>
            <w:vAlign w:val="center"/>
          </w:tcPr>
          <w:p w14:paraId="672A4361">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具体内容</w:t>
            </w:r>
          </w:p>
        </w:tc>
      </w:tr>
      <w:tr w14:paraId="5684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5CC219FE">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一</w:t>
            </w:r>
          </w:p>
        </w:tc>
        <w:tc>
          <w:tcPr>
            <w:tcW w:w="2126" w:type="dxa"/>
            <w:tcBorders>
              <w:top w:val="single" w:color="auto" w:sz="4" w:space="0"/>
              <w:left w:val="single" w:color="auto" w:sz="4" w:space="0"/>
              <w:bottom w:val="single" w:color="auto" w:sz="4" w:space="0"/>
              <w:right w:val="single" w:color="auto" w:sz="4" w:space="0"/>
            </w:tcBorders>
            <w:vAlign w:val="center"/>
          </w:tcPr>
          <w:p w14:paraId="41F4B84A">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培训所要达到的目标</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3BF52176">
            <w:pPr>
              <w:spacing w:line="360" w:lineRule="auto"/>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lang w:eastAsia="zh-CN"/>
              </w:rPr>
              <w:t>保证用户能够正常使用，并自行分析数据和维护</w:t>
            </w:r>
          </w:p>
        </w:tc>
      </w:tr>
      <w:tr w14:paraId="75A4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5013FF3B">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二</w:t>
            </w:r>
          </w:p>
        </w:tc>
        <w:tc>
          <w:tcPr>
            <w:tcW w:w="2126" w:type="dxa"/>
            <w:tcBorders>
              <w:top w:val="single" w:color="auto" w:sz="4" w:space="0"/>
              <w:left w:val="single" w:color="auto" w:sz="4" w:space="0"/>
              <w:bottom w:val="single" w:color="auto" w:sz="4" w:space="0"/>
              <w:right w:val="single" w:color="auto" w:sz="4" w:space="0"/>
            </w:tcBorders>
            <w:vAlign w:val="center"/>
          </w:tcPr>
          <w:p w14:paraId="3A6B88D9">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培训内容</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54E13653">
            <w:pPr>
              <w:numPr>
                <w:ilvl w:val="0"/>
                <w:numId w:val="0"/>
              </w:numPr>
              <w:spacing w:line="360" w:lineRule="auto"/>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1、仪器操作与硬件维护</w:t>
            </w:r>
          </w:p>
          <w:p w14:paraId="5A007DCD">
            <w:pPr>
              <w:numPr>
                <w:ilvl w:val="0"/>
                <w:numId w:val="0"/>
              </w:numPr>
              <w:spacing w:line="360" w:lineRule="auto"/>
              <w:ind w:left="0" w:leftChars="0" w:firstLine="0" w:firstLineChars="0"/>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lang w:val="en-US" w:eastAsia="zh-CN"/>
              </w:rPr>
              <w:t>2、仪器软件操作</w:t>
            </w:r>
          </w:p>
        </w:tc>
      </w:tr>
      <w:tr w14:paraId="06E7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78AC632D">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三</w:t>
            </w:r>
          </w:p>
        </w:tc>
        <w:tc>
          <w:tcPr>
            <w:tcW w:w="2126" w:type="dxa"/>
            <w:tcBorders>
              <w:top w:val="single" w:color="auto" w:sz="4" w:space="0"/>
              <w:left w:val="single" w:color="auto" w:sz="4" w:space="0"/>
              <w:bottom w:val="single" w:color="auto" w:sz="4" w:space="0"/>
              <w:right w:val="single" w:color="auto" w:sz="4" w:space="0"/>
            </w:tcBorders>
            <w:vAlign w:val="center"/>
          </w:tcPr>
          <w:p w14:paraId="38C0FC9D">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培训标准</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01B9EEF6">
            <w:pPr>
              <w:spacing w:line="360" w:lineRule="auto"/>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1、保证用户能够独立上手操作和使用仪器</w:t>
            </w:r>
          </w:p>
          <w:p w14:paraId="0732ED9C">
            <w:pPr>
              <w:spacing w:line="360" w:lineRule="auto"/>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2、能够区分仪器采集数据质量</w:t>
            </w:r>
          </w:p>
          <w:p w14:paraId="18AF8C86">
            <w:pPr>
              <w:spacing w:line="360" w:lineRule="auto"/>
              <w:rPr>
                <w:rFonts w:hint="default" w:asciiTheme="minorHAnsi" w:hAnsiTheme="minorHAnsi" w:eastAsiaTheme="minorEastAsia" w:cstheme="minorBidi"/>
                <w:color w:val="auto"/>
                <w:kern w:val="2"/>
                <w:sz w:val="21"/>
                <w:szCs w:val="22"/>
                <w:lang w:val="en-US" w:eastAsia="zh-CN" w:bidi="ar-SA"/>
              </w:rPr>
            </w:pPr>
            <w:r>
              <w:rPr>
                <w:rFonts w:hint="eastAsia" w:ascii="宋体" w:hAnsi="宋体" w:eastAsia="宋体" w:cs="Times New Roman"/>
                <w:color w:val="auto"/>
                <w:szCs w:val="21"/>
                <w:lang w:val="en-US" w:eastAsia="zh-CN"/>
              </w:rPr>
              <w:t>3、能够独立解析数据，自动定性定量检测</w:t>
            </w:r>
          </w:p>
        </w:tc>
      </w:tr>
      <w:tr w14:paraId="2624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2B92A9F1">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四</w:t>
            </w:r>
          </w:p>
        </w:tc>
        <w:tc>
          <w:tcPr>
            <w:tcW w:w="2126" w:type="dxa"/>
            <w:tcBorders>
              <w:top w:val="single" w:color="auto" w:sz="4" w:space="0"/>
              <w:left w:val="single" w:color="auto" w:sz="4" w:space="0"/>
              <w:bottom w:val="single" w:color="auto" w:sz="4" w:space="0"/>
              <w:right w:val="single" w:color="auto" w:sz="4" w:space="0"/>
            </w:tcBorders>
            <w:vAlign w:val="center"/>
          </w:tcPr>
          <w:p w14:paraId="30FF18C7">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培训时间</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7AB14BE1">
            <w:pPr>
              <w:spacing w:line="360" w:lineRule="auto"/>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lang w:eastAsia="zh-CN"/>
              </w:rPr>
              <w:t>现场简单操作培训</w:t>
            </w:r>
            <w:r>
              <w:rPr>
                <w:rFonts w:hint="eastAsia" w:ascii="宋体" w:hAnsi="宋体" w:eastAsia="宋体" w:cs="Times New Roman"/>
                <w:color w:val="auto"/>
                <w:szCs w:val="21"/>
                <w:lang w:val="en-US" w:eastAsia="zh-CN"/>
              </w:rPr>
              <w:t>4天，现场应用培训4天</w:t>
            </w:r>
          </w:p>
        </w:tc>
      </w:tr>
      <w:tr w14:paraId="0FA5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413170A8">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五</w:t>
            </w:r>
          </w:p>
        </w:tc>
        <w:tc>
          <w:tcPr>
            <w:tcW w:w="2126" w:type="dxa"/>
            <w:tcBorders>
              <w:top w:val="single" w:color="auto" w:sz="4" w:space="0"/>
              <w:left w:val="single" w:color="auto" w:sz="4" w:space="0"/>
              <w:bottom w:val="single" w:color="auto" w:sz="4" w:space="0"/>
              <w:right w:val="single" w:color="auto" w:sz="4" w:space="0"/>
            </w:tcBorders>
            <w:vAlign w:val="center"/>
          </w:tcPr>
          <w:p w14:paraId="2E3048F2">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培训人数</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4D0CDCBE">
            <w:pPr>
              <w:spacing w:line="360" w:lineRule="auto"/>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lang w:val="en-US" w:eastAsia="zh-CN"/>
              </w:rPr>
              <w:t>3-5人次</w:t>
            </w:r>
          </w:p>
        </w:tc>
      </w:tr>
      <w:tr w14:paraId="1027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5F08B6F6">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六</w:t>
            </w:r>
          </w:p>
        </w:tc>
        <w:tc>
          <w:tcPr>
            <w:tcW w:w="2126" w:type="dxa"/>
            <w:tcBorders>
              <w:top w:val="single" w:color="auto" w:sz="4" w:space="0"/>
              <w:left w:val="single" w:color="auto" w:sz="4" w:space="0"/>
              <w:bottom w:val="single" w:color="auto" w:sz="4" w:space="0"/>
              <w:right w:val="single" w:color="auto" w:sz="4" w:space="0"/>
            </w:tcBorders>
            <w:vAlign w:val="center"/>
          </w:tcPr>
          <w:p w14:paraId="679D3B88">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培训费用</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7E9C5BBF">
            <w:pPr>
              <w:spacing w:line="360" w:lineRule="auto"/>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lang w:eastAsia="zh-CN"/>
              </w:rPr>
              <w:t>全免</w:t>
            </w:r>
          </w:p>
        </w:tc>
      </w:tr>
      <w:tr w14:paraId="570A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65B81E07">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七</w:t>
            </w:r>
          </w:p>
        </w:tc>
        <w:tc>
          <w:tcPr>
            <w:tcW w:w="2126" w:type="dxa"/>
            <w:tcBorders>
              <w:top w:val="single" w:color="auto" w:sz="4" w:space="0"/>
              <w:left w:val="single" w:color="auto" w:sz="4" w:space="0"/>
              <w:bottom w:val="single" w:color="auto" w:sz="4" w:space="0"/>
              <w:right w:val="single" w:color="auto" w:sz="4" w:space="0"/>
            </w:tcBorders>
            <w:vAlign w:val="center"/>
          </w:tcPr>
          <w:p w14:paraId="01E540F6">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培训地点</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549FA2B3">
            <w:pPr>
              <w:spacing w:line="360" w:lineRule="auto"/>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lang w:eastAsia="zh-CN"/>
              </w:rPr>
              <w:t>用户指定地点</w:t>
            </w:r>
          </w:p>
        </w:tc>
      </w:tr>
      <w:tr w14:paraId="10FF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4BAF237B">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八</w:t>
            </w:r>
          </w:p>
        </w:tc>
        <w:tc>
          <w:tcPr>
            <w:tcW w:w="2126" w:type="dxa"/>
            <w:tcBorders>
              <w:top w:val="single" w:color="auto" w:sz="4" w:space="0"/>
              <w:left w:val="single" w:color="auto" w:sz="4" w:space="0"/>
              <w:bottom w:val="single" w:color="auto" w:sz="4" w:space="0"/>
              <w:right w:val="single" w:color="auto" w:sz="4" w:space="0"/>
            </w:tcBorders>
            <w:vAlign w:val="center"/>
          </w:tcPr>
          <w:p w14:paraId="54C1106A">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其他优惠政策</w:t>
            </w:r>
          </w:p>
        </w:tc>
        <w:tc>
          <w:tcPr>
            <w:tcW w:w="6407" w:type="dxa"/>
            <w:tcBorders>
              <w:top w:val="single" w:color="auto" w:sz="4" w:space="0"/>
              <w:left w:val="single" w:color="auto" w:sz="4" w:space="0"/>
              <w:bottom w:val="single" w:color="auto" w:sz="4" w:space="0"/>
              <w:right w:val="single" w:color="auto" w:sz="4" w:space="0"/>
            </w:tcBorders>
            <w:shd w:val="clear" w:color="auto" w:fill="auto"/>
            <w:vAlign w:val="center"/>
          </w:tcPr>
          <w:p w14:paraId="0AAC94B6">
            <w:pPr>
              <w:spacing w:line="360" w:lineRule="auto"/>
              <w:jc w:val="left"/>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lang w:eastAsia="zh-CN"/>
              </w:rPr>
              <w:t>整机质保</w:t>
            </w:r>
            <w:r>
              <w:rPr>
                <w:rFonts w:hint="eastAsia" w:ascii="宋体" w:hAnsi="宋体" w:eastAsia="宋体" w:cs="Times New Roman"/>
                <w:color w:val="auto"/>
                <w:szCs w:val="21"/>
                <w:lang w:val="en-US" w:eastAsia="zh-CN"/>
              </w:rPr>
              <w:t>三</w:t>
            </w:r>
            <w:r>
              <w:rPr>
                <w:rFonts w:hint="eastAsia" w:ascii="宋体" w:hAnsi="宋体" w:eastAsia="宋体" w:cs="Times New Roman"/>
                <w:color w:val="auto"/>
                <w:szCs w:val="21"/>
                <w:lang w:eastAsia="zh-CN"/>
              </w:rPr>
              <w:t>年</w:t>
            </w:r>
          </w:p>
        </w:tc>
      </w:tr>
    </w:tbl>
    <w:p w14:paraId="30D76640">
      <w:pPr>
        <w:keepNext w:val="0"/>
        <w:keepLines w:val="0"/>
        <w:pageBreakBefore w:val="0"/>
        <w:kinsoku/>
        <w:wordWrap/>
        <w:overflowPunct/>
        <w:topLinePunct w:val="0"/>
        <w:autoSpaceDE/>
        <w:autoSpaceDN/>
        <w:bidi w:val="0"/>
        <w:adjustRightInd w:val="0"/>
        <w:snapToGrid w:val="0"/>
        <w:spacing w:line="324" w:lineRule="auto"/>
        <w:textAlignment w:val="auto"/>
        <w:rPr>
          <w:rFonts w:ascii="宋体" w:hAnsi="宋体" w:eastAsia="宋体"/>
          <w:b/>
          <w:color w:val="auto"/>
          <w:szCs w:val="21"/>
          <w:highlight w:val="none"/>
        </w:rPr>
      </w:pPr>
      <w:r>
        <w:rPr>
          <w:rFonts w:hint="eastAsia" w:ascii="宋体" w:hAnsi="宋体" w:eastAsia="宋体"/>
          <w:b/>
          <w:color w:val="auto"/>
          <w:szCs w:val="21"/>
          <w:highlight w:val="none"/>
        </w:rPr>
        <w:t xml:space="preserve"> </w:t>
      </w:r>
    </w:p>
    <w:p w14:paraId="43141B47">
      <w:pPr>
        <w:keepNext w:val="0"/>
        <w:keepLines w:val="0"/>
        <w:pageBreakBefore w:val="0"/>
        <w:kinsoku/>
        <w:wordWrap/>
        <w:overflowPunct/>
        <w:topLinePunct w:val="0"/>
        <w:autoSpaceDE/>
        <w:autoSpaceDN/>
        <w:bidi w:val="0"/>
        <w:spacing w:line="324" w:lineRule="auto"/>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 xml:space="preserve">承诺公司签字（盖章）： </w:t>
      </w:r>
    </w:p>
    <w:p w14:paraId="608013AB">
      <w:pPr>
        <w:keepNext w:val="0"/>
        <w:keepLines w:val="0"/>
        <w:pageBreakBefore w:val="0"/>
        <w:kinsoku/>
        <w:wordWrap/>
        <w:overflowPunct/>
        <w:topLinePunct w:val="0"/>
        <w:autoSpaceDE/>
        <w:autoSpaceDN/>
        <w:bidi w:val="0"/>
        <w:spacing w:line="324" w:lineRule="auto"/>
        <w:textAlignment w:val="auto"/>
        <w:rPr>
          <w:rFonts w:ascii="宋体" w:hAnsi="宋体" w:eastAsia="宋体"/>
          <w:b/>
          <w:color w:val="auto"/>
          <w:szCs w:val="21"/>
          <w:highlight w:val="none"/>
        </w:rPr>
      </w:pPr>
      <w:r>
        <w:rPr>
          <w:rFonts w:hint="eastAsia" w:ascii="宋体" w:hAnsi="宋体" w:eastAsia="宋体"/>
          <w:b/>
          <w:color w:val="auto"/>
          <w:sz w:val="24"/>
          <w:szCs w:val="24"/>
          <w:highlight w:val="none"/>
        </w:rPr>
        <w:t>联系人：</w:t>
      </w:r>
      <w:r>
        <w:rPr>
          <w:rFonts w:hint="eastAsia" w:ascii="宋体" w:hAnsi="宋体" w:eastAsia="宋体"/>
          <w:b/>
          <w:color w:val="auto"/>
          <w:sz w:val="24"/>
          <w:szCs w:val="24"/>
          <w:highlight w:val="none"/>
          <w:lang w:eastAsia="zh-CN"/>
        </w:rPr>
        <w:t>陈鹏</w:t>
      </w:r>
      <w:r>
        <w:rPr>
          <w:rFonts w:hint="eastAsia" w:ascii="宋体" w:hAnsi="宋体" w:eastAsia="宋体"/>
          <w:b/>
          <w:color w:val="auto"/>
          <w:szCs w:val="21"/>
          <w:highlight w:val="none"/>
        </w:rPr>
        <w:t xml:space="preserve"> </w:t>
      </w:r>
    </w:p>
    <w:p w14:paraId="42EDD726">
      <w:pPr>
        <w:keepNext w:val="0"/>
        <w:keepLines w:val="0"/>
        <w:pageBreakBefore w:val="0"/>
        <w:kinsoku/>
        <w:wordWrap/>
        <w:overflowPunct/>
        <w:topLinePunct w:val="0"/>
        <w:autoSpaceDE/>
        <w:autoSpaceDN/>
        <w:bidi w:val="0"/>
        <w:spacing w:line="324" w:lineRule="auto"/>
        <w:textAlignment w:val="auto"/>
        <w:rPr>
          <w:rFonts w:hint="default" w:ascii="宋体" w:hAnsi="宋体" w:eastAsia="宋体"/>
          <w:b/>
          <w:color w:val="auto"/>
          <w:szCs w:val="21"/>
          <w:highlight w:val="none"/>
          <w:lang w:val="en-US" w:eastAsia="zh-CN"/>
        </w:rPr>
      </w:pPr>
      <w:r>
        <w:rPr>
          <w:rFonts w:hint="eastAsia" w:ascii="宋体" w:hAnsi="宋体" w:eastAsia="宋体"/>
          <w:b/>
          <w:color w:val="auto"/>
          <w:sz w:val="24"/>
          <w:szCs w:val="24"/>
          <w:highlight w:val="none"/>
        </w:rPr>
        <w:t>联系电话：</w:t>
      </w:r>
      <w:r>
        <w:rPr>
          <w:rFonts w:hint="eastAsia" w:ascii="宋体" w:hAnsi="宋体" w:eastAsia="宋体"/>
          <w:b/>
          <w:color w:val="auto"/>
          <w:sz w:val="24"/>
          <w:szCs w:val="24"/>
          <w:highlight w:val="none"/>
          <w:lang w:val="en-US" w:eastAsia="zh-CN"/>
        </w:rPr>
        <w:t>13837124434</w:t>
      </w:r>
    </w:p>
    <w:p w14:paraId="6F8E7531">
      <w:pPr>
        <w:keepNext w:val="0"/>
        <w:keepLines w:val="0"/>
        <w:pageBreakBefore w:val="0"/>
        <w:kinsoku/>
        <w:wordWrap/>
        <w:overflowPunct/>
        <w:topLinePunct w:val="0"/>
        <w:autoSpaceDE/>
        <w:autoSpaceDN/>
        <w:bidi w:val="0"/>
        <w:spacing w:line="324" w:lineRule="auto"/>
        <w:textAlignment w:val="auto"/>
        <w:rPr>
          <w:rFonts w:ascii="宋体" w:hAnsi="宋体" w:eastAsia="宋体"/>
          <w:b/>
          <w:color w:val="auto"/>
          <w:szCs w:val="21"/>
          <w:highlight w:val="none"/>
        </w:rPr>
      </w:pPr>
      <w:r>
        <w:rPr>
          <w:rFonts w:hint="eastAsia" w:ascii="宋体" w:hAnsi="宋体" w:eastAsia="宋体"/>
          <w:b/>
          <w:color w:val="auto"/>
          <w:sz w:val="24"/>
          <w:szCs w:val="24"/>
          <w:highlight w:val="none"/>
        </w:rPr>
        <w:t>维修服务热线：</w:t>
      </w:r>
      <w:r>
        <w:rPr>
          <w:rFonts w:hint="eastAsia" w:ascii="宋体" w:hAnsi="宋体" w:eastAsia="宋体" w:cs="Times New Roman"/>
          <w:b/>
          <w:color w:val="auto"/>
          <w:sz w:val="24"/>
          <w:szCs w:val="24"/>
        </w:rPr>
        <w:t>800(400)8202676</w:t>
      </w:r>
    </w:p>
    <w:p w14:paraId="0D578102">
      <w:pPr>
        <w:keepNext w:val="0"/>
        <w:keepLines w:val="0"/>
        <w:pageBreakBefore w:val="0"/>
        <w:kinsoku/>
        <w:wordWrap/>
        <w:overflowPunct/>
        <w:topLinePunct w:val="0"/>
        <w:autoSpaceDE/>
        <w:autoSpaceDN/>
        <w:bidi w:val="0"/>
        <w:spacing w:line="324" w:lineRule="auto"/>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 xml:space="preserve"> </w:t>
      </w:r>
    </w:p>
    <w:p w14:paraId="676BC9EE">
      <w:pPr>
        <w:keepNext w:val="0"/>
        <w:keepLines w:val="0"/>
        <w:pageBreakBefore w:val="0"/>
        <w:kinsoku/>
        <w:wordWrap/>
        <w:overflowPunct/>
        <w:topLinePunct w:val="0"/>
        <w:autoSpaceDE/>
        <w:autoSpaceDN/>
        <w:bidi w:val="0"/>
        <w:spacing w:line="324" w:lineRule="auto"/>
        <w:textAlignment w:val="auto"/>
        <w:rPr>
          <w:rFonts w:ascii="宋体" w:hAnsi="宋体" w:eastAsia="宋体"/>
          <w:b/>
          <w:color w:val="auto"/>
          <w:sz w:val="24"/>
          <w:szCs w:val="24"/>
          <w:highlight w:val="none"/>
        </w:rPr>
      </w:pPr>
    </w:p>
    <w:p w14:paraId="4BC6E252">
      <w:pPr>
        <w:keepNext w:val="0"/>
        <w:keepLines w:val="0"/>
        <w:pageBreakBefore w:val="0"/>
        <w:kinsoku/>
        <w:wordWrap/>
        <w:overflowPunct/>
        <w:topLinePunct w:val="0"/>
        <w:autoSpaceDE/>
        <w:autoSpaceDN/>
        <w:bidi w:val="0"/>
        <w:spacing w:line="324" w:lineRule="auto"/>
        <w:textAlignment w:val="auto"/>
        <w:rPr>
          <w:rFonts w:hint="eastAsia" w:ascii="宋体" w:hAnsi="宋体" w:eastAsia="宋体"/>
          <w:b/>
          <w:color w:val="auto"/>
          <w:sz w:val="24"/>
          <w:szCs w:val="24"/>
          <w:highlight w:val="none"/>
        </w:rPr>
        <w:sectPr>
          <w:pgSz w:w="11906" w:h="16838"/>
          <w:pgMar w:top="1440" w:right="1247" w:bottom="1440" w:left="1247" w:header="851" w:footer="510"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497EF596">
      <w:pPr>
        <w:keepNext w:val="0"/>
        <w:keepLines w:val="0"/>
        <w:pageBreakBefore w:val="0"/>
        <w:kinsoku/>
        <w:wordWrap/>
        <w:overflowPunct/>
        <w:topLinePunct w:val="0"/>
        <w:autoSpaceDE/>
        <w:autoSpaceDN/>
        <w:bidi w:val="0"/>
        <w:spacing w:line="324" w:lineRule="auto"/>
        <w:textAlignment w:val="auto"/>
        <w:rPr>
          <w:rFonts w:hint="eastAsia" w:ascii="宋体" w:hAnsi="宋体" w:eastAsia="宋体"/>
          <w:b/>
          <w:color w:val="auto"/>
          <w:sz w:val="28"/>
          <w:szCs w:val="28"/>
          <w:highlight w:val="none"/>
        </w:rPr>
      </w:pPr>
      <w:r>
        <w:rPr>
          <w:rFonts w:hint="eastAsia" w:ascii="宋体" w:hAnsi="宋体" w:eastAsia="宋体"/>
          <w:b/>
          <w:color w:val="auto"/>
          <w:sz w:val="24"/>
          <w:szCs w:val="24"/>
          <w:highlight w:val="none"/>
        </w:rPr>
        <w:t xml:space="preserve">附件7：  </w:t>
      </w:r>
      <w:r>
        <w:rPr>
          <w:rFonts w:hint="eastAsia" w:ascii="宋体" w:hAnsi="宋体" w:eastAsia="宋体"/>
          <w:b/>
          <w:color w:val="auto"/>
          <w:sz w:val="28"/>
          <w:szCs w:val="28"/>
          <w:highlight w:val="none"/>
        </w:rPr>
        <w:t xml:space="preserve">   </w:t>
      </w:r>
    </w:p>
    <w:p w14:paraId="2A26109B">
      <w:pPr>
        <w:keepNext w:val="0"/>
        <w:keepLines w:val="0"/>
        <w:pageBreakBefore w:val="0"/>
        <w:kinsoku/>
        <w:wordWrap/>
        <w:overflowPunct/>
        <w:topLinePunct w:val="0"/>
        <w:autoSpaceDE/>
        <w:autoSpaceDN/>
        <w:bidi w:val="0"/>
        <w:spacing w:line="324" w:lineRule="auto"/>
        <w:jc w:val="center"/>
        <w:textAlignment w:val="auto"/>
        <w:rPr>
          <w:rFonts w:ascii="宋体" w:hAnsi="宋体" w:eastAsia="宋体"/>
          <w:b/>
          <w:color w:val="auto"/>
          <w:sz w:val="28"/>
          <w:szCs w:val="28"/>
          <w:highlight w:val="none"/>
        </w:rPr>
      </w:pPr>
      <w:r>
        <w:rPr>
          <w:rFonts w:hint="eastAsia" w:ascii="宋体" w:hAnsi="宋体" w:eastAsia="宋体"/>
          <w:b/>
          <w:color w:val="auto"/>
          <w:sz w:val="28"/>
          <w:szCs w:val="28"/>
          <w:highlight w:val="none"/>
          <w:lang w:val="en-US" w:eastAsia="zh-CN"/>
        </w:rPr>
        <w:t>沃特世科技（上海）有限公司</w:t>
      </w:r>
      <w:r>
        <w:rPr>
          <w:rFonts w:hint="eastAsia" w:ascii="宋体" w:hAnsi="宋体" w:eastAsia="宋体"/>
          <w:b/>
          <w:color w:val="auto"/>
          <w:sz w:val="28"/>
          <w:szCs w:val="28"/>
          <w:highlight w:val="none"/>
        </w:rPr>
        <w:t>制造商售后其它服务承诺</w:t>
      </w:r>
    </w:p>
    <w:p w14:paraId="0D6ECBD3">
      <w:pPr>
        <w:tabs>
          <w:tab w:val="left" w:pos="9460"/>
          <w:tab w:val="left" w:pos="9660"/>
        </w:tabs>
        <w:autoSpaceDE w:val="0"/>
        <w:autoSpaceDN w:val="0"/>
        <w:spacing w:line="360" w:lineRule="auto"/>
        <w:ind w:right="-48" w:rightChars="0"/>
        <w:rPr>
          <w:color w:val="auto"/>
        </w:rPr>
      </w:pPr>
      <w:r>
        <w:rPr>
          <w:rFonts w:hint="eastAsia" w:ascii="宋体" w:hAnsi="宋体" w:eastAsia="宋体"/>
          <w:b/>
          <w:color w:val="auto"/>
          <w:sz w:val="24"/>
          <w:szCs w:val="24"/>
          <w:highlight w:val="none"/>
        </w:rPr>
        <w:t xml:space="preserve"> </w:t>
      </w:r>
      <w:r>
        <w:rPr>
          <w:rFonts w:ascii="宋体" w:hAnsi="宋体" w:eastAsia="宋体" w:cs="宋体"/>
          <w:color w:val="auto"/>
          <w:spacing w:val="12"/>
          <w:sz w:val="20"/>
          <w:szCs w:val="20"/>
        </w:rPr>
        <w:t>尊敬的用户，欢迎您成为</w:t>
      </w:r>
      <w:r>
        <w:rPr>
          <w:rFonts w:ascii="宋体" w:hAnsi="宋体" w:eastAsia="宋体" w:cs="宋体"/>
          <w:color w:val="auto"/>
          <w:spacing w:val="6"/>
          <w:sz w:val="20"/>
          <w:szCs w:val="20"/>
        </w:rPr>
        <w:t xml:space="preserve"> </w:t>
      </w:r>
      <w:r>
        <w:rPr>
          <w:rFonts w:ascii="Times New Roman" w:hAnsi="Times New Roman" w:eastAsia="Times New Roman" w:cs="Times New Roman"/>
          <w:color w:val="auto"/>
          <w:spacing w:val="5"/>
          <w:sz w:val="20"/>
          <w:szCs w:val="20"/>
        </w:rPr>
        <w:t>Waters</w:t>
      </w:r>
      <w:r>
        <w:rPr>
          <w:rFonts w:ascii="Times New Roman" w:hAnsi="Times New Roman" w:eastAsia="Times New Roman" w:cs="Times New Roman"/>
          <w:color w:val="auto"/>
          <w:spacing w:val="3"/>
          <w:sz w:val="20"/>
          <w:szCs w:val="20"/>
        </w:rPr>
        <w:t xml:space="preserve"> </w:t>
      </w:r>
      <w:r>
        <w:rPr>
          <w:rFonts w:ascii="宋体" w:hAnsi="宋体" w:eastAsia="宋体" w:cs="宋体"/>
          <w:color w:val="auto"/>
          <w:spacing w:val="12"/>
          <w:sz w:val="20"/>
          <w:szCs w:val="20"/>
        </w:rPr>
        <w:t>家族中的一员，我们非常荣幸有机会为您提供优质的服务。</w:t>
      </w:r>
      <w:r>
        <w:rPr>
          <w:rFonts w:ascii="Times New Roman" w:hAnsi="Times New Roman" w:eastAsia="Times New Roman" w:cs="Times New Roman"/>
          <w:color w:val="auto"/>
          <w:spacing w:val="6"/>
          <w:sz w:val="20"/>
          <w:szCs w:val="20"/>
        </w:rPr>
        <w:t>Waters</w:t>
      </w:r>
      <w:r>
        <w:rPr>
          <w:rFonts w:ascii="Times New Roman" w:hAnsi="Times New Roman" w:eastAsia="Times New Roman" w:cs="Times New Roman"/>
          <w:color w:val="auto"/>
          <w:spacing w:val="3"/>
          <w:sz w:val="20"/>
          <w:szCs w:val="20"/>
        </w:rPr>
        <w:t xml:space="preserve"> </w:t>
      </w:r>
      <w:r>
        <w:rPr>
          <w:rFonts w:ascii="宋体" w:hAnsi="宋体" w:eastAsia="宋体" w:cs="宋体"/>
          <w:color w:val="auto"/>
          <w:spacing w:val="14"/>
          <w:sz w:val="20"/>
          <w:szCs w:val="20"/>
        </w:rPr>
        <w:t>向</w:t>
      </w:r>
      <w:r>
        <w:rPr>
          <w:rFonts w:ascii="Times New Roman" w:hAnsi="Times New Roman" w:eastAsia="Times New Roman" w:cs="Times New Roman"/>
          <w:color w:val="auto"/>
          <w:sz w:val="20"/>
          <w:szCs w:val="20"/>
        </w:rPr>
        <w:t>Waters</w:t>
      </w:r>
      <w:r>
        <w:rPr>
          <w:rFonts w:ascii="Times New Roman" w:hAnsi="Times New Roman" w:eastAsia="Times New Roman" w:cs="Times New Roman"/>
          <w:color w:val="auto"/>
          <w:spacing w:val="-9"/>
          <w:sz w:val="20"/>
          <w:szCs w:val="20"/>
        </w:rPr>
        <w:t xml:space="preserve"> </w:t>
      </w:r>
      <w:r>
        <w:rPr>
          <w:rFonts w:ascii="宋体" w:hAnsi="宋体" w:eastAsia="宋体" w:cs="宋体"/>
          <w:color w:val="auto"/>
          <w:sz w:val="20"/>
          <w:szCs w:val="20"/>
        </w:rPr>
        <w:t>产品的最终购买方（“用户”或“您”）</w:t>
      </w:r>
      <w:r>
        <w:rPr>
          <w:rFonts w:ascii="Times New Roman" w:hAnsi="Times New Roman" w:eastAsia="Times New Roman" w:cs="Times New Roman"/>
          <w:color w:val="auto"/>
          <w:spacing w:val="-8"/>
          <w:sz w:val="20"/>
          <w:szCs w:val="20"/>
        </w:rPr>
        <w:t>)</w:t>
      </w:r>
      <w:r>
        <w:rPr>
          <w:rFonts w:ascii="宋体" w:hAnsi="宋体" w:eastAsia="宋体" w:cs="宋体"/>
          <w:color w:val="auto"/>
          <w:sz w:val="20"/>
          <w:szCs w:val="20"/>
        </w:rPr>
        <w:t>提供有限质量保证。</w:t>
      </w:r>
    </w:p>
    <w:p w14:paraId="3C81E3D9">
      <w:pPr>
        <w:autoSpaceDE w:val="0"/>
        <w:autoSpaceDN w:val="0"/>
        <w:spacing w:line="360" w:lineRule="auto"/>
        <w:rPr>
          <w:color w:val="auto"/>
        </w:rPr>
      </w:pPr>
      <w:r>
        <w:rPr>
          <w:rFonts w:ascii="宋体" w:hAnsi="宋体" w:eastAsia="宋体" w:cs="宋体"/>
          <w:b/>
          <w:color w:val="auto"/>
          <w:spacing w:val="12"/>
          <w:sz w:val="22"/>
          <w:szCs w:val="22"/>
        </w:rPr>
        <w:t>关于</w:t>
      </w:r>
      <w:r>
        <w:rPr>
          <w:rFonts w:ascii="宋体" w:hAnsi="宋体" w:eastAsia="宋体" w:cs="宋体"/>
          <w:b/>
          <w:color w:val="auto"/>
          <w:spacing w:val="6"/>
          <w:sz w:val="22"/>
          <w:szCs w:val="22"/>
        </w:rPr>
        <w:t xml:space="preserve"> </w:t>
      </w:r>
      <w:r>
        <w:rPr>
          <w:rFonts w:ascii="Times New Roman" w:hAnsi="Times New Roman" w:eastAsia="Times New Roman" w:cs="Times New Roman"/>
          <w:color w:val="auto"/>
          <w:spacing w:val="5"/>
          <w:sz w:val="22"/>
          <w:szCs w:val="22"/>
        </w:rPr>
        <w:t>Waters</w:t>
      </w:r>
      <w:r>
        <w:rPr>
          <w:rFonts w:ascii="Times New Roman" w:hAnsi="Times New Roman" w:eastAsia="Times New Roman" w:cs="Times New Roman"/>
          <w:color w:val="auto"/>
          <w:spacing w:val="4"/>
          <w:sz w:val="22"/>
          <w:szCs w:val="22"/>
        </w:rPr>
        <w:t xml:space="preserve"> </w:t>
      </w:r>
      <w:r>
        <w:rPr>
          <w:rFonts w:ascii="宋体" w:hAnsi="宋体" w:eastAsia="宋体" w:cs="宋体"/>
          <w:b/>
          <w:color w:val="auto"/>
          <w:spacing w:val="15"/>
          <w:sz w:val="22"/>
          <w:szCs w:val="22"/>
        </w:rPr>
        <w:t>公司</w:t>
      </w:r>
    </w:p>
    <w:p w14:paraId="45768E63">
      <w:pPr>
        <w:autoSpaceDE w:val="0"/>
        <w:autoSpaceDN w:val="0"/>
        <w:spacing w:line="360" w:lineRule="auto"/>
        <w:ind w:right="-48" w:rightChars="0"/>
        <w:rPr>
          <w:color w:val="auto"/>
        </w:rPr>
      </w:pPr>
      <w:r>
        <w:rPr>
          <w:rFonts w:ascii="Times New Roman" w:hAnsi="Times New Roman" w:eastAsia="Times New Roman" w:cs="Times New Roman"/>
          <w:color w:val="auto"/>
          <w:spacing w:val="2"/>
          <w:sz w:val="20"/>
          <w:szCs w:val="20"/>
        </w:rPr>
        <w:t>Waters</w:t>
      </w:r>
      <w:r>
        <w:rPr>
          <w:rFonts w:ascii="Times New Roman" w:hAnsi="Times New Roman" w:eastAsia="Times New Roman" w:cs="Times New Roman"/>
          <w:color w:val="auto"/>
          <w:spacing w:val="50"/>
          <w:sz w:val="20"/>
          <w:szCs w:val="20"/>
        </w:rPr>
        <w:t xml:space="preserve"> </w:t>
      </w:r>
      <w:r>
        <w:rPr>
          <w:rFonts w:ascii="Times New Roman" w:hAnsi="Times New Roman" w:eastAsia="Times New Roman" w:cs="Times New Roman"/>
          <w:color w:val="auto"/>
          <w:spacing w:val="3"/>
          <w:sz w:val="20"/>
          <w:szCs w:val="20"/>
        </w:rPr>
        <w:t>Corporation</w:t>
      </w:r>
      <w:r>
        <w:rPr>
          <w:rFonts w:ascii="宋体" w:hAnsi="宋体" w:eastAsia="宋体" w:cs="宋体"/>
          <w:color w:val="auto"/>
          <w:spacing w:val="7"/>
          <w:sz w:val="20"/>
          <w:szCs w:val="20"/>
        </w:rPr>
        <w:t>（“</w:t>
      </w:r>
      <w:r>
        <w:rPr>
          <w:rFonts w:ascii="Times New Roman" w:hAnsi="Times New Roman" w:eastAsia="Times New Roman" w:cs="Times New Roman"/>
          <w:color w:val="auto"/>
          <w:spacing w:val="2"/>
          <w:sz w:val="20"/>
          <w:szCs w:val="20"/>
        </w:rPr>
        <w:t>Waters</w:t>
      </w:r>
      <w:r>
        <w:rPr>
          <w:rFonts w:ascii="宋体" w:hAnsi="宋体" w:eastAsia="宋体" w:cs="宋体"/>
          <w:color w:val="auto"/>
          <w:spacing w:val="6"/>
          <w:sz w:val="20"/>
          <w:szCs w:val="20"/>
        </w:rPr>
        <w:t>”）总部位于美国的马萨诸塞州，是一家提供从样品前处理、色谱柱等化学</w:t>
      </w:r>
      <w:r>
        <w:rPr>
          <w:rFonts w:ascii="宋体" w:hAnsi="宋体" w:eastAsia="宋体" w:cs="宋体"/>
          <w:color w:val="auto"/>
          <w:sz w:val="20"/>
          <w:szCs w:val="20"/>
        </w:rPr>
        <w:t>品、试剂及标准品、液相色谱、质谱到实验室信息管理系统的整体解决方案的供应商。</w:t>
      </w:r>
      <w:r>
        <w:rPr>
          <w:rFonts w:ascii="Times New Roman" w:hAnsi="Times New Roman" w:eastAsia="Times New Roman" w:cs="Times New Roman"/>
          <w:color w:val="auto"/>
          <w:spacing w:val="2"/>
          <w:sz w:val="20"/>
          <w:szCs w:val="20"/>
        </w:rPr>
        <w:t>Waters</w:t>
      </w:r>
      <w:r>
        <w:rPr>
          <w:rFonts w:ascii="Times New Roman" w:hAnsi="Times New Roman" w:eastAsia="Times New Roman" w:cs="Times New Roman"/>
          <w:color w:val="auto"/>
          <w:spacing w:val="40"/>
          <w:sz w:val="20"/>
          <w:szCs w:val="20"/>
        </w:rPr>
        <w:t xml:space="preserve"> </w:t>
      </w:r>
      <w:r>
        <w:rPr>
          <w:rFonts w:ascii="宋体" w:hAnsi="宋体" w:eastAsia="宋体" w:cs="宋体"/>
          <w:color w:val="auto"/>
          <w:sz w:val="20"/>
          <w:szCs w:val="20"/>
        </w:rPr>
        <w:t>一直以致力帮</w:t>
      </w:r>
      <w:r>
        <w:rPr>
          <w:rFonts w:ascii="宋体" w:hAnsi="宋体" w:eastAsia="宋体" w:cs="宋体"/>
          <w:color w:val="auto"/>
          <w:spacing w:val="-3"/>
          <w:sz w:val="20"/>
          <w:szCs w:val="20"/>
        </w:rPr>
        <w:t>助客户获得成功作为企业发展的宗旨，通过深入了解用户的需求，积极推崇分析技术的改革与</w:t>
      </w:r>
      <w:r>
        <w:rPr>
          <w:rFonts w:ascii="宋体" w:hAnsi="宋体" w:eastAsia="宋体" w:cs="宋体"/>
          <w:color w:val="auto"/>
          <w:spacing w:val="-2"/>
          <w:sz w:val="20"/>
          <w:szCs w:val="20"/>
        </w:rPr>
        <w:t>创新，而对行业</w:t>
      </w:r>
      <w:r>
        <w:rPr>
          <w:rFonts w:ascii="宋体" w:hAnsi="宋体" w:eastAsia="宋体" w:cs="宋体"/>
          <w:color w:val="auto"/>
          <w:sz w:val="20"/>
          <w:szCs w:val="20"/>
        </w:rPr>
        <w:t xml:space="preserve">产生革命性的影响和意义，确立了 </w:t>
      </w:r>
      <w:r>
        <w:rPr>
          <w:rFonts w:ascii="Times New Roman" w:hAnsi="Times New Roman" w:eastAsia="Times New Roman" w:cs="Times New Roman"/>
          <w:color w:val="auto"/>
          <w:sz w:val="20"/>
          <w:szCs w:val="20"/>
        </w:rPr>
        <w:t xml:space="preserve">Waters </w:t>
      </w:r>
      <w:r>
        <w:rPr>
          <w:rFonts w:ascii="宋体" w:hAnsi="宋体" w:eastAsia="宋体" w:cs="宋体"/>
          <w:color w:val="auto"/>
          <w:sz w:val="20"/>
          <w:szCs w:val="20"/>
        </w:rPr>
        <w:t xml:space="preserve">在分析界的领导地位。创立 </w:t>
      </w:r>
      <w:r>
        <w:rPr>
          <w:rFonts w:ascii="Times New Roman" w:hAnsi="Times New Roman" w:eastAsia="Times New Roman" w:cs="Times New Roman"/>
          <w:color w:val="auto"/>
          <w:sz w:val="20"/>
          <w:szCs w:val="20"/>
        </w:rPr>
        <w:t>60</w:t>
      </w:r>
      <w:r>
        <w:rPr>
          <w:rFonts w:ascii="Times New Roman" w:hAnsi="Times New Roman" w:eastAsia="Times New Roman" w:cs="Times New Roman"/>
          <w:color w:val="auto"/>
          <w:spacing w:val="4"/>
          <w:sz w:val="20"/>
          <w:szCs w:val="20"/>
        </w:rPr>
        <w:t xml:space="preserve"> </w:t>
      </w:r>
      <w:r>
        <w:rPr>
          <w:rFonts w:ascii="宋体" w:hAnsi="宋体" w:eastAsia="宋体" w:cs="宋体"/>
          <w:color w:val="auto"/>
          <w:sz w:val="20"/>
          <w:szCs w:val="20"/>
        </w:rPr>
        <w:t>多年来，作为一系列分离及分析科学、实验室信息管理以及质谱分析尖端技术的开创者和创新者，</w:t>
      </w:r>
      <w:r>
        <w:rPr>
          <w:rFonts w:ascii="Times New Roman" w:hAnsi="Times New Roman" w:eastAsia="Times New Roman" w:cs="Times New Roman"/>
          <w:color w:val="auto"/>
          <w:spacing w:val="1"/>
          <w:sz w:val="20"/>
          <w:szCs w:val="20"/>
        </w:rPr>
        <w:t>Waters</w:t>
      </w:r>
      <w:r>
        <w:rPr>
          <w:rFonts w:ascii="Times New Roman" w:hAnsi="Times New Roman" w:eastAsia="Times New Roman" w:cs="Times New Roman"/>
          <w:color w:val="auto"/>
          <w:spacing w:val="44"/>
          <w:sz w:val="20"/>
          <w:szCs w:val="20"/>
        </w:rPr>
        <w:t xml:space="preserve"> </w:t>
      </w:r>
      <w:r>
        <w:rPr>
          <w:rFonts w:ascii="宋体" w:hAnsi="宋体" w:eastAsia="宋体" w:cs="宋体"/>
          <w:color w:val="auto"/>
          <w:sz w:val="20"/>
          <w:szCs w:val="20"/>
        </w:rPr>
        <w:t>以其技术的重大突破及实用性、实验</w:t>
      </w:r>
      <w:r>
        <w:rPr>
          <w:rFonts w:ascii="宋体" w:hAnsi="宋体" w:eastAsia="宋体" w:cs="宋体"/>
          <w:color w:val="auto"/>
          <w:spacing w:val="-3"/>
          <w:sz w:val="20"/>
          <w:szCs w:val="20"/>
        </w:rPr>
        <w:t>室整体解决方案为客户的不断成功</w:t>
      </w:r>
      <w:r>
        <w:rPr>
          <w:rFonts w:ascii="宋体" w:hAnsi="宋体" w:eastAsia="宋体" w:cs="宋体"/>
          <w:color w:val="auto"/>
          <w:spacing w:val="-2"/>
          <w:sz w:val="20"/>
          <w:szCs w:val="20"/>
        </w:rPr>
        <w:t>创造了持久的平台。</w:t>
      </w:r>
    </w:p>
    <w:p w14:paraId="152FD146">
      <w:pPr>
        <w:autoSpaceDE w:val="0"/>
        <w:autoSpaceDN w:val="0"/>
        <w:spacing w:line="360" w:lineRule="auto"/>
        <w:ind w:right="-48" w:rightChars="0"/>
        <w:rPr>
          <w:color w:val="auto"/>
          <w:lang w:eastAsia="zh-CN"/>
        </w:rPr>
      </w:pPr>
      <w:r>
        <w:rPr>
          <w:rFonts w:ascii="Times New Roman" w:hAnsi="Times New Roman" w:eastAsia="Times New Roman" w:cs="Times New Roman"/>
          <w:color w:val="auto"/>
          <w:sz w:val="20"/>
          <w:szCs w:val="20"/>
          <w:lang w:eastAsia="zh-CN"/>
        </w:rPr>
        <w:t xml:space="preserve">Waters </w:t>
      </w:r>
      <w:r>
        <w:rPr>
          <w:rFonts w:ascii="宋体" w:hAnsi="宋体" w:eastAsia="宋体" w:cs="宋体"/>
          <w:color w:val="auto"/>
          <w:sz w:val="20"/>
          <w:szCs w:val="20"/>
          <w:lang w:eastAsia="zh-CN"/>
        </w:rPr>
        <w:t xml:space="preserve">公司在全球有近 </w:t>
      </w:r>
      <w:r>
        <w:rPr>
          <w:rFonts w:ascii="Times New Roman" w:hAnsi="Times New Roman" w:eastAsia="Times New Roman" w:cs="Times New Roman"/>
          <w:color w:val="auto"/>
          <w:sz w:val="20"/>
          <w:szCs w:val="20"/>
          <w:lang w:eastAsia="zh-CN"/>
        </w:rPr>
        <w:t xml:space="preserve">7000 </w:t>
      </w:r>
      <w:r>
        <w:rPr>
          <w:rFonts w:ascii="宋体" w:hAnsi="宋体" w:eastAsia="宋体" w:cs="宋体"/>
          <w:color w:val="auto"/>
          <w:sz w:val="20"/>
          <w:szCs w:val="20"/>
          <w:lang w:eastAsia="zh-CN"/>
        </w:rPr>
        <w:t xml:space="preserve">名的员工，这是 </w:t>
      </w:r>
      <w:r>
        <w:rPr>
          <w:rFonts w:ascii="Times New Roman" w:hAnsi="Times New Roman" w:eastAsia="Times New Roman" w:cs="Times New Roman"/>
          <w:color w:val="auto"/>
          <w:sz w:val="20"/>
          <w:szCs w:val="20"/>
          <w:lang w:eastAsia="zh-CN"/>
        </w:rPr>
        <w:t>Waters</w:t>
      </w:r>
      <w:r>
        <w:rPr>
          <w:rFonts w:ascii="Times New Roman" w:hAnsi="Times New Roman" w:eastAsia="Times New Roman" w:cs="Times New Roman"/>
          <w:color w:val="auto"/>
          <w:spacing w:val="-7"/>
          <w:sz w:val="20"/>
          <w:szCs w:val="20"/>
          <w:lang w:eastAsia="zh-CN"/>
        </w:rPr>
        <w:t xml:space="preserve"> </w:t>
      </w:r>
      <w:r>
        <w:rPr>
          <w:rFonts w:ascii="宋体" w:hAnsi="宋体" w:eastAsia="宋体" w:cs="宋体"/>
          <w:color w:val="auto"/>
          <w:sz w:val="20"/>
          <w:szCs w:val="20"/>
          <w:lang w:eastAsia="zh-CN"/>
        </w:rPr>
        <w:t>能够不断创造创新性产品、为客户提供实验室解决方案</w:t>
      </w:r>
      <w:r>
        <w:rPr>
          <w:rFonts w:ascii="宋体" w:hAnsi="宋体" w:eastAsia="宋体" w:cs="宋体"/>
          <w:color w:val="auto"/>
          <w:spacing w:val="-1"/>
          <w:sz w:val="20"/>
          <w:szCs w:val="20"/>
          <w:lang w:eastAsia="zh-CN"/>
        </w:rPr>
        <w:t>及保障客户获得成功的核心因素。</w:t>
      </w:r>
      <w:r>
        <w:rPr>
          <w:rFonts w:ascii="Times New Roman" w:hAnsi="Times New Roman" w:eastAsia="Times New Roman" w:cs="Times New Roman"/>
          <w:color w:val="auto"/>
          <w:sz w:val="20"/>
          <w:szCs w:val="20"/>
          <w:lang w:eastAsia="zh-CN"/>
        </w:rPr>
        <w:t>Waters</w:t>
      </w:r>
      <w:r>
        <w:rPr>
          <w:rFonts w:ascii="Times New Roman" w:hAnsi="Times New Roman" w:eastAsia="Times New Roman" w:cs="Times New Roman"/>
          <w:color w:val="auto"/>
          <w:spacing w:val="38"/>
          <w:sz w:val="20"/>
          <w:szCs w:val="20"/>
          <w:lang w:eastAsia="zh-CN"/>
        </w:rPr>
        <w:t xml:space="preserve"> </w:t>
      </w:r>
      <w:r>
        <w:rPr>
          <w:rFonts w:ascii="宋体" w:hAnsi="宋体" w:eastAsia="宋体" w:cs="宋体"/>
          <w:color w:val="auto"/>
          <w:spacing w:val="-1"/>
          <w:sz w:val="20"/>
          <w:szCs w:val="20"/>
          <w:lang w:eastAsia="zh-CN"/>
        </w:rPr>
        <w:t>在中国大陆有六百多人的团队，在北京、上海、广州等地设有公司</w:t>
      </w:r>
      <w:r>
        <w:rPr>
          <w:rFonts w:ascii="Times New Roman" w:hAnsi="Times New Roman" w:eastAsia="Times New Roman" w:cs="Times New Roman"/>
          <w:color w:val="auto"/>
          <w:spacing w:val="11"/>
          <w:sz w:val="20"/>
          <w:szCs w:val="20"/>
          <w:lang w:eastAsia="zh-CN"/>
        </w:rPr>
        <w:t>/</w:t>
      </w:r>
      <w:r>
        <w:rPr>
          <w:rFonts w:ascii="宋体" w:hAnsi="宋体" w:eastAsia="宋体" w:cs="宋体"/>
          <w:color w:val="auto"/>
          <w:spacing w:val="-3"/>
          <w:sz w:val="20"/>
          <w:szCs w:val="20"/>
          <w:lang w:eastAsia="zh-CN"/>
        </w:rPr>
        <w:t>分公司，为用户提供方便快</w:t>
      </w:r>
      <w:r>
        <w:rPr>
          <w:rFonts w:ascii="宋体" w:hAnsi="宋体" w:eastAsia="宋体" w:cs="宋体"/>
          <w:color w:val="auto"/>
          <w:spacing w:val="-2"/>
          <w:sz w:val="20"/>
          <w:szCs w:val="20"/>
          <w:lang w:eastAsia="zh-CN"/>
        </w:rPr>
        <w:t>捷的服务。</w:t>
      </w:r>
    </w:p>
    <w:p w14:paraId="5662E40E">
      <w:pPr>
        <w:autoSpaceDE w:val="0"/>
        <w:autoSpaceDN w:val="0"/>
        <w:spacing w:line="360" w:lineRule="auto"/>
        <w:rPr>
          <w:color w:val="auto"/>
        </w:rPr>
      </w:pPr>
      <w:r>
        <w:rPr>
          <w:rFonts w:ascii="宋体" w:hAnsi="宋体" w:eastAsia="宋体" w:cs="宋体"/>
          <w:b/>
          <w:color w:val="auto"/>
          <w:spacing w:val="5"/>
          <w:sz w:val="22"/>
          <w:szCs w:val="22"/>
        </w:rPr>
        <w:t>关于</w:t>
      </w:r>
      <w:r>
        <w:rPr>
          <w:rFonts w:ascii="宋体" w:hAnsi="宋体" w:eastAsia="宋体" w:cs="宋体"/>
          <w:b/>
          <w:color w:val="auto"/>
          <w:spacing w:val="4"/>
          <w:sz w:val="22"/>
          <w:szCs w:val="22"/>
        </w:rPr>
        <w:t>商务</w:t>
      </w:r>
    </w:p>
    <w:p w14:paraId="745187D7">
      <w:pPr>
        <w:tabs>
          <w:tab w:val="left" w:pos="9880"/>
        </w:tabs>
        <w:autoSpaceDE w:val="0"/>
        <w:autoSpaceDN w:val="0"/>
        <w:spacing w:line="360" w:lineRule="auto"/>
        <w:ind w:right="-48" w:rightChars="0"/>
        <w:rPr>
          <w:color w:val="auto"/>
        </w:rPr>
      </w:pPr>
      <w:r>
        <w:rPr>
          <w:rFonts w:ascii="Times New Roman" w:hAnsi="Times New Roman" w:eastAsia="Times New Roman" w:cs="Times New Roman"/>
          <w:color w:val="auto"/>
          <w:spacing w:val="2"/>
          <w:sz w:val="20"/>
          <w:szCs w:val="20"/>
        </w:rPr>
        <w:t>Waters</w:t>
      </w:r>
      <w:r>
        <w:rPr>
          <w:rFonts w:ascii="Times New Roman" w:hAnsi="Times New Roman" w:eastAsia="Times New Roman" w:cs="Times New Roman"/>
          <w:color w:val="auto"/>
          <w:spacing w:val="16"/>
          <w:sz w:val="20"/>
          <w:szCs w:val="20"/>
        </w:rPr>
        <w:t xml:space="preserve"> </w:t>
      </w:r>
      <w:r>
        <w:rPr>
          <w:rFonts w:ascii="Times New Roman" w:hAnsi="Times New Roman" w:eastAsia="Times New Roman" w:cs="Times New Roman"/>
          <w:color w:val="auto"/>
          <w:spacing w:val="2"/>
          <w:sz w:val="20"/>
          <w:szCs w:val="20"/>
        </w:rPr>
        <w:t>Customer</w:t>
      </w:r>
      <w:r>
        <w:rPr>
          <w:rFonts w:ascii="Times New Roman" w:hAnsi="Times New Roman" w:eastAsia="Times New Roman" w:cs="Times New Roman"/>
          <w:color w:val="auto"/>
          <w:spacing w:val="16"/>
          <w:sz w:val="20"/>
          <w:szCs w:val="20"/>
        </w:rPr>
        <w:t xml:space="preserve"> </w:t>
      </w:r>
      <w:r>
        <w:rPr>
          <w:rFonts w:ascii="Times New Roman" w:hAnsi="Times New Roman" w:eastAsia="Times New Roman" w:cs="Times New Roman"/>
          <w:color w:val="auto"/>
          <w:spacing w:val="2"/>
          <w:sz w:val="20"/>
          <w:szCs w:val="20"/>
        </w:rPr>
        <w:t>Operation</w:t>
      </w:r>
      <w:r>
        <w:rPr>
          <w:rFonts w:ascii="宋体" w:hAnsi="宋体" w:eastAsia="宋体" w:cs="宋体"/>
          <w:color w:val="auto"/>
          <w:spacing w:val="4"/>
          <w:sz w:val="20"/>
          <w:szCs w:val="20"/>
        </w:rPr>
        <w:t>（以下称“客户运营部门”）会为您及时提供和更新签订销售合同相关的任何商</w:t>
      </w:r>
      <w:r>
        <w:rPr>
          <w:rFonts w:ascii="宋体" w:hAnsi="宋体" w:eastAsia="宋体" w:cs="宋体"/>
          <w:color w:val="auto"/>
          <w:spacing w:val="-3"/>
          <w:sz w:val="20"/>
          <w:szCs w:val="20"/>
        </w:rPr>
        <w:t>务信息，包括信用证、货款、货</w:t>
      </w:r>
      <w:r>
        <w:rPr>
          <w:rFonts w:ascii="宋体" w:hAnsi="宋体" w:eastAsia="宋体" w:cs="宋体"/>
          <w:color w:val="auto"/>
          <w:spacing w:val="-2"/>
          <w:sz w:val="20"/>
          <w:szCs w:val="20"/>
        </w:rPr>
        <w:t>运信息等。</w:t>
      </w:r>
    </w:p>
    <w:p w14:paraId="3F50818E">
      <w:pPr>
        <w:autoSpaceDE w:val="0"/>
        <w:autoSpaceDN w:val="0"/>
        <w:spacing w:before="75" w:line="360" w:lineRule="auto"/>
        <w:rPr>
          <w:color w:val="auto"/>
          <w:lang w:eastAsia="zh-CN"/>
        </w:rPr>
      </w:pPr>
      <w:r>
        <w:rPr>
          <w:rFonts w:ascii="Times New Roman" w:hAnsi="Times New Roman" w:eastAsia="Times New Roman" w:cs="Times New Roman"/>
          <w:color w:val="auto"/>
          <w:sz w:val="20"/>
          <w:szCs w:val="20"/>
          <w:lang w:eastAsia="zh-CN"/>
        </w:rPr>
        <w:t>Waters</w:t>
      </w:r>
      <w:r>
        <w:rPr>
          <w:rFonts w:ascii="Times New Roman" w:hAnsi="Times New Roman" w:eastAsia="Times New Roman" w:cs="Times New Roman"/>
          <w:color w:val="auto"/>
          <w:spacing w:val="-4"/>
          <w:sz w:val="20"/>
          <w:szCs w:val="20"/>
          <w:lang w:eastAsia="zh-CN"/>
        </w:rPr>
        <w:t xml:space="preserve"> </w:t>
      </w:r>
      <w:r>
        <w:rPr>
          <w:rFonts w:ascii="宋体" w:hAnsi="宋体" w:eastAsia="宋体" w:cs="宋体"/>
          <w:color w:val="auto"/>
          <w:spacing w:val="1"/>
          <w:sz w:val="20"/>
          <w:szCs w:val="20"/>
          <w:lang w:eastAsia="zh-CN"/>
        </w:rPr>
        <w:t>中国大陆客户运营部门的联系方式：</w:t>
      </w:r>
    </w:p>
    <w:p w14:paraId="4BCA99C2">
      <w:pPr>
        <w:autoSpaceDE w:val="0"/>
        <w:autoSpaceDN w:val="0"/>
        <w:spacing w:before="54" w:line="360" w:lineRule="auto"/>
        <w:ind w:right="5008"/>
        <w:rPr>
          <w:rFonts w:ascii="Times New Roman" w:hAnsi="Times New Roman" w:eastAsia="Times New Roman" w:cs="Times New Roman"/>
          <w:color w:val="auto"/>
          <w:spacing w:val="5"/>
          <w:sz w:val="20"/>
          <w:szCs w:val="20"/>
        </w:rPr>
      </w:pPr>
      <w:r>
        <w:rPr>
          <w:rFonts w:ascii="宋体" w:hAnsi="宋体" w:eastAsia="宋体" w:cs="宋体"/>
          <w:color w:val="auto"/>
          <w:spacing w:val="13"/>
          <w:sz w:val="20"/>
          <w:szCs w:val="20"/>
        </w:rPr>
        <w:t>电话：</w:t>
      </w:r>
      <w:r>
        <w:rPr>
          <w:rFonts w:ascii="Times New Roman" w:hAnsi="Times New Roman" w:eastAsia="Times New Roman" w:cs="Times New Roman"/>
          <w:color w:val="auto"/>
          <w:spacing w:val="6"/>
          <w:sz w:val="20"/>
          <w:szCs w:val="20"/>
        </w:rPr>
        <w:t>021-61562656/</w:t>
      </w:r>
      <w:r>
        <w:rPr>
          <w:rFonts w:ascii="Times New Roman" w:hAnsi="Times New Roman" w:eastAsia="Times New Roman" w:cs="Times New Roman"/>
          <w:color w:val="auto"/>
          <w:spacing w:val="4"/>
          <w:sz w:val="20"/>
          <w:szCs w:val="20"/>
        </w:rPr>
        <w:t xml:space="preserve"> </w:t>
      </w:r>
      <w:r>
        <w:rPr>
          <w:rFonts w:ascii="Times New Roman" w:hAnsi="Times New Roman" w:eastAsia="Times New Roman" w:cs="Times New Roman"/>
          <w:color w:val="auto"/>
          <w:spacing w:val="6"/>
          <w:sz w:val="20"/>
          <w:szCs w:val="20"/>
        </w:rPr>
        <w:t>021-61562228</w:t>
      </w:r>
      <w:r>
        <w:rPr>
          <w:rFonts w:ascii="Times New Roman" w:hAnsi="Times New Roman" w:eastAsia="Times New Roman" w:cs="Times New Roman"/>
          <w:color w:val="auto"/>
          <w:spacing w:val="5"/>
          <w:sz w:val="20"/>
          <w:szCs w:val="20"/>
        </w:rPr>
        <w:t xml:space="preserve">  </w:t>
      </w:r>
    </w:p>
    <w:p w14:paraId="71A8E087">
      <w:pPr>
        <w:autoSpaceDE w:val="0"/>
        <w:autoSpaceDN w:val="0"/>
        <w:spacing w:before="54" w:line="360" w:lineRule="auto"/>
        <w:ind w:right="5008"/>
        <w:rPr>
          <w:color w:val="auto"/>
        </w:rPr>
      </w:pPr>
      <w:r>
        <w:rPr>
          <w:rFonts w:ascii="宋体" w:hAnsi="宋体" w:eastAsia="宋体" w:cs="宋体"/>
          <w:color w:val="auto"/>
          <w:spacing w:val="16"/>
          <w:sz w:val="20"/>
          <w:szCs w:val="20"/>
        </w:rPr>
        <w:t>传真：</w:t>
      </w:r>
      <w:r>
        <w:rPr>
          <w:rFonts w:ascii="Times New Roman" w:hAnsi="Times New Roman" w:eastAsia="Times New Roman" w:cs="Times New Roman"/>
          <w:color w:val="auto"/>
          <w:spacing w:val="6"/>
          <w:sz w:val="20"/>
          <w:szCs w:val="20"/>
        </w:rPr>
        <w:t>021-61562778</w:t>
      </w:r>
      <w:r>
        <w:rPr>
          <w:rFonts w:ascii="Times New Roman" w:hAnsi="Times New Roman" w:eastAsia="Times New Roman" w:cs="Times New Roman"/>
          <w:color w:val="auto"/>
          <w:sz w:val="20"/>
          <w:szCs w:val="20"/>
        </w:rPr>
        <w:t xml:space="preserve"> </w:t>
      </w:r>
    </w:p>
    <w:p w14:paraId="652D0D2B">
      <w:pPr>
        <w:autoSpaceDE w:val="0"/>
        <w:autoSpaceDN w:val="0"/>
        <w:spacing w:line="360" w:lineRule="auto"/>
        <w:rPr>
          <w:color w:val="auto"/>
        </w:rPr>
      </w:pPr>
      <w:r>
        <w:rPr>
          <w:rFonts w:ascii="宋体" w:hAnsi="宋体" w:eastAsia="宋体" w:cs="宋体"/>
          <w:b/>
          <w:color w:val="auto"/>
          <w:spacing w:val="5"/>
          <w:sz w:val="22"/>
          <w:szCs w:val="22"/>
        </w:rPr>
        <w:t>售后</w:t>
      </w:r>
      <w:r>
        <w:rPr>
          <w:rFonts w:ascii="宋体" w:hAnsi="宋体" w:eastAsia="宋体" w:cs="宋体"/>
          <w:b/>
          <w:color w:val="auto"/>
          <w:spacing w:val="4"/>
          <w:sz w:val="22"/>
          <w:szCs w:val="22"/>
        </w:rPr>
        <w:t>服务</w:t>
      </w:r>
    </w:p>
    <w:p w14:paraId="407EF7AC">
      <w:pPr>
        <w:autoSpaceDE w:val="0"/>
        <w:autoSpaceDN w:val="0"/>
        <w:spacing w:line="360" w:lineRule="auto"/>
        <w:ind w:right="-48" w:rightChars="0"/>
        <w:rPr>
          <w:color w:val="auto"/>
        </w:rPr>
      </w:pPr>
      <w:r>
        <w:rPr>
          <w:rFonts w:ascii="Times New Roman" w:hAnsi="Times New Roman" w:eastAsia="Times New Roman" w:cs="Times New Roman"/>
          <w:color w:val="auto"/>
          <w:spacing w:val="1"/>
          <w:sz w:val="20"/>
          <w:szCs w:val="20"/>
        </w:rPr>
        <w:t>Waters</w:t>
      </w:r>
      <w:r>
        <w:rPr>
          <w:rFonts w:ascii="Times New Roman" w:hAnsi="Times New Roman" w:eastAsia="Times New Roman" w:cs="Times New Roman"/>
          <w:color w:val="auto"/>
          <w:spacing w:val="2"/>
          <w:sz w:val="20"/>
          <w:szCs w:val="20"/>
        </w:rPr>
        <w:t xml:space="preserve"> </w:t>
      </w:r>
      <w:r>
        <w:rPr>
          <w:rFonts w:ascii="宋体" w:hAnsi="宋体" w:eastAsia="宋体" w:cs="宋体"/>
          <w:color w:val="auto"/>
          <w:spacing w:val="2"/>
          <w:sz w:val="20"/>
          <w:szCs w:val="20"/>
        </w:rPr>
        <w:t xml:space="preserve">全球统一化服务关注于通过优质的售后服务、技术支持、产品升级、培训以及 </w:t>
      </w:r>
      <w:r>
        <w:rPr>
          <w:rFonts w:ascii="Times New Roman" w:hAnsi="Times New Roman" w:eastAsia="Times New Roman" w:cs="Times New Roman"/>
          <w:color w:val="auto"/>
          <w:spacing w:val="6"/>
          <w:sz w:val="20"/>
          <w:szCs w:val="20"/>
        </w:rPr>
        <w:t>Waters</w:t>
      </w:r>
      <w:r>
        <w:rPr>
          <w:rFonts w:ascii="Times New Roman" w:hAnsi="Times New Roman" w:eastAsia="Times New Roman" w:cs="Times New Roman"/>
          <w:color w:val="auto"/>
          <w:spacing w:val="3"/>
          <w:sz w:val="20"/>
          <w:szCs w:val="20"/>
        </w:rPr>
        <w:t xml:space="preserve"> </w:t>
      </w:r>
      <w:r>
        <w:rPr>
          <w:rFonts w:ascii="宋体" w:hAnsi="宋体" w:eastAsia="宋体" w:cs="宋体"/>
          <w:color w:val="auto"/>
          <w:spacing w:val="3"/>
          <w:sz w:val="20"/>
          <w:szCs w:val="20"/>
        </w:rPr>
        <w:t>高品质原装配</w:t>
      </w:r>
      <w:r>
        <w:rPr>
          <w:rFonts w:ascii="宋体" w:hAnsi="宋体" w:eastAsia="宋体" w:cs="宋体"/>
          <w:color w:val="auto"/>
          <w:spacing w:val="-3"/>
          <w:sz w:val="20"/>
          <w:szCs w:val="20"/>
        </w:rPr>
        <w:t>件来保障用户获得</w:t>
      </w:r>
      <w:r>
        <w:rPr>
          <w:rFonts w:ascii="宋体" w:hAnsi="宋体" w:eastAsia="宋体" w:cs="宋体"/>
          <w:color w:val="auto"/>
          <w:spacing w:val="-2"/>
          <w:sz w:val="20"/>
          <w:szCs w:val="20"/>
        </w:rPr>
        <w:t>优质的仪器性能。</w:t>
      </w:r>
    </w:p>
    <w:p w14:paraId="36D3E96E">
      <w:pPr>
        <w:autoSpaceDE w:val="0"/>
        <w:autoSpaceDN w:val="0"/>
        <w:spacing w:line="360" w:lineRule="auto"/>
        <w:ind w:right="-48" w:rightChars="0"/>
        <w:rPr>
          <w:color w:val="auto"/>
        </w:rPr>
      </w:pPr>
      <w:r>
        <w:rPr>
          <w:rFonts w:ascii="Times New Roman" w:hAnsi="Times New Roman" w:eastAsia="Times New Roman" w:cs="Times New Roman"/>
          <w:color w:val="auto"/>
          <w:spacing w:val="1"/>
          <w:sz w:val="20"/>
          <w:szCs w:val="20"/>
          <w:lang w:eastAsia="zh-CN"/>
        </w:rPr>
        <w:t>Waters</w:t>
      </w:r>
      <w:r>
        <w:rPr>
          <w:rFonts w:ascii="Times New Roman" w:hAnsi="Times New Roman" w:eastAsia="Times New Roman" w:cs="Times New Roman"/>
          <w:color w:val="auto"/>
          <w:sz w:val="20"/>
          <w:szCs w:val="20"/>
          <w:lang w:eastAsia="zh-CN"/>
        </w:rPr>
        <w:t xml:space="preserve"> </w:t>
      </w:r>
      <w:r>
        <w:rPr>
          <w:rFonts w:ascii="宋体" w:hAnsi="宋体" w:eastAsia="宋体" w:cs="宋体"/>
          <w:color w:val="auto"/>
          <w:spacing w:val="2"/>
          <w:sz w:val="20"/>
          <w:szCs w:val="20"/>
          <w:lang w:eastAsia="zh-CN"/>
        </w:rPr>
        <w:t xml:space="preserve">对技术工程师有着严格的培训和管理体系，任何由 </w:t>
      </w:r>
      <w:r>
        <w:rPr>
          <w:rFonts w:ascii="Times New Roman" w:hAnsi="Times New Roman" w:eastAsia="Times New Roman" w:cs="Times New Roman"/>
          <w:color w:val="auto"/>
          <w:spacing w:val="4"/>
          <w:sz w:val="20"/>
          <w:szCs w:val="20"/>
          <w:lang w:eastAsia="zh-CN"/>
        </w:rPr>
        <w:t>Waters</w:t>
      </w:r>
      <w:r>
        <w:rPr>
          <w:rFonts w:ascii="Times New Roman" w:hAnsi="Times New Roman" w:eastAsia="Times New Roman" w:cs="Times New Roman"/>
          <w:color w:val="auto"/>
          <w:spacing w:val="1"/>
          <w:sz w:val="20"/>
          <w:szCs w:val="20"/>
          <w:lang w:eastAsia="zh-CN"/>
        </w:rPr>
        <w:t xml:space="preserve"> </w:t>
      </w:r>
      <w:r>
        <w:rPr>
          <w:rFonts w:ascii="宋体" w:hAnsi="宋体" w:eastAsia="宋体" w:cs="宋体"/>
          <w:color w:val="auto"/>
          <w:spacing w:val="3"/>
          <w:sz w:val="20"/>
          <w:szCs w:val="20"/>
          <w:lang w:eastAsia="zh-CN"/>
        </w:rPr>
        <w:t>公司指派服务用户的技术工程师都必须持</w:t>
      </w:r>
      <w:r>
        <w:rPr>
          <w:rFonts w:ascii="宋体" w:hAnsi="宋体" w:eastAsia="宋体" w:cs="宋体"/>
          <w:color w:val="auto"/>
          <w:spacing w:val="-3"/>
          <w:sz w:val="20"/>
          <w:szCs w:val="20"/>
          <w:lang w:eastAsia="zh-CN"/>
        </w:rPr>
        <w:t>有在证书有效期内的相关型号</w:t>
      </w:r>
      <w:r>
        <w:rPr>
          <w:rFonts w:ascii="宋体" w:hAnsi="宋体" w:eastAsia="宋体" w:cs="宋体"/>
          <w:color w:val="auto"/>
          <w:spacing w:val="-2"/>
          <w:sz w:val="20"/>
          <w:szCs w:val="20"/>
          <w:lang w:eastAsia="zh-CN"/>
        </w:rPr>
        <w:t>产品的服务资格证。</w:t>
      </w:r>
    </w:p>
    <w:p w14:paraId="0CE3B05E">
      <w:pPr>
        <w:autoSpaceDE w:val="0"/>
        <w:autoSpaceDN w:val="0"/>
        <w:spacing w:line="360" w:lineRule="auto"/>
        <w:ind w:right="-48" w:rightChars="0"/>
        <w:rPr>
          <w:color w:val="auto"/>
        </w:rPr>
      </w:pPr>
      <w:r>
        <w:rPr>
          <w:rFonts w:ascii="宋体" w:hAnsi="宋体" w:eastAsia="宋体" w:cs="宋体"/>
          <w:color w:val="auto"/>
          <w:spacing w:val="-3"/>
          <w:sz w:val="20"/>
          <w:szCs w:val="20"/>
          <w:lang w:eastAsia="zh-CN"/>
        </w:rPr>
        <w:t>我们有着超庞大的、过百位的专注于液相色谱及质谱相关领域的技术工程师队伍</w:t>
      </w:r>
      <w:r>
        <w:rPr>
          <w:rFonts w:ascii="宋体" w:hAnsi="宋体" w:eastAsia="宋体" w:cs="宋体"/>
          <w:color w:val="auto"/>
          <w:spacing w:val="-2"/>
          <w:sz w:val="20"/>
          <w:szCs w:val="20"/>
          <w:lang w:eastAsia="zh-CN"/>
        </w:rPr>
        <w:t>服务于中国大陆用户，他们在</w:t>
      </w:r>
      <w:r>
        <w:rPr>
          <w:rFonts w:ascii="宋体" w:hAnsi="宋体" w:eastAsia="宋体" w:cs="宋体"/>
          <w:color w:val="auto"/>
          <w:spacing w:val="-3"/>
          <w:sz w:val="20"/>
          <w:szCs w:val="20"/>
          <w:lang w:eastAsia="zh-CN"/>
        </w:rPr>
        <w:t>样品前处理、色谱柱使用、液相色谱、质谱到实验室信息管理系统等方面有着丰</w:t>
      </w:r>
      <w:r>
        <w:rPr>
          <w:rFonts w:ascii="宋体" w:hAnsi="宋体" w:eastAsia="宋体" w:cs="宋体"/>
          <w:color w:val="auto"/>
          <w:spacing w:val="-2"/>
          <w:sz w:val="20"/>
          <w:szCs w:val="20"/>
          <w:lang w:eastAsia="zh-CN"/>
        </w:rPr>
        <w:t>富的经验，工作时间最长的工</w:t>
      </w:r>
      <w:r>
        <w:rPr>
          <w:rFonts w:ascii="宋体" w:hAnsi="宋体" w:eastAsia="宋体" w:cs="宋体"/>
          <w:color w:val="auto"/>
          <w:sz w:val="20"/>
          <w:szCs w:val="20"/>
          <w:lang w:eastAsia="zh-CN"/>
        </w:rPr>
        <w:t>程师已经在</w:t>
      </w:r>
      <w:r>
        <w:rPr>
          <w:rFonts w:ascii="宋体" w:hAnsi="宋体" w:eastAsia="宋体" w:cs="宋体"/>
          <w:color w:val="auto"/>
          <w:spacing w:val="5"/>
          <w:sz w:val="20"/>
          <w:szCs w:val="20"/>
          <w:lang w:eastAsia="zh-CN"/>
        </w:rPr>
        <w:t xml:space="preserve"> </w:t>
      </w:r>
      <w:r>
        <w:rPr>
          <w:rFonts w:ascii="Times New Roman" w:hAnsi="Times New Roman" w:eastAsia="Times New Roman" w:cs="Times New Roman"/>
          <w:color w:val="auto"/>
          <w:sz w:val="20"/>
          <w:szCs w:val="20"/>
          <w:lang w:eastAsia="zh-CN"/>
        </w:rPr>
        <w:t>Waters</w:t>
      </w:r>
      <w:r>
        <w:rPr>
          <w:rFonts w:ascii="Times New Roman" w:hAnsi="Times New Roman" w:eastAsia="Times New Roman" w:cs="Times New Roman"/>
          <w:color w:val="auto"/>
          <w:spacing w:val="3"/>
          <w:sz w:val="20"/>
          <w:szCs w:val="20"/>
          <w:lang w:eastAsia="zh-CN"/>
        </w:rPr>
        <w:t xml:space="preserve"> </w:t>
      </w:r>
      <w:r>
        <w:rPr>
          <w:rFonts w:ascii="宋体" w:hAnsi="宋体" w:eastAsia="宋体" w:cs="宋体"/>
          <w:color w:val="auto"/>
          <w:sz w:val="20"/>
          <w:szCs w:val="20"/>
          <w:lang w:eastAsia="zh-CN"/>
        </w:rPr>
        <w:t>中国工作超过</w:t>
      </w:r>
      <w:r>
        <w:rPr>
          <w:rFonts w:ascii="宋体" w:hAnsi="宋体" w:eastAsia="宋体" w:cs="宋体"/>
          <w:color w:val="auto"/>
          <w:spacing w:val="6"/>
          <w:sz w:val="20"/>
          <w:szCs w:val="20"/>
          <w:lang w:eastAsia="zh-CN"/>
        </w:rPr>
        <w:t xml:space="preserve"> </w:t>
      </w:r>
      <w:r>
        <w:rPr>
          <w:rFonts w:ascii="Times New Roman" w:hAnsi="Times New Roman" w:eastAsia="Times New Roman" w:cs="Times New Roman"/>
          <w:color w:val="auto"/>
          <w:sz w:val="20"/>
          <w:szCs w:val="20"/>
          <w:lang w:eastAsia="zh-CN"/>
        </w:rPr>
        <w:t>25</w:t>
      </w:r>
      <w:r>
        <w:rPr>
          <w:rFonts w:ascii="Times New Roman" w:hAnsi="Times New Roman" w:eastAsia="Times New Roman" w:cs="Times New Roman"/>
          <w:color w:val="auto"/>
          <w:spacing w:val="2"/>
          <w:sz w:val="20"/>
          <w:szCs w:val="20"/>
          <w:lang w:eastAsia="zh-CN"/>
        </w:rPr>
        <w:t xml:space="preserve"> </w:t>
      </w:r>
      <w:r>
        <w:rPr>
          <w:rFonts w:ascii="宋体" w:hAnsi="宋体" w:eastAsia="宋体" w:cs="宋体"/>
          <w:color w:val="auto"/>
          <w:sz w:val="20"/>
          <w:szCs w:val="20"/>
          <w:lang w:eastAsia="zh-CN"/>
        </w:rPr>
        <w:t>年，</w:t>
      </w:r>
      <w:r>
        <w:rPr>
          <w:rFonts w:ascii="宋体" w:hAnsi="宋体" w:eastAsia="宋体" w:cs="宋体"/>
          <w:color w:val="auto"/>
          <w:spacing w:val="6"/>
          <w:sz w:val="20"/>
          <w:szCs w:val="20"/>
          <w:lang w:eastAsia="zh-CN"/>
        </w:rPr>
        <w:t xml:space="preserve"> </w:t>
      </w:r>
      <w:r>
        <w:rPr>
          <w:rFonts w:ascii="宋体" w:hAnsi="宋体" w:eastAsia="宋体" w:cs="宋体"/>
          <w:color w:val="auto"/>
          <w:sz w:val="20"/>
          <w:szCs w:val="20"/>
          <w:lang w:eastAsia="zh-CN"/>
        </w:rPr>
        <w:t>而在</w:t>
      </w:r>
      <w:r>
        <w:rPr>
          <w:rFonts w:ascii="宋体" w:hAnsi="宋体" w:eastAsia="宋体" w:cs="宋体"/>
          <w:color w:val="auto"/>
          <w:spacing w:val="6"/>
          <w:sz w:val="20"/>
          <w:szCs w:val="20"/>
          <w:lang w:eastAsia="zh-CN"/>
        </w:rPr>
        <w:t xml:space="preserve"> </w:t>
      </w:r>
      <w:r>
        <w:rPr>
          <w:rFonts w:ascii="Times New Roman" w:hAnsi="Times New Roman" w:eastAsia="Times New Roman" w:cs="Times New Roman"/>
          <w:color w:val="auto"/>
          <w:sz w:val="20"/>
          <w:szCs w:val="20"/>
          <w:lang w:eastAsia="zh-CN"/>
        </w:rPr>
        <w:t>Waters</w:t>
      </w:r>
      <w:r>
        <w:rPr>
          <w:rFonts w:ascii="Times New Roman" w:hAnsi="Times New Roman" w:eastAsia="Times New Roman" w:cs="Times New Roman"/>
          <w:color w:val="auto"/>
          <w:spacing w:val="3"/>
          <w:sz w:val="20"/>
          <w:szCs w:val="20"/>
          <w:lang w:eastAsia="zh-CN"/>
        </w:rPr>
        <w:t xml:space="preserve"> </w:t>
      </w:r>
      <w:r>
        <w:rPr>
          <w:rFonts w:ascii="宋体" w:hAnsi="宋体" w:eastAsia="宋体" w:cs="宋体"/>
          <w:color w:val="auto"/>
          <w:sz w:val="20"/>
          <w:szCs w:val="20"/>
          <w:lang w:eastAsia="zh-CN"/>
        </w:rPr>
        <w:t>中国有数量众多的资深工程师有</w:t>
      </w:r>
      <w:r>
        <w:rPr>
          <w:rFonts w:ascii="宋体" w:hAnsi="宋体" w:eastAsia="宋体" w:cs="宋体"/>
          <w:color w:val="auto"/>
          <w:spacing w:val="5"/>
          <w:sz w:val="20"/>
          <w:szCs w:val="20"/>
          <w:lang w:eastAsia="zh-CN"/>
        </w:rPr>
        <w:t xml:space="preserve"> </w:t>
      </w:r>
      <w:r>
        <w:rPr>
          <w:rFonts w:ascii="Times New Roman" w:hAnsi="Times New Roman" w:eastAsia="Times New Roman" w:cs="Times New Roman"/>
          <w:color w:val="auto"/>
          <w:sz w:val="20"/>
          <w:szCs w:val="20"/>
          <w:lang w:eastAsia="zh-CN"/>
        </w:rPr>
        <w:t>10</w:t>
      </w:r>
      <w:r>
        <w:rPr>
          <w:rFonts w:ascii="Times New Roman" w:hAnsi="Times New Roman" w:eastAsia="Times New Roman" w:cs="Times New Roman"/>
          <w:color w:val="auto"/>
          <w:spacing w:val="3"/>
          <w:sz w:val="20"/>
          <w:szCs w:val="20"/>
          <w:lang w:eastAsia="zh-CN"/>
        </w:rPr>
        <w:t xml:space="preserve"> </w:t>
      </w:r>
      <w:r>
        <w:rPr>
          <w:rFonts w:ascii="宋体" w:hAnsi="宋体" w:eastAsia="宋体" w:cs="宋体"/>
          <w:color w:val="auto"/>
          <w:sz w:val="20"/>
          <w:szCs w:val="20"/>
          <w:lang w:eastAsia="zh-CN"/>
        </w:rPr>
        <w:t>年以上的工作经</w:t>
      </w:r>
      <w:r>
        <w:rPr>
          <w:rFonts w:ascii="宋体" w:hAnsi="宋体" w:eastAsia="宋体" w:cs="宋体"/>
          <w:color w:val="auto"/>
          <w:spacing w:val="-3"/>
          <w:sz w:val="20"/>
          <w:szCs w:val="20"/>
          <w:lang w:eastAsia="zh-CN"/>
        </w:rPr>
        <w:t>验。他们深厚积累和不断更新的知识，能够帮助您最大程度延长仪器工作时间、</w:t>
      </w:r>
      <w:r>
        <w:rPr>
          <w:rFonts w:ascii="宋体" w:hAnsi="宋体" w:eastAsia="宋体" w:cs="宋体"/>
          <w:color w:val="auto"/>
          <w:spacing w:val="-2"/>
          <w:sz w:val="20"/>
          <w:szCs w:val="20"/>
          <w:lang w:eastAsia="zh-CN"/>
        </w:rPr>
        <w:t>提高实验室生产率，帮助您满</w:t>
      </w:r>
      <w:r>
        <w:rPr>
          <w:rFonts w:ascii="宋体" w:hAnsi="宋体" w:eastAsia="宋体" w:cs="宋体"/>
          <w:color w:val="auto"/>
          <w:spacing w:val="-3"/>
          <w:sz w:val="20"/>
          <w:szCs w:val="20"/>
          <w:lang w:eastAsia="zh-CN"/>
        </w:rPr>
        <w:t>足严格的法</w:t>
      </w:r>
      <w:r>
        <w:rPr>
          <w:rFonts w:ascii="宋体" w:hAnsi="宋体" w:eastAsia="宋体" w:cs="宋体"/>
          <w:color w:val="auto"/>
          <w:spacing w:val="-2"/>
          <w:sz w:val="20"/>
          <w:szCs w:val="20"/>
          <w:lang w:eastAsia="zh-CN"/>
        </w:rPr>
        <w:t>规要求。</w:t>
      </w:r>
    </w:p>
    <w:p w14:paraId="279BE5AB">
      <w:pPr>
        <w:autoSpaceDE w:val="0"/>
        <w:autoSpaceDN w:val="0"/>
        <w:spacing w:line="360" w:lineRule="auto"/>
        <w:ind w:right="-48" w:rightChars="0"/>
        <w:rPr>
          <w:rFonts w:ascii="宋体" w:hAnsi="宋体" w:eastAsia="宋体" w:cs="宋体"/>
          <w:b/>
          <w:color w:val="auto"/>
          <w:spacing w:val="5"/>
          <w:sz w:val="22"/>
          <w:szCs w:val="22"/>
        </w:rPr>
      </w:pPr>
      <w:r>
        <w:rPr>
          <w:rFonts w:ascii="Times New Roman" w:hAnsi="Times New Roman" w:eastAsia="Times New Roman" w:cs="Times New Roman"/>
          <w:color w:val="auto"/>
          <w:sz w:val="20"/>
          <w:szCs w:val="20"/>
          <w:lang w:eastAsia="zh-CN"/>
        </w:rPr>
        <w:t>Waters</w:t>
      </w:r>
      <w:r>
        <w:rPr>
          <w:rFonts w:ascii="宋体" w:hAnsi="宋体" w:eastAsia="宋体" w:cs="宋体"/>
          <w:color w:val="auto"/>
          <w:sz w:val="20"/>
          <w:szCs w:val="20"/>
          <w:lang w:eastAsia="zh-CN"/>
        </w:rPr>
        <w:t>在新加坡设有亚太区分销中心，加速对亚洲国家的供货。在上海设有大型的零配件及消耗品仓库，确</w:t>
      </w:r>
      <w:r>
        <w:rPr>
          <w:rFonts w:ascii="宋体" w:hAnsi="宋体" w:eastAsia="宋体" w:cs="宋体"/>
          <w:color w:val="auto"/>
          <w:spacing w:val="-3"/>
          <w:sz w:val="20"/>
          <w:szCs w:val="20"/>
          <w:lang w:eastAsia="zh-CN"/>
        </w:rPr>
        <w:t>保用户所需的零配件得</w:t>
      </w:r>
      <w:r>
        <w:rPr>
          <w:rFonts w:ascii="宋体" w:hAnsi="宋体" w:eastAsia="宋体" w:cs="宋体"/>
          <w:color w:val="auto"/>
          <w:spacing w:val="-2"/>
          <w:sz w:val="20"/>
          <w:szCs w:val="20"/>
          <w:lang w:eastAsia="zh-CN"/>
        </w:rPr>
        <w:t>以及时送达。</w:t>
      </w:r>
    </w:p>
    <w:p w14:paraId="55A8DDAD">
      <w:pPr>
        <w:autoSpaceDE w:val="0"/>
        <w:autoSpaceDN w:val="0"/>
        <w:spacing w:line="360" w:lineRule="auto"/>
        <w:rPr>
          <w:color w:val="auto"/>
        </w:rPr>
      </w:pPr>
      <w:r>
        <w:rPr>
          <w:rFonts w:ascii="宋体" w:hAnsi="宋体" w:eastAsia="宋体" w:cs="宋体"/>
          <w:b/>
          <w:color w:val="auto"/>
          <w:spacing w:val="5"/>
          <w:sz w:val="22"/>
          <w:szCs w:val="22"/>
        </w:rPr>
        <w:t>仪器到货、安</w:t>
      </w:r>
      <w:r>
        <w:rPr>
          <w:rFonts w:ascii="宋体" w:hAnsi="宋体" w:eastAsia="宋体" w:cs="宋体"/>
          <w:b/>
          <w:color w:val="auto"/>
          <w:spacing w:val="4"/>
          <w:sz w:val="22"/>
          <w:szCs w:val="22"/>
        </w:rPr>
        <w:t>装及维修</w:t>
      </w:r>
    </w:p>
    <w:p w14:paraId="69B9481A">
      <w:pPr>
        <w:spacing w:line="360" w:lineRule="auto"/>
        <w:ind w:right="-48" w:rightChars="0"/>
        <w:rPr>
          <w:color w:val="auto"/>
        </w:rPr>
      </w:pPr>
      <w:r>
        <w:rPr>
          <w:rFonts w:ascii="宋体" w:hAnsi="宋体" w:eastAsia="宋体" w:cs="宋体"/>
          <w:color w:val="auto"/>
          <w:spacing w:val="-3"/>
          <w:sz w:val="20"/>
          <w:szCs w:val="20"/>
        </w:rPr>
        <w:t>在您购买的仪器发货后，我们会根据仪器的型号和配置提前为您提供所需的现场安装</w:t>
      </w:r>
      <w:r>
        <w:rPr>
          <w:rFonts w:ascii="宋体" w:hAnsi="宋体" w:eastAsia="宋体" w:cs="宋体"/>
          <w:color w:val="auto"/>
          <w:spacing w:val="-2"/>
          <w:sz w:val="20"/>
          <w:szCs w:val="20"/>
        </w:rPr>
        <w:t>准备条件文件，我们可根</w:t>
      </w:r>
      <w:r>
        <w:rPr>
          <w:rFonts w:ascii="宋体" w:hAnsi="宋体" w:eastAsia="宋体" w:cs="宋体"/>
          <w:color w:val="auto"/>
          <w:spacing w:val="2"/>
          <w:sz w:val="20"/>
          <w:szCs w:val="20"/>
        </w:rPr>
        <w:t>据您的要求提供中文或英文版，以保证安装的前期准备工</w:t>
      </w:r>
      <w:r>
        <w:rPr>
          <w:rFonts w:ascii="宋体" w:hAnsi="宋体" w:eastAsia="宋体" w:cs="宋体"/>
          <w:color w:val="auto"/>
          <w:spacing w:val="1"/>
          <w:sz w:val="20"/>
          <w:szCs w:val="20"/>
        </w:rPr>
        <w:t>作能够及时、顺利地完成。有关安装准备的任何问</w:t>
      </w:r>
      <w:r>
        <w:rPr>
          <w:rFonts w:ascii="宋体" w:hAnsi="宋体" w:eastAsia="宋体" w:cs="宋体"/>
          <w:color w:val="auto"/>
          <w:sz w:val="20"/>
          <w:szCs w:val="20"/>
        </w:rPr>
        <w:t xml:space="preserve">题，欢迎致电 </w:t>
      </w:r>
      <w:r>
        <w:rPr>
          <w:rFonts w:ascii="Times New Roman" w:hAnsi="Times New Roman" w:eastAsia="Times New Roman" w:cs="Times New Roman"/>
          <w:color w:val="auto"/>
          <w:sz w:val="20"/>
          <w:szCs w:val="20"/>
        </w:rPr>
        <w:t xml:space="preserve">Waters </w:t>
      </w:r>
      <w:r>
        <w:rPr>
          <w:rFonts w:ascii="宋体" w:hAnsi="宋体" w:eastAsia="宋体" w:cs="宋体"/>
          <w:color w:val="auto"/>
          <w:sz w:val="20"/>
          <w:szCs w:val="20"/>
        </w:rPr>
        <w:t>中国大陆免费服务热线</w:t>
      </w:r>
      <w:r>
        <w:rPr>
          <w:rFonts w:ascii="宋体" w:hAnsi="宋体" w:eastAsia="宋体" w:cs="宋体"/>
          <w:color w:val="auto"/>
          <w:spacing w:val="-22"/>
          <w:sz w:val="20"/>
          <w:szCs w:val="20"/>
        </w:rPr>
        <w:t xml:space="preserve"> </w:t>
      </w:r>
      <w:r>
        <w:rPr>
          <w:rFonts w:ascii="Times New Roman" w:hAnsi="Times New Roman" w:eastAsia="Times New Roman" w:cs="Times New Roman"/>
          <w:color w:val="auto"/>
          <w:sz w:val="20"/>
          <w:szCs w:val="20"/>
        </w:rPr>
        <w:t>800(400)8202676</w:t>
      </w:r>
      <w:r>
        <w:rPr>
          <w:rFonts w:ascii="宋体" w:hAnsi="宋体" w:eastAsia="宋体" w:cs="宋体"/>
          <w:color w:val="auto"/>
          <w:sz w:val="20"/>
          <w:szCs w:val="20"/>
        </w:rPr>
        <w:t>，我们的工程师将在第一时间为您解答问题。</w:t>
      </w:r>
    </w:p>
    <w:p w14:paraId="408F5499">
      <w:pPr>
        <w:autoSpaceDE w:val="0"/>
        <w:autoSpaceDN w:val="0"/>
        <w:spacing w:line="360" w:lineRule="auto"/>
        <w:ind w:right="-48" w:rightChars="0"/>
        <w:rPr>
          <w:color w:val="auto"/>
          <w:lang w:eastAsia="zh-CN"/>
        </w:rPr>
      </w:pPr>
      <w:r>
        <w:rPr>
          <w:rFonts w:ascii="宋体" w:hAnsi="宋体" w:eastAsia="宋体" w:cs="宋体"/>
          <w:color w:val="auto"/>
          <w:spacing w:val="-3"/>
          <w:sz w:val="20"/>
          <w:szCs w:val="20"/>
          <w:lang w:eastAsia="zh-CN"/>
        </w:rPr>
        <w:t>仪器到货后，我们会指派具有相关产品服务资质的工程师为您进行安装及现场培训，</w:t>
      </w:r>
      <w:r>
        <w:rPr>
          <w:rFonts w:ascii="宋体" w:hAnsi="宋体" w:eastAsia="宋体" w:cs="宋体"/>
          <w:color w:val="auto"/>
          <w:spacing w:val="-2"/>
          <w:sz w:val="20"/>
          <w:szCs w:val="20"/>
          <w:lang w:eastAsia="zh-CN"/>
        </w:rPr>
        <w:t>工程师将在用户的协同和</w:t>
      </w:r>
      <w:r>
        <w:rPr>
          <w:rFonts w:ascii="宋体" w:hAnsi="宋体" w:eastAsia="宋体" w:cs="宋体"/>
          <w:color w:val="auto"/>
          <w:spacing w:val="-3"/>
          <w:sz w:val="20"/>
          <w:szCs w:val="20"/>
          <w:lang w:eastAsia="zh-CN"/>
        </w:rPr>
        <w:t>监督下共同开箱点货、验货。工程师有责任协助用户辩明物品型号并与装箱单核对，</w:t>
      </w:r>
      <w:r>
        <w:rPr>
          <w:rFonts w:ascii="宋体" w:hAnsi="宋体" w:eastAsia="宋体" w:cs="宋体"/>
          <w:color w:val="auto"/>
          <w:spacing w:val="-2"/>
          <w:sz w:val="20"/>
          <w:szCs w:val="20"/>
          <w:lang w:eastAsia="zh-CN"/>
        </w:rPr>
        <w:t>若有任何不符，工程师将协助用户与</w:t>
      </w:r>
      <w:r>
        <w:rPr>
          <w:rFonts w:ascii="宋体" w:hAnsi="宋体" w:eastAsia="宋体" w:cs="宋体"/>
          <w:color w:val="auto"/>
          <w:spacing w:val="-3"/>
          <w:sz w:val="20"/>
          <w:szCs w:val="20"/>
          <w:lang w:eastAsia="zh-CN"/>
        </w:rPr>
        <w:t xml:space="preserve"> </w:t>
      </w:r>
      <w:r>
        <w:rPr>
          <w:rFonts w:ascii="Times New Roman" w:hAnsi="Times New Roman" w:eastAsia="Times New Roman" w:cs="Times New Roman"/>
          <w:color w:val="auto"/>
          <w:spacing w:val="-1"/>
          <w:sz w:val="20"/>
          <w:szCs w:val="20"/>
          <w:lang w:eastAsia="zh-CN"/>
        </w:rPr>
        <w:t>Waters</w:t>
      </w:r>
      <w:r>
        <w:rPr>
          <w:rFonts w:ascii="Times New Roman" w:hAnsi="Times New Roman" w:eastAsia="Times New Roman" w:cs="Times New Roman"/>
          <w:color w:val="auto"/>
          <w:spacing w:val="-4"/>
          <w:sz w:val="20"/>
          <w:szCs w:val="20"/>
          <w:lang w:eastAsia="zh-CN"/>
        </w:rPr>
        <w:t xml:space="preserve"> </w:t>
      </w:r>
      <w:r>
        <w:rPr>
          <w:rFonts w:ascii="宋体" w:hAnsi="宋体" w:eastAsia="宋体" w:cs="宋体"/>
          <w:color w:val="auto"/>
          <w:spacing w:val="-2"/>
          <w:sz w:val="20"/>
          <w:szCs w:val="20"/>
          <w:lang w:eastAsia="zh-CN"/>
        </w:rPr>
        <w:t>公司客户运营部门联系处理。</w:t>
      </w:r>
      <w:r>
        <w:rPr>
          <w:rFonts w:ascii="宋体" w:hAnsi="宋体" w:eastAsia="宋体" w:cs="宋体"/>
          <w:color w:val="auto"/>
          <w:sz w:val="20"/>
          <w:szCs w:val="20"/>
          <w:lang w:eastAsia="zh-CN"/>
        </w:rPr>
        <w:t>工程师将按照</w:t>
      </w:r>
      <w:r>
        <w:rPr>
          <w:rFonts w:ascii="宋体" w:hAnsi="宋体" w:eastAsia="宋体" w:cs="宋体"/>
          <w:color w:val="auto"/>
          <w:spacing w:val="-22"/>
          <w:sz w:val="20"/>
          <w:szCs w:val="20"/>
          <w:lang w:eastAsia="zh-CN"/>
        </w:rPr>
        <w:t xml:space="preserve"> </w:t>
      </w:r>
      <w:r>
        <w:rPr>
          <w:rFonts w:ascii="Times New Roman" w:hAnsi="Times New Roman" w:eastAsia="Times New Roman" w:cs="Times New Roman"/>
          <w:color w:val="auto"/>
          <w:sz w:val="20"/>
          <w:szCs w:val="20"/>
          <w:lang w:eastAsia="zh-CN"/>
        </w:rPr>
        <w:t>Waters</w:t>
      </w:r>
      <w:r>
        <w:rPr>
          <w:rFonts w:ascii="Times New Roman" w:hAnsi="Times New Roman" w:eastAsia="Times New Roman" w:cs="Times New Roman"/>
          <w:color w:val="auto"/>
          <w:spacing w:val="-12"/>
          <w:sz w:val="20"/>
          <w:szCs w:val="20"/>
          <w:lang w:eastAsia="zh-CN"/>
        </w:rPr>
        <w:t xml:space="preserve"> </w:t>
      </w:r>
      <w:r>
        <w:rPr>
          <w:rFonts w:ascii="宋体" w:hAnsi="宋体" w:eastAsia="宋体" w:cs="宋体"/>
          <w:color w:val="auto"/>
          <w:sz w:val="20"/>
          <w:szCs w:val="20"/>
          <w:lang w:eastAsia="zh-CN"/>
        </w:rPr>
        <w:t>公司标准安装流程上的安装、测试及现场培训步骤进行系统的安装。安装调试结束后，</w:t>
      </w:r>
      <w:r>
        <w:rPr>
          <w:rFonts w:ascii="宋体" w:hAnsi="宋体" w:eastAsia="宋体" w:cs="宋体"/>
          <w:color w:val="auto"/>
          <w:spacing w:val="-3"/>
          <w:sz w:val="20"/>
          <w:szCs w:val="20"/>
          <w:lang w:eastAsia="zh-CN"/>
        </w:rPr>
        <w:t>双方在工作报告上签字</w:t>
      </w:r>
      <w:r>
        <w:rPr>
          <w:rFonts w:ascii="宋体" w:hAnsi="宋体" w:eastAsia="宋体" w:cs="宋体"/>
          <w:color w:val="auto"/>
          <w:spacing w:val="-2"/>
          <w:sz w:val="20"/>
          <w:szCs w:val="20"/>
          <w:lang w:eastAsia="zh-CN"/>
        </w:rPr>
        <w:t>确认。</w:t>
      </w:r>
      <w:r>
        <w:rPr>
          <w:rFonts w:ascii="宋体" w:hAnsi="宋体" w:eastAsia="宋体" w:cs="宋体"/>
          <w:color w:val="auto"/>
          <w:spacing w:val="-3"/>
          <w:sz w:val="20"/>
          <w:szCs w:val="20"/>
          <w:lang w:eastAsia="zh-CN"/>
        </w:rPr>
        <w:t>我们将为所有仪器设计寿命内的</w:t>
      </w:r>
      <w:r>
        <w:rPr>
          <w:rFonts w:ascii="宋体" w:hAnsi="宋体" w:eastAsia="宋体" w:cs="宋体"/>
          <w:color w:val="auto"/>
          <w:spacing w:val="-1"/>
          <w:sz w:val="20"/>
          <w:szCs w:val="20"/>
          <w:lang w:eastAsia="zh-CN"/>
        </w:rPr>
        <w:t xml:space="preserve"> </w:t>
      </w:r>
      <w:r>
        <w:rPr>
          <w:rFonts w:ascii="Times New Roman" w:hAnsi="Times New Roman" w:eastAsia="Times New Roman" w:cs="Times New Roman"/>
          <w:color w:val="auto"/>
          <w:spacing w:val="-2"/>
          <w:sz w:val="20"/>
          <w:szCs w:val="20"/>
          <w:lang w:eastAsia="zh-CN"/>
        </w:rPr>
        <w:t xml:space="preserve">Waters </w:t>
      </w:r>
      <w:r>
        <w:rPr>
          <w:rFonts w:ascii="宋体" w:hAnsi="宋体" w:eastAsia="宋体" w:cs="宋体"/>
          <w:color w:val="auto"/>
          <w:spacing w:val="-3"/>
          <w:sz w:val="20"/>
          <w:szCs w:val="20"/>
          <w:lang w:eastAsia="zh-CN"/>
        </w:rPr>
        <w:t>用户提供服务，并在工作时间</w:t>
      </w:r>
      <w:r>
        <w:rPr>
          <w:rFonts w:ascii="宋体" w:hAnsi="宋体" w:eastAsia="宋体" w:cs="宋体"/>
          <w:color w:val="auto"/>
          <w:spacing w:val="-2"/>
          <w:sz w:val="20"/>
          <w:szCs w:val="20"/>
          <w:lang w:eastAsia="zh-CN"/>
        </w:rPr>
        <w:t xml:space="preserve"> </w:t>
      </w:r>
      <w:r>
        <w:rPr>
          <w:rFonts w:ascii="Times New Roman" w:hAnsi="Times New Roman" w:eastAsia="Times New Roman" w:cs="Times New Roman"/>
          <w:color w:val="auto"/>
          <w:spacing w:val="-1"/>
          <w:sz w:val="20"/>
          <w:szCs w:val="20"/>
          <w:lang w:eastAsia="zh-CN"/>
        </w:rPr>
        <w:t>24</w:t>
      </w:r>
      <w:r>
        <w:rPr>
          <w:rFonts w:ascii="Times New Roman" w:hAnsi="Times New Roman" w:eastAsia="Times New Roman" w:cs="Times New Roman"/>
          <w:color w:val="auto"/>
          <w:spacing w:val="-2"/>
          <w:sz w:val="20"/>
          <w:szCs w:val="20"/>
          <w:lang w:eastAsia="zh-CN"/>
        </w:rPr>
        <w:t xml:space="preserve"> </w:t>
      </w:r>
      <w:r>
        <w:rPr>
          <w:rFonts w:ascii="宋体" w:hAnsi="宋体" w:eastAsia="宋体" w:cs="宋体"/>
          <w:color w:val="auto"/>
          <w:spacing w:val="-3"/>
          <w:sz w:val="20"/>
          <w:szCs w:val="20"/>
          <w:lang w:eastAsia="zh-CN"/>
        </w:rPr>
        <w:t>小时内响应用户的服务请求。</w:t>
      </w:r>
    </w:p>
    <w:p w14:paraId="5765E528">
      <w:pPr>
        <w:autoSpaceDE w:val="0"/>
        <w:autoSpaceDN w:val="0"/>
        <w:spacing w:line="360" w:lineRule="auto"/>
        <w:rPr>
          <w:color w:val="auto"/>
          <w:lang w:eastAsia="zh-CN"/>
        </w:rPr>
      </w:pPr>
      <w:r>
        <w:rPr>
          <w:rFonts w:ascii="宋体" w:hAnsi="宋体" w:eastAsia="宋体" w:cs="宋体"/>
          <w:b/>
          <w:color w:val="auto"/>
          <w:spacing w:val="6"/>
          <w:sz w:val="22"/>
          <w:szCs w:val="22"/>
          <w:lang w:eastAsia="zh-CN"/>
        </w:rPr>
        <w:t>在线技术服务中心、远程监测和诊断、</w:t>
      </w:r>
      <w:r>
        <w:rPr>
          <w:rFonts w:ascii="Times New Roman" w:hAnsi="Times New Roman" w:eastAsia="Times New Roman" w:cs="Times New Roman"/>
          <w:color w:val="auto"/>
          <w:spacing w:val="8"/>
          <w:sz w:val="22"/>
          <w:szCs w:val="22"/>
          <w:lang w:eastAsia="zh-CN"/>
        </w:rPr>
        <w:t>800</w:t>
      </w:r>
      <w:r>
        <w:rPr>
          <w:rFonts w:ascii="Times New Roman" w:hAnsi="Times New Roman" w:eastAsia="Times New Roman" w:cs="Times New Roman"/>
          <w:color w:val="auto"/>
          <w:spacing w:val="9"/>
          <w:sz w:val="22"/>
          <w:szCs w:val="22"/>
          <w:lang w:eastAsia="zh-CN"/>
        </w:rPr>
        <w:t xml:space="preserve"> </w:t>
      </w:r>
      <w:r>
        <w:rPr>
          <w:rFonts w:ascii="宋体" w:hAnsi="宋体" w:eastAsia="宋体" w:cs="宋体"/>
          <w:b/>
          <w:color w:val="auto"/>
          <w:spacing w:val="6"/>
          <w:sz w:val="22"/>
          <w:szCs w:val="22"/>
          <w:lang w:eastAsia="zh-CN"/>
        </w:rPr>
        <w:t>免费电话支持专线</w:t>
      </w:r>
    </w:p>
    <w:p w14:paraId="0A4841DC">
      <w:pPr>
        <w:autoSpaceDE w:val="0"/>
        <w:autoSpaceDN w:val="0"/>
        <w:spacing w:line="360" w:lineRule="auto"/>
        <w:ind w:right="-48" w:rightChars="0"/>
        <w:rPr>
          <w:rFonts w:ascii="宋体" w:hAnsi="宋体" w:eastAsia="宋体" w:cs="宋体"/>
          <w:color w:val="auto"/>
          <w:spacing w:val="-2"/>
          <w:sz w:val="20"/>
          <w:szCs w:val="20"/>
          <w:lang w:eastAsia="zh-CN"/>
        </w:rPr>
      </w:pPr>
      <w:r>
        <w:rPr>
          <w:rFonts w:ascii="Times New Roman" w:hAnsi="Times New Roman" w:eastAsia="Times New Roman" w:cs="Times New Roman"/>
          <w:color w:val="auto"/>
          <w:sz w:val="20"/>
          <w:szCs w:val="20"/>
          <w:lang w:eastAsia="zh-CN"/>
        </w:rPr>
        <w:t>800(400)8202676</w:t>
      </w:r>
      <w:r>
        <w:rPr>
          <w:rFonts w:ascii="Times New Roman" w:hAnsi="Times New Roman" w:eastAsia="Times New Roman" w:cs="Times New Roman"/>
          <w:color w:val="auto"/>
          <w:spacing w:val="11"/>
          <w:sz w:val="20"/>
          <w:szCs w:val="20"/>
          <w:lang w:eastAsia="zh-CN"/>
        </w:rPr>
        <w:t xml:space="preserve"> </w:t>
      </w:r>
      <w:r>
        <w:rPr>
          <w:rFonts w:ascii="宋体" w:hAnsi="宋体" w:eastAsia="宋体" w:cs="宋体"/>
          <w:color w:val="auto"/>
          <w:spacing w:val="15"/>
          <w:sz w:val="20"/>
          <w:szCs w:val="20"/>
          <w:lang w:eastAsia="zh-CN"/>
        </w:rPr>
        <w:t>是</w:t>
      </w:r>
      <w:r>
        <w:rPr>
          <w:rFonts w:ascii="宋体" w:hAnsi="宋体" w:eastAsia="宋体" w:cs="宋体"/>
          <w:color w:val="auto"/>
          <w:spacing w:val="12"/>
          <w:sz w:val="20"/>
          <w:szCs w:val="20"/>
          <w:lang w:eastAsia="zh-CN"/>
        </w:rPr>
        <w:t xml:space="preserve"> </w:t>
      </w:r>
      <w:r>
        <w:rPr>
          <w:rFonts w:ascii="Times New Roman" w:hAnsi="Times New Roman" w:eastAsia="Times New Roman" w:cs="Times New Roman"/>
          <w:color w:val="auto"/>
          <w:spacing w:val="1"/>
          <w:sz w:val="20"/>
          <w:szCs w:val="20"/>
          <w:lang w:eastAsia="zh-CN"/>
        </w:rPr>
        <w:t>Waters</w:t>
      </w:r>
      <w:r>
        <w:rPr>
          <w:rFonts w:ascii="Times New Roman" w:hAnsi="Times New Roman" w:eastAsia="Times New Roman" w:cs="Times New Roman"/>
          <w:color w:val="auto"/>
          <w:spacing w:val="11"/>
          <w:sz w:val="20"/>
          <w:szCs w:val="20"/>
          <w:lang w:eastAsia="zh-CN"/>
        </w:rPr>
        <w:t xml:space="preserve"> </w:t>
      </w:r>
      <w:r>
        <w:rPr>
          <w:rFonts w:ascii="宋体" w:hAnsi="宋体" w:eastAsia="宋体" w:cs="宋体"/>
          <w:color w:val="auto"/>
          <w:spacing w:val="1"/>
          <w:sz w:val="20"/>
          <w:szCs w:val="20"/>
          <w:lang w:eastAsia="zh-CN"/>
        </w:rPr>
        <w:t>为中国大陆用户提供的免费电话支持专线，技术服务中心的资深工程师们将在第</w:t>
      </w:r>
      <w:r>
        <w:rPr>
          <w:rFonts w:ascii="宋体" w:hAnsi="宋体" w:eastAsia="宋体" w:cs="宋体"/>
          <w:color w:val="auto"/>
          <w:sz w:val="20"/>
          <w:szCs w:val="20"/>
          <w:lang w:eastAsia="zh-CN"/>
        </w:rPr>
        <w:t>一时间为用户解答任何技术相关问题，经验丰富的他们能够保证及时地通过在线电话方式解决</w:t>
      </w:r>
      <w:r>
        <w:rPr>
          <w:rFonts w:ascii="宋体" w:hAnsi="宋体" w:eastAsia="宋体" w:cs="宋体"/>
          <w:color w:val="auto"/>
          <w:spacing w:val="3"/>
          <w:sz w:val="20"/>
          <w:szCs w:val="20"/>
          <w:lang w:eastAsia="zh-CN"/>
        </w:rPr>
        <w:t xml:space="preserve"> </w:t>
      </w:r>
      <w:r>
        <w:rPr>
          <w:rFonts w:ascii="Times New Roman" w:hAnsi="Times New Roman" w:eastAsia="Times New Roman" w:cs="Times New Roman"/>
          <w:color w:val="auto"/>
          <w:spacing w:val="7"/>
          <w:sz w:val="20"/>
          <w:szCs w:val="20"/>
          <w:lang w:eastAsia="zh-CN"/>
        </w:rPr>
        <w:t>80%</w:t>
      </w:r>
      <w:r>
        <w:rPr>
          <w:rFonts w:ascii="宋体" w:hAnsi="宋体" w:eastAsia="宋体" w:cs="宋体"/>
          <w:color w:val="auto"/>
          <w:spacing w:val="1"/>
          <w:sz w:val="20"/>
          <w:szCs w:val="20"/>
          <w:lang w:eastAsia="zh-CN"/>
        </w:rPr>
        <w:t>以上来自</w:t>
      </w:r>
      <w:r>
        <w:rPr>
          <w:rFonts w:ascii="宋体" w:hAnsi="宋体" w:eastAsia="宋体" w:cs="宋体"/>
          <w:color w:val="auto"/>
          <w:spacing w:val="-3"/>
          <w:sz w:val="20"/>
          <w:szCs w:val="20"/>
          <w:lang w:eastAsia="zh-CN"/>
        </w:rPr>
        <w:t>于用户的各种问题，因而可以降低及</w:t>
      </w:r>
      <w:r>
        <w:rPr>
          <w:rFonts w:ascii="宋体" w:hAnsi="宋体" w:eastAsia="宋体" w:cs="宋体"/>
          <w:color w:val="auto"/>
          <w:spacing w:val="-2"/>
          <w:sz w:val="20"/>
          <w:szCs w:val="20"/>
          <w:lang w:eastAsia="zh-CN"/>
        </w:rPr>
        <w:t>缩短用户停机的时间。</w:t>
      </w:r>
    </w:p>
    <w:p w14:paraId="532F80CC">
      <w:pPr>
        <w:spacing w:line="360" w:lineRule="auto"/>
        <w:ind w:right="-48" w:rightChars="0"/>
        <w:rPr>
          <w:color w:val="auto"/>
        </w:rPr>
      </w:pPr>
      <w:r>
        <w:rPr>
          <w:rFonts w:ascii="宋体" w:hAnsi="宋体" w:eastAsia="宋体" w:cs="宋体"/>
          <w:color w:val="auto"/>
          <w:sz w:val="20"/>
          <w:szCs w:val="20"/>
          <w:lang w:eastAsia="zh-CN"/>
        </w:rPr>
        <w:t>通过</w:t>
      </w:r>
      <w:r>
        <w:rPr>
          <w:rFonts w:ascii="宋体" w:hAnsi="宋体" w:eastAsia="宋体" w:cs="宋体"/>
          <w:color w:val="auto"/>
          <w:spacing w:val="-7"/>
          <w:sz w:val="20"/>
          <w:szCs w:val="20"/>
          <w:lang w:eastAsia="zh-CN"/>
        </w:rPr>
        <w:t xml:space="preserve"> </w:t>
      </w:r>
      <w:r>
        <w:rPr>
          <w:rFonts w:ascii="Times New Roman" w:hAnsi="Times New Roman" w:eastAsia="Times New Roman" w:cs="Times New Roman"/>
          <w:color w:val="auto"/>
          <w:sz w:val="20"/>
          <w:szCs w:val="20"/>
          <w:lang w:eastAsia="zh-CN"/>
        </w:rPr>
        <w:t>Waters</w:t>
      </w:r>
      <w:r>
        <w:rPr>
          <w:rFonts w:ascii="Times New Roman" w:hAnsi="Times New Roman" w:eastAsia="Times New Roman" w:cs="Times New Roman"/>
          <w:color w:val="auto"/>
          <w:spacing w:val="-3"/>
          <w:sz w:val="20"/>
          <w:szCs w:val="20"/>
          <w:lang w:eastAsia="zh-CN"/>
        </w:rPr>
        <w:t xml:space="preserve"> </w:t>
      </w:r>
      <w:r>
        <w:rPr>
          <w:rFonts w:ascii="宋体" w:hAnsi="宋体" w:eastAsia="宋体" w:cs="宋体"/>
          <w:color w:val="auto"/>
          <w:sz w:val="20"/>
          <w:szCs w:val="20"/>
          <w:lang w:eastAsia="zh-CN"/>
        </w:rPr>
        <w:t>网站在线服务申请系统</w:t>
      </w:r>
      <w:r>
        <w:rPr>
          <w:rFonts w:ascii="宋体" w:hAnsi="宋体" w:eastAsia="宋体" w:cs="宋体"/>
          <w:color w:val="auto"/>
          <w:spacing w:val="-8"/>
          <w:sz w:val="20"/>
          <w:szCs w:val="20"/>
          <w:lang w:eastAsia="zh-CN"/>
        </w:rPr>
        <w:t xml:space="preserve"> </w:t>
      </w:r>
      <w:r>
        <w:rPr>
          <w:rFonts w:ascii="Times New Roman" w:hAnsi="Times New Roman" w:eastAsia="Times New Roman" w:cs="Times New Roman"/>
          <w:color w:val="auto"/>
          <w:sz w:val="20"/>
          <w:szCs w:val="20"/>
          <w:lang w:eastAsia="zh-CN"/>
        </w:rPr>
        <w:t>iRequest™</w:t>
      </w:r>
      <w:r>
        <w:rPr>
          <w:rFonts w:ascii="宋体" w:hAnsi="宋体" w:eastAsia="宋体" w:cs="宋体"/>
          <w:color w:val="auto"/>
          <w:sz w:val="20"/>
          <w:szCs w:val="20"/>
          <w:lang w:eastAsia="zh-CN"/>
        </w:rPr>
        <w:t>，您可以一周</w:t>
      </w:r>
      <w:r>
        <w:rPr>
          <w:rFonts w:ascii="宋体" w:hAnsi="宋体" w:eastAsia="宋体" w:cs="宋体"/>
          <w:color w:val="auto"/>
          <w:spacing w:val="-7"/>
          <w:sz w:val="20"/>
          <w:szCs w:val="20"/>
          <w:lang w:eastAsia="zh-CN"/>
        </w:rPr>
        <w:t xml:space="preserve"> </w:t>
      </w:r>
      <w:r>
        <w:rPr>
          <w:rFonts w:ascii="Times New Roman" w:hAnsi="Times New Roman" w:eastAsia="Times New Roman" w:cs="Times New Roman"/>
          <w:color w:val="auto"/>
          <w:sz w:val="20"/>
          <w:szCs w:val="20"/>
          <w:lang w:eastAsia="zh-CN"/>
        </w:rPr>
        <w:t>7</w:t>
      </w:r>
      <w:r>
        <w:rPr>
          <w:rFonts w:ascii="Times New Roman" w:hAnsi="Times New Roman" w:eastAsia="Times New Roman" w:cs="Times New Roman"/>
          <w:color w:val="auto"/>
          <w:spacing w:val="-4"/>
          <w:sz w:val="20"/>
          <w:szCs w:val="20"/>
          <w:lang w:eastAsia="zh-CN"/>
        </w:rPr>
        <w:t xml:space="preserve"> </w:t>
      </w:r>
      <w:r>
        <w:rPr>
          <w:rFonts w:ascii="宋体" w:hAnsi="宋体" w:eastAsia="宋体" w:cs="宋体"/>
          <w:color w:val="auto"/>
          <w:sz w:val="20"/>
          <w:szCs w:val="20"/>
          <w:lang w:eastAsia="zh-CN"/>
        </w:rPr>
        <w:t>天</w:t>
      </w:r>
      <w:r>
        <w:rPr>
          <w:rFonts w:ascii="宋体" w:hAnsi="宋体" w:eastAsia="宋体" w:cs="宋体"/>
          <w:color w:val="auto"/>
          <w:spacing w:val="-7"/>
          <w:sz w:val="20"/>
          <w:szCs w:val="20"/>
          <w:lang w:eastAsia="zh-CN"/>
        </w:rPr>
        <w:t xml:space="preserve"> </w:t>
      </w:r>
      <w:r>
        <w:rPr>
          <w:rFonts w:ascii="Times New Roman" w:hAnsi="Times New Roman" w:eastAsia="Times New Roman" w:cs="Times New Roman"/>
          <w:color w:val="auto"/>
          <w:sz w:val="20"/>
          <w:szCs w:val="20"/>
          <w:lang w:eastAsia="zh-CN"/>
        </w:rPr>
        <w:t>24</w:t>
      </w:r>
      <w:r>
        <w:rPr>
          <w:rFonts w:ascii="Times New Roman" w:hAnsi="Times New Roman" w:eastAsia="Times New Roman" w:cs="Times New Roman"/>
          <w:color w:val="auto"/>
          <w:spacing w:val="-5"/>
          <w:sz w:val="20"/>
          <w:szCs w:val="20"/>
          <w:lang w:eastAsia="zh-CN"/>
        </w:rPr>
        <w:t xml:space="preserve"> </w:t>
      </w:r>
      <w:r>
        <w:rPr>
          <w:rFonts w:ascii="宋体" w:hAnsi="宋体" w:eastAsia="宋体" w:cs="宋体"/>
          <w:color w:val="auto"/>
          <w:sz w:val="20"/>
          <w:szCs w:val="20"/>
          <w:lang w:eastAsia="zh-CN"/>
        </w:rPr>
        <w:t>小时随时快速方便地递交服务申请，亦</w:t>
      </w:r>
      <w:r>
        <w:rPr>
          <w:rFonts w:ascii="宋体" w:hAnsi="宋体" w:eastAsia="宋体" w:cs="宋体"/>
          <w:color w:val="auto"/>
          <w:spacing w:val="-2"/>
          <w:sz w:val="20"/>
          <w:szCs w:val="20"/>
          <w:lang w:eastAsia="zh-CN"/>
        </w:rPr>
        <w:t>可跟踪有关您的申请的所有相关信息及进展，进一步增强您和</w:t>
      </w:r>
      <w:r>
        <w:rPr>
          <w:rFonts w:ascii="宋体" w:hAnsi="宋体" w:eastAsia="宋体" w:cs="宋体"/>
          <w:color w:val="auto"/>
          <w:spacing w:val="-4"/>
          <w:sz w:val="20"/>
          <w:szCs w:val="20"/>
          <w:lang w:eastAsia="zh-CN"/>
        </w:rPr>
        <w:t xml:space="preserve"> </w:t>
      </w:r>
      <w:r>
        <w:rPr>
          <w:rFonts w:ascii="Times New Roman" w:hAnsi="Times New Roman" w:eastAsia="Times New Roman" w:cs="Times New Roman"/>
          <w:color w:val="auto"/>
          <w:spacing w:val="-2"/>
          <w:sz w:val="20"/>
          <w:szCs w:val="20"/>
          <w:lang w:eastAsia="zh-CN"/>
        </w:rPr>
        <w:t>Waters</w:t>
      </w:r>
      <w:r>
        <w:rPr>
          <w:rFonts w:ascii="Times New Roman" w:hAnsi="Times New Roman" w:eastAsia="Times New Roman" w:cs="Times New Roman"/>
          <w:color w:val="auto"/>
          <w:spacing w:val="-6"/>
          <w:sz w:val="20"/>
          <w:szCs w:val="20"/>
          <w:lang w:eastAsia="zh-CN"/>
        </w:rPr>
        <w:t xml:space="preserve"> </w:t>
      </w:r>
      <w:r>
        <w:rPr>
          <w:rFonts w:ascii="宋体" w:hAnsi="宋体" w:eastAsia="宋体" w:cs="宋体"/>
          <w:color w:val="auto"/>
          <w:spacing w:val="-2"/>
          <w:sz w:val="20"/>
          <w:szCs w:val="20"/>
          <w:lang w:eastAsia="zh-CN"/>
        </w:rPr>
        <w:t>公司服务、支持和培训团队的沟通。</w:t>
      </w:r>
    </w:p>
    <w:p w14:paraId="0CFBC851">
      <w:pPr>
        <w:tabs>
          <w:tab w:val="left" w:pos="8190"/>
        </w:tabs>
        <w:autoSpaceDE w:val="0"/>
        <w:autoSpaceDN w:val="0"/>
        <w:spacing w:line="360" w:lineRule="auto"/>
        <w:ind w:right="-48" w:rightChars="0"/>
        <w:rPr>
          <w:rFonts w:ascii="宋体" w:hAnsi="宋体" w:eastAsia="宋体" w:cs="宋体"/>
          <w:b/>
          <w:color w:val="auto"/>
          <w:spacing w:val="5"/>
          <w:sz w:val="22"/>
          <w:szCs w:val="22"/>
        </w:rPr>
      </w:pPr>
      <w:r>
        <w:rPr>
          <w:rFonts w:ascii="Times New Roman" w:hAnsi="Times New Roman" w:eastAsia="Times New Roman" w:cs="Times New Roman"/>
          <w:color w:val="auto"/>
          <w:sz w:val="20"/>
          <w:szCs w:val="20"/>
        </w:rPr>
        <w:t>Connection</w:t>
      </w:r>
      <w:r>
        <w:rPr>
          <w:rFonts w:ascii="Times New Roman" w:hAnsi="Times New Roman" w:eastAsia="Times New Roman" w:cs="Times New Roman"/>
          <w:color w:val="auto"/>
          <w:spacing w:val="7"/>
          <w:sz w:val="20"/>
          <w:szCs w:val="20"/>
        </w:rPr>
        <w:t xml:space="preserve"> </w:t>
      </w:r>
      <w:r>
        <w:rPr>
          <w:rFonts w:ascii="Times New Roman" w:hAnsi="Times New Roman" w:eastAsia="Times New Roman" w:cs="Times New Roman"/>
          <w:color w:val="auto"/>
          <w:sz w:val="20"/>
          <w:szCs w:val="20"/>
        </w:rPr>
        <w:t>Insight™</w:t>
      </w:r>
      <w:r>
        <w:rPr>
          <w:rFonts w:ascii="宋体" w:hAnsi="宋体" w:eastAsia="宋体" w:cs="宋体"/>
          <w:color w:val="auto"/>
          <w:sz w:val="20"/>
          <w:szCs w:val="20"/>
        </w:rPr>
        <w:t>远程监测和诊断服务，涵盖了</w:t>
      </w:r>
      <w:r>
        <w:rPr>
          <w:rFonts w:ascii="宋体" w:hAnsi="宋体" w:eastAsia="宋体" w:cs="宋体"/>
          <w:color w:val="auto"/>
          <w:spacing w:val="16"/>
          <w:sz w:val="20"/>
          <w:szCs w:val="20"/>
        </w:rPr>
        <w:t xml:space="preserve"> </w:t>
      </w:r>
      <w:r>
        <w:rPr>
          <w:rFonts w:ascii="Times New Roman" w:hAnsi="Times New Roman" w:eastAsia="Times New Roman" w:cs="Times New Roman"/>
          <w:color w:val="auto"/>
          <w:sz w:val="20"/>
          <w:szCs w:val="20"/>
        </w:rPr>
        <w:t>iHelp</w:t>
      </w:r>
      <w:r>
        <w:rPr>
          <w:rFonts w:ascii="Times New Roman" w:hAnsi="Times New Roman" w:eastAsia="Times New Roman" w:cs="Times New Roman"/>
          <w:color w:val="auto"/>
          <w:spacing w:val="7"/>
          <w:sz w:val="20"/>
          <w:szCs w:val="20"/>
        </w:rPr>
        <w:t xml:space="preserve"> </w:t>
      </w:r>
      <w:r>
        <w:rPr>
          <w:rFonts w:ascii="宋体" w:hAnsi="宋体" w:eastAsia="宋体" w:cs="宋体"/>
          <w:color w:val="auto"/>
          <w:sz w:val="20"/>
          <w:szCs w:val="20"/>
        </w:rPr>
        <w:t>实时帮助、</w:t>
      </w:r>
      <w:r>
        <w:rPr>
          <w:rFonts w:ascii="Times New Roman" w:hAnsi="Times New Roman" w:eastAsia="Times New Roman" w:cs="Times New Roman"/>
          <w:color w:val="auto"/>
          <w:sz w:val="20"/>
          <w:szCs w:val="20"/>
        </w:rPr>
        <w:t>iAlert</w:t>
      </w:r>
      <w:r>
        <w:rPr>
          <w:rFonts w:ascii="Times New Roman" w:hAnsi="Times New Roman" w:eastAsia="Times New Roman" w:cs="Times New Roman"/>
          <w:color w:val="auto"/>
          <w:spacing w:val="8"/>
          <w:sz w:val="20"/>
          <w:szCs w:val="20"/>
        </w:rPr>
        <w:t xml:space="preserve"> </w:t>
      </w:r>
      <w:r>
        <w:rPr>
          <w:rFonts w:ascii="宋体" w:hAnsi="宋体" w:eastAsia="宋体" w:cs="宋体"/>
          <w:color w:val="auto"/>
          <w:sz w:val="20"/>
          <w:szCs w:val="20"/>
        </w:rPr>
        <w:t>实时监测、</w:t>
      </w:r>
      <w:r>
        <w:rPr>
          <w:rFonts w:ascii="Times New Roman" w:hAnsi="Times New Roman" w:eastAsia="Times New Roman" w:cs="Times New Roman"/>
          <w:color w:val="auto"/>
          <w:sz w:val="20"/>
          <w:szCs w:val="20"/>
        </w:rPr>
        <w:t>iAssist</w:t>
      </w:r>
      <w:r>
        <w:rPr>
          <w:rFonts w:ascii="Times New Roman" w:hAnsi="Times New Roman" w:eastAsia="Times New Roman" w:cs="Times New Roman"/>
          <w:color w:val="auto"/>
          <w:spacing w:val="8"/>
          <w:sz w:val="20"/>
          <w:szCs w:val="20"/>
        </w:rPr>
        <w:t xml:space="preserve"> </w:t>
      </w:r>
      <w:r>
        <w:rPr>
          <w:rFonts w:ascii="宋体" w:hAnsi="宋体" w:eastAsia="宋体" w:cs="宋体"/>
          <w:color w:val="auto"/>
          <w:sz w:val="20"/>
          <w:szCs w:val="20"/>
        </w:rPr>
        <w:t>实时诊断和解决</w:t>
      </w:r>
      <w:r>
        <w:rPr>
          <w:rFonts w:ascii="宋体" w:hAnsi="宋体" w:eastAsia="宋体" w:cs="宋体"/>
          <w:color w:val="auto"/>
          <w:spacing w:val="-2"/>
          <w:sz w:val="20"/>
          <w:szCs w:val="20"/>
        </w:rPr>
        <w:t>问题方案。在得到您的允许后，</w:t>
      </w:r>
      <w:r>
        <w:rPr>
          <w:rFonts w:ascii="Times New Roman" w:hAnsi="Times New Roman" w:eastAsia="Times New Roman" w:cs="Times New Roman"/>
          <w:color w:val="auto"/>
          <w:spacing w:val="-1"/>
          <w:sz w:val="20"/>
          <w:szCs w:val="20"/>
        </w:rPr>
        <w:t>Waters</w:t>
      </w:r>
      <w:r>
        <w:rPr>
          <w:rFonts w:ascii="Times New Roman" w:hAnsi="Times New Roman" w:eastAsia="Times New Roman" w:cs="Times New Roman"/>
          <w:color w:val="auto"/>
          <w:sz w:val="20"/>
          <w:szCs w:val="20"/>
        </w:rPr>
        <w:t xml:space="preserve"> </w:t>
      </w:r>
      <w:r>
        <w:rPr>
          <w:rFonts w:ascii="宋体" w:hAnsi="宋体" w:eastAsia="宋体" w:cs="宋体"/>
          <w:color w:val="auto"/>
          <w:spacing w:val="-2"/>
          <w:sz w:val="20"/>
          <w:szCs w:val="20"/>
        </w:rPr>
        <w:t>公司技术支持专家可以通过互联网</w:t>
      </w:r>
      <w:r>
        <w:rPr>
          <w:rFonts w:ascii="宋体" w:hAnsi="宋体" w:eastAsia="宋体" w:cs="宋体"/>
          <w:color w:val="auto"/>
          <w:sz w:val="20"/>
          <w:szCs w:val="20"/>
        </w:rPr>
        <w:t xml:space="preserve"> </w:t>
      </w:r>
      <w:r>
        <w:rPr>
          <w:rFonts w:ascii="Times New Roman" w:hAnsi="Times New Roman" w:eastAsia="Times New Roman" w:cs="Times New Roman"/>
          <w:color w:val="auto"/>
          <w:sz w:val="20"/>
          <w:szCs w:val="20"/>
        </w:rPr>
        <w:t>24</w:t>
      </w:r>
      <w:r>
        <w:rPr>
          <w:rFonts w:ascii="Times New Roman" w:hAnsi="Times New Roman" w:eastAsia="Times New Roman" w:cs="Times New Roman"/>
          <w:color w:val="auto"/>
          <w:spacing w:val="-1"/>
          <w:sz w:val="20"/>
          <w:szCs w:val="20"/>
        </w:rPr>
        <w:t xml:space="preserve"> </w:t>
      </w:r>
      <w:r>
        <w:rPr>
          <w:rFonts w:ascii="宋体" w:hAnsi="宋体" w:eastAsia="宋体" w:cs="宋体"/>
          <w:color w:val="auto"/>
          <w:spacing w:val="-2"/>
          <w:sz w:val="20"/>
          <w:szCs w:val="20"/>
        </w:rPr>
        <w:t>小时实时监测用户的仪器状态，远程遥控检查仪器的状态和各项参数以实施实时故障排除</w:t>
      </w:r>
      <w:r>
        <w:rPr>
          <w:rFonts w:ascii="Times New Roman" w:hAnsi="Times New Roman" w:eastAsia="Times New Roman" w:cs="Times New Roman"/>
          <w:color w:val="auto"/>
          <w:spacing w:val="-7"/>
          <w:sz w:val="20"/>
          <w:szCs w:val="20"/>
        </w:rPr>
        <w:t>(</w:t>
      </w:r>
      <w:r>
        <w:rPr>
          <w:rFonts w:ascii="宋体" w:hAnsi="宋体" w:eastAsia="宋体" w:cs="宋体"/>
          <w:color w:val="auto"/>
          <w:spacing w:val="-2"/>
          <w:sz w:val="20"/>
          <w:szCs w:val="20"/>
        </w:rPr>
        <w:t>该服务包含在仪器保修期服务及</w:t>
      </w:r>
      <w:r>
        <w:rPr>
          <w:rFonts w:ascii="宋体" w:hAnsi="宋体" w:eastAsia="宋体" w:cs="宋体"/>
          <w:color w:val="auto"/>
          <w:sz w:val="20"/>
          <w:szCs w:val="20"/>
        </w:rPr>
        <w:t xml:space="preserve"> </w:t>
      </w:r>
      <w:r>
        <w:rPr>
          <w:rFonts w:ascii="Times New Roman" w:hAnsi="Times New Roman" w:eastAsia="Times New Roman" w:cs="Times New Roman"/>
          <w:color w:val="auto"/>
          <w:spacing w:val="-2"/>
          <w:sz w:val="20"/>
          <w:szCs w:val="20"/>
        </w:rPr>
        <w:t>Waters</w:t>
      </w:r>
      <w:r>
        <w:rPr>
          <w:rFonts w:ascii="Times New Roman" w:hAnsi="Times New Roman" w:eastAsia="Times New Roman" w:cs="Times New Roman"/>
          <w:color w:val="auto"/>
          <w:spacing w:val="-1"/>
          <w:sz w:val="20"/>
          <w:szCs w:val="20"/>
        </w:rPr>
        <w:t xml:space="preserve"> </w:t>
      </w:r>
      <w:r>
        <w:rPr>
          <w:rFonts w:ascii="宋体" w:hAnsi="宋体" w:eastAsia="宋体" w:cs="宋体"/>
          <w:color w:val="auto"/>
          <w:spacing w:val="-2"/>
          <w:sz w:val="20"/>
          <w:szCs w:val="20"/>
        </w:rPr>
        <w:t>全面保障计</w:t>
      </w:r>
      <w:r>
        <w:rPr>
          <w:rFonts w:ascii="宋体" w:hAnsi="宋体" w:eastAsia="宋体" w:cs="宋体"/>
          <w:color w:val="auto"/>
          <w:spacing w:val="-3"/>
          <w:sz w:val="20"/>
          <w:szCs w:val="20"/>
        </w:rPr>
        <w:t>划内</w:t>
      </w:r>
      <w:r>
        <w:rPr>
          <w:rFonts w:ascii="Times New Roman" w:hAnsi="Times New Roman" w:eastAsia="Times New Roman" w:cs="Times New Roman"/>
          <w:color w:val="auto"/>
          <w:spacing w:val="-1"/>
          <w:sz w:val="20"/>
          <w:szCs w:val="20"/>
        </w:rPr>
        <w:t>)</w:t>
      </w:r>
      <w:r>
        <w:rPr>
          <w:rFonts w:ascii="宋体" w:hAnsi="宋体" w:eastAsia="宋体" w:cs="宋体"/>
          <w:color w:val="auto"/>
          <w:spacing w:val="-3"/>
          <w:sz w:val="20"/>
          <w:szCs w:val="20"/>
        </w:rPr>
        <w:t>。</w:t>
      </w:r>
    </w:p>
    <w:p w14:paraId="29172FBF">
      <w:pPr>
        <w:autoSpaceDE w:val="0"/>
        <w:autoSpaceDN w:val="0"/>
        <w:spacing w:line="360" w:lineRule="auto"/>
        <w:rPr>
          <w:color w:val="auto"/>
        </w:rPr>
      </w:pPr>
      <w:r>
        <w:rPr>
          <w:rFonts w:ascii="宋体" w:hAnsi="宋体" w:eastAsia="宋体" w:cs="宋体"/>
          <w:b/>
          <w:color w:val="auto"/>
          <w:spacing w:val="5"/>
          <w:sz w:val="22"/>
          <w:szCs w:val="22"/>
        </w:rPr>
        <w:t>关于</w:t>
      </w:r>
      <w:r>
        <w:rPr>
          <w:rFonts w:ascii="宋体" w:hAnsi="宋体" w:eastAsia="宋体" w:cs="宋体"/>
          <w:b/>
          <w:color w:val="auto"/>
          <w:spacing w:val="4"/>
          <w:sz w:val="22"/>
          <w:szCs w:val="22"/>
        </w:rPr>
        <w:t>应用</w:t>
      </w:r>
    </w:p>
    <w:p w14:paraId="0D7D8825">
      <w:pPr>
        <w:tabs>
          <w:tab w:val="left" w:pos="9460"/>
          <w:tab w:val="left" w:pos="9660"/>
        </w:tabs>
        <w:autoSpaceDE w:val="0"/>
        <w:autoSpaceDN w:val="0"/>
        <w:spacing w:line="360" w:lineRule="auto"/>
        <w:ind w:right="-48" w:rightChars="0"/>
        <w:rPr>
          <w:color w:val="auto"/>
        </w:rPr>
      </w:pPr>
      <w:r>
        <w:rPr>
          <w:rFonts w:ascii="Times New Roman" w:hAnsi="Times New Roman" w:eastAsia="Times New Roman" w:cs="Times New Roman"/>
          <w:color w:val="auto"/>
          <w:spacing w:val="1"/>
          <w:sz w:val="20"/>
          <w:szCs w:val="20"/>
        </w:rPr>
        <w:t>Waters</w:t>
      </w:r>
      <w:r>
        <w:rPr>
          <w:rFonts w:ascii="Times New Roman" w:hAnsi="Times New Roman" w:eastAsia="Times New Roman" w:cs="Times New Roman"/>
          <w:color w:val="auto"/>
          <w:spacing w:val="4"/>
          <w:sz w:val="20"/>
          <w:szCs w:val="20"/>
        </w:rPr>
        <w:t xml:space="preserve"> </w:t>
      </w:r>
      <w:r>
        <w:rPr>
          <w:rFonts w:ascii="宋体" w:hAnsi="宋体" w:eastAsia="宋体" w:cs="宋体"/>
          <w:color w:val="auto"/>
          <w:spacing w:val="2"/>
          <w:sz w:val="20"/>
          <w:szCs w:val="20"/>
        </w:rPr>
        <w:t>中国有全职的资深应用技术专家</w:t>
      </w:r>
      <w:r>
        <w:rPr>
          <w:rFonts w:ascii="宋体" w:hAnsi="宋体" w:eastAsia="宋体" w:cs="宋体"/>
          <w:color w:val="auto"/>
          <w:spacing w:val="5"/>
          <w:sz w:val="20"/>
          <w:szCs w:val="20"/>
        </w:rPr>
        <w:t xml:space="preserve"> </w:t>
      </w:r>
      <w:r>
        <w:rPr>
          <w:rFonts w:ascii="Times New Roman" w:hAnsi="Times New Roman" w:eastAsia="Times New Roman" w:cs="Times New Roman"/>
          <w:color w:val="auto"/>
          <w:spacing w:val="3"/>
          <w:sz w:val="20"/>
          <w:szCs w:val="20"/>
        </w:rPr>
        <w:t>60</w:t>
      </w:r>
      <w:r>
        <w:rPr>
          <w:rFonts w:ascii="Times New Roman" w:hAnsi="Times New Roman" w:eastAsia="Times New Roman" w:cs="Times New Roman"/>
          <w:color w:val="auto"/>
          <w:spacing w:val="4"/>
          <w:sz w:val="20"/>
          <w:szCs w:val="20"/>
        </w:rPr>
        <w:t xml:space="preserve"> </w:t>
      </w:r>
      <w:r>
        <w:rPr>
          <w:rFonts w:ascii="宋体" w:hAnsi="宋体" w:eastAsia="宋体" w:cs="宋体"/>
          <w:color w:val="auto"/>
          <w:spacing w:val="2"/>
          <w:sz w:val="20"/>
          <w:szCs w:val="20"/>
        </w:rPr>
        <w:t>多位，强大的技术支持能力深得业内用户的认可。他们可以为用</w:t>
      </w:r>
      <w:r>
        <w:rPr>
          <w:rFonts w:ascii="宋体" w:hAnsi="宋体" w:eastAsia="宋体" w:cs="宋体"/>
          <w:color w:val="auto"/>
          <w:sz w:val="20"/>
          <w:szCs w:val="20"/>
        </w:rPr>
        <w:t>户提供应用方面的支持，帮助用户建立优化的色谱</w:t>
      </w:r>
      <w:r>
        <w:rPr>
          <w:rFonts w:ascii="Times New Roman" w:hAnsi="Times New Roman" w:eastAsia="Times New Roman" w:cs="Times New Roman"/>
          <w:color w:val="auto"/>
          <w:spacing w:val="12"/>
          <w:sz w:val="20"/>
          <w:szCs w:val="20"/>
        </w:rPr>
        <w:t>/</w:t>
      </w:r>
      <w:r>
        <w:rPr>
          <w:rFonts w:ascii="宋体" w:hAnsi="宋体" w:eastAsia="宋体" w:cs="宋体"/>
          <w:color w:val="auto"/>
          <w:spacing w:val="1"/>
          <w:sz w:val="20"/>
          <w:szCs w:val="20"/>
        </w:rPr>
        <w:t>质谱方法，为用户的科研实验提</w:t>
      </w:r>
      <w:r>
        <w:rPr>
          <w:rFonts w:ascii="宋体" w:hAnsi="宋体" w:eastAsia="宋体" w:cs="宋体"/>
          <w:color w:val="auto"/>
          <w:sz w:val="20"/>
          <w:szCs w:val="20"/>
        </w:rPr>
        <w:t>供建设性建议，为用户提</w:t>
      </w:r>
      <w:r>
        <w:rPr>
          <w:rFonts w:ascii="宋体" w:hAnsi="宋体" w:eastAsia="宋体" w:cs="宋体"/>
          <w:color w:val="auto"/>
          <w:spacing w:val="2"/>
          <w:sz w:val="20"/>
          <w:szCs w:val="20"/>
        </w:rPr>
        <w:t>供强大的文献支持数据库，培训用户使用仪器软件的基本方法和技</w:t>
      </w:r>
      <w:r>
        <w:rPr>
          <w:rFonts w:ascii="宋体" w:hAnsi="宋体" w:eastAsia="宋体" w:cs="宋体"/>
          <w:color w:val="auto"/>
          <w:spacing w:val="1"/>
          <w:sz w:val="20"/>
          <w:szCs w:val="20"/>
        </w:rPr>
        <w:t>巧等等，从而能够帮助用户最大限度地发</w:t>
      </w:r>
      <w:r>
        <w:rPr>
          <w:rFonts w:ascii="宋体" w:hAnsi="宋体" w:eastAsia="宋体" w:cs="宋体"/>
          <w:color w:val="auto"/>
          <w:spacing w:val="-2"/>
          <w:sz w:val="20"/>
          <w:szCs w:val="20"/>
        </w:rPr>
        <w:t>挥仪器</w:t>
      </w:r>
      <w:r>
        <w:rPr>
          <w:rFonts w:ascii="宋体" w:hAnsi="宋体" w:eastAsia="宋体" w:cs="宋体"/>
          <w:color w:val="auto"/>
          <w:spacing w:val="-1"/>
          <w:sz w:val="20"/>
          <w:szCs w:val="20"/>
        </w:rPr>
        <w:t>的功能。</w:t>
      </w:r>
    </w:p>
    <w:p w14:paraId="6057DA70">
      <w:pPr>
        <w:tabs>
          <w:tab w:val="left" w:pos="9660"/>
        </w:tabs>
        <w:autoSpaceDE w:val="0"/>
        <w:autoSpaceDN w:val="0"/>
        <w:spacing w:line="360" w:lineRule="auto"/>
        <w:ind w:right="-48" w:rightChars="0"/>
        <w:rPr>
          <w:color w:val="auto"/>
          <w:lang w:eastAsia="zh-CN"/>
        </w:rPr>
      </w:pPr>
      <w:r>
        <w:rPr>
          <w:rFonts w:ascii="Times New Roman" w:hAnsi="Times New Roman" w:eastAsia="Times New Roman" w:cs="Times New Roman"/>
          <w:color w:val="auto"/>
          <w:spacing w:val="1"/>
          <w:sz w:val="20"/>
          <w:szCs w:val="20"/>
          <w:lang w:eastAsia="zh-CN"/>
        </w:rPr>
        <w:t>Waters</w:t>
      </w:r>
      <w:r>
        <w:rPr>
          <w:rFonts w:ascii="Times New Roman" w:hAnsi="Times New Roman" w:eastAsia="Times New Roman" w:cs="Times New Roman"/>
          <w:color w:val="auto"/>
          <w:spacing w:val="2"/>
          <w:sz w:val="20"/>
          <w:szCs w:val="20"/>
          <w:lang w:eastAsia="zh-CN"/>
        </w:rPr>
        <w:t xml:space="preserve"> </w:t>
      </w:r>
      <w:r>
        <w:rPr>
          <w:rFonts w:ascii="宋体" w:hAnsi="宋体" w:eastAsia="宋体" w:cs="宋体"/>
          <w:color w:val="auto"/>
          <w:spacing w:val="4"/>
          <w:sz w:val="20"/>
          <w:szCs w:val="20"/>
          <w:lang w:eastAsia="zh-CN"/>
        </w:rPr>
        <w:t>的中文网站为</w:t>
      </w:r>
      <w:r>
        <w:rPr>
          <w:rFonts w:ascii="宋体" w:hAnsi="宋体" w:eastAsia="宋体" w:cs="宋体"/>
          <w:color w:val="auto"/>
          <w:spacing w:val="3"/>
          <w:sz w:val="20"/>
          <w:szCs w:val="20"/>
          <w:lang w:eastAsia="zh-CN"/>
        </w:rPr>
        <w:t xml:space="preserve"> </w:t>
      </w:r>
      <w:r>
        <w:rPr>
          <w:rFonts w:ascii="Times New Roman" w:hAnsi="Times New Roman" w:eastAsia="Times New Roman" w:cs="Times New Roman"/>
          <w:color w:val="auto"/>
          <w:spacing w:val="1"/>
          <w:sz w:val="20"/>
          <w:szCs w:val="20"/>
          <w:lang w:eastAsia="zh-CN"/>
        </w:rPr>
        <w:t>http://www.waters.com/cn</w:t>
      </w:r>
      <w:r>
        <w:rPr>
          <w:rFonts w:ascii="宋体" w:hAnsi="宋体" w:eastAsia="宋体" w:cs="宋体"/>
          <w:color w:val="auto"/>
          <w:spacing w:val="4"/>
          <w:sz w:val="20"/>
          <w:szCs w:val="20"/>
          <w:lang w:eastAsia="zh-CN"/>
        </w:rPr>
        <w:t>，该网站可以：方便用户查询、下载应用文集，提供</w:t>
      </w:r>
      <w:r>
        <w:rPr>
          <w:rFonts w:ascii="宋体" w:hAnsi="宋体" w:eastAsia="宋体" w:cs="宋体"/>
          <w:color w:val="auto"/>
          <w:spacing w:val="3"/>
          <w:sz w:val="20"/>
          <w:szCs w:val="20"/>
          <w:lang w:eastAsia="zh-CN"/>
        </w:rPr>
        <w:t xml:space="preserve"> </w:t>
      </w:r>
      <w:r>
        <w:rPr>
          <w:rFonts w:ascii="Times New Roman" w:hAnsi="Times New Roman" w:eastAsia="Times New Roman" w:cs="Times New Roman"/>
          <w:color w:val="auto"/>
          <w:spacing w:val="4"/>
          <w:sz w:val="20"/>
          <w:szCs w:val="20"/>
          <w:lang w:eastAsia="zh-CN"/>
        </w:rPr>
        <w:t>Waters</w:t>
      </w:r>
      <w:r>
        <w:rPr>
          <w:rFonts w:ascii="宋体" w:hAnsi="宋体" w:eastAsia="宋体" w:cs="宋体"/>
          <w:color w:val="auto"/>
          <w:spacing w:val="2"/>
          <w:sz w:val="20"/>
          <w:szCs w:val="20"/>
          <w:lang w:eastAsia="zh-CN"/>
        </w:rPr>
        <w:t>公司在色谱和质谱技术创新上的最新动态及学术界最新应用，提供</w:t>
      </w:r>
      <w:r>
        <w:rPr>
          <w:rFonts w:ascii="宋体" w:hAnsi="宋体" w:eastAsia="宋体" w:cs="宋体"/>
          <w:color w:val="auto"/>
          <w:spacing w:val="1"/>
          <w:sz w:val="20"/>
          <w:szCs w:val="20"/>
          <w:lang w:eastAsia="zh-CN"/>
        </w:rPr>
        <w:t>有关各种化合物在各个应用领域的最新分</w:t>
      </w:r>
      <w:r>
        <w:rPr>
          <w:rFonts w:ascii="宋体" w:hAnsi="宋体" w:eastAsia="宋体" w:cs="宋体"/>
          <w:color w:val="auto"/>
          <w:spacing w:val="-3"/>
          <w:sz w:val="20"/>
          <w:szCs w:val="20"/>
          <w:lang w:eastAsia="zh-CN"/>
        </w:rPr>
        <w:t>析方</w:t>
      </w:r>
      <w:r>
        <w:rPr>
          <w:rFonts w:ascii="宋体" w:hAnsi="宋体" w:eastAsia="宋体" w:cs="宋体"/>
          <w:color w:val="auto"/>
          <w:spacing w:val="-1"/>
          <w:sz w:val="20"/>
          <w:szCs w:val="20"/>
          <w:lang w:eastAsia="zh-CN"/>
        </w:rPr>
        <w:t>法。</w:t>
      </w:r>
    </w:p>
    <w:p w14:paraId="7C5ACD9D">
      <w:pPr>
        <w:spacing w:line="360" w:lineRule="auto"/>
        <w:rPr>
          <w:rFonts w:hint="eastAsia" w:ascii="宋体" w:hAnsi="宋体" w:eastAsia="宋体" w:cs="Times New Roman"/>
          <w:b/>
          <w:color w:val="auto"/>
          <w:sz w:val="24"/>
          <w:szCs w:val="24"/>
        </w:rPr>
      </w:pPr>
      <w:r>
        <w:rPr>
          <w:rFonts w:ascii="宋体" w:hAnsi="宋体" w:eastAsia="宋体" w:cs="宋体"/>
          <w:b/>
          <w:color w:val="auto"/>
          <w:spacing w:val="9"/>
          <w:sz w:val="22"/>
          <w:szCs w:val="22"/>
        </w:rPr>
        <w:t>关于</w:t>
      </w:r>
      <w:r>
        <w:rPr>
          <w:rFonts w:ascii="宋体" w:hAnsi="宋体" w:eastAsia="宋体" w:cs="宋体"/>
          <w:b/>
          <w:color w:val="auto"/>
          <w:spacing w:val="7"/>
          <w:sz w:val="22"/>
          <w:szCs w:val="22"/>
        </w:rPr>
        <w:t xml:space="preserve"> </w:t>
      </w:r>
      <w:r>
        <w:rPr>
          <w:rFonts w:ascii="Times New Roman" w:hAnsi="Times New Roman" w:eastAsia="Times New Roman" w:cs="Times New Roman"/>
          <w:color w:val="auto"/>
          <w:spacing w:val="4"/>
          <w:sz w:val="22"/>
          <w:szCs w:val="22"/>
        </w:rPr>
        <w:t>Waters</w:t>
      </w:r>
      <w:r>
        <w:rPr>
          <w:rFonts w:ascii="Times New Roman" w:hAnsi="Times New Roman" w:eastAsia="Times New Roman" w:cs="Times New Roman"/>
          <w:color w:val="auto"/>
          <w:spacing w:val="5"/>
          <w:sz w:val="22"/>
          <w:szCs w:val="22"/>
        </w:rPr>
        <w:t xml:space="preserve"> </w:t>
      </w:r>
      <w:r>
        <w:rPr>
          <w:rFonts w:ascii="宋体" w:hAnsi="宋体" w:eastAsia="宋体" w:cs="宋体"/>
          <w:b/>
          <w:color w:val="auto"/>
          <w:spacing w:val="9"/>
          <w:sz w:val="22"/>
          <w:szCs w:val="22"/>
        </w:rPr>
        <w:t>公司的专业培训</w:t>
      </w:r>
      <w:r>
        <w:rPr>
          <w:rFonts w:hint="eastAsia" w:ascii="宋体" w:hAnsi="宋体" w:eastAsia="宋体" w:cs="Times New Roman"/>
          <w:b/>
          <w:color w:val="auto"/>
          <w:sz w:val="24"/>
          <w:szCs w:val="24"/>
        </w:rPr>
        <w:t xml:space="preserve"> </w:t>
      </w:r>
    </w:p>
    <w:p w14:paraId="5B07EB37">
      <w:pPr>
        <w:autoSpaceDE w:val="0"/>
        <w:autoSpaceDN w:val="0"/>
        <w:spacing w:line="360" w:lineRule="auto"/>
        <w:rPr>
          <w:color w:val="auto"/>
        </w:rPr>
      </w:pPr>
      <w:r>
        <w:rPr>
          <w:rFonts w:ascii="Times New Roman" w:hAnsi="Times New Roman" w:eastAsia="Times New Roman" w:cs="Times New Roman"/>
          <w:color w:val="auto"/>
          <w:spacing w:val="1"/>
          <w:sz w:val="20"/>
          <w:szCs w:val="20"/>
        </w:rPr>
        <w:t>Waters</w:t>
      </w:r>
      <w:r>
        <w:rPr>
          <w:rFonts w:ascii="Times New Roman" w:hAnsi="Times New Roman" w:eastAsia="Times New Roman" w:cs="Times New Roman"/>
          <w:color w:val="auto"/>
          <w:sz w:val="20"/>
          <w:szCs w:val="20"/>
        </w:rPr>
        <w:t xml:space="preserve"> </w:t>
      </w:r>
      <w:r>
        <w:rPr>
          <w:rFonts w:ascii="宋体" w:hAnsi="宋体" w:eastAsia="宋体" w:cs="宋体"/>
          <w:color w:val="auto"/>
          <w:spacing w:val="4"/>
          <w:sz w:val="20"/>
          <w:szCs w:val="20"/>
        </w:rPr>
        <w:t>推荐用户购买</w:t>
      </w:r>
      <w:r>
        <w:rPr>
          <w:rFonts w:ascii="宋体" w:hAnsi="宋体" w:eastAsia="宋体" w:cs="宋体"/>
          <w:color w:val="auto"/>
          <w:spacing w:val="2"/>
          <w:sz w:val="20"/>
          <w:szCs w:val="20"/>
        </w:rPr>
        <w:t xml:space="preserve"> </w:t>
      </w:r>
      <w:r>
        <w:rPr>
          <w:rFonts w:ascii="Times New Roman" w:hAnsi="Times New Roman" w:eastAsia="Times New Roman" w:cs="Times New Roman"/>
          <w:color w:val="auto"/>
          <w:spacing w:val="2"/>
          <w:sz w:val="20"/>
          <w:szCs w:val="20"/>
        </w:rPr>
        <w:t>Waters</w:t>
      </w:r>
      <w:r>
        <w:rPr>
          <w:rFonts w:ascii="Times New Roman" w:hAnsi="Times New Roman" w:eastAsia="Times New Roman" w:cs="Times New Roman"/>
          <w:color w:val="auto"/>
          <w:spacing w:val="1"/>
          <w:sz w:val="20"/>
          <w:szCs w:val="20"/>
        </w:rPr>
        <w:t xml:space="preserve"> </w:t>
      </w:r>
      <w:r>
        <w:rPr>
          <w:rFonts w:ascii="宋体" w:hAnsi="宋体" w:eastAsia="宋体" w:cs="宋体"/>
          <w:color w:val="auto"/>
          <w:spacing w:val="4"/>
          <w:sz w:val="20"/>
          <w:szCs w:val="20"/>
        </w:rPr>
        <w:t>专业培训课程。</w:t>
      </w:r>
      <w:r>
        <w:rPr>
          <w:rFonts w:ascii="Times New Roman" w:hAnsi="Times New Roman" w:eastAsia="Times New Roman" w:cs="Times New Roman"/>
          <w:color w:val="auto"/>
          <w:spacing w:val="1"/>
          <w:sz w:val="20"/>
          <w:szCs w:val="20"/>
        </w:rPr>
        <w:t xml:space="preserve">Waters </w:t>
      </w:r>
      <w:r>
        <w:rPr>
          <w:rFonts w:ascii="宋体" w:hAnsi="宋体" w:eastAsia="宋体" w:cs="宋体"/>
          <w:color w:val="auto"/>
          <w:spacing w:val="4"/>
          <w:sz w:val="20"/>
          <w:szCs w:val="20"/>
        </w:rPr>
        <w:t>专业培训课程为分析工作者提供有关</w:t>
      </w:r>
      <w:r>
        <w:rPr>
          <w:rFonts w:ascii="宋体" w:hAnsi="宋体" w:eastAsia="宋体" w:cs="宋体"/>
          <w:color w:val="auto"/>
          <w:spacing w:val="2"/>
          <w:sz w:val="20"/>
          <w:szCs w:val="20"/>
        </w:rPr>
        <w:t xml:space="preserve"> </w:t>
      </w:r>
      <w:r>
        <w:rPr>
          <w:rFonts w:ascii="Times New Roman" w:hAnsi="Times New Roman" w:eastAsia="Times New Roman" w:cs="Times New Roman"/>
          <w:color w:val="auto"/>
          <w:spacing w:val="3"/>
          <w:sz w:val="20"/>
          <w:szCs w:val="20"/>
        </w:rPr>
        <w:t>LC</w:t>
      </w:r>
      <w:r>
        <w:rPr>
          <w:rFonts w:ascii="宋体" w:hAnsi="宋体" w:eastAsia="宋体" w:cs="宋体"/>
          <w:color w:val="auto"/>
          <w:spacing w:val="4"/>
          <w:sz w:val="20"/>
          <w:szCs w:val="20"/>
        </w:rPr>
        <w:t>、</w:t>
      </w:r>
      <w:r>
        <w:rPr>
          <w:rFonts w:ascii="Times New Roman" w:hAnsi="Times New Roman" w:eastAsia="Times New Roman" w:cs="Times New Roman"/>
          <w:color w:val="auto"/>
          <w:spacing w:val="2"/>
          <w:sz w:val="20"/>
          <w:szCs w:val="20"/>
        </w:rPr>
        <w:t>UPLC</w:t>
      </w:r>
      <w:r>
        <w:rPr>
          <w:rFonts w:ascii="宋体" w:hAnsi="宋体" w:eastAsia="宋体" w:cs="宋体"/>
          <w:color w:val="auto"/>
          <w:spacing w:val="5"/>
          <w:sz w:val="20"/>
          <w:szCs w:val="20"/>
        </w:rPr>
        <w:t>、</w:t>
      </w:r>
      <w:r>
        <w:rPr>
          <w:rFonts w:ascii="Times New Roman" w:hAnsi="Times New Roman" w:eastAsia="Times New Roman" w:cs="Times New Roman"/>
          <w:color w:val="auto"/>
          <w:spacing w:val="3"/>
          <w:sz w:val="20"/>
          <w:szCs w:val="20"/>
        </w:rPr>
        <w:t>MS</w:t>
      </w:r>
      <w:r>
        <w:rPr>
          <w:rFonts w:ascii="宋体" w:hAnsi="宋体" w:eastAsia="宋体" w:cs="宋体"/>
          <w:color w:val="auto"/>
          <w:spacing w:val="2"/>
          <w:sz w:val="20"/>
          <w:szCs w:val="20"/>
        </w:rPr>
        <w:t>仪器和软件的操作使用、相关应用及仪器日常维护的专业</w:t>
      </w:r>
      <w:r>
        <w:rPr>
          <w:rFonts w:ascii="宋体" w:hAnsi="宋体" w:eastAsia="宋体" w:cs="宋体"/>
          <w:color w:val="auto"/>
          <w:spacing w:val="1"/>
          <w:sz w:val="20"/>
          <w:szCs w:val="20"/>
        </w:rPr>
        <w:t>培训，以帮助用户使仪器达到更佳性能及获得高品</w:t>
      </w:r>
      <w:r>
        <w:rPr>
          <w:rFonts w:ascii="宋体" w:hAnsi="宋体" w:eastAsia="宋体" w:cs="宋体"/>
          <w:color w:val="auto"/>
          <w:spacing w:val="7"/>
          <w:sz w:val="20"/>
          <w:szCs w:val="20"/>
        </w:rPr>
        <w:t>质的分析数据。我们的培训课程</w:t>
      </w:r>
      <w:r>
        <w:rPr>
          <w:rFonts w:ascii="宋体" w:hAnsi="宋体" w:eastAsia="宋体" w:cs="宋体"/>
          <w:color w:val="auto"/>
          <w:spacing w:val="6"/>
          <w:sz w:val="20"/>
          <w:szCs w:val="20"/>
        </w:rPr>
        <w:t>针对用户的不同需求而设置，可以满足不同应用领域及不同水平用户的要</w:t>
      </w:r>
      <w:r>
        <w:rPr>
          <w:rFonts w:ascii="宋体" w:hAnsi="宋体" w:eastAsia="宋体" w:cs="宋体"/>
          <w:color w:val="auto"/>
          <w:spacing w:val="-1"/>
          <w:sz w:val="20"/>
          <w:szCs w:val="20"/>
        </w:rPr>
        <w:t>求。我们的现场培训课程会由具有丰富应用经验的工程师为您带来符合您实验室应用要求的</w:t>
      </w:r>
      <w:r>
        <w:rPr>
          <w:rFonts w:ascii="宋体" w:hAnsi="宋体" w:eastAsia="宋体" w:cs="宋体"/>
          <w:color w:val="auto"/>
          <w:sz w:val="20"/>
          <w:szCs w:val="20"/>
        </w:rPr>
        <w:t>培训。</w:t>
      </w:r>
    </w:p>
    <w:p w14:paraId="13CB42CE">
      <w:pPr>
        <w:autoSpaceDE w:val="0"/>
        <w:autoSpaceDN w:val="0"/>
        <w:spacing w:line="360" w:lineRule="auto"/>
        <w:rPr>
          <w:color w:val="auto"/>
          <w:lang w:eastAsia="zh-CN"/>
        </w:rPr>
      </w:pPr>
      <w:r>
        <w:rPr>
          <w:rFonts w:ascii="宋体" w:hAnsi="宋体" w:eastAsia="宋体" w:cs="宋体"/>
          <w:color w:val="auto"/>
          <w:sz w:val="20"/>
          <w:szCs w:val="20"/>
          <w:lang w:eastAsia="zh-CN"/>
        </w:rPr>
        <w:t xml:space="preserve">用户可以随时访问 </w:t>
      </w:r>
      <w:r>
        <w:rPr>
          <w:rFonts w:ascii="Times New Roman" w:hAnsi="Times New Roman" w:eastAsia="Times New Roman" w:cs="Times New Roman"/>
          <w:color w:val="auto"/>
          <w:sz w:val="20"/>
          <w:szCs w:val="20"/>
          <w:lang w:eastAsia="zh-CN"/>
        </w:rPr>
        <w:t>Waters</w:t>
      </w:r>
      <w:r>
        <w:rPr>
          <w:rFonts w:ascii="Times New Roman" w:hAnsi="Times New Roman" w:eastAsia="Times New Roman" w:cs="Times New Roman"/>
          <w:color w:val="auto"/>
          <w:spacing w:val="-15"/>
          <w:sz w:val="20"/>
          <w:szCs w:val="20"/>
          <w:lang w:eastAsia="zh-CN"/>
        </w:rPr>
        <w:t xml:space="preserve"> </w:t>
      </w:r>
      <w:r>
        <w:rPr>
          <w:rFonts w:ascii="宋体" w:hAnsi="宋体" w:eastAsia="宋体" w:cs="宋体"/>
          <w:color w:val="auto"/>
          <w:sz w:val="20"/>
          <w:szCs w:val="20"/>
          <w:lang w:eastAsia="zh-CN"/>
        </w:rPr>
        <w:t>网站，查找所需要的培训课程，并进行在线注册登记。</w:t>
      </w:r>
    </w:p>
    <w:p w14:paraId="586C992F">
      <w:pPr>
        <w:autoSpaceDE w:val="0"/>
        <w:autoSpaceDN w:val="0"/>
        <w:spacing w:line="360" w:lineRule="auto"/>
        <w:ind w:right="-48" w:rightChars="0"/>
        <w:rPr>
          <w:color w:val="auto"/>
          <w:lang w:eastAsia="zh-CN"/>
        </w:rPr>
      </w:pPr>
      <w:r>
        <w:rPr>
          <w:rFonts w:ascii="宋体" w:hAnsi="宋体" w:eastAsia="宋体" w:cs="宋体"/>
          <w:color w:val="auto"/>
          <w:spacing w:val="11"/>
          <w:sz w:val="20"/>
          <w:szCs w:val="20"/>
          <w:lang w:eastAsia="zh-CN"/>
        </w:rPr>
        <w:t>若用户购买与仪器产品相关的培训服务，为了保证培训的实</w:t>
      </w:r>
      <w:r>
        <w:rPr>
          <w:rFonts w:ascii="宋体" w:hAnsi="宋体" w:eastAsia="宋体" w:cs="宋体"/>
          <w:color w:val="auto"/>
          <w:spacing w:val="10"/>
          <w:sz w:val="20"/>
          <w:szCs w:val="20"/>
          <w:lang w:eastAsia="zh-CN"/>
        </w:rPr>
        <w:t>效性及尽快帮助户熟悉使仪器，我们建议用</w:t>
      </w:r>
      <w:r>
        <w:rPr>
          <w:rFonts w:ascii="宋体" w:hAnsi="宋体" w:eastAsia="宋体" w:cs="宋体"/>
          <w:color w:val="auto"/>
          <w:spacing w:val="2"/>
          <w:sz w:val="20"/>
          <w:szCs w:val="20"/>
          <w:lang w:eastAsia="zh-CN"/>
        </w:rPr>
        <w:t>户尽量在安装调试结束后三个月内参加培训，培训服务的有效期为</w:t>
      </w:r>
      <w:r>
        <w:rPr>
          <w:rFonts w:ascii="宋体" w:hAnsi="宋体" w:eastAsia="宋体" w:cs="宋体"/>
          <w:color w:val="auto"/>
          <w:spacing w:val="1"/>
          <w:sz w:val="20"/>
          <w:szCs w:val="20"/>
          <w:lang w:eastAsia="zh-CN"/>
        </w:rPr>
        <w:t>仪器产品交货安装之日起十二个月，或自</w:t>
      </w:r>
      <w:r>
        <w:rPr>
          <w:rFonts w:ascii="宋体" w:hAnsi="宋体" w:eastAsia="宋体" w:cs="宋体"/>
          <w:color w:val="auto"/>
          <w:spacing w:val="2"/>
          <w:sz w:val="20"/>
          <w:szCs w:val="20"/>
          <w:lang w:eastAsia="zh-CN"/>
        </w:rPr>
        <w:t>发货之日起十五个月，以先到期者为准。若因用户的原因未能在该</w:t>
      </w:r>
      <w:r>
        <w:rPr>
          <w:rFonts w:ascii="宋体" w:hAnsi="宋体" w:eastAsia="宋体" w:cs="宋体"/>
          <w:color w:val="auto"/>
          <w:spacing w:val="1"/>
          <w:sz w:val="20"/>
          <w:szCs w:val="20"/>
          <w:lang w:eastAsia="zh-CN"/>
        </w:rPr>
        <w:t>最晚期限前参加培训的，则我们保留拒绝</w:t>
      </w:r>
      <w:r>
        <w:rPr>
          <w:rFonts w:ascii="宋体" w:hAnsi="宋体" w:eastAsia="宋体" w:cs="宋体"/>
          <w:color w:val="auto"/>
          <w:spacing w:val="-2"/>
          <w:sz w:val="20"/>
          <w:szCs w:val="20"/>
          <w:lang w:eastAsia="zh-CN"/>
        </w:rPr>
        <w:t>提供培训服务或收</w:t>
      </w:r>
      <w:r>
        <w:rPr>
          <w:rFonts w:ascii="宋体" w:hAnsi="宋体" w:eastAsia="宋体" w:cs="宋体"/>
          <w:color w:val="auto"/>
          <w:sz w:val="20"/>
          <w:szCs w:val="20"/>
          <w:lang w:eastAsia="zh-CN"/>
        </w:rPr>
        <w:t>取额外费用的权利。</w:t>
      </w:r>
    </w:p>
    <w:p w14:paraId="7A54E782">
      <w:pPr>
        <w:autoSpaceDE w:val="0"/>
        <w:autoSpaceDN w:val="0"/>
        <w:spacing w:line="360" w:lineRule="auto"/>
        <w:rPr>
          <w:color w:val="auto"/>
        </w:rPr>
      </w:pPr>
      <w:r>
        <w:rPr>
          <w:rFonts w:ascii="宋体" w:hAnsi="宋体" w:eastAsia="宋体" w:cs="宋体"/>
          <w:b/>
          <w:color w:val="auto"/>
          <w:spacing w:val="5"/>
          <w:sz w:val="22"/>
          <w:szCs w:val="22"/>
        </w:rPr>
        <w:t>仪器安装调</w:t>
      </w:r>
      <w:r>
        <w:rPr>
          <w:rFonts w:ascii="宋体" w:hAnsi="宋体" w:eastAsia="宋体" w:cs="宋体"/>
          <w:b/>
          <w:color w:val="auto"/>
          <w:spacing w:val="4"/>
          <w:sz w:val="22"/>
          <w:szCs w:val="22"/>
        </w:rPr>
        <w:t>试说明</w:t>
      </w:r>
    </w:p>
    <w:p w14:paraId="567FD8C2">
      <w:pPr>
        <w:autoSpaceDE w:val="0"/>
        <w:autoSpaceDN w:val="0"/>
        <w:spacing w:line="360" w:lineRule="auto"/>
        <w:rPr>
          <w:color w:val="auto"/>
        </w:rPr>
      </w:pPr>
      <w:r>
        <w:rPr>
          <w:rFonts w:ascii="宋体" w:hAnsi="宋体" w:eastAsia="宋体" w:cs="宋体"/>
          <w:color w:val="auto"/>
          <w:sz w:val="20"/>
          <w:szCs w:val="20"/>
        </w:rPr>
        <w:t>再次感谢您选择购买了</w:t>
      </w:r>
      <w:r>
        <w:rPr>
          <w:rFonts w:ascii="宋体" w:hAnsi="宋体" w:eastAsia="宋体" w:cs="宋体"/>
          <w:color w:val="auto"/>
          <w:spacing w:val="-13"/>
          <w:sz w:val="20"/>
          <w:szCs w:val="20"/>
        </w:rPr>
        <w:t xml:space="preserve"> </w:t>
      </w:r>
      <w:r>
        <w:rPr>
          <w:rFonts w:ascii="Times New Roman" w:hAnsi="Times New Roman" w:eastAsia="Times New Roman" w:cs="Times New Roman"/>
          <w:color w:val="auto"/>
          <w:sz w:val="20"/>
          <w:szCs w:val="20"/>
        </w:rPr>
        <w:t>Waters</w:t>
      </w:r>
      <w:r>
        <w:rPr>
          <w:rFonts w:ascii="Times New Roman" w:hAnsi="Times New Roman" w:eastAsia="Times New Roman" w:cs="Times New Roman"/>
          <w:color w:val="auto"/>
          <w:spacing w:val="-8"/>
          <w:sz w:val="20"/>
          <w:szCs w:val="20"/>
        </w:rPr>
        <w:t xml:space="preserve"> </w:t>
      </w:r>
      <w:r>
        <w:rPr>
          <w:rFonts w:ascii="宋体" w:hAnsi="宋体" w:eastAsia="宋体" w:cs="宋体"/>
          <w:color w:val="auto"/>
          <w:sz w:val="20"/>
          <w:szCs w:val="20"/>
        </w:rPr>
        <w:t>仪器，为使安装调试工作得以顺利进行，敬请您留意以下内容。</w:t>
      </w:r>
    </w:p>
    <w:p w14:paraId="693EB314">
      <w:pPr>
        <w:autoSpaceDE w:val="0"/>
        <w:autoSpaceDN w:val="0"/>
        <w:spacing w:line="360" w:lineRule="auto"/>
        <w:rPr>
          <w:color w:val="auto"/>
          <w:lang w:eastAsia="zh-CN"/>
        </w:rPr>
      </w:pPr>
      <w:r>
        <w:rPr>
          <w:rFonts w:ascii="宋体" w:hAnsi="宋体" w:eastAsia="宋体" w:cs="宋体"/>
          <w:b/>
          <w:color w:val="auto"/>
          <w:spacing w:val="5"/>
          <w:sz w:val="22"/>
          <w:szCs w:val="22"/>
          <w:lang w:eastAsia="zh-CN"/>
        </w:rPr>
        <w:t>安装前的准备工作及</w:t>
      </w:r>
      <w:r>
        <w:rPr>
          <w:rFonts w:ascii="宋体" w:hAnsi="宋体" w:eastAsia="宋体" w:cs="宋体"/>
          <w:b/>
          <w:color w:val="auto"/>
          <w:spacing w:val="4"/>
          <w:sz w:val="22"/>
          <w:szCs w:val="22"/>
          <w:lang w:eastAsia="zh-CN"/>
        </w:rPr>
        <w:t>时间安排</w:t>
      </w:r>
    </w:p>
    <w:p w14:paraId="328DF09C">
      <w:pPr>
        <w:autoSpaceDE w:val="0"/>
        <w:autoSpaceDN w:val="0"/>
        <w:spacing w:line="360" w:lineRule="auto"/>
        <w:ind w:right="-48" w:rightChars="0"/>
        <w:rPr>
          <w:color w:val="auto"/>
        </w:rPr>
      </w:pPr>
      <w:r>
        <w:rPr>
          <w:rFonts w:ascii="宋体" w:hAnsi="宋体" w:eastAsia="宋体" w:cs="宋体"/>
          <w:color w:val="auto"/>
          <w:spacing w:val="2"/>
          <w:sz w:val="20"/>
          <w:szCs w:val="20"/>
          <w:lang w:eastAsia="zh-CN"/>
        </w:rPr>
        <w:t>在您购买的仪器发货后，我们会根据所购买仪器的型号和配置提前</w:t>
      </w:r>
      <w:r>
        <w:rPr>
          <w:rFonts w:ascii="宋体" w:hAnsi="宋体" w:eastAsia="宋体" w:cs="宋体"/>
          <w:color w:val="auto"/>
          <w:spacing w:val="1"/>
          <w:sz w:val="20"/>
          <w:szCs w:val="20"/>
          <w:lang w:eastAsia="zh-CN"/>
        </w:rPr>
        <w:t>为您提供该等仪器所需的现场安装准备条</w:t>
      </w:r>
      <w:r>
        <w:rPr>
          <w:rFonts w:ascii="宋体" w:hAnsi="宋体" w:eastAsia="宋体" w:cs="宋体"/>
          <w:color w:val="auto"/>
          <w:spacing w:val="-1"/>
          <w:sz w:val="20"/>
          <w:szCs w:val="20"/>
          <w:lang w:eastAsia="zh-CN"/>
        </w:rPr>
        <w:t>件文件。为保证安装调试能够及时、顺利地完成，请您确保现场条件符合文件要求。</w:t>
      </w:r>
      <w:r>
        <w:rPr>
          <w:rFonts w:ascii="宋体" w:hAnsi="宋体" w:eastAsia="宋体" w:cs="宋体"/>
          <w:color w:val="auto"/>
          <w:spacing w:val="-1"/>
          <w:sz w:val="20"/>
          <w:szCs w:val="20"/>
        </w:rPr>
        <w:t>请您尽量在到货后</w:t>
      </w:r>
      <w:r>
        <w:rPr>
          <w:rFonts w:ascii="宋体" w:hAnsi="宋体" w:eastAsia="宋体" w:cs="宋体"/>
          <w:color w:val="auto"/>
          <w:sz w:val="20"/>
          <w:szCs w:val="20"/>
        </w:rPr>
        <w:t xml:space="preserve"> </w:t>
      </w:r>
      <w:r>
        <w:rPr>
          <w:rFonts w:ascii="Times New Roman" w:hAnsi="Times New Roman" w:eastAsia="Times New Roman" w:cs="Times New Roman"/>
          <w:color w:val="auto"/>
          <w:spacing w:val="-11"/>
          <w:sz w:val="20"/>
          <w:szCs w:val="20"/>
        </w:rPr>
        <w:t>30</w:t>
      </w:r>
      <w:r>
        <w:rPr>
          <w:rFonts w:ascii="Times New Roman" w:hAnsi="Times New Roman" w:eastAsia="Times New Roman" w:cs="Times New Roman"/>
          <w:color w:val="auto"/>
          <w:spacing w:val="-2"/>
          <w:sz w:val="20"/>
          <w:szCs w:val="20"/>
        </w:rPr>
        <w:t xml:space="preserve"> </w:t>
      </w:r>
      <w:r>
        <w:rPr>
          <w:rFonts w:ascii="宋体" w:hAnsi="宋体" w:eastAsia="宋体" w:cs="宋体"/>
          <w:color w:val="auto"/>
          <w:spacing w:val="-1"/>
          <w:sz w:val="20"/>
          <w:szCs w:val="20"/>
        </w:rPr>
        <w:t>天内与我们联络进行安装。在确认现场条件完备并与您商定安装时间后，我们将安排工程</w:t>
      </w:r>
      <w:r>
        <w:rPr>
          <w:rFonts w:ascii="宋体" w:hAnsi="宋体" w:eastAsia="宋体" w:cs="宋体"/>
          <w:color w:val="auto"/>
          <w:sz w:val="20"/>
          <w:szCs w:val="20"/>
        </w:rPr>
        <w:t>师前去安装。</w:t>
      </w:r>
    </w:p>
    <w:p w14:paraId="40F3F60D">
      <w:pPr>
        <w:spacing w:line="360" w:lineRule="auto"/>
        <w:ind w:right="-48" w:rightChars="0"/>
        <w:rPr>
          <w:color w:val="auto"/>
        </w:rPr>
      </w:pPr>
      <w:r>
        <w:rPr>
          <w:rFonts w:ascii="宋体" w:hAnsi="宋体" w:eastAsia="宋体" w:cs="宋体"/>
          <w:color w:val="auto"/>
          <w:spacing w:val="2"/>
          <w:sz w:val="20"/>
          <w:szCs w:val="20"/>
          <w:lang w:eastAsia="zh-CN"/>
        </w:rPr>
        <w:t>仪器到货时，请您立即对货物的外包装进行检查以确认其是否处于</w:t>
      </w:r>
      <w:r>
        <w:rPr>
          <w:rFonts w:ascii="宋体" w:hAnsi="宋体" w:eastAsia="宋体" w:cs="宋体"/>
          <w:color w:val="auto"/>
          <w:spacing w:val="1"/>
          <w:sz w:val="20"/>
          <w:szCs w:val="20"/>
          <w:lang w:eastAsia="zh-CN"/>
        </w:rPr>
        <w:t>完好状态。若发现损坏，请您拒绝签收货</w:t>
      </w:r>
      <w:r>
        <w:rPr>
          <w:rFonts w:ascii="宋体" w:hAnsi="宋体" w:eastAsia="宋体" w:cs="宋体"/>
          <w:color w:val="auto"/>
          <w:spacing w:val="3"/>
          <w:sz w:val="20"/>
          <w:szCs w:val="20"/>
          <w:lang w:eastAsia="zh-CN"/>
        </w:rPr>
        <w:t>物、并立即电话联系</w:t>
      </w:r>
      <w:r>
        <w:rPr>
          <w:rFonts w:ascii="宋体" w:hAnsi="宋体" w:eastAsia="宋体" w:cs="宋体"/>
          <w:color w:val="auto"/>
          <w:spacing w:val="9"/>
          <w:sz w:val="20"/>
          <w:szCs w:val="20"/>
          <w:lang w:eastAsia="zh-CN"/>
        </w:rPr>
        <w:t xml:space="preserve"> </w:t>
      </w:r>
      <w:r>
        <w:rPr>
          <w:rFonts w:ascii="Times New Roman" w:hAnsi="Times New Roman" w:eastAsia="Times New Roman" w:cs="Times New Roman"/>
          <w:color w:val="auto"/>
          <w:spacing w:val="2"/>
          <w:sz w:val="20"/>
          <w:szCs w:val="20"/>
          <w:lang w:eastAsia="zh-CN"/>
        </w:rPr>
        <w:t>Waters</w:t>
      </w:r>
      <w:r>
        <w:rPr>
          <w:rFonts w:ascii="Times New Roman" w:hAnsi="Times New Roman" w:eastAsia="Times New Roman" w:cs="Times New Roman"/>
          <w:color w:val="auto"/>
          <w:spacing w:val="9"/>
          <w:sz w:val="20"/>
          <w:szCs w:val="20"/>
          <w:lang w:eastAsia="zh-CN"/>
        </w:rPr>
        <w:t xml:space="preserve"> </w:t>
      </w:r>
      <w:r>
        <w:rPr>
          <w:rFonts w:ascii="宋体" w:hAnsi="宋体" w:eastAsia="宋体" w:cs="宋体"/>
          <w:color w:val="auto"/>
          <w:spacing w:val="3"/>
          <w:sz w:val="20"/>
          <w:szCs w:val="20"/>
          <w:lang w:eastAsia="zh-CN"/>
        </w:rPr>
        <w:t>客户运营部门，并随后提供书面说明。如我们在仪器到货后三个工作日内没有</w:t>
      </w:r>
      <w:r>
        <w:rPr>
          <w:rFonts w:ascii="宋体" w:hAnsi="宋体" w:eastAsia="宋体" w:cs="宋体"/>
          <w:color w:val="auto"/>
          <w:spacing w:val="2"/>
          <w:sz w:val="20"/>
          <w:szCs w:val="20"/>
          <w:lang w:eastAsia="zh-CN"/>
        </w:rPr>
        <w:t>收到您对货物外包装提出的书面异议或说明，则视为双方都认同货</w:t>
      </w:r>
      <w:r>
        <w:rPr>
          <w:rFonts w:ascii="宋体" w:hAnsi="宋体" w:eastAsia="宋体" w:cs="宋体"/>
          <w:color w:val="auto"/>
          <w:spacing w:val="1"/>
          <w:sz w:val="20"/>
          <w:szCs w:val="20"/>
          <w:lang w:eastAsia="zh-CN"/>
        </w:rPr>
        <w:t>物外包装处于完好状态。若在之后发生、</w:t>
      </w:r>
      <w:r>
        <w:rPr>
          <w:rFonts w:ascii="宋体" w:hAnsi="宋体" w:eastAsia="宋体" w:cs="宋体"/>
          <w:color w:val="auto"/>
          <w:sz w:val="20"/>
          <w:szCs w:val="20"/>
          <w:lang w:eastAsia="zh-CN"/>
        </w:rPr>
        <w:t>发现的任何外包装损坏而造成的货物损坏，</w:t>
      </w:r>
      <w:r>
        <w:rPr>
          <w:rFonts w:ascii="宋体" w:hAnsi="宋体" w:eastAsia="宋体" w:cs="宋体"/>
          <w:color w:val="auto"/>
          <w:spacing w:val="-24"/>
          <w:sz w:val="20"/>
          <w:szCs w:val="20"/>
          <w:lang w:eastAsia="zh-CN"/>
        </w:rPr>
        <w:t xml:space="preserve"> </w:t>
      </w:r>
      <w:r>
        <w:rPr>
          <w:rFonts w:ascii="宋体" w:hAnsi="宋体" w:eastAsia="宋体" w:cs="宋体"/>
          <w:color w:val="auto"/>
          <w:sz w:val="20"/>
          <w:szCs w:val="20"/>
          <w:lang w:eastAsia="zh-CN"/>
        </w:rPr>
        <w:t>将无法向货运及保险公司索赔，届时须由您承担货物损坏之相应</w:t>
      </w:r>
      <w:r>
        <w:rPr>
          <w:rFonts w:ascii="宋体" w:hAnsi="宋体" w:eastAsia="宋体" w:cs="宋体"/>
          <w:color w:val="auto"/>
          <w:spacing w:val="-2"/>
          <w:sz w:val="20"/>
          <w:szCs w:val="20"/>
          <w:lang w:eastAsia="zh-CN"/>
        </w:rPr>
        <w:t>后果。</w:t>
      </w:r>
    </w:p>
    <w:p w14:paraId="416B3420">
      <w:pPr>
        <w:autoSpaceDE w:val="0"/>
        <w:autoSpaceDN w:val="0"/>
        <w:spacing w:line="360" w:lineRule="auto"/>
        <w:rPr>
          <w:color w:val="auto"/>
          <w:lang w:eastAsia="zh-CN"/>
        </w:rPr>
      </w:pPr>
      <w:r>
        <w:rPr>
          <w:rFonts w:ascii="宋体" w:hAnsi="宋体" w:eastAsia="宋体" w:cs="宋体"/>
          <w:color w:val="auto"/>
          <w:spacing w:val="2"/>
          <w:sz w:val="20"/>
          <w:szCs w:val="20"/>
          <w:lang w:eastAsia="zh-CN"/>
        </w:rPr>
        <w:t>工程师抵达现场安装时，若因您的现场条件与现</w:t>
      </w:r>
      <w:r>
        <w:rPr>
          <w:rFonts w:ascii="宋体" w:hAnsi="宋体" w:eastAsia="宋体" w:cs="宋体"/>
          <w:color w:val="auto"/>
          <w:spacing w:val="1"/>
          <w:sz w:val="20"/>
          <w:szCs w:val="20"/>
          <w:lang w:eastAsia="zh-CN"/>
        </w:rPr>
        <w:t>场安装准备条件文件的要求不符而导致安装的延误甚至此次</w:t>
      </w:r>
      <w:r>
        <w:rPr>
          <w:rFonts w:ascii="宋体" w:hAnsi="宋体" w:eastAsia="宋体" w:cs="宋体"/>
          <w:color w:val="auto"/>
          <w:spacing w:val="-1"/>
          <w:sz w:val="20"/>
          <w:szCs w:val="20"/>
          <w:lang w:eastAsia="zh-CN"/>
        </w:rPr>
        <w:t>安装无法完成的，由此产生的额外安装费用届时须由</w:t>
      </w:r>
      <w:r>
        <w:rPr>
          <w:rFonts w:ascii="宋体" w:hAnsi="宋体" w:eastAsia="宋体" w:cs="宋体"/>
          <w:color w:val="auto"/>
          <w:sz w:val="20"/>
          <w:szCs w:val="20"/>
          <w:lang w:eastAsia="zh-CN"/>
        </w:rPr>
        <w:t>您承担。</w:t>
      </w:r>
      <w:r>
        <w:rPr>
          <w:rFonts w:ascii="宋体" w:hAnsi="宋体" w:eastAsia="宋体" w:cs="宋体"/>
          <w:color w:val="auto"/>
          <w:spacing w:val="2"/>
          <w:sz w:val="20"/>
          <w:szCs w:val="20"/>
          <w:lang w:eastAsia="zh-CN"/>
        </w:rPr>
        <w:t>鉴于仪器及化学品、测试标准样品等的存放条件、可能发生的仪器索赔期等因素，请</w:t>
      </w:r>
      <w:r>
        <w:rPr>
          <w:rFonts w:ascii="宋体" w:hAnsi="宋体" w:eastAsia="宋体" w:cs="宋体"/>
          <w:color w:val="auto"/>
          <w:spacing w:val="1"/>
          <w:sz w:val="20"/>
          <w:szCs w:val="20"/>
          <w:lang w:eastAsia="zh-CN"/>
        </w:rPr>
        <w:t>您尽量协助我们在仪器</w:t>
      </w:r>
      <w:r>
        <w:rPr>
          <w:rFonts w:ascii="宋体" w:hAnsi="宋体" w:eastAsia="宋体" w:cs="宋体"/>
          <w:color w:val="auto"/>
          <w:spacing w:val="2"/>
          <w:sz w:val="20"/>
          <w:szCs w:val="20"/>
          <w:lang w:eastAsia="zh-CN"/>
        </w:rPr>
        <w:t>到货之日起</w:t>
      </w:r>
      <w:r>
        <w:rPr>
          <w:rFonts w:ascii="宋体" w:hAnsi="宋体" w:eastAsia="宋体" w:cs="宋体"/>
          <w:color w:val="auto"/>
          <w:spacing w:val="19"/>
          <w:sz w:val="20"/>
          <w:szCs w:val="20"/>
          <w:lang w:eastAsia="zh-CN"/>
        </w:rPr>
        <w:t xml:space="preserve"> </w:t>
      </w:r>
      <w:r>
        <w:rPr>
          <w:rFonts w:ascii="Times New Roman" w:hAnsi="Times New Roman" w:eastAsia="Times New Roman" w:cs="Times New Roman"/>
          <w:color w:val="auto"/>
          <w:spacing w:val="3"/>
          <w:sz w:val="20"/>
          <w:szCs w:val="20"/>
          <w:lang w:eastAsia="zh-CN"/>
        </w:rPr>
        <w:t>30</w:t>
      </w:r>
      <w:r>
        <w:rPr>
          <w:rFonts w:ascii="Times New Roman" w:hAnsi="Times New Roman" w:eastAsia="Times New Roman" w:cs="Times New Roman"/>
          <w:color w:val="auto"/>
          <w:spacing w:val="18"/>
          <w:sz w:val="20"/>
          <w:szCs w:val="20"/>
          <w:lang w:eastAsia="zh-CN"/>
        </w:rPr>
        <w:t xml:space="preserve"> </w:t>
      </w:r>
      <w:r>
        <w:rPr>
          <w:rFonts w:ascii="宋体" w:hAnsi="宋体" w:eastAsia="宋体" w:cs="宋体"/>
          <w:color w:val="auto"/>
          <w:spacing w:val="2"/>
          <w:sz w:val="20"/>
          <w:szCs w:val="20"/>
          <w:lang w:eastAsia="zh-CN"/>
        </w:rPr>
        <w:t>天内安排安装调试。如您确有特殊原因不能在上述时间内安排安装调试，请您最迟在收货后</w:t>
      </w:r>
      <w:r>
        <w:rPr>
          <w:rFonts w:ascii="Times New Roman" w:hAnsi="Times New Roman" w:eastAsia="Times New Roman" w:cs="Times New Roman"/>
          <w:color w:val="auto"/>
          <w:sz w:val="20"/>
          <w:szCs w:val="20"/>
          <w:lang w:eastAsia="zh-CN"/>
        </w:rPr>
        <w:t>30</w:t>
      </w:r>
      <w:r>
        <w:rPr>
          <w:rFonts w:ascii="Times New Roman" w:hAnsi="Times New Roman" w:eastAsia="Times New Roman" w:cs="Times New Roman"/>
          <w:color w:val="auto"/>
          <w:spacing w:val="8"/>
          <w:sz w:val="20"/>
          <w:szCs w:val="20"/>
          <w:lang w:eastAsia="zh-CN"/>
        </w:rPr>
        <w:t xml:space="preserve"> </w:t>
      </w:r>
      <w:r>
        <w:rPr>
          <w:rFonts w:ascii="宋体" w:hAnsi="宋体" w:eastAsia="宋体" w:cs="宋体"/>
          <w:color w:val="auto"/>
          <w:spacing w:val="1"/>
          <w:sz w:val="20"/>
          <w:szCs w:val="20"/>
          <w:lang w:eastAsia="zh-CN"/>
        </w:rPr>
        <w:t>天期限届满前</w:t>
      </w:r>
      <w:r>
        <w:rPr>
          <w:rFonts w:ascii="宋体" w:hAnsi="宋体" w:eastAsia="宋体" w:cs="宋体"/>
          <w:color w:val="auto"/>
          <w:spacing w:val="10"/>
          <w:sz w:val="20"/>
          <w:szCs w:val="20"/>
          <w:lang w:eastAsia="zh-CN"/>
        </w:rPr>
        <w:t xml:space="preserve"> </w:t>
      </w:r>
      <w:r>
        <w:rPr>
          <w:rFonts w:ascii="Times New Roman" w:hAnsi="Times New Roman" w:eastAsia="Times New Roman" w:cs="Times New Roman"/>
          <w:color w:val="auto"/>
          <w:spacing w:val="3"/>
          <w:sz w:val="20"/>
          <w:szCs w:val="20"/>
          <w:lang w:eastAsia="zh-CN"/>
        </w:rPr>
        <w:t>10</w:t>
      </w:r>
      <w:r>
        <w:rPr>
          <w:rFonts w:ascii="Times New Roman" w:hAnsi="Times New Roman" w:eastAsia="Times New Roman" w:cs="Times New Roman"/>
          <w:color w:val="auto"/>
          <w:spacing w:val="8"/>
          <w:sz w:val="20"/>
          <w:szCs w:val="20"/>
          <w:lang w:eastAsia="zh-CN"/>
        </w:rPr>
        <w:t xml:space="preserve"> </w:t>
      </w:r>
      <w:r>
        <w:rPr>
          <w:rFonts w:ascii="宋体" w:hAnsi="宋体" w:eastAsia="宋体" w:cs="宋体"/>
          <w:color w:val="auto"/>
          <w:spacing w:val="1"/>
          <w:sz w:val="20"/>
          <w:szCs w:val="20"/>
          <w:lang w:eastAsia="zh-CN"/>
        </w:rPr>
        <w:t>个工作日提前书面通知我公司，并且告知预计的仪器安装调试时间。仪器安装调试的最</w:t>
      </w:r>
      <w:r>
        <w:rPr>
          <w:rFonts w:ascii="宋体" w:hAnsi="宋体" w:eastAsia="宋体" w:cs="宋体"/>
          <w:color w:val="auto"/>
          <w:spacing w:val="2"/>
          <w:sz w:val="20"/>
          <w:szCs w:val="20"/>
          <w:lang w:eastAsia="zh-CN"/>
        </w:rPr>
        <w:t>晚期限为仪器发货之日起十五个月，如果因您的原因仪器未能在该</w:t>
      </w:r>
      <w:r>
        <w:rPr>
          <w:rFonts w:ascii="宋体" w:hAnsi="宋体" w:eastAsia="宋体" w:cs="宋体"/>
          <w:color w:val="auto"/>
          <w:spacing w:val="1"/>
          <w:sz w:val="20"/>
          <w:szCs w:val="20"/>
          <w:lang w:eastAsia="zh-CN"/>
        </w:rPr>
        <w:t>最晚期限前安装调试的，则我们保留拒绝</w:t>
      </w:r>
      <w:r>
        <w:rPr>
          <w:rFonts w:ascii="宋体" w:hAnsi="宋体" w:eastAsia="宋体" w:cs="宋体"/>
          <w:color w:val="auto"/>
          <w:spacing w:val="-2"/>
          <w:sz w:val="20"/>
          <w:szCs w:val="20"/>
          <w:lang w:eastAsia="zh-CN"/>
        </w:rPr>
        <w:t>提供安装调试服务或</w:t>
      </w:r>
      <w:r>
        <w:rPr>
          <w:rFonts w:ascii="宋体" w:hAnsi="宋体" w:eastAsia="宋体" w:cs="宋体"/>
          <w:color w:val="auto"/>
          <w:sz w:val="20"/>
          <w:szCs w:val="20"/>
          <w:lang w:eastAsia="zh-CN"/>
        </w:rPr>
        <w:t>收取额外费用的权利。</w:t>
      </w:r>
    </w:p>
    <w:p w14:paraId="075E48A9">
      <w:pPr>
        <w:autoSpaceDE w:val="0"/>
        <w:autoSpaceDN w:val="0"/>
        <w:spacing w:line="360" w:lineRule="auto"/>
        <w:rPr>
          <w:color w:val="auto"/>
        </w:rPr>
      </w:pPr>
      <w:r>
        <w:rPr>
          <w:rFonts w:ascii="宋体" w:hAnsi="宋体" w:eastAsia="宋体" w:cs="宋体"/>
          <w:b/>
          <w:color w:val="auto"/>
          <w:spacing w:val="5"/>
          <w:sz w:val="22"/>
          <w:szCs w:val="22"/>
        </w:rPr>
        <w:t>安装、调试和</w:t>
      </w:r>
      <w:r>
        <w:rPr>
          <w:rFonts w:ascii="宋体" w:hAnsi="宋体" w:eastAsia="宋体" w:cs="宋体"/>
          <w:b/>
          <w:color w:val="auto"/>
          <w:spacing w:val="4"/>
          <w:sz w:val="22"/>
          <w:szCs w:val="22"/>
        </w:rPr>
        <w:t>现场培训</w:t>
      </w:r>
    </w:p>
    <w:p w14:paraId="6A16269C">
      <w:pPr>
        <w:keepNext w:val="0"/>
        <w:keepLines w:val="0"/>
        <w:pageBreakBefore w:val="0"/>
        <w:kinsoku/>
        <w:wordWrap/>
        <w:overflowPunct/>
        <w:topLinePunct w:val="0"/>
        <w:autoSpaceDE/>
        <w:autoSpaceDN/>
        <w:bidi w:val="0"/>
        <w:spacing w:line="324" w:lineRule="auto"/>
        <w:textAlignment w:val="auto"/>
        <w:rPr>
          <w:rFonts w:ascii="宋体" w:hAnsi="宋体" w:eastAsia="宋体"/>
          <w:b/>
          <w:color w:val="auto"/>
          <w:sz w:val="24"/>
          <w:szCs w:val="24"/>
          <w:highlight w:val="none"/>
        </w:rPr>
      </w:pPr>
      <w:r>
        <w:rPr>
          <w:rFonts w:ascii="宋体" w:hAnsi="宋体" w:eastAsia="宋体" w:cs="宋体"/>
          <w:color w:val="auto"/>
          <w:sz w:val="20"/>
          <w:szCs w:val="20"/>
        </w:rPr>
        <w:t>工程师将严格按照</w:t>
      </w:r>
      <w:r>
        <w:rPr>
          <w:rFonts w:ascii="宋体" w:hAnsi="宋体" w:eastAsia="宋体" w:cs="宋体"/>
          <w:color w:val="auto"/>
          <w:spacing w:val="-26"/>
          <w:sz w:val="20"/>
          <w:szCs w:val="20"/>
        </w:rPr>
        <w:t xml:space="preserve"> </w:t>
      </w:r>
      <w:r>
        <w:rPr>
          <w:rFonts w:ascii="Times New Roman" w:hAnsi="Times New Roman" w:eastAsia="Times New Roman" w:cs="Times New Roman"/>
          <w:color w:val="auto"/>
          <w:sz w:val="20"/>
          <w:szCs w:val="20"/>
        </w:rPr>
        <w:t>Waters</w:t>
      </w:r>
      <w:r>
        <w:rPr>
          <w:rFonts w:ascii="Times New Roman" w:hAnsi="Times New Roman" w:eastAsia="Times New Roman" w:cs="Times New Roman"/>
          <w:color w:val="auto"/>
          <w:spacing w:val="-14"/>
          <w:sz w:val="20"/>
          <w:szCs w:val="20"/>
        </w:rPr>
        <w:t xml:space="preserve"> </w:t>
      </w:r>
      <w:r>
        <w:rPr>
          <w:rFonts w:ascii="宋体" w:hAnsi="宋体" w:eastAsia="宋体" w:cs="宋体"/>
          <w:color w:val="auto"/>
          <w:sz w:val="20"/>
          <w:szCs w:val="20"/>
        </w:rPr>
        <w:t>标准安装流程上的安装、测试步骤进行标准化的系统安装，并确认仪器符合并处于</w:t>
      </w:r>
    </w:p>
    <w:p w14:paraId="4533373E">
      <w:pPr>
        <w:keepNext w:val="0"/>
        <w:keepLines w:val="0"/>
        <w:pageBreakBefore w:val="0"/>
        <w:kinsoku/>
        <w:wordWrap/>
        <w:overflowPunct/>
        <w:topLinePunct w:val="0"/>
        <w:autoSpaceDE/>
        <w:autoSpaceDN/>
        <w:bidi w:val="0"/>
        <w:spacing w:line="324" w:lineRule="auto"/>
        <w:textAlignment w:val="auto"/>
      </w:pPr>
      <w:r>
        <w:rPr>
          <w:rFonts w:hint="eastAsia" w:ascii="宋体" w:hAnsi="宋体" w:eastAsia="宋体"/>
          <w:b/>
          <w:color w:val="auto"/>
          <w:sz w:val="24"/>
          <w:szCs w:val="24"/>
          <w:highlight w:val="none"/>
        </w:rPr>
        <w:t xml:space="preserve"> </w:t>
      </w:r>
      <w:r>
        <w:rPr>
          <w:rFonts w:hint="eastAsia" w:eastAsia="宋体"/>
          <w:color w:val="auto"/>
          <w:lang w:eastAsia="zh-CN"/>
        </w:rPr>
        <w:drawing>
          <wp:inline distT="0" distB="0" distL="114300" distR="114300">
            <wp:extent cx="5965825" cy="8441055"/>
            <wp:effectExtent l="0" t="0" r="15875" b="17145"/>
            <wp:docPr id="9" name="图片 9" descr="580dd7c82e2a838ac26c516aa3c92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80dd7c82e2a838ac26c516aa3c92bfe"/>
                    <pic:cNvPicPr>
                      <a:picLocks noChangeAspect="1"/>
                    </pic:cNvPicPr>
                  </pic:nvPicPr>
                  <pic:blipFill>
                    <a:blip r:embed="rId12"/>
                    <a:stretch>
                      <a:fillRect/>
                    </a:stretch>
                  </pic:blipFill>
                  <pic:spPr>
                    <a:xfrm>
                      <a:off x="0" y="0"/>
                      <a:ext cx="5965825" cy="8441055"/>
                    </a:xfrm>
                    <a:prstGeom prst="rect">
                      <a:avLst/>
                    </a:prstGeom>
                  </pic:spPr>
                </pic:pic>
              </a:graphicData>
            </a:graphic>
          </wp:inline>
        </w:drawing>
      </w:r>
      <w:bookmarkStart w:id="0" w:name="_GoBack"/>
      <w:bookmarkEnd w:id="0"/>
    </w:p>
    <w:sectPr>
      <w:pgSz w:w="11906" w:h="16838"/>
      <w:pgMar w:top="1440" w:right="1247" w:bottom="1440" w:left="1247" w:header="851" w:footer="510"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798DD">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3BCCA">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4A3BCCA">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0E13B7"/>
    <w:rsid w:val="300E13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character" w:customStyle="1" w:styleId="5">
    <w:name w:val="font21"/>
    <w:basedOn w:val="4"/>
    <w:qFormat/>
    <w:uiPriority w:val="0"/>
    <w:rPr>
      <w:rFonts w:hint="eastAsia" w:ascii="宋体" w:hAnsi="宋体" w:eastAsia="宋体" w:cs="宋体"/>
      <w:color w:val="000000"/>
      <w:sz w:val="21"/>
      <w:szCs w:val="21"/>
      <w:u w:val="none"/>
    </w:rPr>
  </w:style>
  <w:style w:type="character" w:customStyle="1" w:styleId="6">
    <w:name w:val="font31"/>
    <w:basedOn w:val="4"/>
    <w:qFormat/>
    <w:uiPriority w:val="0"/>
    <w:rPr>
      <w:rFonts w:hint="default" w:ascii="Arial" w:hAnsi="Arial" w:cs="Arial"/>
      <w:color w:val="000000"/>
      <w:sz w:val="21"/>
      <w:szCs w:val="21"/>
      <w:u w:val="none"/>
    </w:rPr>
  </w:style>
  <w:style w:type="character" w:customStyle="1" w:styleId="7">
    <w:name w:val="font51"/>
    <w:basedOn w:val="4"/>
    <w:qFormat/>
    <w:uiPriority w:val="0"/>
    <w:rPr>
      <w:rFonts w:hint="default" w:ascii="Calibri" w:hAnsi="Calibri" w:cs="Calibri"/>
      <w:color w:val="000000"/>
      <w:sz w:val="21"/>
      <w:szCs w:val="21"/>
      <w:u w:val="none"/>
    </w:rPr>
  </w:style>
  <w:style w:type="character" w:customStyle="1" w:styleId="8">
    <w:name w:val="font61"/>
    <w:basedOn w:val="4"/>
    <w:qFormat/>
    <w:uiPriority w:val="0"/>
    <w:rPr>
      <w:rFonts w:hint="default" w:ascii="Calibri" w:hAnsi="Calibri" w:cs="Calibri"/>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0</Words>
  <Characters>0</Characters>
  <Lines>0</Lines>
  <Paragraphs>0</Paragraphs>
  <TotalTime>1</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2025-12-29T11:59:00Z</dcterms:created>
  <dc:creator>陈晓鹏</dc:creator>
  <cp:lastModifiedBy>陈晓鹏</cp:lastModifiedBy>
  <dcterms:modified xsi:type="dcterms:W3CDTF">2025-12-29T12:02:00Z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39DFABA644EF4C92875721274C73572B_11</vt:lpwstr>
  </property>
  <property fmtid="{D5CDD505-2E9C-101B-9397-08002B2CF9AE}" pid="4" name="KSOTemplateDocerSaveRecord">
    <vt:lpwstr>eyJoZGlkIjoiNjk2YzZiYTc3NWIyNjMxMWEwYzVkM2U3ZjUzZDA0ZjEiLCJ1c2VySWQiOiI0NDI3OTM5MzcifQ==</vt:lpwstr>
  </property>
</Properties>
</file>