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567489">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428B4ED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p>
    <w:p w14:paraId="28809D2E">
      <w:pPr>
        <w:kinsoku/>
        <w:wordWrap w:val="0"/>
        <w:spacing w:line="360" w:lineRule="auto"/>
        <w:jc w:val="center"/>
        <w:outlineLvl w:val="0"/>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2"/>
          <w:sz w:val="52"/>
          <w:szCs w:val="52"/>
          <w:lang w:eastAsia="zh-CN"/>
        </w:rPr>
        <w:t>南阳市</w:t>
      </w:r>
      <w:r>
        <w:rPr>
          <w:rFonts w:hint="eastAsia" w:asciiTheme="minorEastAsia" w:hAnsiTheme="minorEastAsia" w:eastAsiaTheme="minorEastAsia" w:cstheme="minorEastAsia"/>
          <w:spacing w:val="-2"/>
          <w:sz w:val="52"/>
          <w:szCs w:val="52"/>
        </w:rPr>
        <w:t>政府采购项目</w:t>
      </w:r>
    </w:p>
    <w:p w14:paraId="14B2E438">
      <w:pPr>
        <w:kinsoku/>
        <w:wordWrap w:val="0"/>
        <w:spacing w:line="360" w:lineRule="auto"/>
        <w:jc w:val="center"/>
        <w:rPr>
          <w:rFonts w:asciiTheme="minorEastAsia" w:hAnsiTheme="minorEastAsia" w:eastAsiaTheme="minorEastAsia" w:cstheme="minorEastAsia"/>
          <w:sz w:val="52"/>
          <w:szCs w:val="52"/>
        </w:rPr>
      </w:pPr>
      <w:r>
        <w:rPr>
          <w:rFonts w:hint="eastAsia" w:asciiTheme="minorEastAsia" w:hAnsiTheme="minorEastAsia" w:eastAsiaTheme="minorEastAsia" w:cstheme="minorEastAsia"/>
          <w:spacing w:val="-3"/>
          <w:sz w:val="52"/>
          <w:szCs w:val="52"/>
        </w:rPr>
        <w:t>公开招标文件</w:t>
      </w:r>
    </w:p>
    <w:p w14:paraId="2258F875">
      <w:pPr>
        <w:kinsoku/>
        <w:wordWrap w:val="0"/>
        <w:spacing w:line="316" w:lineRule="auto"/>
        <w:jc w:val="both"/>
        <w:rPr>
          <w:rFonts w:asciiTheme="minorEastAsia" w:hAnsiTheme="minorEastAsia" w:eastAsiaTheme="minorEastAsia" w:cstheme="minorEastAsia"/>
        </w:rPr>
      </w:pPr>
    </w:p>
    <w:p w14:paraId="1F5B72DF">
      <w:pPr>
        <w:kinsoku/>
        <w:wordWrap w:val="0"/>
        <w:spacing w:line="316" w:lineRule="auto"/>
        <w:jc w:val="both"/>
        <w:rPr>
          <w:rFonts w:asciiTheme="minorEastAsia" w:hAnsiTheme="minorEastAsia" w:eastAsiaTheme="minorEastAsia" w:cstheme="minorEastAsia"/>
        </w:rPr>
      </w:pPr>
    </w:p>
    <w:p w14:paraId="213462E9">
      <w:pPr>
        <w:kinsoku/>
        <w:wordWrap w:val="0"/>
        <w:spacing w:line="317" w:lineRule="auto"/>
        <w:jc w:val="both"/>
        <w:rPr>
          <w:rFonts w:asciiTheme="minorEastAsia" w:hAnsiTheme="minorEastAsia" w:eastAsiaTheme="minorEastAsia" w:cstheme="minorEastAsia"/>
        </w:rPr>
      </w:pPr>
    </w:p>
    <w:p w14:paraId="0FB3D4B2">
      <w:pPr>
        <w:kinsoku/>
        <w:wordWrap w:val="0"/>
        <w:spacing w:line="360" w:lineRule="auto"/>
        <w:jc w:val="both"/>
        <w:rPr>
          <w:rFonts w:asciiTheme="minorEastAsia" w:hAnsiTheme="minorEastAsia" w:eastAsiaTheme="minorEastAsia" w:cstheme="minorEastAsia"/>
          <w:b/>
          <w:bCs/>
          <w:spacing w:val="-17"/>
          <w:sz w:val="36"/>
          <w:szCs w:val="36"/>
        </w:rPr>
      </w:pPr>
    </w:p>
    <w:p w14:paraId="560E2B66">
      <w:pPr>
        <w:kinsoku/>
        <w:wordWrap w:val="0"/>
        <w:spacing w:line="360" w:lineRule="auto"/>
        <w:jc w:val="both"/>
        <w:rPr>
          <w:rFonts w:asciiTheme="minorEastAsia" w:hAnsiTheme="minorEastAsia" w:eastAsiaTheme="minorEastAsia" w:cstheme="minorEastAsia"/>
          <w:b/>
          <w:bCs/>
          <w:spacing w:val="-17"/>
          <w:sz w:val="36"/>
          <w:szCs w:val="36"/>
        </w:rPr>
      </w:pPr>
    </w:p>
    <w:p w14:paraId="77D91916">
      <w:pPr>
        <w:wordWrap w:val="0"/>
        <w:spacing w:line="249" w:lineRule="auto"/>
        <w:jc w:val="both"/>
        <w:rPr>
          <w:lang w:eastAsia="zh-CN"/>
        </w:rPr>
      </w:pPr>
    </w:p>
    <w:p w14:paraId="6084E9E5">
      <w:pPr>
        <w:wordWrap w:val="0"/>
        <w:spacing w:line="249" w:lineRule="auto"/>
        <w:jc w:val="both"/>
        <w:rPr>
          <w:lang w:eastAsia="zh-CN"/>
        </w:rPr>
      </w:pPr>
    </w:p>
    <w:p w14:paraId="1DA40CA4">
      <w:pPr>
        <w:spacing w:line="360" w:lineRule="auto"/>
        <w:ind w:firstLine="575" w:firstLineChars="200"/>
        <w:jc w:val="left"/>
        <w:rPr>
          <w:rFonts w:ascii="宋体" w:hAnsi="宋体" w:eastAsia="宋体" w:cs="宋体"/>
          <w:b/>
          <w:bCs/>
          <w:spacing w:val="-17"/>
          <w:sz w:val="32"/>
          <w:szCs w:val="32"/>
          <w:lang w:eastAsia="zh-CN"/>
        </w:rPr>
      </w:pPr>
      <w:r>
        <w:rPr>
          <w:rFonts w:hint="eastAsia" w:ascii="宋体" w:hAnsi="宋体" w:eastAsia="宋体" w:cs="宋体"/>
          <w:b/>
          <w:bCs/>
          <w:spacing w:val="-17"/>
          <w:sz w:val="32"/>
          <w:szCs w:val="32"/>
          <w:lang w:eastAsia="zh-CN"/>
        </w:rPr>
        <w:t>项目名称：</w:t>
      </w:r>
      <w:r>
        <w:rPr>
          <w:rFonts w:hint="eastAsia" w:ascii="宋体" w:hAnsi="宋体" w:eastAsia="宋体" w:cs="宋体"/>
          <w:sz w:val="32"/>
          <w:szCs w:val="32"/>
          <w:u w:val="single"/>
          <w:lang w:eastAsia="zh-CN"/>
        </w:rPr>
        <w:t xml:space="preserve">  河南省南阳市人民检察</w:t>
      </w:r>
      <w:bookmarkStart w:id="0" w:name="_GoBack"/>
      <w:bookmarkEnd w:id="0"/>
      <w:r>
        <w:rPr>
          <w:rFonts w:hint="eastAsia" w:ascii="宋体" w:hAnsi="宋体" w:eastAsia="宋体" w:cs="宋体"/>
          <w:sz w:val="32"/>
          <w:szCs w:val="32"/>
          <w:u w:val="single"/>
          <w:lang w:eastAsia="zh-CN"/>
        </w:rPr>
        <w:t>院物业服务项目</w:t>
      </w:r>
    </w:p>
    <w:p w14:paraId="4B13ABAF">
      <w:pPr>
        <w:spacing w:line="360" w:lineRule="auto"/>
        <w:ind w:firstLine="575" w:firstLineChars="200"/>
        <w:jc w:val="left"/>
        <w:rPr>
          <w:rFonts w:hint="default" w:ascii="宋体" w:hAnsi="宋体" w:eastAsia="宋体" w:cs="宋体"/>
          <w:sz w:val="32"/>
          <w:szCs w:val="32"/>
          <w:u w:val="single"/>
          <w:lang w:val="en-US" w:eastAsia="zh-CN"/>
        </w:rPr>
      </w:pPr>
      <w:r>
        <w:rPr>
          <w:rFonts w:hint="eastAsia" w:ascii="宋体" w:hAnsi="宋体" w:eastAsia="宋体" w:cs="宋体"/>
          <w:b/>
          <w:bCs/>
          <w:spacing w:val="-17"/>
          <w:sz w:val="32"/>
          <w:szCs w:val="32"/>
          <w:lang w:eastAsia="zh-CN"/>
        </w:rPr>
        <w:t>项目编号：</w:t>
      </w:r>
      <w:r>
        <w:rPr>
          <w:rFonts w:hint="eastAsia" w:ascii="宋体" w:hAnsi="宋体" w:eastAsia="宋体" w:cs="宋体"/>
          <w:sz w:val="32"/>
          <w:szCs w:val="32"/>
          <w:u w:val="single"/>
          <w:lang w:eastAsia="zh-CN"/>
        </w:rPr>
        <w:t xml:space="preserve">   </w:t>
      </w:r>
      <w:r>
        <w:rPr>
          <w:rFonts w:hint="eastAsia" w:ascii="宋体" w:hAnsi="宋体" w:eastAsia="宋体" w:cs="宋体"/>
          <w:sz w:val="32"/>
          <w:szCs w:val="32"/>
          <w:u w:val="single"/>
          <w:lang w:val="en-US" w:eastAsia="zh-CN"/>
        </w:rPr>
        <w:t>豫财招标采购</w:t>
      </w:r>
      <w:r>
        <w:rPr>
          <w:rFonts w:hint="eastAsia" w:ascii="宋体" w:hAnsi="宋体" w:eastAsia="宋体" w:cs="宋体"/>
          <w:sz w:val="32"/>
          <w:szCs w:val="32"/>
          <w:u w:val="single"/>
          <w:lang w:eastAsia="zh-CN"/>
        </w:rPr>
        <w:t>-202</w:t>
      </w:r>
      <w:r>
        <w:rPr>
          <w:rFonts w:hint="eastAsia" w:ascii="宋体" w:hAnsi="宋体" w:eastAsia="宋体" w:cs="宋体"/>
          <w:sz w:val="32"/>
          <w:szCs w:val="32"/>
          <w:u w:val="single"/>
          <w:lang w:val="en-US" w:eastAsia="zh-CN"/>
        </w:rPr>
        <w:t>5</w:t>
      </w:r>
      <w:r>
        <w:rPr>
          <w:rFonts w:hint="eastAsia" w:ascii="宋体" w:hAnsi="宋体" w:eastAsia="宋体" w:cs="宋体"/>
          <w:sz w:val="32"/>
          <w:szCs w:val="32"/>
          <w:u w:val="single"/>
          <w:lang w:eastAsia="zh-CN"/>
        </w:rPr>
        <w:t>-</w:t>
      </w:r>
      <w:r>
        <w:rPr>
          <w:rFonts w:hint="eastAsia" w:ascii="宋体" w:hAnsi="宋体" w:eastAsia="宋体" w:cs="宋体"/>
          <w:sz w:val="32"/>
          <w:szCs w:val="32"/>
          <w:u w:val="single"/>
          <w:lang w:val="en-US" w:eastAsia="zh-CN"/>
        </w:rPr>
        <w:t xml:space="preserve">1229 </w:t>
      </w:r>
    </w:p>
    <w:p w14:paraId="3333FC83">
      <w:pPr>
        <w:spacing w:line="360" w:lineRule="auto"/>
        <w:ind w:firstLine="575" w:firstLineChars="200"/>
        <w:jc w:val="left"/>
        <w:rPr>
          <w:rFonts w:hint="default" w:ascii="宋体" w:hAnsi="宋体" w:eastAsia="宋体" w:cs="宋体"/>
          <w:b/>
          <w:bCs/>
          <w:spacing w:val="-17"/>
          <w:sz w:val="32"/>
          <w:szCs w:val="32"/>
          <w:lang w:val="en-US" w:eastAsia="zh-CN"/>
        </w:rPr>
      </w:pPr>
      <w:r>
        <w:rPr>
          <w:rFonts w:hint="eastAsia" w:ascii="宋体" w:hAnsi="宋体" w:eastAsia="宋体" w:cs="宋体"/>
          <w:b/>
          <w:bCs/>
          <w:spacing w:val="-17"/>
          <w:sz w:val="32"/>
          <w:szCs w:val="32"/>
          <w:lang w:eastAsia="zh-CN"/>
        </w:rPr>
        <w:t>采 购 人：</w:t>
      </w:r>
      <w:r>
        <w:rPr>
          <w:rFonts w:hint="eastAsia" w:ascii="宋体" w:hAnsi="宋体" w:eastAsia="宋体" w:cs="宋体"/>
          <w:sz w:val="32"/>
          <w:szCs w:val="32"/>
          <w:u w:val="single"/>
          <w:lang w:eastAsia="zh-CN"/>
        </w:rPr>
        <w:t xml:space="preserve">   河南省南阳市人民检察院</w:t>
      </w:r>
      <w:r>
        <w:rPr>
          <w:rFonts w:hint="eastAsia" w:ascii="宋体" w:hAnsi="宋体" w:eastAsia="宋体" w:cs="宋体"/>
          <w:sz w:val="32"/>
          <w:szCs w:val="32"/>
          <w:u w:val="single"/>
          <w:lang w:val="en-US" w:eastAsia="zh-CN"/>
        </w:rPr>
        <w:t xml:space="preserve"> </w:t>
      </w:r>
    </w:p>
    <w:p w14:paraId="66065F3F">
      <w:pPr>
        <w:pStyle w:val="2"/>
        <w:wordWrap w:val="0"/>
        <w:spacing w:line="360" w:lineRule="auto"/>
        <w:ind w:firstLine="575" w:firstLineChars="200"/>
        <w:jc w:val="left"/>
        <w:outlineLvl w:val="1"/>
        <w:rPr>
          <w:rFonts w:hint="default"/>
          <w:spacing w:val="-17"/>
          <w:sz w:val="32"/>
          <w:szCs w:val="32"/>
          <w:lang w:val="en-US" w:eastAsia="zh-CN"/>
        </w:rPr>
      </w:pPr>
      <w:r>
        <w:rPr>
          <w:rFonts w:hint="eastAsia"/>
          <w:b/>
          <w:bCs/>
          <w:spacing w:val="-17"/>
          <w:sz w:val="32"/>
          <w:szCs w:val="32"/>
          <w:lang w:eastAsia="zh-CN"/>
        </w:rPr>
        <w:t>采购代理机构：</w:t>
      </w:r>
      <w:r>
        <w:rPr>
          <w:rFonts w:hint="eastAsia"/>
          <w:spacing w:val="-17"/>
          <w:sz w:val="32"/>
          <w:szCs w:val="32"/>
          <w:u w:val="single"/>
          <w:lang w:eastAsia="zh-CN"/>
        </w:rPr>
        <w:t>南阳市公共资源交易中心</w:t>
      </w:r>
      <w:r>
        <w:rPr>
          <w:rFonts w:hint="eastAsia"/>
          <w:spacing w:val="-17"/>
          <w:sz w:val="32"/>
          <w:szCs w:val="32"/>
          <w:u w:val="single"/>
          <w:lang w:val="en-US" w:eastAsia="zh-CN"/>
        </w:rPr>
        <w:t xml:space="preserve">     </w:t>
      </w:r>
    </w:p>
    <w:p w14:paraId="265A95FA">
      <w:pPr>
        <w:wordWrap w:val="0"/>
        <w:spacing w:line="360" w:lineRule="auto"/>
        <w:jc w:val="both"/>
        <w:rPr>
          <w:rFonts w:ascii="宋体" w:hAnsi="宋体" w:eastAsia="宋体" w:cs="宋体"/>
          <w:b/>
          <w:bCs/>
          <w:spacing w:val="-17"/>
          <w:sz w:val="32"/>
          <w:szCs w:val="32"/>
          <w:u w:val="single"/>
          <w:lang w:eastAsia="zh-CN"/>
        </w:rPr>
      </w:pPr>
    </w:p>
    <w:p w14:paraId="04AFAA84">
      <w:pPr>
        <w:wordWrap w:val="0"/>
        <w:spacing w:line="360" w:lineRule="auto"/>
        <w:jc w:val="both"/>
        <w:rPr>
          <w:rFonts w:ascii="宋体" w:hAnsi="宋体" w:eastAsia="宋体" w:cs="宋体"/>
          <w:b/>
          <w:bCs/>
          <w:spacing w:val="-17"/>
          <w:sz w:val="32"/>
          <w:szCs w:val="32"/>
          <w:u w:val="single"/>
          <w:lang w:eastAsia="zh-CN"/>
        </w:rPr>
      </w:pPr>
    </w:p>
    <w:p w14:paraId="5AD3A19C">
      <w:pPr>
        <w:pStyle w:val="26"/>
        <w:ind w:firstLine="3186" w:firstLineChars="900"/>
        <w:rPr>
          <w:color w:val="auto"/>
          <w:highlight w:val="none"/>
        </w:rPr>
        <w:sectPr>
          <w:pgSz w:w="11907" w:h="16840"/>
          <w:pgMar w:top="1440" w:right="1800" w:bottom="1440" w:left="1800" w:header="878" w:footer="0" w:gutter="0"/>
          <w:cols w:space="720" w:num="1"/>
        </w:sectPr>
      </w:pPr>
      <w:r>
        <w:rPr>
          <w:rFonts w:hint="eastAsia"/>
          <w:color w:val="auto"/>
          <w:spacing w:val="-3"/>
          <w:sz w:val="36"/>
          <w:szCs w:val="36"/>
          <w:highlight w:val="none"/>
          <w:lang w:val="en-US" w:eastAsia="zh-CN"/>
        </w:rPr>
        <w:t>2025年10月</w:t>
      </w:r>
    </w:p>
    <w:p w14:paraId="6E9847E0">
      <w:pPr>
        <w:keepNext w:val="0"/>
        <w:keepLines w:val="0"/>
        <w:pageBreakBefore w:val="0"/>
        <w:kinsoku/>
        <w:wordWrap w:val="0"/>
        <w:overflowPunct/>
        <w:topLinePunct w:val="0"/>
        <w:bidi w:val="0"/>
        <w:spacing w:line="274" w:lineRule="auto"/>
        <w:jc w:val="both"/>
        <w:rPr>
          <w:rFonts w:hint="eastAsia" w:asciiTheme="minorEastAsia" w:hAnsiTheme="minorEastAsia" w:eastAsiaTheme="minorEastAsia" w:cstheme="minorEastAsia"/>
          <w:sz w:val="21"/>
        </w:rPr>
      </w:pPr>
    </w:p>
    <w:sdt>
      <w:sdtPr>
        <w:rPr>
          <w:rFonts w:hint="eastAsia" w:asciiTheme="minorEastAsia" w:hAnsiTheme="minorEastAsia" w:eastAsiaTheme="minorEastAsia" w:cstheme="minorEastAsia"/>
          <w:sz w:val="21"/>
          <w:szCs w:val="21"/>
        </w:rPr>
        <w:id w:val="14747552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284C0A26">
          <w:pPr>
            <w:pStyle w:val="2"/>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40EB54D9">
          <w:pPr>
            <w:pStyle w:val="2"/>
            <w:keepNext w:val="0"/>
            <w:keepLines w:val="0"/>
            <w:pageBreakBefore w:val="0"/>
            <w:kinsoku/>
            <w:wordWrap w:val="0"/>
            <w:overflowPunct/>
            <w:topLinePunct w:val="0"/>
            <w:bidi w:val="0"/>
            <w:jc w:val="both"/>
            <w:rPr>
              <w:rFonts w:hint="eastAsia"/>
              <w:shd w:val="clear" w:color="FFFFFF" w:fill="D9D9D9"/>
            </w:rPr>
          </w:pPr>
        </w:p>
        <w:p w14:paraId="2C03F8FC">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w:t>
          </w:r>
          <w:r>
            <w:rPr>
              <w:rFonts w:hint="eastAsia"/>
              <w:sz w:val="28"/>
              <w:szCs w:val="28"/>
              <w:lang w:eastAsia="zh-CN"/>
            </w:rPr>
            <w:t>公开招标公告</w:t>
          </w:r>
        </w:p>
        <w:p w14:paraId="029C9EA7">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33671136">
          <w:pPr>
            <w:pStyle w:val="2"/>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rPr>
            <w:t>投标人须知</w:t>
          </w:r>
        </w:p>
        <w:p w14:paraId="31F24812">
          <w:pPr>
            <w:pStyle w:val="2"/>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rPr>
            <w:t>评标程序、评标方法和评标标准</w:t>
          </w:r>
        </w:p>
        <w:p w14:paraId="2047C79A">
          <w:pPr>
            <w:pStyle w:val="2"/>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6B1BF2F8">
          <w:pPr>
            <w:pStyle w:val="2"/>
            <w:keepNext w:val="0"/>
            <w:keepLines w:val="0"/>
            <w:pageBreakBefore w:val="0"/>
            <w:kinsoku/>
            <w:wordWrap w:val="0"/>
            <w:overflowPunct/>
            <w:topLinePunct w:val="0"/>
            <w:bidi w:val="0"/>
            <w:spacing w:line="360" w:lineRule="auto"/>
            <w:jc w:val="both"/>
            <w:rPr>
              <w:rFonts w:hint="eastAsia"/>
              <w:sz w:val="28"/>
              <w:szCs w:val="28"/>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rPr>
            <w:t>投标文件格式</w:t>
          </w:r>
        </w:p>
      </w:sdtContent>
    </w:sdt>
    <w:p w14:paraId="08C81294">
      <w:pPr>
        <w:pStyle w:val="2"/>
        <w:keepNext w:val="0"/>
        <w:keepLines w:val="0"/>
        <w:pageBreakBefore w:val="0"/>
        <w:kinsoku/>
        <w:wordWrap w:val="0"/>
        <w:overflowPunct/>
        <w:topLinePunct w:val="0"/>
        <w:bidi w:val="0"/>
        <w:spacing w:before="117" w:line="220" w:lineRule="auto"/>
        <w:jc w:val="center"/>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p>
    <w:p w14:paraId="17434FB3">
      <w:pPr>
        <w:pStyle w:val="2"/>
        <w:keepNext w:val="0"/>
        <w:keepLines w:val="0"/>
        <w:pageBreakBefore w:val="0"/>
        <w:kinsoku/>
        <w:wordWrap w:val="0"/>
        <w:overflowPunct/>
        <w:topLinePunct w:val="0"/>
        <w:bidi w:val="0"/>
        <w:spacing w:before="353" w:line="360" w:lineRule="auto"/>
        <w:jc w:val="center"/>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公开招标公告</w:t>
      </w:r>
    </w:p>
    <w:p w14:paraId="04F1D86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666F10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r>
        <w:rPr>
          <w:spacing w:val="-6"/>
          <w:sz w:val="24"/>
          <w:szCs w:val="24"/>
        </w:rPr>
        <w:t>采购人拟就下述项目以</w:t>
      </w:r>
      <w:r>
        <w:rPr>
          <w:rFonts w:hint="eastAsia"/>
          <w:spacing w:val="-6"/>
          <w:sz w:val="24"/>
          <w:szCs w:val="24"/>
          <w:lang w:val="en-US" w:eastAsia="zh-CN"/>
        </w:rPr>
        <w:t>公开</w:t>
      </w:r>
      <w:r>
        <w:rPr>
          <w:spacing w:val="-6"/>
          <w:sz w:val="24"/>
          <w:szCs w:val="24"/>
        </w:rPr>
        <w:t>招标方式组织采购活动，</w:t>
      </w:r>
      <w:r>
        <w:rPr>
          <w:rFonts w:hint="eastAsia"/>
          <w:spacing w:val="-6"/>
          <w:sz w:val="24"/>
          <w:szCs w:val="24"/>
          <w:lang w:eastAsia="zh-CN"/>
        </w:rPr>
        <w:t>欢迎潜在投标人</w:t>
      </w:r>
      <w:r>
        <w:rPr>
          <w:spacing w:val="-6"/>
          <w:sz w:val="24"/>
          <w:szCs w:val="24"/>
        </w:rPr>
        <w:t>参与本项目投标。</w:t>
      </w:r>
    </w:p>
    <w:p w14:paraId="74E958A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00C8B64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rPr>
        <w:t>1.项目编号：豫财招标采购-202</w:t>
      </w:r>
      <w:r>
        <w:rPr>
          <w:rFonts w:hint="eastAsia" w:asciiTheme="minorEastAsia" w:hAnsiTheme="minorEastAsia" w:eastAsiaTheme="minorEastAsia" w:cstheme="minorEastAsia"/>
          <w:spacing w:val="-25"/>
          <w:sz w:val="24"/>
          <w:szCs w:val="24"/>
          <w:lang w:val="en-US" w:eastAsia="zh-CN"/>
        </w:rPr>
        <w:t>5</w:t>
      </w:r>
      <w:r>
        <w:rPr>
          <w:rFonts w:hint="eastAsia" w:asciiTheme="minorEastAsia" w:hAnsiTheme="minorEastAsia" w:eastAsiaTheme="minorEastAsia" w:cstheme="minorEastAsia"/>
          <w:spacing w:val="-25"/>
          <w:sz w:val="24"/>
          <w:szCs w:val="24"/>
        </w:rPr>
        <w:t>-1</w:t>
      </w:r>
      <w:r>
        <w:rPr>
          <w:rFonts w:hint="eastAsia" w:asciiTheme="minorEastAsia" w:hAnsiTheme="minorEastAsia" w:eastAsiaTheme="minorEastAsia" w:cstheme="minorEastAsia"/>
          <w:spacing w:val="-25"/>
          <w:sz w:val="24"/>
          <w:szCs w:val="24"/>
          <w:lang w:val="en-US" w:eastAsia="zh-CN"/>
        </w:rPr>
        <w:t>229</w:t>
      </w:r>
    </w:p>
    <w:p w14:paraId="5CAB35D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24"/>
          <w:sz w:val="24"/>
          <w:szCs w:val="24"/>
          <w:lang w:eastAsia="zh-CN"/>
        </w:rPr>
        <w:t>河南省南阳市人民检察院物业服务项目</w:t>
      </w:r>
    </w:p>
    <w:p w14:paraId="2CBF268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highlight w:val="none"/>
        </w:rPr>
        <w:t>：</w:t>
      </w:r>
      <w:r>
        <w:rPr>
          <w:rFonts w:hint="eastAsia" w:asciiTheme="minorEastAsia" w:hAnsiTheme="minorEastAsia" w:eastAsiaTheme="minorEastAsia" w:cstheme="minorEastAsia"/>
          <w:spacing w:val="-14"/>
          <w:sz w:val="24"/>
          <w:szCs w:val="24"/>
          <w:highlight w:val="none"/>
          <w:u w:val="single"/>
          <w:lang w:val="en-US" w:eastAsia="zh-CN"/>
        </w:rPr>
        <w:t xml:space="preserve">468 </w:t>
      </w:r>
      <w:r>
        <w:rPr>
          <w:rFonts w:hint="eastAsia" w:asciiTheme="minorEastAsia" w:hAnsiTheme="minorEastAsia" w:eastAsiaTheme="minorEastAsia" w:cstheme="minorEastAsia"/>
          <w:spacing w:val="-14"/>
          <w:sz w:val="24"/>
          <w:szCs w:val="24"/>
          <w:highlight w:val="none"/>
        </w:rPr>
        <w:t>万元、项目最高限价（如有</w:t>
      </w:r>
      <w:r>
        <w:rPr>
          <w:rFonts w:hint="eastAsia" w:asciiTheme="minorEastAsia" w:hAnsiTheme="minorEastAsia" w:eastAsiaTheme="minorEastAsia" w:cstheme="minorEastAsia"/>
          <w:spacing w:val="5"/>
          <w:sz w:val="24"/>
          <w:szCs w:val="24"/>
          <w:highlight w:val="none"/>
        </w:rPr>
        <w:t>）：</w:t>
      </w:r>
      <w:r>
        <w:rPr>
          <w:rFonts w:hint="eastAsia" w:asciiTheme="minorEastAsia" w:hAnsiTheme="minorEastAsia" w:eastAsiaTheme="minorEastAsia" w:cstheme="minorEastAsia"/>
          <w:spacing w:val="-14"/>
          <w:sz w:val="24"/>
          <w:szCs w:val="24"/>
          <w:highlight w:val="none"/>
          <w:u w:val="single"/>
          <w:lang w:val="en-US" w:eastAsia="zh-CN"/>
        </w:rPr>
        <w:t>468</w:t>
      </w:r>
      <w:r>
        <w:rPr>
          <w:rFonts w:hint="eastAsia" w:asciiTheme="minorEastAsia" w:hAnsiTheme="minorEastAsia" w:eastAsiaTheme="minorEastAsia" w:cstheme="minorEastAsia"/>
          <w:spacing w:val="7"/>
          <w:sz w:val="24"/>
          <w:szCs w:val="24"/>
          <w:highlight w:val="none"/>
          <w:u w:val="single"/>
          <w:lang w:val="en-US" w:eastAsia="zh-CN"/>
        </w:rPr>
        <w:t xml:space="preserve"> </w:t>
      </w:r>
      <w:r>
        <w:rPr>
          <w:rFonts w:hint="eastAsia" w:asciiTheme="minorEastAsia" w:hAnsiTheme="minorEastAsia" w:eastAsiaTheme="minorEastAsia" w:cstheme="minorEastAsia"/>
          <w:spacing w:val="-14"/>
          <w:sz w:val="24"/>
          <w:szCs w:val="24"/>
        </w:rPr>
        <w:t>万元</w:t>
      </w:r>
    </w:p>
    <w:tbl>
      <w:tblPr>
        <w:tblStyle w:val="32"/>
        <w:tblpPr w:leftFromText="180" w:rightFromText="180" w:vertAnchor="text" w:horzAnchor="page" w:tblpX="2284" w:tblpY="454"/>
        <w:tblOverlap w:val="never"/>
        <w:tblW w:w="745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2"/>
        <w:gridCol w:w="3848"/>
        <w:gridCol w:w="2119"/>
      </w:tblGrid>
      <w:tr w14:paraId="6E307B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92" w:type="dxa"/>
            <w:vAlign w:val="center"/>
          </w:tcPr>
          <w:p w14:paraId="2B0534F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4"/>
                <w:sz w:val="24"/>
                <w:szCs w:val="24"/>
              </w:rPr>
              <w:t>包号</w:t>
            </w:r>
          </w:p>
        </w:tc>
        <w:tc>
          <w:tcPr>
            <w:tcW w:w="3848" w:type="dxa"/>
            <w:vAlign w:val="center"/>
          </w:tcPr>
          <w:p w14:paraId="75E7C6D0">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pacing w:val="7"/>
                <w:sz w:val="24"/>
                <w:szCs w:val="24"/>
                <w:lang w:val="en-US" w:eastAsia="zh-CN"/>
              </w:rPr>
              <w:t>包</w:t>
            </w:r>
            <w:r>
              <w:rPr>
                <w:rFonts w:hint="eastAsia" w:asciiTheme="majorEastAsia" w:hAnsiTheme="majorEastAsia" w:eastAsiaTheme="majorEastAsia" w:cstheme="majorEastAsia"/>
                <w:spacing w:val="7"/>
                <w:sz w:val="24"/>
                <w:szCs w:val="24"/>
              </w:rPr>
              <w:t>名称</w:t>
            </w:r>
          </w:p>
        </w:tc>
        <w:tc>
          <w:tcPr>
            <w:tcW w:w="2119" w:type="dxa"/>
            <w:vAlign w:val="center"/>
          </w:tcPr>
          <w:p w14:paraId="4F2E14F8">
            <w:pPr>
              <w:keepNext w:val="0"/>
              <w:keepLines w:val="0"/>
              <w:pageBreakBefore w:val="0"/>
              <w:widowControl/>
              <w:kinsoku/>
              <w:wordWrap w:val="0"/>
              <w:overflowPunct/>
              <w:topLinePunct w:val="0"/>
              <w:autoSpaceDE w:val="0"/>
              <w:autoSpaceDN w:val="0"/>
              <w:bidi w:val="0"/>
              <w:adjustRightInd w:val="0"/>
              <w:snapToGrid w:val="0"/>
              <w:spacing w:line="360" w:lineRule="auto"/>
              <w:ind w:right="0"/>
              <w:jc w:val="center"/>
              <w:textAlignment w:val="baseline"/>
              <w:rPr>
                <w:rFonts w:hint="default" w:asciiTheme="majorEastAsia" w:hAnsiTheme="majorEastAsia" w:eastAsiaTheme="majorEastAsia" w:cstheme="majorEastAsia"/>
                <w:snapToGrid w:val="0"/>
                <w:color w:val="000000"/>
                <w:kern w:val="0"/>
                <w:sz w:val="28"/>
                <w:szCs w:val="28"/>
                <w:u w:val="single"/>
                <w:lang w:val="en-US" w:eastAsia="zh-CN" w:bidi="ar-SA"/>
              </w:rPr>
            </w:pPr>
            <w:r>
              <w:rPr>
                <w:rFonts w:hint="eastAsia" w:asciiTheme="majorEastAsia" w:hAnsiTheme="majorEastAsia" w:eastAsiaTheme="majorEastAsia" w:cstheme="majorEastAsia"/>
                <w:snapToGrid w:val="0"/>
                <w:color w:val="000000"/>
                <w:kern w:val="0"/>
                <w:sz w:val="28"/>
                <w:szCs w:val="28"/>
                <w:u w:val="single"/>
                <w:lang w:val="en-US" w:eastAsia="zh-CN" w:bidi="ar-SA"/>
              </w:rPr>
              <w:t>包预算（元）</w:t>
            </w:r>
          </w:p>
        </w:tc>
      </w:tr>
      <w:tr w14:paraId="08548D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04" w:hRule="atLeast"/>
        </w:trPr>
        <w:tc>
          <w:tcPr>
            <w:tcW w:w="1492" w:type="dxa"/>
            <w:vAlign w:val="top"/>
          </w:tcPr>
          <w:p w14:paraId="6D7C4798">
            <w:pPr>
              <w:pStyle w:val="3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豫财招标采购-202</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1229</w:t>
            </w:r>
          </w:p>
          <w:p w14:paraId="4137A88F">
            <w:pPr>
              <w:pStyle w:val="3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p>
        </w:tc>
        <w:tc>
          <w:tcPr>
            <w:tcW w:w="3848" w:type="dxa"/>
            <w:vAlign w:val="center"/>
          </w:tcPr>
          <w:p w14:paraId="4EC8E28B">
            <w:pPr>
              <w:jc w:val="center"/>
              <w:rPr>
                <w:rFonts w:hint="eastAsia" w:eastAsia="宋体" w:asciiTheme="minorEastAsia" w:hAnsiTheme="minorEastAsia" w:cstheme="minorEastAsia"/>
                <w:sz w:val="24"/>
                <w:lang w:val="en-US" w:eastAsia="zh-CN"/>
              </w:rPr>
            </w:pPr>
            <w:r>
              <w:rPr>
                <w:rFonts w:hint="eastAsia" w:asciiTheme="minorEastAsia" w:hAnsiTheme="minorEastAsia" w:eastAsiaTheme="minorEastAsia" w:cstheme="minorEastAsia"/>
                <w:spacing w:val="-24"/>
                <w:sz w:val="24"/>
                <w:szCs w:val="24"/>
                <w:lang w:eastAsia="zh-CN"/>
              </w:rPr>
              <w:t>河南省南阳市人民检察院物业服务项目</w:t>
            </w:r>
          </w:p>
        </w:tc>
        <w:tc>
          <w:tcPr>
            <w:tcW w:w="2119" w:type="dxa"/>
            <w:vAlign w:val="center"/>
          </w:tcPr>
          <w:p w14:paraId="377AB4A3">
            <w:pPr>
              <w:jc w:val="center"/>
              <w:rPr>
                <w:rFonts w:hint="default" w:eastAsia="宋体" w:asciiTheme="minorEastAsia" w:hAnsiTheme="minorEastAsia" w:cstheme="minorEastAsia"/>
                <w:snapToGrid w:val="0"/>
                <w:color w:val="000000"/>
                <w:kern w:val="0"/>
                <w:sz w:val="28"/>
                <w:szCs w:val="28"/>
                <w:u w:val="none"/>
                <w:lang w:val="en-US" w:eastAsia="zh-CN" w:bidi="ar-SA"/>
              </w:rPr>
            </w:pPr>
            <w:r>
              <w:rPr>
                <w:rFonts w:hint="eastAsia" w:asciiTheme="minorEastAsia" w:hAnsiTheme="minorEastAsia" w:eastAsiaTheme="minorEastAsia" w:cstheme="minorEastAsia"/>
                <w:sz w:val="24"/>
                <w:szCs w:val="24"/>
                <w:lang w:val="en-US" w:eastAsia="zh-CN"/>
              </w:rPr>
              <w:t>4680000</w:t>
            </w:r>
          </w:p>
        </w:tc>
      </w:tr>
    </w:tbl>
    <w:p w14:paraId="0F185CC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rPr>
        <w:t>4.采购需求</w:t>
      </w:r>
    </w:p>
    <w:p w14:paraId="3AFB468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380" w:firstLineChars="200"/>
        <w:jc w:val="both"/>
        <w:textAlignment w:val="baseline"/>
        <w:rPr>
          <w:rFonts w:hint="eastAsia"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南阳市人民检察院位于南阳市信臣路东段，物业服务范围包括检察院整个机关大院（含办案区）共约130亩地（绿化面积约2.6万平方米）区域的安保、绿地管护、楼内保洁、电梯维护及水设备清洗消毒等物业服务，服务期限3年，三年总费用为468万元。</w:t>
      </w:r>
    </w:p>
    <w:p w14:paraId="592A897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190" w:firstLineChars="100"/>
        <w:jc w:val="left"/>
        <w:textAlignment w:val="baseline"/>
        <w:rPr>
          <w:rFonts w:hint="default" w:asciiTheme="minorEastAsia" w:hAnsiTheme="minorEastAsia" w:eastAsiaTheme="minorEastAsia" w:cstheme="minorEastAsia"/>
          <w:spacing w:val="-25"/>
          <w:sz w:val="24"/>
          <w:szCs w:val="24"/>
          <w:lang w:val="en-US" w:eastAsia="zh-CN"/>
        </w:rPr>
      </w:pPr>
      <w:r>
        <w:rPr>
          <w:rFonts w:hint="eastAsia" w:asciiTheme="minorEastAsia" w:hAnsiTheme="minorEastAsia" w:eastAsiaTheme="minorEastAsia" w:cstheme="minorEastAsia"/>
          <w:spacing w:val="-25"/>
          <w:sz w:val="24"/>
          <w:szCs w:val="24"/>
          <w:lang w:val="en-US" w:eastAsia="zh-CN"/>
        </w:rPr>
        <w:t>5.合同履行期限：3年。</w:t>
      </w:r>
    </w:p>
    <w:p w14:paraId="42D3E1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236" w:firstLineChars="100"/>
        <w:jc w:val="left"/>
        <w:textAlignment w:val="baseline"/>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2418FFB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投标人具备的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4E33F919">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5C5A2E83">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79AF518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08C769FE">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04865174">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7DBFE6D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6E45AD22">
      <w:pPr>
        <w:keepNext w:val="0"/>
        <w:keepLines w:val="0"/>
        <w:pageBreakBefore w:val="0"/>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14:paraId="154F08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62FFE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2010B5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14:paraId="7B3AC01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rPr>
        <w:t>本项目不专门面向中小企业预留采购份额。</w:t>
      </w:r>
    </w:p>
    <w:p w14:paraId="2E9582F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highlight w:val="none"/>
          <w:lang w:eastAsia="zh-CN"/>
        </w:rPr>
        <w:t>☑</w:t>
      </w:r>
      <w:r>
        <w:rPr>
          <w:rFonts w:hint="eastAsia" w:asciiTheme="minorEastAsia" w:hAnsiTheme="minorEastAsia" w:eastAsiaTheme="minorEastAsia" w:cstheme="minorEastAsia"/>
          <w:spacing w:val="12"/>
          <w:position w:val="17"/>
          <w:sz w:val="24"/>
          <w:szCs w:val="24"/>
          <w:highlight w:val="none"/>
        </w:rPr>
        <w:t>本项目专门面向中小企业采购</w:t>
      </w:r>
      <w:r>
        <w:rPr>
          <w:rFonts w:hint="eastAsia" w:asciiTheme="minorEastAsia" w:hAnsiTheme="minorEastAsia" w:eastAsiaTheme="minorEastAsia" w:cstheme="minorEastAsia"/>
          <w:spacing w:val="12"/>
          <w:position w:val="17"/>
          <w:sz w:val="24"/>
          <w:szCs w:val="24"/>
        </w:rPr>
        <w:t>。</w:t>
      </w:r>
      <w:r>
        <w:rPr>
          <w:rFonts w:hint="eastAsia" w:asciiTheme="minorEastAsia" w:hAnsiTheme="minorEastAsia" w:eastAsiaTheme="minorEastAsia" w:cstheme="minorEastAsia"/>
          <w:spacing w:val="-2"/>
          <w:position w:val="17"/>
          <w:sz w:val="24"/>
          <w:szCs w:val="24"/>
        </w:rPr>
        <w:t>本项目预留部分采购项目预算专门面向</w:t>
      </w:r>
      <w:r>
        <w:rPr>
          <w:rFonts w:hint="eastAsia" w:asciiTheme="minorEastAsia" w:hAnsiTheme="minorEastAsia" w:eastAsiaTheme="minorEastAsia" w:cstheme="minorEastAsia"/>
          <w:spacing w:val="-2"/>
          <w:position w:val="17"/>
          <w:sz w:val="24"/>
          <w:szCs w:val="24"/>
          <w:lang w:val="en-US" w:eastAsia="zh-CN"/>
        </w:rPr>
        <w:t>小微</w:t>
      </w:r>
      <w:r>
        <w:rPr>
          <w:rFonts w:hint="eastAsia" w:asciiTheme="minorEastAsia" w:hAnsiTheme="minorEastAsia" w:eastAsiaTheme="minorEastAsia" w:cstheme="minorEastAsia"/>
          <w:spacing w:val="-2"/>
          <w:position w:val="17"/>
          <w:sz w:val="24"/>
          <w:szCs w:val="24"/>
        </w:rPr>
        <w:t>企业采购。对于预留份额，提供的货物由符合政策要求的小微企业制造、服务由符合政策要求的小微企业承接。</w:t>
      </w:r>
    </w:p>
    <w:p w14:paraId="0686D86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lang w:val="en-US" w:eastAsia="zh-CN"/>
        </w:rPr>
        <w:t>预留金额</w:t>
      </w:r>
      <w:r>
        <w:rPr>
          <w:rFonts w:hint="eastAsia" w:asciiTheme="minorEastAsia" w:hAnsiTheme="minorEastAsia" w:eastAsiaTheme="minorEastAsia" w:cstheme="minorEastAsia"/>
          <w:spacing w:val="-2"/>
          <w:position w:val="17"/>
          <w:sz w:val="24"/>
          <w:szCs w:val="24"/>
          <w:u w:val="single"/>
          <w:lang w:val="en-US" w:eastAsia="zh-CN"/>
        </w:rPr>
        <w:t xml:space="preserve">   </w:t>
      </w:r>
      <w:r>
        <w:rPr>
          <w:rFonts w:hint="eastAsia" w:asciiTheme="minorEastAsia" w:hAnsiTheme="minorEastAsia" w:eastAsiaTheme="minorEastAsia" w:cstheme="minorEastAsia"/>
          <w:spacing w:val="-2"/>
          <w:position w:val="17"/>
          <w:sz w:val="24"/>
          <w:szCs w:val="24"/>
          <w:lang w:val="en-US" w:eastAsia="zh-CN"/>
        </w:rPr>
        <w:t>万元。</w:t>
      </w:r>
    </w:p>
    <w:p w14:paraId="60729C3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0523EE5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p>
    <w:p w14:paraId="049BD7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w:t>
      </w:r>
      <w:r>
        <w:rPr>
          <w:rFonts w:hint="eastAsia" w:asciiTheme="minorEastAsia" w:hAnsiTheme="minorEastAsia" w:eastAsiaTheme="minorEastAsia" w:cstheme="minorEastAsia"/>
          <w:spacing w:val="-5"/>
          <w:sz w:val="24"/>
          <w:szCs w:val="24"/>
          <w:lang w:val="en-US" w:eastAsia="zh-CN"/>
        </w:rPr>
        <w:t>服务</w:t>
      </w:r>
      <w:r>
        <w:rPr>
          <w:rFonts w:hint="eastAsia" w:asciiTheme="minorEastAsia" w:hAnsiTheme="minorEastAsia" w:eastAsiaTheme="minorEastAsia" w:cstheme="minorEastAsia"/>
          <w:spacing w:val="-5"/>
          <w:sz w:val="24"/>
          <w:szCs w:val="24"/>
        </w:rPr>
        <w:t>：</w:t>
      </w:r>
    </w:p>
    <w:p w14:paraId="4523E7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☑否□接受进口产品☑</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14:paraId="7B3ABC2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2"/>
          <w:sz w:val="24"/>
          <w:szCs w:val="24"/>
        </w:rPr>
        <w:t>□是，公益一类事业单位、使用事业编制且由财政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14:paraId="6FE73E5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DA5695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、获取招标文件</w:t>
      </w:r>
    </w:p>
    <w:p w14:paraId="462920E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b w:val="0"/>
          <w:bCs w:val="0"/>
          <w:color w:val="auto"/>
          <w:sz w:val="24"/>
          <w:szCs w:val="24"/>
          <w:highlight w:val="cyan"/>
        </w:rPr>
      </w:pPr>
      <w:r>
        <w:rPr>
          <w:rFonts w:hint="eastAsia" w:asciiTheme="minorEastAsia" w:hAnsiTheme="minorEastAsia" w:eastAsiaTheme="minorEastAsia" w:cstheme="minorEastAsia"/>
          <w:b w:val="0"/>
          <w:bCs w:val="0"/>
          <w:color w:val="auto"/>
          <w:spacing w:val="-13"/>
          <w:sz w:val="24"/>
          <w:szCs w:val="24"/>
        </w:rPr>
        <w:t>1.时间：</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b w:val="0"/>
          <w:bCs w:val="0"/>
          <w:color w:val="auto"/>
          <w:spacing w:val="-13"/>
          <w:sz w:val="24"/>
          <w:szCs w:val="24"/>
          <w:highlight w:val="none"/>
        </w:rPr>
        <w:t>年</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10 </w:t>
      </w:r>
      <w:r>
        <w:rPr>
          <w:rFonts w:hint="eastAsia" w:asciiTheme="minorEastAsia" w:hAnsiTheme="minorEastAsia" w:eastAsiaTheme="minorEastAsia" w:cstheme="minorEastAsia"/>
          <w:b w:val="0"/>
          <w:bCs w:val="0"/>
          <w:color w:val="auto"/>
          <w:spacing w:val="-13"/>
          <w:sz w:val="24"/>
          <w:szCs w:val="24"/>
          <w:highlight w:val="none"/>
        </w:rPr>
        <w:t>月</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10 </w:t>
      </w:r>
      <w:r>
        <w:rPr>
          <w:rFonts w:hint="eastAsia" w:asciiTheme="minorEastAsia" w:hAnsiTheme="minorEastAsia" w:eastAsiaTheme="minorEastAsia" w:cstheme="minorEastAsia"/>
          <w:b w:val="0"/>
          <w:bCs w:val="0"/>
          <w:color w:val="auto"/>
          <w:spacing w:val="-13"/>
          <w:sz w:val="24"/>
          <w:szCs w:val="24"/>
          <w:highlight w:val="none"/>
        </w:rPr>
        <w:t>日至</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b w:val="0"/>
          <w:bCs w:val="0"/>
          <w:color w:val="auto"/>
          <w:spacing w:val="-13"/>
          <w:sz w:val="24"/>
          <w:szCs w:val="24"/>
          <w:highlight w:val="none"/>
        </w:rPr>
        <w:t>年</w:t>
      </w:r>
      <w:r>
        <w:rPr>
          <w:rFonts w:hint="eastAsia" w:asciiTheme="minorEastAsia" w:hAnsiTheme="minorEastAsia" w:eastAsiaTheme="minorEastAsia" w:cstheme="minorEastAsia"/>
          <w:b w:val="0"/>
          <w:bCs w:val="0"/>
          <w:color w:val="auto"/>
          <w:spacing w:val="-13"/>
          <w:sz w:val="24"/>
          <w:szCs w:val="24"/>
          <w:highlight w:val="none"/>
          <w:lang w:val="en-US" w:eastAsia="zh-CN"/>
        </w:rPr>
        <w:t xml:space="preserve"> </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10 </w:t>
      </w:r>
      <w:r>
        <w:rPr>
          <w:rFonts w:hint="eastAsia" w:asciiTheme="minorEastAsia" w:hAnsiTheme="minorEastAsia" w:eastAsiaTheme="minorEastAsia" w:cstheme="minorEastAsia"/>
          <w:b w:val="0"/>
          <w:bCs w:val="0"/>
          <w:color w:val="auto"/>
          <w:spacing w:val="-13"/>
          <w:sz w:val="24"/>
          <w:szCs w:val="24"/>
          <w:highlight w:val="none"/>
        </w:rPr>
        <w:t>月</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15 </w:t>
      </w:r>
      <w:r>
        <w:rPr>
          <w:rFonts w:hint="eastAsia" w:asciiTheme="minorEastAsia" w:hAnsiTheme="minorEastAsia" w:eastAsiaTheme="minorEastAsia" w:cstheme="minorEastAsia"/>
          <w:b w:val="0"/>
          <w:bCs w:val="0"/>
          <w:color w:val="auto"/>
          <w:spacing w:val="-13"/>
          <w:sz w:val="24"/>
          <w:szCs w:val="24"/>
          <w:highlight w:val="none"/>
        </w:rPr>
        <w:t>日，</w:t>
      </w:r>
      <w:r>
        <w:rPr>
          <w:rFonts w:hint="eastAsia" w:asciiTheme="minorEastAsia" w:hAnsiTheme="minorEastAsia" w:eastAsiaTheme="minorEastAsia" w:cstheme="minorEastAsia"/>
          <w:b w:val="0"/>
          <w:bCs w:val="0"/>
          <w:color w:val="auto"/>
          <w:spacing w:val="-14"/>
          <w:sz w:val="24"/>
          <w:szCs w:val="24"/>
          <w:highlight w:val="none"/>
        </w:rPr>
        <w:t>每天上午</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0：00   </w:t>
      </w:r>
      <w:r>
        <w:rPr>
          <w:rFonts w:hint="eastAsia" w:asciiTheme="minorEastAsia" w:hAnsiTheme="minorEastAsia" w:eastAsiaTheme="minorEastAsia" w:cstheme="minorEastAsia"/>
          <w:b w:val="0"/>
          <w:bCs w:val="0"/>
          <w:color w:val="auto"/>
          <w:spacing w:val="-14"/>
          <w:sz w:val="24"/>
          <w:szCs w:val="24"/>
          <w:highlight w:val="none"/>
        </w:rPr>
        <w:t>至</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b w:val="0"/>
          <w:bCs w:val="0"/>
          <w:color w:val="auto"/>
          <w:spacing w:val="-14"/>
          <w:sz w:val="24"/>
          <w:szCs w:val="24"/>
          <w:highlight w:val="none"/>
        </w:rPr>
        <w:t>，下午</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12：00  </w:t>
      </w:r>
      <w:r>
        <w:rPr>
          <w:rFonts w:hint="eastAsia" w:asciiTheme="minorEastAsia" w:hAnsiTheme="minorEastAsia" w:eastAsiaTheme="minorEastAsia" w:cstheme="minorEastAsia"/>
          <w:b w:val="0"/>
          <w:bCs w:val="0"/>
          <w:color w:val="auto"/>
          <w:spacing w:val="-14"/>
          <w:sz w:val="24"/>
          <w:szCs w:val="24"/>
          <w:highlight w:val="none"/>
        </w:rPr>
        <w:t>至</w:t>
      </w:r>
      <w:r>
        <w:rPr>
          <w:rFonts w:hint="eastAsia" w:asciiTheme="minorEastAsia" w:hAnsiTheme="minorEastAsia" w:eastAsiaTheme="minorEastAsia" w:cstheme="minorEastAsia"/>
          <w:b w:val="0"/>
          <w:bCs w:val="0"/>
          <w:color w:val="auto"/>
          <w:spacing w:val="-13"/>
          <w:sz w:val="24"/>
          <w:szCs w:val="24"/>
          <w:highlight w:val="none"/>
          <w:u w:val="single"/>
          <w:lang w:val="en-US" w:eastAsia="zh-CN"/>
        </w:rPr>
        <w:t xml:space="preserve">  23：59 </w:t>
      </w:r>
      <w:r>
        <w:rPr>
          <w:rFonts w:hint="eastAsia" w:asciiTheme="minorEastAsia" w:hAnsiTheme="minorEastAsia" w:eastAsiaTheme="minorEastAsia" w:cstheme="minorEastAsia"/>
          <w:b w:val="0"/>
          <w:bCs w:val="0"/>
          <w:color w:val="auto"/>
          <w:spacing w:val="-14"/>
          <w:sz w:val="24"/>
          <w:szCs w:val="24"/>
          <w:highlight w:val="none"/>
        </w:rPr>
        <w:t>（北京时</w:t>
      </w:r>
      <w:r>
        <w:rPr>
          <w:rFonts w:hint="eastAsia" w:asciiTheme="minorEastAsia" w:hAnsiTheme="minorEastAsia" w:eastAsiaTheme="minorEastAsia" w:cstheme="minorEastAsia"/>
          <w:b w:val="0"/>
          <w:bCs w:val="0"/>
          <w:color w:val="auto"/>
          <w:spacing w:val="-15"/>
          <w:sz w:val="24"/>
          <w:szCs w:val="24"/>
          <w:highlight w:val="none"/>
        </w:rPr>
        <w:t>间，法定节假日除外）。</w:t>
      </w:r>
    </w:p>
    <w:p w14:paraId="5BE2FD21">
      <w:pPr>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2.地点：全国公共资源交易平台(河南省·南阳市)</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2E9642B2">
      <w:pPr>
        <w:ind w:firstLine="464"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w:t>
      </w:r>
      <w:r>
        <w:rPr>
          <w:rFonts w:hint="eastAsia" w:asciiTheme="minorEastAsia" w:hAnsiTheme="minorEastAsia" w:eastAsiaTheme="minorEastAsia" w:cstheme="minorEastAsia"/>
          <w:sz w:val="24"/>
          <w:szCs w:val="24"/>
        </w:rPr>
        <w:t>全国公共资源交易平台(河南省·南阳市)</w:t>
      </w:r>
      <w:r>
        <w:rPr>
          <w:rFonts w:hint="eastAsia" w:asciiTheme="minorEastAsia" w:hAnsiTheme="minorEastAsia" w:eastAsiaTheme="minorEastAsia" w:cstheme="minorEastAsia"/>
          <w:spacing w:val="-4"/>
          <w:sz w:val="24"/>
          <w:szCs w:val="24"/>
          <w:lang w:eastAsia="zh-CN"/>
        </w:rPr>
        <w:t>（https://ggzyjy.nanyang.gov.cn），注册后凭办理的企业身份认证锁（CA数字证书）登录会员系统按网上提示下载招标文件(*.nyzf格式)及资料（操作程序详见</w:t>
      </w:r>
      <w:r>
        <w:rPr>
          <w:rFonts w:hint="eastAsia"/>
        </w:rPr>
        <w:t>全国公共资源交易平台(河南省·南阳市)</w:t>
      </w:r>
      <w:r>
        <w:rPr>
          <w:rFonts w:hint="eastAsia" w:asciiTheme="minorEastAsia" w:hAnsiTheme="minorEastAsia" w:eastAsiaTheme="minorEastAsia" w:cstheme="minorEastAsia"/>
          <w:spacing w:val="-4"/>
          <w:sz w:val="24"/>
          <w:szCs w:val="24"/>
          <w:lang w:eastAsia="zh-CN"/>
        </w:rPr>
        <w:t>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，电子交易系统技术支持电话：0512-58188538，</w:t>
      </w:r>
      <w:r>
        <w:rPr>
          <w:rFonts w:hint="eastAsia" w:asciiTheme="minorEastAsia" w:hAnsiTheme="minorEastAsia" w:eastAsiaTheme="minorEastAsia" w:cstheme="minorEastAsia"/>
          <w:spacing w:val="-4"/>
          <w:sz w:val="24"/>
          <w:szCs w:val="24"/>
          <w:lang w:eastAsia="zh-CN"/>
        </w:rPr>
        <w:t>CA数字证书技术支持：https://ggzyjy.nanyang.gov.cn/ptdl/011009/single.html。</w:t>
      </w:r>
    </w:p>
    <w:p w14:paraId="0FFF5D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017EE81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003A6194">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五、投标文件的制作及上传</w:t>
      </w:r>
    </w:p>
    <w:p w14:paraId="2F33C60B">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。投标人须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电子投标文件，电子投标文件需要使用投标文件制作工具制作，制作工具及操作手册可在南阳市公共资源交易中心网站“下载专区”中下载。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电子投标文件应在招标文件规定的投标截止时间前到达交易系统。逾期到达交易系统的电子投标文件视为放弃本次投标。</w:t>
      </w:r>
    </w:p>
    <w:p w14:paraId="60CDCFA7">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因投标人无需现场参与开标，所有准备工作需要自行到位。开标过程中如遇到紧急事项，可在不见面开标大厅中进行提出异议或文字交流，严重问题可拨打技术支持电话0377-61176137。不见面开标过程中，如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投标人准备不到位、网络问题等情况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造成开标无法继续的，视为该投标人自动放弃投标，将被退回投标文件”。电子交易系统技术支持电话：400-998-0000。</w:t>
      </w:r>
    </w:p>
    <w:p w14:paraId="0B56E8D8">
      <w:pPr>
        <w:pStyle w:val="3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4280B9E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06AE4A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交投标文件截止时间、开标时间和地点</w:t>
      </w:r>
    </w:p>
    <w:p w14:paraId="149D30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投标截止时间、开标时间</w:t>
      </w:r>
      <w:r>
        <w:rPr>
          <w:rFonts w:hint="eastAsia" w:asciiTheme="minorEastAsia" w:hAnsiTheme="minorEastAsia" w:eastAsiaTheme="minorEastAsia" w:cstheme="minorEastAsia"/>
          <w:color w:val="0000FF"/>
          <w:spacing w:val="-14"/>
          <w:sz w:val="24"/>
          <w:szCs w:val="24"/>
        </w:rPr>
        <w:t>：</w:t>
      </w:r>
      <w:r>
        <w:rPr>
          <w:rFonts w:hint="eastAsia" w:asciiTheme="minorEastAsia" w:hAnsiTheme="minorEastAsia" w:eastAsiaTheme="minorEastAsia" w:cstheme="minorEastAsia"/>
          <w:color w:val="auto"/>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10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30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点</w:t>
      </w:r>
      <w:r>
        <w:rPr>
          <w:rFonts w:hint="eastAsia" w:asciiTheme="minorEastAsia" w:hAnsiTheme="minorEastAsia" w:eastAsiaTheme="minorEastAsia" w:cstheme="minorEastAsia"/>
          <w:snapToGrid w:val="0"/>
          <w:color w:val="auto"/>
          <w:spacing w:val="-4"/>
          <w:kern w:val="0"/>
          <w:sz w:val="24"/>
          <w:szCs w:val="24"/>
          <w:highlight w:val="none"/>
          <w:u w:val="single"/>
          <w:lang w:val="en-US" w:eastAsia="zh-CN" w:bidi="ar-SA"/>
        </w:rPr>
        <w:t xml:space="preserve">  00  </w:t>
      </w:r>
      <w:r>
        <w:rPr>
          <w:rFonts w:hint="eastAsia" w:asciiTheme="minorEastAsia" w:hAnsiTheme="minorEastAsia" w:eastAsiaTheme="minorEastAsia" w:cstheme="minorEastAsia"/>
          <w:snapToGrid w:val="0"/>
          <w:color w:val="auto"/>
          <w:spacing w:val="-4"/>
          <w:kern w:val="0"/>
          <w:sz w:val="24"/>
          <w:szCs w:val="24"/>
          <w:highlight w:val="none"/>
          <w:lang w:val="en-US" w:eastAsia="zh-CN" w:bidi="ar-SA"/>
        </w:rPr>
        <w:t>分</w:t>
      </w:r>
      <w:r>
        <w:rPr>
          <w:rFonts w:hint="eastAsia" w:asciiTheme="minorEastAsia" w:hAnsiTheme="minorEastAsia" w:eastAsiaTheme="minorEastAsia" w:cstheme="minorEastAsia"/>
          <w:snapToGrid w:val="0"/>
          <w:color w:val="000000"/>
          <w:spacing w:val="-4"/>
          <w:kern w:val="0"/>
          <w:sz w:val="24"/>
          <w:szCs w:val="24"/>
          <w:lang w:val="en-US" w:eastAsia="zh-CN" w:bidi="ar-SA"/>
        </w:rPr>
        <w:t>（北</w:t>
      </w:r>
      <w:r>
        <w:rPr>
          <w:rFonts w:hint="eastAsia" w:asciiTheme="minorEastAsia" w:hAnsiTheme="minorEastAsia" w:eastAsiaTheme="minorEastAsia" w:cstheme="minorEastAsia"/>
          <w:spacing w:val="-15"/>
          <w:sz w:val="24"/>
          <w:szCs w:val="24"/>
        </w:rPr>
        <w:t>京时间）。</w:t>
      </w:r>
    </w:p>
    <w:p w14:paraId="4E589F1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2B66D3B3">
      <w:pPr>
        <w:pStyle w:val="2"/>
        <w:kinsoku/>
        <w:wordWrap w:val="0"/>
        <w:spacing w:line="360"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color w:val="000000" w:themeColor="text1"/>
          <w:spacing w:val="-17"/>
          <w:sz w:val="24"/>
          <w:szCs w:val="24"/>
          <w:lang w:eastAsia="zh-CN"/>
          <w14:textFill>
            <w14:solidFill>
              <w14:schemeClr w14:val="tx1"/>
            </w14:solidFill>
          </w14:textFill>
        </w:rPr>
        <w:t>不见面开标大厅（</w:t>
      </w:r>
      <w:r>
        <w:rPr>
          <w:rFonts w:hint="eastAsia" w:ascii="微软雅黑" w:hAnsi="微软雅黑" w:eastAsia="微软雅黑" w:cs="微软雅黑"/>
          <w:color w:val="000000" w:themeColor="text1"/>
          <w:sz w:val="21"/>
          <w:szCs w:val="21"/>
          <w:u w:val="single"/>
          <w:lang w:eastAsia="zh-CN"/>
          <w14:textFill>
            <w14:solidFill>
              <w14:schemeClr w14:val="tx1"/>
            </w14:solidFill>
          </w14:textFill>
        </w:rPr>
        <w:t>https://ggzyjy.nanyang.gov.cn/BidOpening/bidopeninghallaction/hall/login</w:t>
      </w:r>
      <w:r>
        <w:rPr>
          <w:rFonts w:hint="eastAsia"/>
          <w:color w:val="000000" w:themeColor="text1"/>
          <w:sz w:val="24"/>
          <w:szCs w:val="24"/>
          <w:u w:val="single"/>
          <w:lang w:eastAsia="zh-CN"/>
          <w14:textFill>
            <w14:solidFill>
              <w14:schemeClr w14:val="tx1"/>
            </w14:solidFill>
          </w14:textFill>
        </w:rPr>
        <w:t>）</w:t>
      </w:r>
    </w:p>
    <w:p w14:paraId="23A894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24DF45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6427458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color w:val="auto"/>
          <w:spacing w:val="-13"/>
          <w:sz w:val="24"/>
          <w:szCs w:val="24"/>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10</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10 </w:t>
      </w:r>
      <w:r>
        <w:rPr>
          <w:rFonts w:hint="eastAsia" w:asciiTheme="minorEastAsia" w:hAnsiTheme="minorEastAsia" w:eastAsiaTheme="minorEastAsia" w:cstheme="minorEastAsia"/>
          <w:color w:val="auto"/>
          <w:spacing w:val="-13"/>
          <w:sz w:val="24"/>
          <w:szCs w:val="24"/>
          <w:highlight w:val="none"/>
        </w:rPr>
        <w:t>日至</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10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lang w:val="en-US" w:eastAsia="zh-CN"/>
        </w:rPr>
        <w:t xml:space="preserve"> </w:t>
      </w:r>
      <w:r>
        <w:rPr>
          <w:rFonts w:hint="eastAsia" w:asciiTheme="minorEastAsia" w:hAnsiTheme="minorEastAsia" w:eastAsiaTheme="minorEastAsia" w:cstheme="minorEastAsia"/>
          <w:color w:val="auto"/>
          <w:spacing w:val="-13"/>
          <w:sz w:val="24"/>
          <w:szCs w:val="24"/>
          <w:highlight w:val="none"/>
          <w:u w:val="single"/>
          <w:lang w:val="en-US" w:eastAsia="zh-CN"/>
        </w:rPr>
        <w:t xml:space="preserve">15 </w:t>
      </w:r>
      <w:r>
        <w:rPr>
          <w:rFonts w:hint="eastAsia" w:asciiTheme="minorEastAsia" w:hAnsiTheme="minorEastAsia" w:eastAsiaTheme="minorEastAsia" w:cstheme="minorEastAsia"/>
          <w:color w:val="auto"/>
          <w:spacing w:val="-13"/>
          <w:sz w:val="24"/>
          <w:szCs w:val="24"/>
          <w:highlight w:val="none"/>
        </w:rPr>
        <w:t>日</w:t>
      </w:r>
      <w:r>
        <w:rPr>
          <w:rFonts w:hint="eastAsia" w:asciiTheme="minorEastAsia" w:hAnsiTheme="minorEastAsia" w:eastAsiaTheme="minorEastAsia" w:cstheme="minorEastAsia"/>
          <w:color w:val="auto"/>
          <w:spacing w:val="-13"/>
          <w:sz w:val="24"/>
          <w:szCs w:val="24"/>
          <w:lang w:eastAsia="zh-CN"/>
        </w:rPr>
        <w:t>。</w:t>
      </w:r>
    </w:p>
    <w:p w14:paraId="7DE0DF5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2BF1EA31">
      <w:pPr>
        <w:pStyle w:val="2"/>
        <w:kinsoku/>
        <w:wordWrap w:val="0"/>
        <w:spacing w:line="360" w:lineRule="auto"/>
        <w:jc w:val="both"/>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lang w:eastAsia="zh-CN"/>
        </w:rPr>
        <w:t>本次招标公告在河南省政府采购网、</w:t>
      </w:r>
      <w:r>
        <w:rPr>
          <w:rFonts w:hint="eastAsia" w:asciiTheme="minorEastAsia" w:hAnsiTheme="minorEastAsia" w:eastAsiaTheme="minorEastAsia" w:cstheme="minorEastAsia"/>
          <w:sz w:val="24"/>
          <w:szCs w:val="24"/>
        </w:rPr>
        <w:t>全国公共资源交易平台(河南省·南阳市)</w:t>
      </w:r>
      <w:r>
        <w:rPr>
          <w:rFonts w:hint="eastAsia" w:asciiTheme="minorEastAsia" w:hAnsiTheme="minorEastAsia" w:eastAsiaTheme="minorEastAsia" w:cstheme="minorEastAsia"/>
          <w:spacing w:val="-9"/>
          <w:sz w:val="24"/>
          <w:szCs w:val="24"/>
          <w:lang w:eastAsia="zh-CN"/>
        </w:rPr>
        <w:t>。</w:t>
      </w:r>
    </w:p>
    <w:p w14:paraId="3F5BC4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0B79F9A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14:paraId="620BDA16">
      <w:pPr>
        <w:pStyle w:val="2"/>
        <w:spacing w:line="360" w:lineRule="auto"/>
        <w:rPr>
          <w:rFonts w:ascii="宋体" w:hAnsi="宋体" w:eastAsia="宋体" w:cs="宋体"/>
          <w:color w:val="auto"/>
          <w:spacing w:val="-15"/>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名称：</w:t>
      </w:r>
      <w:r>
        <w:rPr>
          <w:rFonts w:hint="eastAsia" w:asciiTheme="minorEastAsia" w:hAnsiTheme="minorEastAsia" w:eastAsiaTheme="minorEastAsia" w:cstheme="minorEastAsia"/>
          <w:spacing w:val="-24"/>
          <w:sz w:val="24"/>
          <w:szCs w:val="24"/>
          <w:highlight w:val="none"/>
          <w:lang w:eastAsia="zh-CN"/>
        </w:rPr>
        <w:t>河南省南阳市人民检察院</w:t>
      </w:r>
    </w:p>
    <w:p w14:paraId="5AD66D16">
      <w:pPr>
        <w:pStyle w:val="2"/>
        <w:spacing w:line="360" w:lineRule="auto"/>
        <w:rPr>
          <w:rFonts w:hint="default" w:ascii="宋体" w:hAnsi="宋体" w:eastAsia="宋体" w:cs="宋体"/>
          <w:color w:val="auto"/>
          <w:spacing w:val="-15"/>
          <w:sz w:val="24"/>
          <w:szCs w:val="24"/>
          <w:highlight w:val="none"/>
          <w:u w:val="none"/>
          <w:lang w:val="en-US" w:eastAsia="zh-CN"/>
        </w:rPr>
      </w:pPr>
      <w:r>
        <w:rPr>
          <w:rFonts w:hint="eastAsia" w:ascii="宋体" w:hAnsi="宋体" w:eastAsia="宋体" w:cs="宋体"/>
          <w:color w:val="auto"/>
          <w:spacing w:val="-15"/>
          <w:sz w:val="24"/>
          <w:szCs w:val="24"/>
          <w:highlight w:val="none"/>
          <w:u w:val="none"/>
          <w:lang w:eastAsia="zh-CN"/>
        </w:rPr>
        <w:t>地址：</w:t>
      </w:r>
      <w:r>
        <w:rPr>
          <w:rFonts w:hint="eastAsia" w:cs="宋体"/>
          <w:color w:val="auto"/>
          <w:spacing w:val="-15"/>
          <w:sz w:val="24"/>
          <w:szCs w:val="24"/>
          <w:highlight w:val="none"/>
          <w:u w:val="none"/>
          <w:lang w:val="en-US" w:eastAsia="zh-CN"/>
        </w:rPr>
        <w:t>河南省南阳市宛城区信臣东路1866号</w:t>
      </w:r>
    </w:p>
    <w:p w14:paraId="1177FEC2">
      <w:pPr>
        <w:pStyle w:val="2"/>
        <w:spacing w:line="360" w:lineRule="auto"/>
        <w:rPr>
          <w:rFonts w:hint="default" w:ascii="宋体" w:hAnsi="宋体" w:eastAsia="宋体" w:cs="宋体"/>
          <w:color w:val="auto"/>
          <w:spacing w:val="-15"/>
          <w:sz w:val="24"/>
          <w:szCs w:val="24"/>
          <w:highlight w:val="none"/>
          <w:u w:val="none"/>
          <w:lang w:val="en-US" w:eastAsia="zh-CN"/>
        </w:rPr>
      </w:pPr>
      <w:r>
        <w:rPr>
          <w:rFonts w:hint="eastAsia" w:ascii="宋体" w:hAnsi="宋体" w:eastAsia="宋体" w:cs="宋体"/>
          <w:color w:val="auto"/>
          <w:spacing w:val="-15"/>
          <w:sz w:val="24"/>
          <w:szCs w:val="24"/>
          <w:highlight w:val="none"/>
          <w:u w:val="none"/>
          <w:lang w:eastAsia="zh-CN"/>
        </w:rPr>
        <w:t>联系人：</w:t>
      </w:r>
      <w:r>
        <w:rPr>
          <w:rFonts w:hint="eastAsia" w:cs="宋体"/>
          <w:color w:val="auto"/>
          <w:spacing w:val="-15"/>
          <w:sz w:val="24"/>
          <w:szCs w:val="24"/>
          <w:highlight w:val="none"/>
          <w:u w:val="none"/>
          <w:lang w:val="en-US" w:eastAsia="zh-CN"/>
        </w:rPr>
        <w:t>贾学飞</w:t>
      </w:r>
    </w:p>
    <w:p w14:paraId="2F96B22A">
      <w:pPr>
        <w:pStyle w:val="2"/>
        <w:spacing w:line="360" w:lineRule="auto"/>
        <w:rPr>
          <w:rFonts w:ascii="宋体" w:hAnsi="宋体" w:eastAsia="宋体" w:cs="宋体"/>
          <w:b/>
          <w:bCs/>
          <w:color w:val="auto"/>
          <w:spacing w:val="4"/>
          <w:sz w:val="24"/>
          <w:szCs w:val="24"/>
          <w:highlight w:val="none"/>
          <w:u w:val="none"/>
          <w:lang w:eastAsia="zh-CN"/>
        </w:rPr>
      </w:pPr>
      <w:r>
        <w:rPr>
          <w:rFonts w:hint="eastAsia" w:ascii="宋体" w:hAnsi="宋体" w:eastAsia="宋体" w:cs="宋体"/>
          <w:color w:val="auto"/>
          <w:spacing w:val="-15"/>
          <w:sz w:val="24"/>
          <w:szCs w:val="24"/>
          <w:highlight w:val="none"/>
          <w:u w:val="none"/>
          <w:lang w:eastAsia="zh-CN"/>
        </w:rPr>
        <w:t>联系方式：</w:t>
      </w:r>
      <w:r>
        <w:rPr>
          <w:rFonts w:hint="eastAsia" w:ascii="宋体" w:hAnsi="宋体" w:eastAsia="宋体" w:cs="宋体"/>
          <w:color w:val="auto"/>
          <w:spacing w:val="-15"/>
          <w:sz w:val="24"/>
          <w:szCs w:val="24"/>
          <w:highlight w:val="none"/>
          <w:u w:val="none"/>
          <w:lang w:val="en-US" w:eastAsia="zh-CN"/>
        </w:rPr>
        <w:t>0377-62270516</w:t>
      </w:r>
    </w:p>
    <w:p w14:paraId="4C10EE3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p>
    <w:p w14:paraId="47BF656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344B81E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7616BB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pacing w:val="-15"/>
          <w:sz w:val="24"/>
          <w:szCs w:val="24"/>
          <w:lang w:val="en-US" w:eastAsia="zh-CN"/>
        </w:rPr>
        <w:t>南阳市范蠡东路与南都路交叉口市民服务中心中区3号楼5楼</w:t>
      </w:r>
    </w:p>
    <w:p w14:paraId="1C8DD836">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联系人：蔡有良</w:t>
      </w:r>
    </w:p>
    <w:p w14:paraId="2A32253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0377-61176188</w:t>
      </w:r>
    </w:p>
    <w:p w14:paraId="0E9261A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b/>
          <w:bCs/>
          <w:spacing w:val="5"/>
          <w:sz w:val="24"/>
          <w:szCs w:val="24"/>
        </w:rPr>
      </w:pPr>
    </w:p>
    <w:p w14:paraId="1B7D720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color w:val="auto"/>
          <w:spacing w:val="-15"/>
          <w:sz w:val="24"/>
          <w:szCs w:val="24"/>
          <w:lang w:val="en-US" w:eastAsia="zh-CN"/>
        </w:rPr>
        <w:fldChar w:fldCharType="begin"/>
      </w:r>
      <w:r>
        <w:rPr>
          <w:rFonts w:hint="eastAsia" w:asciiTheme="minorEastAsia" w:hAnsiTheme="minorEastAsia" w:eastAsiaTheme="minorEastAsia" w:cstheme="minorEastAsia"/>
          <w:color w:val="auto"/>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color w:val="auto"/>
          <w:spacing w:val="-15"/>
          <w:sz w:val="24"/>
          <w:szCs w:val="24"/>
          <w:lang w:val="en-US" w:eastAsia="zh-CN"/>
        </w:rPr>
        <w:fldChar w:fldCharType="separate"/>
      </w:r>
      <w:r>
        <w:rPr>
          <w:rStyle w:val="24"/>
          <w:rFonts w:hint="eastAsia" w:asciiTheme="minorEastAsia" w:hAnsiTheme="minorEastAsia" w:eastAsiaTheme="minorEastAsia" w:cstheme="minorEastAsia"/>
          <w:color w:val="auto"/>
          <w:spacing w:val="-15"/>
          <w:sz w:val="24"/>
          <w:szCs w:val="24"/>
          <w:lang w:val="en-US" w:eastAsia="zh-CN"/>
        </w:rPr>
        <w:t>https://ggzyjy.nanyang.gov.cn</w:t>
      </w:r>
      <w:r>
        <w:rPr>
          <w:rFonts w:hint="eastAsia" w:asciiTheme="minorEastAsia" w:hAnsiTheme="minorEastAsia" w:eastAsiaTheme="minorEastAsia" w:cstheme="minorEastAsia"/>
          <w:color w:val="auto"/>
          <w:spacing w:val="-15"/>
          <w:sz w:val="24"/>
          <w:szCs w:val="24"/>
          <w:lang w:val="en-US" w:eastAsia="zh-CN"/>
        </w:rPr>
        <w:fldChar w:fldCharType="end"/>
      </w:r>
      <w:r>
        <w:rPr>
          <w:rFonts w:hint="eastAsia" w:asciiTheme="minorEastAsia" w:hAnsiTheme="minorEastAsia" w:eastAsiaTheme="minorEastAsia" w:cstheme="minorEastAsia"/>
          <w:color w:val="auto"/>
          <w:spacing w:val="-15"/>
          <w:sz w:val="24"/>
          <w:szCs w:val="24"/>
          <w:lang w:val="en-US" w:eastAsia="zh-CN"/>
        </w:rPr>
        <w:t xml:space="preserve">  </w:t>
      </w:r>
      <w:r>
        <w:rPr>
          <w:rFonts w:hint="eastAsia" w:asciiTheme="minorEastAsia" w:hAnsiTheme="minorEastAsia" w:eastAsiaTheme="minorEastAsia" w:cstheme="minorEastAsia"/>
          <w:spacing w:val="-15"/>
          <w:sz w:val="24"/>
          <w:szCs w:val="24"/>
          <w:lang w:val="en-US" w:eastAsia="zh-CN"/>
        </w:rPr>
        <w:t xml:space="preserve"> E-mail:nyszfcgzx@126.com</w:t>
      </w:r>
    </w:p>
    <w:p w14:paraId="1480498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40" w:firstLineChars="24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39181AC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136" w:firstLineChars="2400"/>
        <w:jc w:val="both"/>
        <w:textAlignment w:val="baseline"/>
        <w:outlineLvl w:val="1"/>
        <w:rPr>
          <w:rFonts w:hint="default" w:asciiTheme="minorEastAsia" w:hAnsiTheme="minorEastAsia" w:eastAsiaTheme="minorEastAsia" w:cstheme="minorEastAsia"/>
          <w:color w:val="0070C0"/>
          <w:spacing w:val="-15"/>
          <w:sz w:val="24"/>
          <w:szCs w:val="24"/>
          <w:lang w:val="en-US" w:eastAsia="zh-CN"/>
        </w:rPr>
      </w:pPr>
      <w:r>
        <w:rPr>
          <w:rFonts w:hint="eastAsia" w:asciiTheme="minorEastAsia" w:hAnsiTheme="minorEastAsia" w:eastAsiaTheme="minorEastAsia" w:cstheme="minorEastAsia"/>
          <w:color w:val="auto"/>
          <w:spacing w:val="-13"/>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3"/>
          <w:sz w:val="24"/>
          <w:szCs w:val="24"/>
          <w:highlight w:val="none"/>
        </w:rPr>
        <w:t>年</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10 </w:t>
      </w:r>
      <w:r>
        <w:rPr>
          <w:rFonts w:hint="eastAsia" w:asciiTheme="minorEastAsia" w:hAnsiTheme="minorEastAsia" w:eastAsiaTheme="minorEastAsia" w:cstheme="minorEastAsia"/>
          <w:color w:val="auto"/>
          <w:spacing w:val="-13"/>
          <w:sz w:val="24"/>
          <w:szCs w:val="24"/>
          <w:highlight w:val="none"/>
        </w:rPr>
        <w:t>月</w:t>
      </w:r>
      <w:r>
        <w:rPr>
          <w:rFonts w:hint="eastAsia" w:asciiTheme="minorEastAsia" w:hAnsiTheme="minorEastAsia" w:eastAsiaTheme="minorEastAsia" w:cstheme="minorEastAsia"/>
          <w:color w:val="auto"/>
          <w:spacing w:val="-13"/>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3"/>
          <w:sz w:val="24"/>
          <w:szCs w:val="24"/>
          <w:highlight w:val="none"/>
        </w:rPr>
        <w:t>日</w:t>
      </w:r>
    </w:p>
    <w:p w14:paraId="1EC3F2F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AAA93AB">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FFFF4FB">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4697EEA">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8A63308">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AE34717">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E42798B">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0E0D053">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BA48C64">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8E29DE9">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2998C7C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F2B6F70">
      <w:pPr>
        <w:rPr>
          <w:rFonts w:hint="eastAsia" w:asciiTheme="minorEastAsia" w:hAnsiTheme="minorEastAsia" w:eastAsiaTheme="minorEastAsia" w:cstheme="minorEastAsia"/>
          <w:b/>
          <w:bCs/>
          <w:spacing w:val="-1"/>
          <w:sz w:val="24"/>
          <w:szCs w:val="24"/>
          <w:lang w:val="en-US" w:eastAsia="zh-CN"/>
        </w:rPr>
      </w:pPr>
      <w:r>
        <w:rPr>
          <w:rFonts w:hint="eastAsia" w:asciiTheme="minorEastAsia" w:hAnsiTheme="minorEastAsia" w:eastAsiaTheme="minorEastAsia" w:cstheme="minorEastAsia"/>
          <w:b/>
          <w:bCs/>
          <w:spacing w:val="-1"/>
          <w:sz w:val="24"/>
          <w:szCs w:val="24"/>
          <w:lang w:val="en-US" w:eastAsia="zh-CN"/>
        </w:rPr>
        <w:t>一、服务范围及要求</w:t>
      </w:r>
    </w:p>
    <w:p w14:paraId="158A4414">
      <w:pPr>
        <w:ind w:firstLine="384"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24"/>
          <w:sz w:val="24"/>
          <w:szCs w:val="24"/>
          <w:highlight w:val="none"/>
          <w:lang w:eastAsia="zh-CN"/>
        </w:rPr>
        <w:t>河南省南阳市人民检察院</w:t>
      </w:r>
      <w:r>
        <w:rPr>
          <w:rFonts w:hint="eastAsia" w:asciiTheme="minorEastAsia" w:hAnsiTheme="minorEastAsia" w:eastAsiaTheme="minorEastAsia" w:cstheme="minorEastAsia"/>
          <w:spacing w:val="-1"/>
          <w:sz w:val="24"/>
          <w:szCs w:val="24"/>
          <w:lang w:val="en-US" w:eastAsia="zh-CN"/>
        </w:rPr>
        <w:t>位于南阳市信臣路东段，物业服务范围包括检察院整个机关大院（含办案区）共约130亩地（绿化面积约2.6万平方米）区域的安保、绿地管护、楼内保洁、电梯维护及水设备清洗消毒等物业服务，服务期限3年，</w:t>
      </w:r>
      <w:r>
        <w:rPr>
          <w:rFonts w:hint="eastAsia" w:asciiTheme="minorEastAsia" w:hAnsiTheme="minorEastAsia" w:eastAsiaTheme="minorEastAsia" w:cstheme="minorEastAsia"/>
          <w:spacing w:val="-25"/>
          <w:sz w:val="24"/>
          <w:szCs w:val="24"/>
          <w:lang w:val="en-US" w:eastAsia="zh-CN"/>
        </w:rPr>
        <w:t>三年总费用为468万元。</w:t>
      </w:r>
      <w:r>
        <w:rPr>
          <w:rFonts w:hint="eastAsia" w:asciiTheme="minorEastAsia" w:hAnsiTheme="minorEastAsia" w:eastAsiaTheme="minorEastAsia" w:cstheme="minorEastAsia"/>
          <w:spacing w:val="-1"/>
          <w:sz w:val="24"/>
          <w:szCs w:val="24"/>
          <w:lang w:val="en-US" w:eastAsia="zh-CN"/>
        </w:rPr>
        <w:t>具体范围界定和要求如下：</w:t>
      </w:r>
    </w:p>
    <w:p w14:paraId="71E18A73">
      <w:pPr>
        <w:rPr>
          <w:rFonts w:hint="eastAsia" w:asciiTheme="minorEastAsia" w:hAnsiTheme="minorEastAsia" w:eastAsiaTheme="minorEastAsia" w:cstheme="minorEastAsia"/>
          <w:b/>
          <w:bCs/>
          <w:spacing w:val="-1"/>
          <w:sz w:val="24"/>
          <w:szCs w:val="24"/>
          <w:lang w:val="en-US" w:eastAsia="zh-CN"/>
        </w:rPr>
      </w:pPr>
      <w:r>
        <w:rPr>
          <w:rFonts w:hint="eastAsia" w:asciiTheme="minorEastAsia" w:hAnsiTheme="minorEastAsia" w:eastAsiaTheme="minorEastAsia" w:cstheme="minorEastAsia"/>
          <w:b/>
          <w:bCs/>
          <w:spacing w:val="-1"/>
          <w:sz w:val="24"/>
          <w:szCs w:val="24"/>
          <w:lang w:val="en-US" w:eastAsia="zh-CN"/>
        </w:rPr>
        <w:t>二、物业服务岗位要求</w:t>
      </w:r>
    </w:p>
    <w:p w14:paraId="3EB4A1A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（一）物业人数要求</w:t>
      </w:r>
    </w:p>
    <w:p w14:paraId="54A12B9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物业服务总人员不少于39人（含管理人员），具体物业服务人员以满足服务要求为准。</w:t>
      </w:r>
    </w:p>
    <w:p w14:paraId="5463172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（二）物业岗位、资质（格）及职责要求</w:t>
      </w:r>
    </w:p>
    <w:p w14:paraId="675E1A3A">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1、项目经理1人，应具有相应证书，负责本项目所有事宜。</w:t>
      </w:r>
    </w:p>
    <w:p w14:paraId="37160FC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2、保安岗位不少于13人（含保安队长）（机关大门口4人、办公楼大厅3人、消防监控室值班2人，办案工作区2人，12309接访站1人，以上均含夜间值班及巡逻）。</w:t>
      </w:r>
    </w:p>
    <w:p w14:paraId="04B5CC7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（1）工作职责：负责门卫等机关大院（含办案工作区）的安全工作、负责进出车辆管理、负责消防监控室值班工作。</w:t>
      </w:r>
    </w:p>
    <w:p w14:paraId="0884BB8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（2）任职人员要求：年龄18-48岁，身高1.68米以上。了解安全保障常识，服从命令听指挥，无刑事处罚、劳动教养、收容教育、强制戒毒或者被开除公职、开除军籍的记录，退伍军人优先。</w:t>
      </w:r>
    </w:p>
    <w:p w14:paraId="7B87254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3、保洁服务岗位不少于10人。</w:t>
      </w:r>
    </w:p>
    <w:p w14:paraId="7B90B77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岗位职责：负责机关大院（含办案区）楼内公共区域和会议室、拓展中心、接待大厅等室内及体育活动区域场地卫生清洁工作，保证按质按量的完成所分配的任务。任职人员年龄要求50岁以下。</w:t>
      </w:r>
    </w:p>
    <w:p w14:paraId="04F97BB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4、绿地管护岗位人员不少于7人。</w:t>
      </w:r>
    </w:p>
    <w:p w14:paraId="3D239CF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岗位职责范围：负责机关大院（含办案区）的树木、草坪、花卉的养护工作，定期施肥、浇水、修剪、打药、防治病虫害；负责机关大院（含办案区）内、办公楼外的卫生保洁工作，两区域楼内生活垃圾集中整理后外运至门外垃圾中转站。</w:t>
      </w:r>
    </w:p>
    <w:p w14:paraId="19DE9F12">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（2）任职人员要求：年龄20-55岁，3年以上绿地管理工作经验、身体健康，工作责任心强，能吃苦耐劳，有良好的服务意识。</w:t>
      </w:r>
    </w:p>
    <w:p w14:paraId="4ED1976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5、水电岗位不少于4人（含夜间值班人1人）。</w:t>
      </w:r>
    </w:p>
    <w:p w14:paraId="1DB9240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（1）岗位职责：负责机关大院（含办案工作区）的水、电设备的日常巡视、检查和维修工作，做好计划性保养工作；负责二次供水设备维护；配合完成各种临时性工程改造工作。</w:t>
      </w:r>
    </w:p>
    <w:p w14:paraId="7A4948A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（2）任职人员要求：年龄 18—45岁；2年以上相关工作经验；工作责任心强，有良好的服务意识。</w:t>
      </w:r>
    </w:p>
    <w:p w14:paraId="092E860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6、会议及办案区住宿房间服务岗位不少于4人。</w:t>
      </w:r>
    </w:p>
    <w:p w14:paraId="54E5ACA2">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岗位职责：负责会议室的保洁，负责会议时的茶水、果点、会议用品、桌椅、照明等工作；负责办案区住宿房间布草保洁等工作，办案工作区住人时，每天需对住宿房间的做好布草保洁工作，不住人时，每月需对住宿房间至少做一遍保洁工作；负责传达室报刊信件的分发工作，保证按质按量的完成所分配的任务。</w:t>
      </w:r>
    </w:p>
    <w:p w14:paraId="33058CE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（2）任职人员要求：女，任职人员年龄要求50岁以下，其中不少于3人员年龄在20--30岁，身高1.62米以上，相貌端庄大方，能吃苦耐劳，干活利索，有酒店服务、会议服务工作经验。</w:t>
      </w:r>
    </w:p>
    <w:p w14:paraId="75B8586B">
      <w:pPr>
        <w:rPr>
          <w:rFonts w:hint="eastAsia" w:asciiTheme="minorEastAsia" w:hAnsiTheme="minorEastAsia" w:eastAsiaTheme="minorEastAsia" w:cstheme="minorEastAsia"/>
          <w:b/>
          <w:bCs/>
          <w:spacing w:val="-1"/>
          <w:sz w:val="24"/>
          <w:szCs w:val="24"/>
          <w:lang w:val="en-US" w:eastAsia="zh-CN"/>
        </w:rPr>
      </w:pPr>
      <w:r>
        <w:rPr>
          <w:rFonts w:hint="eastAsia" w:asciiTheme="minorEastAsia" w:hAnsiTheme="minorEastAsia" w:eastAsiaTheme="minorEastAsia" w:cstheme="minorEastAsia"/>
          <w:b/>
          <w:bCs/>
          <w:spacing w:val="-1"/>
          <w:sz w:val="24"/>
          <w:szCs w:val="24"/>
          <w:lang w:val="en-US" w:eastAsia="zh-CN"/>
        </w:rPr>
        <w:t>三、物业服务管理范围</w:t>
      </w:r>
    </w:p>
    <w:p w14:paraId="31FA355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机关大院（含办案工作区）安保服务；</w:t>
      </w:r>
    </w:p>
    <w:p w14:paraId="2B308CA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负责机关大院（含办案工作区）楼内公共区域和会议室、拓展中心、接待大厅等室内及体育活动区域场地卫生清洁工作；</w:t>
      </w:r>
    </w:p>
    <w:p w14:paraId="57A7AE5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机关大院（含办案工作区）绿地管护服务及院落清扫保洁；</w:t>
      </w:r>
    </w:p>
    <w:p w14:paraId="1CDA56F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水电维护；</w:t>
      </w:r>
    </w:p>
    <w:p w14:paraId="7481AAC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电梯维护。</w:t>
      </w:r>
    </w:p>
    <w:p w14:paraId="0E6C98F8">
      <w:pPr>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b/>
          <w:bCs/>
          <w:spacing w:val="-1"/>
          <w:sz w:val="24"/>
          <w:szCs w:val="24"/>
          <w:lang w:val="en-US" w:eastAsia="zh-CN"/>
        </w:rPr>
        <w:t>四、物业服务管理标准</w:t>
      </w:r>
    </w:p>
    <w:p w14:paraId="176D6D2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（一）安保工作及公共秩序维护管理要求</w:t>
      </w:r>
    </w:p>
    <w:p w14:paraId="21A1B3F1">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1、大门口、办公楼大厅卫及消防监控值班室实行24小时有人值守，安装值班电话，禁止脱岗。在机关上班时间对本单位人员、车辆，文明礼貌服务。</w:t>
      </w:r>
    </w:p>
    <w:p w14:paraId="75C8B48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2、疏导内部车辆（由甲方提供内部车辆车牌号，门卫以此区别外来车辆）停放在院内规划的车位上，不得在院内乱停乱放，劝阻外来车辆进入院内。</w:t>
      </w:r>
    </w:p>
    <w:p w14:paraId="6A13300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3、行政班时间对外来人员严格询问、登记、制止无关人员进入，非行政班时间原则上非本院人员免进。</w:t>
      </w:r>
    </w:p>
    <w:p w14:paraId="5E2BEAA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4、按甲方规定的时间及时地开关大门，保证门口秩序，人员及车辆出入顺利。</w:t>
      </w:r>
    </w:p>
    <w:p w14:paraId="0D59602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5、严禁小商、小贩等闲杂人员进入办公区。</w:t>
      </w:r>
    </w:p>
    <w:p w14:paraId="5F17E581">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6、凡大件物品出大门时需有后勤签字或办公人员陪同证明，且门卫作好记录放行。</w:t>
      </w:r>
    </w:p>
    <w:p w14:paraId="44D8834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7、如外来人员来访，必须能准确说明被访人所在处室及姓名者或经电话预约后，方可登记后入院；如来访人员要求到找单位领导，门卫应通过电话询问被访人，得到同意并进行登记后方可前往。</w:t>
      </w:r>
    </w:p>
    <w:p w14:paraId="1A87C60A">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8、门卫人员如发现突发事件时如：火情、盗窃及其它危害人身财产安全的现象，迅速上报有关部门和双方主管领导，并采取力所能及的应急措施。</w:t>
      </w:r>
    </w:p>
    <w:p w14:paraId="27A6868F">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9、配合甲方及辖区部门做好综合治理工作，把治安事件控制到最低。</w:t>
      </w:r>
    </w:p>
    <w:p w14:paraId="70B45D8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10、门岗室内外保持整洁卫生，无关人员不准在门卫室长期逗留或打牌。</w:t>
      </w:r>
    </w:p>
    <w:p w14:paraId="6C91EE6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11、在举行大型集体活动时，疏导外来车辆的有序停放工作。</w:t>
      </w:r>
    </w:p>
    <w:p w14:paraId="03BCEC5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12、每周三上午在机关大院进行培训或训练。</w:t>
      </w:r>
    </w:p>
    <w:p w14:paraId="46F77031">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13、门卫、办公楼大厅、消防监控值班室、办案工作区门卫实行24小时有人值守，安装值班电话，禁止脱岗。晚间值班人员按要求和分工，2小时内对全院夜间巡逻一次，管理物业服务部门应在院内适当位置设置打卡设备，记录巡逻轨迹，并在值班室巡逻值班薄记录巡逻情况。每年进行两次消防知识培训和消防演练，使大家掌握消防基本常识，熟练运用常用的消防器材。</w:t>
      </w:r>
    </w:p>
    <w:p w14:paraId="0FA76B2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（二）办公大楼及办案区公共区域、会议室、接待大厅、信访室及拓展中心室内保洁服务范围、工作流程及质量标准</w:t>
      </w:r>
    </w:p>
    <w:p w14:paraId="5EC1BDD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1、大厅的保洁：</w:t>
      </w:r>
    </w:p>
    <w:p w14:paraId="3DBE9AB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（1）范围</w:t>
      </w:r>
    </w:p>
    <w:p w14:paraId="4F74D812">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包括地面、宣传牌、信报箱、垃圾筒、电梯间、消防设施。</w:t>
      </w:r>
    </w:p>
    <w:p w14:paraId="3B83EDF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（2）工作流程</w:t>
      </w:r>
    </w:p>
    <w:p w14:paraId="562EFAE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每天上午、下午院上班前分两次重点清理大厅、重点清理地面的垃圾杂物，院上班后，及时巡视保洁数次。</w:t>
      </w:r>
    </w:p>
    <w:p w14:paraId="600C0BBA">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用扫把清扫大厅地面垃圾，用长柄刷沾洗洁精清除掉污渍和香口胶。</w:t>
      </w:r>
    </w:p>
    <w:p w14:paraId="24EF022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清倒垃圾筒，洗后净后放回原处。</w:t>
      </w:r>
    </w:p>
    <w:p w14:paraId="1D66F82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用尘拖或拖把拖掉地面尘土和污迹。</w:t>
      </w:r>
    </w:p>
    <w:p w14:paraId="383CA52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用干毛巾和不锈钢油轻抹大厅内各种不锈钢制品，包括门柱、镶字、宣传栏。</w:t>
      </w:r>
    </w:p>
    <w:p w14:paraId="5A8AB2E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用湿毛巾拧干后，擦抹大厅门窗框、防火门、消防栓柜、指示牌、信报箱。</w:t>
      </w:r>
    </w:p>
    <w:p w14:paraId="5BD17A9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先用湿拖把拖两遍台阶，再将干净的湿拖把用力拧干后再拖一遍。</w:t>
      </w:r>
    </w:p>
    <w:p w14:paraId="65F96FB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用干净毛巾擦拭玻璃门，并每周清刮一次。</w:t>
      </w:r>
    </w:p>
    <w:p w14:paraId="7C0B5B23">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出入口的台阶每周用洗洁精冲刷一次。</w:t>
      </w:r>
    </w:p>
    <w:p w14:paraId="1C8285A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（3）标准．</w:t>
      </w:r>
    </w:p>
    <w:p w14:paraId="1D032823">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地面无烟头、纸屑、果皮等杂物，无污渍。</w:t>
      </w:r>
    </w:p>
    <w:p w14:paraId="2F9EF9B3">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公共设施表面无明显灰尘。</w:t>
      </w:r>
    </w:p>
    <w:p w14:paraId="619CA72F">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不锈钢表面光亮无污迹</w:t>
      </w:r>
    </w:p>
    <w:p w14:paraId="28D310F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玻璃门无水迹、手印、污迹。</w:t>
      </w:r>
    </w:p>
    <w:p w14:paraId="1E683DF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2、公用卫生间的保洁</w:t>
      </w:r>
    </w:p>
    <w:p w14:paraId="46126BB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（1）范围</w:t>
      </w:r>
    </w:p>
    <w:p w14:paraId="6E78EC7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服务区域内所有公用卫生间。</w:t>
      </w:r>
    </w:p>
    <w:p w14:paraId="679276D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（2）工作流程</w:t>
      </w:r>
    </w:p>
    <w:p w14:paraId="6A731D9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每天上午、下午院上班前分两次重点清理公用卫生间，院上班后巡视保洁。</w:t>
      </w:r>
    </w:p>
    <w:p w14:paraId="46F8EB6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打开门窗通风，用水冲洗大小便器，用夹子夹出小便器内的烟头等杂物。</w:t>
      </w:r>
    </w:p>
    <w:p w14:paraId="10646AD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从上到下屋顶、墙面清洁除尘、瓷砖面擦抹，清扫地面垃圾，清倒垃圾篓，换新垃圾袋后放回原位。</w:t>
      </w:r>
    </w:p>
    <w:p w14:paraId="0B6257E2">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将洁厕水倒入水勺内，用厕所刷沾洁厕水刷洗大、小便器，然后用清水冲净。</w:t>
      </w:r>
    </w:p>
    <w:p w14:paraId="4BDE5C7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用湿拖把拖干净地面，然后用干拖把拖干。</w:t>
      </w:r>
    </w:p>
    <w:p w14:paraId="41206DFF">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点燃卫生香和空气清新剂，小便斗内放入卫生球（樟脑丸）。</w:t>
      </w:r>
    </w:p>
    <w:p w14:paraId="35D89C7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及时巡视保洁数次，冲刷大小便池，清理地面垃圾、积水等。</w:t>
      </w:r>
    </w:p>
    <w:p w14:paraId="6C1D15D2">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（3）标准</w:t>
      </w:r>
    </w:p>
    <w:p w14:paraId="6FCF6B9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天花板、墙角、灯具目视无灰尘、蜘蛛网。</w:t>
      </w:r>
    </w:p>
    <w:p w14:paraId="6BFB9DB2">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面镜、洗脸盆、台面洁净无污渍。</w:t>
      </w:r>
    </w:p>
    <w:p w14:paraId="688AA76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目视墙壁干净，便器洁净无黄渍。</w:t>
      </w:r>
    </w:p>
    <w:p w14:paraId="4E307DB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室内无异味、臭味。</w:t>
      </w:r>
    </w:p>
    <w:p w14:paraId="405DB96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地面无烟头、污渍、积水、纸屑、果皮。</w:t>
      </w:r>
    </w:p>
    <w:p w14:paraId="2921F50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3、楼道的清洁：</w:t>
      </w:r>
    </w:p>
    <w:p w14:paraId="5788EC2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（1）范围</w:t>
      </w:r>
    </w:p>
    <w:p w14:paraId="4413A1C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楼道楼级、扶手、墙面、信报箱、消防栓、消防管道、楼道门窗、楼道灯开关及灯具的清洁。</w:t>
      </w:r>
    </w:p>
    <w:p w14:paraId="1CEF7EF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（2）工作流程</w:t>
      </w:r>
    </w:p>
    <w:p w14:paraId="501CDA1F">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从顶层到底层自上而下清扫楼道梯级，将果皮、烟头、纸屑收集倒入垃圾箱；用胶桶装清水，洗净拖把，从顶层往下逐级拖抹梯级，拖抹时，清洗拖把数次。</w:t>
      </w:r>
    </w:p>
    <w:p w14:paraId="1553027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自上而下擦抹楼梯扶手及栏杆，擦抹时，清洗抹布数次。</w:t>
      </w:r>
    </w:p>
    <w:p w14:paraId="7BD9559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用于抹布擦抹配电箱、电表箱上的灰尘和污迹。</w:t>
      </w:r>
    </w:p>
    <w:p w14:paraId="226F1F83">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每天上午、下午院上班前保洁完毕。</w:t>
      </w:r>
    </w:p>
    <w:p w14:paraId="0099F9AC">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上班后及时巡视楼道内外卫生，将广告纸、烟头、果皮、垃圾清扫干净。</w:t>
      </w:r>
    </w:p>
    <w:p w14:paraId="5A2D2541">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（3）标准</w:t>
      </w:r>
    </w:p>
    <w:p w14:paraId="5D857CD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每天重点清扫、拖抹两次，并及时巡视保洁数次，保持干净。</w:t>
      </w:r>
    </w:p>
    <w:p w14:paraId="1DD31F3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目视楼道：无烟头、果皮、纸屑、广告纸、蜘蛛网、积尘、污迹等。</w:t>
      </w:r>
    </w:p>
    <w:p w14:paraId="09EB3B1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4、瓷砖、喷涂和大理石墙面的保洁</w:t>
      </w:r>
    </w:p>
    <w:p w14:paraId="362BDAB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（1）范围</w:t>
      </w:r>
    </w:p>
    <w:p w14:paraId="31E48A0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服务区内所有贴瓷砖的内墙面、喷涂墙面和大理石墙面。</w:t>
      </w:r>
    </w:p>
    <w:p w14:paraId="196F191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（2）工作流程</w:t>
      </w:r>
    </w:p>
    <w:p w14:paraId="314A691A">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用铲刀、刀片轻轻刮掉墙面的污垢、脏渍。</w:t>
      </w:r>
    </w:p>
    <w:p w14:paraId="32F0388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把毛巾浸入放有洗洁精的水盆，沿着墙壁从上往下来回擦抹。</w:t>
      </w:r>
    </w:p>
    <w:p w14:paraId="6D66B1C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有污迹的地方，再用短柄刷刷洗。</w:t>
      </w:r>
    </w:p>
    <w:p w14:paraId="1FDF0A03">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换清水后，将毛巾浸透后，用力拧干，再清找一遍。</w:t>
      </w:r>
    </w:p>
    <w:p w14:paraId="4A7DB86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用干拖把拖干地面。</w:t>
      </w:r>
    </w:p>
    <w:p w14:paraId="44954B2A">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墙面清抹每周一次，墙面清洗每月一次，视其情况增加次数。</w:t>
      </w:r>
    </w:p>
    <w:p w14:paraId="24E3CB33">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（3）标准</w:t>
      </w:r>
    </w:p>
    <w:p w14:paraId="79EEB01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目视墙面干净整洁无污迹。</w:t>
      </w:r>
    </w:p>
    <w:p w14:paraId="09D67983">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5、乳胶漆墙面的保洁：</w:t>
      </w:r>
    </w:p>
    <w:p w14:paraId="59E8394A">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（1）范围</w:t>
      </w:r>
    </w:p>
    <w:p w14:paraId="6A9E33C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服务区内楼梯、走道等处的乳胶漆墙面及天棚面。</w:t>
      </w:r>
    </w:p>
    <w:p w14:paraId="2CE2094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（2）工作流程</w:t>
      </w:r>
    </w:p>
    <w:p w14:paraId="3F506993">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关闭局部要清洁处的门窗，在地面上淋些水。</w:t>
      </w:r>
    </w:p>
    <w:p w14:paraId="53BCB442">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用鸡毛掸子或干净的扫把轻轻掸去墙面及天棚上灰尘。</w:t>
      </w:r>
    </w:p>
    <w:p w14:paraId="284047CF">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用干毛巾清擦墙面的污迹，擦不掉的污迹用细砂纸轻轻擦掉。</w:t>
      </w:r>
    </w:p>
    <w:p w14:paraId="669D474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用铲刀铲掉墙面上粘附的泥沙、痰迹。</w:t>
      </w:r>
    </w:p>
    <w:p w14:paraId="73C3D3D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扫净地面灰尘，再用拖把拖干净地面。</w:t>
      </w:r>
    </w:p>
    <w:p w14:paraId="4587E43A">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上述工作每月做一次，视其情况增加次数。</w:t>
      </w:r>
    </w:p>
    <w:p w14:paraId="116706B2">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（3）标准</w:t>
      </w:r>
    </w:p>
    <w:p w14:paraId="668CF9D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目视墙面洁净无污迹、无粘附物、无灰尘、无蜘蛛网等。</w:t>
      </w:r>
    </w:p>
    <w:p w14:paraId="33C70C5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6、走廊的保洁：</w:t>
      </w:r>
    </w:p>
    <w:p w14:paraId="2C4338B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（1）范围</w:t>
      </w:r>
    </w:p>
    <w:p w14:paraId="77D1A102">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服务区内所有楼层公共通道地面。</w:t>
      </w:r>
    </w:p>
    <w:p w14:paraId="4102380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（2）工作流程</w:t>
      </w:r>
    </w:p>
    <w:p w14:paraId="72B39313">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每天上午、下午院上班前分两次用扫把拖把对走道地面清扫拖抹干净；院上班后及时巡视保洁数次。</w:t>
      </w:r>
    </w:p>
    <w:p w14:paraId="57B48B2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用长柄手刷沾去污粉对污迹较重的通道地面彻底清刷，再用拧干的湿毛巾，抹净墙根部分踢脚线。</w:t>
      </w:r>
    </w:p>
    <w:p w14:paraId="49B3E39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（3）标准</w:t>
      </w:r>
    </w:p>
    <w:p w14:paraId="5965246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地面目视干净无杂物、无污迹。</w:t>
      </w:r>
    </w:p>
    <w:p w14:paraId="2D78D972">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7、不锈钢的保洁保养：</w:t>
      </w:r>
    </w:p>
    <w:p w14:paraId="0B9A5B7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（1）范围</w:t>
      </w:r>
    </w:p>
    <w:p w14:paraId="2C97E51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护栏、标牌、宣传栏、扶手。</w:t>
      </w:r>
    </w:p>
    <w:p w14:paraId="3C16F382">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（2）工作流程</w:t>
      </w:r>
    </w:p>
    <w:p w14:paraId="2659320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先用兑有中性清洁剂的溶液抹不锈钢表面。</w:t>
      </w:r>
    </w:p>
    <w:p w14:paraId="07F1B95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然后用无绒毛巾抹净不锈钢表面上的水珠。</w:t>
      </w:r>
    </w:p>
    <w:p w14:paraId="55B0510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置少许不锈钢油于无绒毛巾上，对不锈钢表面进行拭抹。</w:t>
      </w:r>
    </w:p>
    <w:p w14:paraId="66BC751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表面面积大的可用手动喷雾枪将不锈钢油喷于不锈钢表面，然后用无绒干毛巾拭抹。</w:t>
      </w:r>
    </w:p>
    <w:p w14:paraId="27A5618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（3）标准</w:t>
      </w:r>
    </w:p>
    <w:p w14:paraId="53F5F4DC">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亚光面不锈钢表面无污迹、无灰尘。</w:t>
      </w:r>
    </w:p>
    <w:p w14:paraId="3F6A156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镜面不锈钢表面光亮，三米内能清晰映出人物影象。</w:t>
      </w:r>
    </w:p>
    <w:p w14:paraId="0802C71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8、垃圾桶（箱）、痰盂的保洁：</w:t>
      </w:r>
    </w:p>
    <w:p w14:paraId="5D3BC26F">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（1）工作流程：</w:t>
      </w:r>
    </w:p>
    <w:p w14:paraId="22B11FA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清理出的垃圾按指定位置堆放。</w:t>
      </w:r>
    </w:p>
    <w:p w14:paraId="4DD77D5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清除垃圾桶（箱）、痰盂内的垃圾后，将桶（箱）、痰盂搬到有水源的地方，先用水冲洗一遍，然后对污迹处倒少许去污粉擦洗，再用水冲洗干净，搬到原处放好。</w:t>
      </w:r>
    </w:p>
    <w:p w14:paraId="1C84820F">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（2）标准</w:t>
      </w:r>
    </w:p>
    <w:p w14:paraId="0D77F10F">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目视无污迹，无广告纸，每天清运、清洗一次，垃圾桶和箱每周用去污粉清洁一次。</w:t>
      </w:r>
    </w:p>
    <w:p w14:paraId="51ADF85A">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垃圾桶周围不积污水，位置摆放合理，桶盖闭合，外观干净清洁。</w:t>
      </w:r>
    </w:p>
    <w:p w14:paraId="2613170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9、客用电梯的保洁：</w:t>
      </w:r>
    </w:p>
    <w:p w14:paraId="64F1E44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电梯门干净、无手印、无污迹、轨道干净无杂物。</w:t>
      </w:r>
    </w:p>
    <w:p w14:paraId="43EF33A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顶面、顶灯干净无灰尘。</w:t>
      </w:r>
    </w:p>
    <w:p w14:paraId="2CBBEAC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轿箱四壁干净无灰尘、无污渍。</w:t>
      </w:r>
    </w:p>
    <w:p w14:paraId="60870CE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地板干净无杂物、尘土、污渍。</w:t>
      </w:r>
    </w:p>
    <w:p w14:paraId="6740F6E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内外按键、控盘干净无灰尘、无污渍。</w:t>
      </w:r>
    </w:p>
    <w:p w14:paraId="09DE4AF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10、会议室及拓展中心室内的保洁：</w:t>
      </w:r>
    </w:p>
    <w:p w14:paraId="267292E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会议室门面、门把手、表面无尘土、无污渍、手印。</w:t>
      </w:r>
    </w:p>
    <w:p w14:paraId="76EC395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桌椅摆放整齐，干净无尘土、无毛发。</w:t>
      </w:r>
    </w:p>
    <w:p w14:paraId="44DF2C4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墙面、布面无尘土、无污渍、悬挂摆放的各种饰品干净，摆放整齐。</w:t>
      </w:r>
    </w:p>
    <w:p w14:paraId="0A51B33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垃圾桶及时清倒、内外干净。</w:t>
      </w:r>
    </w:p>
    <w:p w14:paraId="251D7E8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地面先清扫，再用拖把清拖干净、无污渍、无杂物。</w:t>
      </w:r>
    </w:p>
    <w:p w14:paraId="5BEFD1A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检查照明、空调等设施，确保正常工作。</w:t>
      </w:r>
    </w:p>
    <w:p w14:paraId="4324B82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做好开会时的茶水、果点供应和会议用品摆放。</w:t>
      </w:r>
    </w:p>
    <w:p w14:paraId="27B4B7B3">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尽力做好服务工作，确保开会时各项工作有序进行。</w:t>
      </w:r>
    </w:p>
    <w:p w14:paraId="4D226D6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11、地下室（含车库）的保洁：</w:t>
      </w:r>
    </w:p>
    <w:p w14:paraId="1C81B6BC">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每周清扫一次，地面无垃圾、水渍。</w:t>
      </w:r>
    </w:p>
    <w:p w14:paraId="059E05AF">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墙体无蜘蛛网、无浮尘。</w:t>
      </w:r>
    </w:p>
    <w:p w14:paraId="4F3FD2D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各种管道、反角镜等附属设施无锈蚀、无浮尘。</w:t>
      </w:r>
    </w:p>
    <w:p w14:paraId="615177C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（三）绿地管护内容要求及标准：</w:t>
      </w:r>
    </w:p>
    <w:p w14:paraId="02B93B3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1、养护内容要求：</w:t>
      </w:r>
    </w:p>
    <w:p w14:paraId="4B60E04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修剪：根据各类植物的生长特点、立地环境、景观要求，预先制订月历式修剪实施方案，方案中有详细注明修剪强度、修剪时间、修剪强度，院內紫薇、皂荚等古树名木要“一树一方案”，严格按照方案制定的操作规程适时进行，对院内乔木、大型灌木萌生的不定芽要及时清除，促使树木形态美观、营养集中。</w:t>
      </w:r>
    </w:p>
    <w:p w14:paraId="50F896B1">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（2）施肥：根据各类植物的生长特点及植物对肥料的需求进行作业，每年施肥次数≥2次，新种植物视生长情况，适时适量施肥，以保障各类植物的生长旺盛达到一定的景观效果。</w:t>
      </w:r>
    </w:p>
    <w:p w14:paraId="61E72AF3">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（3）除草：各类绿地、树穴、绿带要结合松土及时清理各类杂草，化学除草剂每年使用≥2次，要以人工灭草为主。</w:t>
      </w:r>
    </w:p>
    <w:p w14:paraId="75ECB4A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（4）病虫害防治：根据各类植物的寄生对象及时做好预测预报，及时采取措施防治；以灭幼脲、高氯等生物性农药为主使用，剧毒及国家明令禁止农药坚决不能使用。</w:t>
      </w:r>
    </w:p>
    <w:p w14:paraId="07D2753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（5）抗旱、抗涝：旱季及汛期要及时进行灌溉和排涝，不能有因干旱致植物死亡现象发生，汛期绿地低洼积水不能超过2天，长期积水区要加埋排涝管道，防止植物受损。</w:t>
      </w:r>
    </w:p>
    <w:p w14:paraId="61AC707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2、管护期内，供应商需按照园林一级养护内容服务标准进行作业，养护工具及设备有供应商提供，确保检察院园林养护达到一级标准，具体如下：</w:t>
      </w:r>
    </w:p>
    <w:p w14:paraId="68949DE1">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（1）园林植物达到：</w:t>
      </w:r>
    </w:p>
    <w:p w14:paraId="4071D40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生长势：健壮</w:t>
      </w:r>
    </w:p>
    <w:p w14:paraId="6F9C84F1">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叶子健壮：①叶色浓绿肥厚、在正常的条件下不黄叶，不焦叶、不卷叶、不落叶，叶上无虫尿、虫网灰尘；②被啃咬的叶片最严重的每株在5%以下(包括5%，以下同)。</w:t>
      </w:r>
    </w:p>
    <w:p w14:paraId="16EBF53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枝、干健壮：</w:t>
      </w:r>
    </w:p>
    <w:p w14:paraId="122638B2">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无明显枯枝、死权、枝条粗壮，过冬前新梢木质化；</w:t>
      </w:r>
    </w:p>
    <w:p w14:paraId="38C7498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无蛀干害虫的活卵活虫和蛀干痕迹发生</w:t>
      </w:r>
    </w:p>
    <w:p w14:paraId="473809B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介壳虫最严重处主枝干上100平方厘米1头活虫以下(包括1头，以下同)，较细的枝条每尺长的一段上在5头活虫以下(包括5头，以下同);株数都在2%以下(包括2%，以下同)。</w:t>
      </w:r>
    </w:p>
    <w:p w14:paraId="4A934A8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树冠完整：分支点合适，主侧枝分布均称和数量适宜、内膛不乱、通风透光。</w:t>
      </w:r>
    </w:p>
    <w:p w14:paraId="33A1F10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措施好：按一级技术措施要求认真进行养护。</w:t>
      </w:r>
    </w:p>
    <w:p w14:paraId="5933D5E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草坪覆盖率应基本达到100%；草坪内杂草控制在10%以内；生长茂盛颜色正常，不枯黄；每年修剪暖地型6次以上，冷地型15次以上；草坪管理精细生长旺盛，无病虫害、无秃斑露土现象。</w:t>
      </w:r>
    </w:p>
    <w:p w14:paraId="1DDBC87B">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（2）行道树和绿地内无死树，树木修剪合理，树形美观，能及时很好地解决树木与电线、建筑物、交通等之间的矛盾。</w:t>
      </w:r>
    </w:p>
    <w:p w14:paraId="1626C2C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（3）绿化生产垃圾(如：树枝、树叶、草沫等)重点地区路段能做到随产随清，其它地区和路段做到日产日清;绿地整洁，无砖石瓦块、筐和塑料袋等废弃物，并做到经常保洁。</w:t>
      </w:r>
    </w:p>
    <w:p w14:paraId="1B4A597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（4）木廊、亭台、栏杆、园路、井盖和牌饰等园林设施完整，做到及时维护和油饰。</w:t>
      </w:r>
    </w:p>
    <w:p w14:paraId="7165019C">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无明显地人为损坏，绿地、草坪内无堆物堆料、搭棚或侵占等；行道树树干上无钉栓刻画的现象，树下距树干2米范围内无堆物堆料、搭棚设摊、圈栏等影响树木养护管理和生长的现象（2米以内如有），则应有保护措施。</w:t>
      </w:r>
    </w:p>
    <w:p w14:paraId="61B41C9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养护期内，对于办公区域内的濒死树木及病害严重的乔灌木（供应商接收前，与采购人共同协商确定），有义务对其进行救治防治（特殊防治费用另议），但不保证成活，除此类情况以外，乙方自进场后保证养护对象百分百的成活率，否则补种同规格同类树木。</w:t>
      </w:r>
    </w:p>
    <w:p w14:paraId="1321F09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1、管护中常用农药、化肥、工人护具、常用园林机械（如扫地机、修剪机、绿篱机、剪草机、药雾机）和油料及苗木移栽所用支杆、草绳等均由供应商自行提供。</w:t>
      </w:r>
    </w:p>
    <w:p w14:paraId="7A9DC34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2、供应商合同签订前向采购人出具《绿化养护管理计划/实施方案》，并每月向采购人定期汇报计划落实情况及工作措施。</w:t>
      </w:r>
    </w:p>
    <w:p w14:paraId="3751E92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3、供应商必须重视安全生产，确保上岗人员均经过培训，工人护具配备齐全，养护期间不出安全责任事故。养护人员由于养护操作造成的安全责任事故，由供应商承担一切责任及损失。</w:t>
      </w:r>
    </w:p>
    <w:p w14:paraId="1CE98E9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（四）水电维护工作</w:t>
      </w:r>
    </w:p>
    <w:p w14:paraId="3010E54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1、水电设备维护</w:t>
      </w:r>
    </w:p>
    <w:p w14:paraId="3CCB129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（1）及时维护好电路、水路、灯具、水暖用具及日常办公桌椅。做好日常巡视、检测、保养工作，保障用电、用水和办公正常，发现故障及时上报甲方并维修，维修耗材采购方统一购买。</w:t>
      </w:r>
    </w:p>
    <w:p w14:paraId="583BD651">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（2）禁止违章作业，防止线路和人身安全事故的发生，及时维护好供电、供水设备保障正常供水供电。</w:t>
      </w:r>
    </w:p>
    <w:p w14:paraId="682A7D2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（3）每天要检查办公楼灯具和路灯、电器设备的实际使用情况，发现问题及时解决。负责水路、电路等小设备的安装和维修工作。</w:t>
      </w:r>
    </w:p>
    <w:p w14:paraId="684A12C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2、二次供水设施维护</w:t>
      </w:r>
    </w:p>
    <w:p w14:paraId="5BA2A51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二次供水设施维护部门应严格按国家建设部第156号令《城市供水水质管理规定》、《河南省城市供水二次供水管理规定》和《南阳市城市饮用水二次供水管理办法》的规定，在协议期内对二次供水设施进行清洗、消毒，全年4次清洗、全年8次定期消毒、全年4次水质检测。</w:t>
      </w:r>
    </w:p>
    <w:p w14:paraId="01F2D145">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二次供水设施维护部门有义务严格按照清洗流程为用户提供服务。具体为：清理蓄水池内淤泥等杂物；用硬刷等清除池内四壁污染物；用清洗机对池内四壁进行冲刷并消毒；用清水对池内四壁进行循环冲洗，直至清水；全面消毒；在用户在场情况下，在用户监督下，采水样化验；送呈水质检测报告。</w:t>
      </w:r>
    </w:p>
    <w:p w14:paraId="7E317F29">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二次供水设施维护部门严格按照清洗维护标准，配合用户维护二次供水设施水质。具体为：在现场清洗消毒后一周内为用户投放缓释消毒发生器（适用于水池、水箱、水塔），并向发生器内放置消毒药片。在维护期内，每季度向缓释消毒发生器内放置消毒药片。</w:t>
      </w:r>
    </w:p>
    <w:p w14:paraId="6EA8BB4D">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3、完成领导交办的其他任务。</w:t>
      </w:r>
    </w:p>
    <w:p w14:paraId="2EE2DBB8">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（五）电梯维保服务</w:t>
      </w:r>
    </w:p>
    <w:p w14:paraId="4DD5A97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电梯数量：8部</w:t>
      </w:r>
    </w:p>
    <w:p w14:paraId="5EE8557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服务内容：</w:t>
      </w:r>
    </w:p>
    <w:p w14:paraId="01D240B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1、根据《特种设备安全监察条例》及用户要求，提供每15天1次的例行保养，包括检查、清洁、调整及润滑设备的各类部件，按照河南省质量技术监督局颁布的《电梯保养周期表》执行。</w:t>
      </w:r>
    </w:p>
    <w:p w14:paraId="30015CD4">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2、在规定的维保期限内因产品质量的原因，出现零部件的损坏，以书面形式通知业主及时购买或更换，如因用户使用不当造成的损坏，与用户协商解决。</w:t>
      </w:r>
    </w:p>
    <w:p w14:paraId="5751529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3、自行负责保养及维修所需的材料如工具、100元以下专用材料、（不包括润滑剂、照明灯具、维修配件，由用户提供）、仪器、仪表及交通设施等等。</w:t>
      </w:r>
    </w:p>
    <w:p w14:paraId="1FB9A57E">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4、提供咨询服务，定期向用户通报设备运行情况，并免费提供法定工作时间内的及时热线服务。</w:t>
      </w:r>
    </w:p>
    <w:p w14:paraId="4BA9FA27">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5、负责实施当地政府监察部门年检前后的整改工作费用由用户方承担，并达到当地政府监察部门的各项年检标准。年检所发生的部件维修的处理，按第2条规定执行。</w:t>
      </w:r>
    </w:p>
    <w:p w14:paraId="034576C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6、负责24小时紧急抢修服务，接修电话后半小时内直到现场进行抢修。</w:t>
      </w:r>
    </w:p>
    <w:p w14:paraId="1806FC66">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7、遵守用户的规章制度，服从用户的管理。如因违反用户的规章制度和服务不周所产生不良后果以及罚款，维护方自行承担。</w:t>
      </w:r>
    </w:p>
    <w:p w14:paraId="1348D9E0">
      <w:pPr>
        <w:ind w:firstLine="476" w:firstLineChars="200"/>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在受检日前一个月内按相关规定主动向政府监察部门申报电梯年检，年检费用含在维保费用中。</w:t>
      </w:r>
    </w:p>
    <w:p w14:paraId="24BC5C0A">
      <w:pPr>
        <w:ind w:firstLine="476" w:firstLineChars="200"/>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(六)会议及办案区住宿房间服务</w:t>
      </w:r>
    </w:p>
    <w:p w14:paraId="0F60B9AB">
      <w:pPr>
        <w:ind w:firstLine="476" w:firstLineChars="200"/>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1、负责所有会议室的保洁；</w:t>
      </w:r>
    </w:p>
    <w:p w14:paraId="4BCF9448">
      <w:pPr>
        <w:ind w:firstLine="476" w:firstLineChars="200"/>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2、负责会议时的茶水、果点、会议用品、桌椅摆放、照明等保障工作；</w:t>
      </w:r>
    </w:p>
    <w:p w14:paraId="4F4A1DC1">
      <w:pPr>
        <w:ind w:firstLine="476" w:firstLineChars="200"/>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3、负责办案区住宿房间布草保洁工作，工作需要住人时，每天需对住宿房间的做好布草保洁工作，不住人时，每月需对住宿房间至少做一遍保洁工作；</w:t>
      </w:r>
    </w:p>
    <w:p w14:paraId="40969D9B">
      <w:pPr>
        <w:ind w:firstLine="476" w:firstLineChars="200"/>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4、负责传达室报刊信件的分发工作，保证按质按量的完成所分配的任务；</w:t>
      </w:r>
    </w:p>
    <w:p w14:paraId="0D450D24">
      <w:pPr>
        <w:ind w:firstLine="476" w:firstLineChars="200"/>
        <w:rPr>
          <w:rFonts w:hint="eastAsia" w:asciiTheme="minorEastAsia" w:hAnsiTheme="minorEastAsia" w:eastAsiaTheme="minorEastAsia" w:cstheme="minorEastAsia"/>
          <w:spacing w:val="-1"/>
          <w:sz w:val="24"/>
          <w:szCs w:val="24"/>
          <w:highlight w:val="none"/>
          <w:lang w:val="en-US" w:eastAsia="zh-CN"/>
        </w:rPr>
      </w:pPr>
      <w:r>
        <w:rPr>
          <w:rFonts w:hint="eastAsia" w:asciiTheme="minorEastAsia" w:hAnsiTheme="minorEastAsia" w:eastAsiaTheme="minorEastAsia" w:cstheme="minorEastAsia"/>
          <w:spacing w:val="-1"/>
          <w:sz w:val="24"/>
          <w:szCs w:val="24"/>
          <w:highlight w:val="none"/>
          <w:lang w:val="en-US" w:eastAsia="zh-CN"/>
        </w:rPr>
        <w:t>5、完成领导交办的其他工作。</w:t>
      </w:r>
    </w:p>
    <w:p w14:paraId="2B4F4A14">
      <w:pPr>
        <w:ind w:firstLine="476" w:firstLineChars="200"/>
        <w:rPr>
          <w:rFonts w:hint="eastAsia" w:asciiTheme="minorEastAsia" w:hAnsiTheme="minorEastAsia" w:eastAsiaTheme="minorEastAsia" w:cstheme="minorEastAsia"/>
          <w:spacing w:val="-1"/>
          <w:sz w:val="24"/>
          <w:szCs w:val="24"/>
          <w:lang w:val="en-US" w:eastAsia="zh-CN"/>
        </w:rPr>
      </w:pPr>
    </w:p>
    <w:p w14:paraId="1F9630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72AF73EF">
      <w:pPr>
        <w:spacing w:line="360" w:lineRule="auto"/>
        <w:ind w:firstLine="480" w:firstLineChars="200"/>
        <w:rPr>
          <w:rFonts w:hint="eastAsia" w:ascii="宋体" w:hAnsi="宋体" w:eastAsia="宋体" w:cs="宋体"/>
          <w:bCs/>
          <w:kern w:val="2"/>
          <w:sz w:val="24"/>
          <w:szCs w:val="24"/>
          <w:highlight w:val="none"/>
          <w:lang w:eastAsia="zh-CN" w:bidi="ar-SA"/>
        </w:rPr>
      </w:pPr>
      <w:r>
        <w:rPr>
          <w:rFonts w:hint="eastAsia" w:ascii="宋体" w:hAnsi="宋体" w:eastAsia="宋体" w:cs="宋体"/>
          <w:bCs/>
          <w:kern w:val="2"/>
          <w:sz w:val="24"/>
          <w:szCs w:val="24"/>
          <w:highlight w:val="none"/>
          <w:lang w:eastAsia="zh-CN" w:bidi="ar-SA"/>
        </w:rPr>
        <w:t>1、</w:t>
      </w:r>
      <w:r>
        <w:rPr>
          <w:rFonts w:hint="eastAsia" w:ascii="宋体" w:hAnsi="宋体" w:eastAsia="宋体" w:cs="宋体"/>
          <w:bCs/>
          <w:kern w:val="2"/>
          <w:sz w:val="24"/>
          <w:szCs w:val="24"/>
          <w:highlight w:val="none"/>
          <w:lang w:val="en-US" w:eastAsia="zh-CN" w:bidi="ar-SA"/>
        </w:rPr>
        <w:t>供应商</w:t>
      </w:r>
      <w:r>
        <w:rPr>
          <w:rFonts w:hint="eastAsia" w:ascii="宋体" w:hAnsi="宋体" w:eastAsia="宋体" w:cs="宋体"/>
          <w:bCs/>
          <w:kern w:val="2"/>
          <w:sz w:val="24"/>
          <w:szCs w:val="24"/>
          <w:highlight w:val="none"/>
          <w:lang w:eastAsia="zh-CN" w:bidi="ar-SA"/>
        </w:rPr>
        <w:t>须明确本项目（服务）的项目负责人、服务人员名单、</w:t>
      </w:r>
      <w:r>
        <w:rPr>
          <w:rFonts w:hint="eastAsia" w:ascii="宋体" w:hAnsi="宋体" w:eastAsia="宋体" w:cs="宋体"/>
          <w:kern w:val="2"/>
          <w:sz w:val="24"/>
          <w:szCs w:val="24"/>
          <w:highlight w:val="none"/>
          <w:lang w:eastAsia="zh-CN" w:bidi="ar-SA"/>
        </w:rPr>
        <w:t>人员编制方案</w:t>
      </w:r>
      <w:r>
        <w:rPr>
          <w:rFonts w:hint="eastAsia" w:ascii="宋体" w:hAnsi="宋体" w:eastAsia="宋体" w:cs="宋体"/>
          <w:bCs/>
          <w:kern w:val="2"/>
          <w:sz w:val="24"/>
          <w:szCs w:val="24"/>
          <w:highlight w:val="none"/>
          <w:lang w:eastAsia="zh-CN" w:bidi="ar-SA"/>
        </w:rPr>
        <w:t>和人员</w:t>
      </w:r>
      <w:r>
        <w:rPr>
          <w:rFonts w:hint="eastAsia" w:ascii="宋体" w:hAnsi="宋体" w:eastAsia="宋体" w:cs="宋体"/>
          <w:sz w:val="24"/>
          <w:szCs w:val="24"/>
          <w:highlight w:val="none"/>
          <w:lang w:eastAsia="zh-CN"/>
        </w:rPr>
        <w:t>基本情况等。</w:t>
      </w:r>
    </w:p>
    <w:p w14:paraId="26033AA6">
      <w:pPr>
        <w:spacing w:line="360" w:lineRule="auto"/>
        <w:ind w:firstLine="480" w:firstLineChars="200"/>
        <w:rPr>
          <w:rFonts w:hint="eastAsia" w:ascii="宋体" w:hAnsi="宋体" w:eastAsia="宋体" w:cs="宋体"/>
          <w:bCs/>
          <w:kern w:val="2"/>
          <w:sz w:val="24"/>
          <w:szCs w:val="24"/>
          <w:highlight w:val="none"/>
          <w:lang w:eastAsia="zh-CN" w:bidi="ar-SA"/>
        </w:rPr>
      </w:pPr>
      <w:r>
        <w:rPr>
          <w:rFonts w:hint="eastAsia" w:ascii="宋体" w:hAnsi="宋体" w:eastAsia="宋体" w:cs="宋体"/>
          <w:bCs/>
          <w:kern w:val="2"/>
          <w:sz w:val="24"/>
          <w:szCs w:val="24"/>
          <w:highlight w:val="none"/>
          <w:lang w:eastAsia="zh-CN" w:bidi="ar-SA"/>
        </w:rPr>
        <w:t>2、</w:t>
      </w:r>
      <w:r>
        <w:rPr>
          <w:rFonts w:hint="eastAsia" w:ascii="宋体" w:hAnsi="宋体" w:eastAsia="宋体" w:cs="宋体"/>
          <w:bCs/>
          <w:kern w:val="2"/>
          <w:sz w:val="24"/>
          <w:szCs w:val="24"/>
          <w:highlight w:val="none"/>
          <w:lang w:val="en-US" w:eastAsia="zh-CN" w:bidi="ar-SA"/>
        </w:rPr>
        <w:t>供应商</w:t>
      </w:r>
      <w:r>
        <w:rPr>
          <w:rFonts w:hint="eastAsia" w:ascii="宋体" w:hAnsi="宋体" w:eastAsia="宋体" w:cs="宋体"/>
          <w:bCs/>
          <w:kern w:val="2"/>
          <w:sz w:val="24"/>
          <w:szCs w:val="24"/>
          <w:highlight w:val="none"/>
          <w:lang w:eastAsia="zh-CN" w:bidi="ar-SA"/>
        </w:rPr>
        <w:t>须提供本项目服务方案、管理制度等。</w:t>
      </w:r>
    </w:p>
    <w:p w14:paraId="5B649E0B">
      <w:pPr>
        <w:autoSpaceDE w:val="0"/>
        <w:autoSpaceDN w:val="0"/>
        <w:adjustRightInd w:val="0"/>
        <w:spacing w:line="360" w:lineRule="auto"/>
        <w:ind w:firstLine="480" w:firstLineChars="200"/>
        <w:rPr>
          <w:rFonts w:hint="eastAsia" w:ascii="宋体" w:hAnsi="宋体" w:eastAsia="宋体" w:cs="宋体"/>
          <w:bCs/>
          <w:kern w:val="2"/>
          <w:sz w:val="24"/>
          <w:szCs w:val="24"/>
          <w:highlight w:val="none"/>
          <w:lang w:eastAsia="zh-CN" w:bidi="ar-SA"/>
        </w:rPr>
      </w:pPr>
      <w:r>
        <w:rPr>
          <w:rFonts w:hint="eastAsia" w:ascii="宋体" w:hAnsi="宋体" w:eastAsia="宋体" w:cs="宋体"/>
          <w:bCs/>
          <w:kern w:val="2"/>
          <w:sz w:val="24"/>
          <w:szCs w:val="24"/>
          <w:highlight w:val="none"/>
          <w:lang w:eastAsia="zh-CN" w:bidi="ar-SA"/>
        </w:rPr>
        <w:t>3、本项目服务质量：合格，满足采购人要求。</w:t>
      </w:r>
    </w:p>
    <w:p w14:paraId="14D3538E">
      <w:pPr>
        <w:spacing w:line="360" w:lineRule="auto"/>
        <w:ind w:firstLine="480" w:firstLineChars="200"/>
        <w:rPr>
          <w:rFonts w:hint="eastAsia" w:ascii="宋体" w:hAnsi="宋体" w:eastAsia="宋体" w:cs="宋体"/>
          <w:bCs/>
          <w:kern w:val="2"/>
          <w:sz w:val="24"/>
          <w:szCs w:val="24"/>
          <w:highlight w:val="none"/>
          <w:lang w:eastAsia="zh-CN" w:bidi="ar-SA"/>
        </w:rPr>
      </w:pPr>
      <w:r>
        <w:rPr>
          <w:rFonts w:hint="eastAsia" w:ascii="宋体" w:hAnsi="宋体" w:eastAsia="宋体" w:cs="宋体"/>
          <w:bCs/>
          <w:kern w:val="2"/>
          <w:sz w:val="24"/>
          <w:szCs w:val="24"/>
          <w:highlight w:val="none"/>
          <w:lang w:eastAsia="zh-CN" w:bidi="ar-SA"/>
        </w:rPr>
        <w:t>4、合同的签订：中标人应在收到南阳市政府采购中心签发的《中标通知书》后及时和采购人签订服务合同。</w:t>
      </w:r>
    </w:p>
    <w:p w14:paraId="6A0A8AB9">
      <w:pPr>
        <w:widowControl w:val="0"/>
        <w:spacing w:line="360" w:lineRule="auto"/>
        <w:ind w:firstLine="480" w:firstLineChars="200"/>
        <w:rPr>
          <w:rFonts w:hint="eastAsia" w:ascii="宋体" w:hAnsi="宋体" w:eastAsia="宋体" w:cs="宋体"/>
          <w:bCs/>
          <w:kern w:val="2"/>
          <w:sz w:val="24"/>
          <w:szCs w:val="24"/>
          <w:highlight w:val="none"/>
          <w:lang w:eastAsia="zh-CN" w:bidi="ar-SA"/>
        </w:rPr>
      </w:pPr>
      <w:r>
        <w:rPr>
          <w:rFonts w:hint="eastAsia" w:ascii="宋体" w:hAnsi="宋体" w:eastAsia="宋体" w:cs="宋体"/>
          <w:bCs/>
          <w:kern w:val="2"/>
          <w:sz w:val="24"/>
          <w:szCs w:val="24"/>
          <w:highlight w:val="none"/>
          <w:lang w:eastAsia="zh-CN" w:bidi="ar-SA"/>
        </w:rPr>
        <w:t>5、服务期限：</w:t>
      </w:r>
      <w:r>
        <w:rPr>
          <w:rFonts w:hint="eastAsia" w:ascii="宋体" w:hAnsi="宋体" w:eastAsia="宋体" w:cs="宋体"/>
          <w:bCs/>
          <w:kern w:val="2"/>
          <w:sz w:val="24"/>
          <w:szCs w:val="24"/>
          <w:highlight w:val="none"/>
          <w:lang w:val="en-US" w:eastAsia="zh-CN" w:bidi="ar-SA"/>
        </w:rPr>
        <w:t>3</w:t>
      </w:r>
      <w:r>
        <w:rPr>
          <w:rFonts w:hint="eastAsia" w:ascii="宋体" w:hAnsi="宋体" w:eastAsia="宋体" w:cs="宋体"/>
          <w:bCs/>
          <w:kern w:val="2"/>
          <w:sz w:val="24"/>
          <w:szCs w:val="24"/>
          <w:highlight w:val="none"/>
          <w:lang w:eastAsia="zh-CN" w:bidi="ar-SA"/>
        </w:rPr>
        <w:t>年。</w:t>
      </w:r>
    </w:p>
    <w:p w14:paraId="38E76ABB">
      <w:pPr>
        <w:widowControl w:val="0"/>
        <w:spacing w:line="360" w:lineRule="auto"/>
        <w:ind w:firstLine="480" w:firstLineChars="200"/>
        <w:rPr>
          <w:rFonts w:hint="default"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eastAsia="zh-CN" w:bidi="ar-SA"/>
        </w:rPr>
        <w:t>6、付款方式及条件：每</w:t>
      </w:r>
      <w:r>
        <w:rPr>
          <w:rFonts w:hint="eastAsia" w:ascii="宋体" w:hAnsi="宋体" w:eastAsia="宋体" w:cs="宋体"/>
          <w:bCs/>
          <w:kern w:val="2"/>
          <w:sz w:val="24"/>
          <w:szCs w:val="24"/>
          <w:highlight w:val="none"/>
          <w:lang w:val="en-US" w:eastAsia="zh-CN" w:bidi="ar-SA"/>
        </w:rPr>
        <w:t>月月</w:t>
      </w:r>
      <w:r>
        <w:rPr>
          <w:rFonts w:hint="eastAsia" w:ascii="宋体" w:hAnsi="宋体" w:eastAsia="宋体" w:cs="宋体"/>
          <w:bCs/>
          <w:kern w:val="2"/>
          <w:sz w:val="24"/>
          <w:szCs w:val="24"/>
          <w:highlight w:val="none"/>
          <w:lang w:eastAsia="zh-CN" w:bidi="ar-SA"/>
        </w:rPr>
        <w:t>末甲方验收合同约定的服务内容，根据考评情况支付当</w:t>
      </w:r>
      <w:r>
        <w:rPr>
          <w:rFonts w:hint="eastAsia" w:ascii="宋体" w:hAnsi="宋体" w:eastAsia="宋体" w:cs="宋体"/>
          <w:bCs/>
          <w:kern w:val="2"/>
          <w:sz w:val="24"/>
          <w:szCs w:val="24"/>
          <w:highlight w:val="none"/>
          <w:lang w:val="en-US" w:eastAsia="zh-CN" w:bidi="ar-SA"/>
        </w:rPr>
        <w:t>月</w:t>
      </w:r>
      <w:r>
        <w:rPr>
          <w:rFonts w:hint="eastAsia" w:ascii="宋体" w:hAnsi="宋体" w:eastAsia="宋体" w:cs="宋体"/>
          <w:bCs/>
          <w:kern w:val="2"/>
          <w:sz w:val="24"/>
          <w:szCs w:val="24"/>
          <w:highlight w:val="none"/>
          <w:lang w:eastAsia="zh-CN" w:bidi="ar-SA"/>
        </w:rPr>
        <w:t>服务费。</w:t>
      </w:r>
    </w:p>
    <w:p w14:paraId="332379EA">
      <w:pPr>
        <w:widowControl w:val="0"/>
        <w:spacing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7、其他要求：</w:t>
      </w:r>
    </w:p>
    <w:p w14:paraId="671CA7ED">
      <w:pPr>
        <w:widowControl w:val="0"/>
        <w:spacing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1）招标最后成交价为外包（购买）服务费。包括服务期间的消耗品、保洁、绿化管护作业设备及养护费、二次供水清洗消毒、水质检测以及人员的业务培训、健康检查、服装以及工资福利、奖金、保险金等各项费用，承担用工全部费用；公司与所有物业服务人员建立合法劳务关系，自行承担因劳务关系产生的各种法律责任，甲方（南阳市人民检察院）不承担任何责任。</w:t>
      </w:r>
    </w:p>
    <w:p w14:paraId="2FEEE043">
      <w:pPr>
        <w:widowControl w:val="0"/>
        <w:spacing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（2）投标人须明确本项目（指物业服务）的管理人员、服务人员、工作人员名单。</w:t>
      </w:r>
    </w:p>
    <w:p w14:paraId="45B58DB0">
      <w:pPr>
        <w:widowControl w:val="0"/>
        <w:spacing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（3）投标人须提供本项目物业服务的服务方案、物业保洁需投入的人员、设备和材料清单、服务及质量保证等。</w:t>
      </w:r>
    </w:p>
    <w:p w14:paraId="2B49A489">
      <w:pPr>
        <w:widowControl w:val="0"/>
        <w:spacing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（4）物业工具由中标人自行保障，如洗涤用品、清洁用品等。</w:t>
      </w:r>
    </w:p>
    <w:p w14:paraId="32B04656">
      <w:pPr>
        <w:widowControl w:val="0"/>
        <w:spacing w:line="360" w:lineRule="auto"/>
        <w:ind w:firstLine="480" w:firstLineChars="200"/>
        <w:rPr>
          <w:rFonts w:hint="eastAsia" w:ascii="宋体" w:hAnsi="宋体" w:eastAsia="宋体" w:cs="宋体"/>
          <w:bCs/>
          <w:kern w:val="2"/>
          <w:sz w:val="24"/>
          <w:szCs w:val="24"/>
          <w:highlight w:val="none"/>
          <w:lang w:val="en-US" w:eastAsia="zh-CN" w:bidi="ar-SA"/>
        </w:rPr>
      </w:pPr>
      <w:r>
        <w:rPr>
          <w:rFonts w:hint="eastAsia" w:ascii="宋体" w:hAnsi="宋体" w:eastAsia="宋体" w:cs="宋体"/>
          <w:bCs/>
          <w:kern w:val="2"/>
          <w:sz w:val="24"/>
          <w:szCs w:val="24"/>
          <w:highlight w:val="none"/>
          <w:lang w:val="en-US" w:eastAsia="zh-CN" w:bidi="ar-SA"/>
        </w:rPr>
        <w:t>（5）本项目物业服务质量：合格，满足采购人要求。</w:t>
      </w:r>
    </w:p>
    <w:p w14:paraId="3672A638">
      <w:pPr>
        <w:widowControl w:val="0"/>
        <w:spacing w:line="360" w:lineRule="auto"/>
        <w:ind w:firstLine="480" w:firstLineChars="200"/>
        <w:rPr>
          <w:rFonts w:hint="default"/>
          <w:highlight w:val="none"/>
          <w:lang w:val="en-US" w:eastAsia="zh-CN"/>
        </w:rPr>
      </w:pPr>
      <w:r>
        <w:rPr>
          <w:rFonts w:hint="eastAsia" w:ascii="宋体" w:hAnsi="宋体" w:eastAsia="宋体" w:cs="宋体"/>
          <w:bCs/>
          <w:kern w:val="2"/>
          <w:sz w:val="24"/>
          <w:szCs w:val="24"/>
          <w:highlight w:val="none"/>
          <w:lang w:val="en-US" w:eastAsia="zh-CN" w:bidi="ar-SA"/>
        </w:rPr>
        <w:t>（6）合同的签订：中标人应在收到南阳市政府采购中心签发的《中标通知书》后及时和采购人签订服务合同。</w:t>
      </w:r>
    </w:p>
    <w:p w14:paraId="33441F4E">
      <w:pPr>
        <w:pStyle w:val="2"/>
        <w:keepNext w:val="0"/>
        <w:keepLines w:val="0"/>
        <w:pageBreakBefore w:val="0"/>
        <w:numPr>
          <w:ilvl w:val="0"/>
          <w:numId w:val="0"/>
        </w:numPr>
        <w:kinsoku/>
        <w:wordWrap w:val="0"/>
        <w:overflowPunct/>
        <w:topLinePunct w:val="0"/>
        <w:bidi w:val="0"/>
        <w:spacing w:before="352" w:line="690" w:lineRule="exact"/>
        <w:jc w:val="both"/>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27B0AAF4">
      <w:pP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br w:type="page"/>
      </w:r>
    </w:p>
    <w:p w14:paraId="2BDD229B">
      <w:pPr>
        <w:pStyle w:val="2"/>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 xml:space="preserve">第三章 </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投标人须知</w:t>
      </w:r>
    </w:p>
    <w:p w14:paraId="578D9852">
      <w:pPr>
        <w:pStyle w:val="2"/>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投标人须知表</w:t>
      </w:r>
    </w:p>
    <w:tbl>
      <w:tblPr>
        <w:tblStyle w:val="20"/>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391C2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560236B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74763E94">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42A8E3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9EFC4E2">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8B7005E">
            <w:pPr>
              <w:pStyle w:val="33"/>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14:paraId="210F01BE">
            <w:pPr>
              <w:pStyle w:val="33"/>
              <w:keepNext w:val="0"/>
              <w:keepLines w:val="0"/>
              <w:pageBreakBefore w:val="0"/>
              <w:kinsoku/>
              <w:wordWrap w:val="0"/>
              <w:overflowPunct/>
              <w:topLinePunct w:val="0"/>
              <w:bidi w:val="0"/>
              <w:spacing w:before="25" w:line="207" w:lineRule="auto"/>
              <w:ind w:left="126" w:leftChars="0"/>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货物</w:t>
            </w:r>
          </w:p>
        </w:tc>
      </w:tr>
      <w:tr w14:paraId="7D59EE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5CA674">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60B6006C">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15A5C5E5">
            <w:pPr>
              <w:pStyle w:val="33"/>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363229E5">
            <w:pPr>
              <w:pStyle w:val="33"/>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5889C7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27D2B4C4">
            <w:pPr>
              <w:pStyle w:val="33"/>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625A12A3">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3726817">
            <w:pPr>
              <w:pStyle w:val="33"/>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0B4AF448">
            <w:pPr>
              <w:pStyle w:val="33"/>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3D75A19A">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88B9C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CC48838">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1906B0F7">
            <w:pPr>
              <w:pStyle w:val="33"/>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3894B16C">
            <w:pPr>
              <w:pStyle w:val="33"/>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75C646E2">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630AA9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D6ABF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E9F0A91">
            <w:pPr>
              <w:pStyle w:val="33"/>
              <w:rPr>
                <w:rFonts w:ascii="宋体" w:hAnsi="宋体" w:eastAsia="宋体" w:cs="宋体"/>
                <w:sz w:val="24"/>
                <w:szCs w:val="24"/>
                <w:highlight w:val="none"/>
                <w:lang w:eastAsia="zh-CN"/>
              </w:rPr>
            </w:pPr>
            <w:r>
              <w:rPr>
                <w:rFonts w:hint="eastAsia" w:ascii="宋体" w:hAnsi="宋体" w:eastAsia="宋体" w:cs="宋体"/>
                <w:spacing w:val="14"/>
                <w:sz w:val="24"/>
                <w:szCs w:val="24"/>
                <w:lang w:eastAsia="zh-CN"/>
              </w:rPr>
              <w:t>1、本项目采购标的按照中小企业划分标准属于</w:t>
            </w:r>
            <w:r>
              <w:rPr>
                <w:rFonts w:hint="eastAsia" w:ascii="宋体" w:hAnsi="宋体" w:eastAsia="宋体" w:cs="宋体"/>
                <w:spacing w:val="14"/>
                <w:sz w:val="24"/>
                <w:szCs w:val="24"/>
                <w:highlight w:val="none"/>
                <w:u w:val="single"/>
                <w:lang w:eastAsia="zh-CN"/>
              </w:rPr>
              <w:t xml:space="preserve"> </w:t>
            </w:r>
            <w:r>
              <w:rPr>
                <w:rFonts w:hint="eastAsia" w:ascii="宋体" w:hAnsi="宋体" w:eastAsia="宋体" w:cs="宋体"/>
                <w:spacing w:val="14"/>
                <w:sz w:val="24"/>
                <w:szCs w:val="24"/>
                <w:highlight w:val="none"/>
                <w:u w:val="single"/>
                <w:lang w:val="en-US" w:eastAsia="zh-CN"/>
              </w:rPr>
              <w:t>物业管理</w:t>
            </w:r>
            <w:r>
              <w:rPr>
                <w:rFonts w:hint="eastAsia" w:ascii="宋体" w:hAnsi="宋体" w:eastAsia="宋体" w:cs="宋体"/>
                <w:spacing w:val="14"/>
                <w:sz w:val="24"/>
                <w:szCs w:val="24"/>
                <w:highlight w:val="none"/>
                <w:u w:val="single"/>
                <w:lang w:eastAsia="zh-CN"/>
              </w:rPr>
              <w:t xml:space="preserve">           </w:t>
            </w:r>
            <w:r>
              <w:rPr>
                <w:rFonts w:hint="eastAsia" w:ascii="宋体" w:hAnsi="宋体" w:eastAsia="宋体" w:cs="宋体"/>
                <w:spacing w:val="14"/>
                <w:sz w:val="24"/>
                <w:szCs w:val="24"/>
                <w:highlight w:val="none"/>
                <w:lang w:eastAsia="zh-CN"/>
              </w:rPr>
              <w:t>；</w:t>
            </w:r>
            <w:r>
              <w:rPr>
                <w:rFonts w:hint="eastAsia" w:ascii="宋体" w:hAnsi="宋体" w:eastAsia="宋体" w:cs="宋体"/>
                <w:spacing w:val="29"/>
                <w:sz w:val="24"/>
                <w:szCs w:val="24"/>
                <w:highlight w:val="none"/>
                <w:lang w:eastAsia="zh-CN"/>
              </w:rPr>
              <w:t>☑本项目专门面向中小企业采购。</w:t>
            </w:r>
          </w:p>
          <w:p w14:paraId="7964FB1C">
            <w:pPr>
              <w:kinsoku/>
              <w:autoSpaceDE/>
              <w:autoSpaceDN/>
              <w:adjustRightInd/>
              <w:snapToGrid/>
              <w:textAlignment w:val="auto"/>
              <w:rPr>
                <w:rFonts w:ascii="宋体" w:hAnsi="宋体" w:eastAsia="宋体" w:cs="宋体"/>
                <w:spacing w:val="14"/>
                <w:sz w:val="24"/>
                <w:szCs w:val="24"/>
                <w:highlight w:val="none"/>
                <w:lang w:eastAsia="zh-CN"/>
              </w:rPr>
            </w:pPr>
            <w:r>
              <w:rPr>
                <w:rFonts w:hint="eastAsia" w:ascii="宋体" w:hAnsi="宋体" w:eastAsia="宋体" w:cs="宋体"/>
                <w:spacing w:val="-13"/>
                <w:sz w:val="24"/>
                <w:szCs w:val="24"/>
                <w:highlight w:val="none"/>
                <w:lang w:eastAsia="zh-CN"/>
              </w:rPr>
              <w:t>□</w:t>
            </w:r>
            <w:r>
              <w:rPr>
                <w:rFonts w:hint="eastAsia" w:ascii="宋体" w:hAnsi="宋体" w:eastAsia="宋体" w:cs="宋体"/>
                <w:spacing w:val="29"/>
                <w:sz w:val="24"/>
                <w:szCs w:val="24"/>
                <w:highlight w:val="none"/>
                <w:lang w:eastAsia="zh-CN"/>
              </w:rPr>
              <w:t>本项目小微企业价格折扣比例</w:t>
            </w:r>
            <w:r>
              <w:rPr>
                <w:rFonts w:hint="eastAsia" w:ascii="宋体" w:hAnsi="宋体" w:eastAsia="宋体" w:cs="宋体"/>
                <w:spacing w:val="29"/>
                <w:sz w:val="24"/>
                <w:szCs w:val="24"/>
                <w:highlight w:val="none"/>
                <w:lang w:val="en-US" w:eastAsia="zh-CN"/>
              </w:rPr>
              <w:t>15</w:t>
            </w:r>
            <w:r>
              <w:rPr>
                <w:rFonts w:hint="eastAsia" w:ascii="宋体" w:hAnsi="宋体" w:eastAsia="宋体" w:cs="宋体"/>
                <w:spacing w:val="29"/>
                <w:sz w:val="24"/>
                <w:szCs w:val="24"/>
                <w:highlight w:val="none"/>
                <w:lang w:eastAsia="zh-CN"/>
              </w:rPr>
              <w:t>%。</w:t>
            </w:r>
          </w:p>
          <w:p w14:paraId="556F7ADA">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宋体" w:hAnsi="宋体" w:eastAsia="宋体" w:cs="宋体"/>
                <w:spacing w:val="14"/>
                <w:sz w:val="24"/>
                <w:szCs w:val="24"/>
                <w:lang w:eastAsia="zh-CN"/>
              </w:rPr>
              <w:t>2、中标供应商享受《政府采购促进中小企业发展管理办法》规定的中小企业扶持政策的，采购人、采购代理机构将随中标结果公开中标供应商的《中小企业声明函》。</w:t>
            </w:r>
          </w:p>
        </w:tc>
      </w:tr>
      <w:tr w14:paraId="2F8547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564A7879">
            <w:pPr>
              <w:pStyle w:val="33"/>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0C2CBA0E">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F2FDDFB">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投标报价的特殊规定：</w:t>
            </w:r>
          </w:p>
          <w:p w14:paraId="634EE804">
            <w:pPr>
              <w:pStyle w:val="33"/>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795D6E6B">
            <w:pPr>
              <w:pStyle w:val="33"/>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3F22523C">
            <w:pPr>
              <w:pStyle w:val="33"/>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E5B73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8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0E655A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3DD32A3">
            <w:pPr>
              <w:keepNext w:val="0"/>
              <w:keepLines w:val="0"/>
              <w:pageBreakBefore w:val="0"/>
              <w:kinsoku/>
              <w:wordWrap w:val="0"/>
              <w:overflowPunct/>
              <w:topLinePunct w:val="0"/>
              <w:bidi w:val="0"/>
              <w:spacing w:line="240" w:lineRule="atLeast"/>
              <w:jc w:val="left"/>
              <w:rPr>
                <w:rFonts w:hint="eastAsia" w:asciiTheme="minorEastAsia" w:hAnsiTheme="minorEastAsia" w:eastAsiaTheme="minorEastAsia" w:cstheme="minorEastAsia"/>
                <w:sz w:val="24"/>
                <w:szCs w:val="24"/>
                <w:lang w:eastAsia="zh-CN"/>
              </w:rPr>
            </w:pPr>
            <w:r>
              <w:rPr>
                <w:rFonts w:hint="eastAsia" w:ascii="宋体" w:hAnsi="宋体" w:eastAsia="宋体" w:cs="宋体"/>
                <w:b w:val="0"/>
                <w:bCs/>
                <w:sz w:val="28"/>
                <w:szCs w:val="28"/>
                <w:u w:val="single"/>
                <w:lang w:eastAsia="zh-CN"/>
              </w:rPr>
              <w:t xml:space="preserve"> </w:t>
            </w:r>
            <w:r>
              <w:rPr>
                <w:rFonts w:hint="eastAsia" w:asciiTheme="minorEastAsia" w:hAnsiTheme="minorEastAsia" w:eastAsiaTheme="minorEastAsia" w:cstheme="minorEastAsia"/>
                <w:b w:val="0"/>
                <w:bCs/>
                <w:sz w:val="24"/>
                <w:szCs w:val="24"/>
                <w:u w:val="single"/>
                <w:lang w:val="en-US" w:eastAsia="zh-CN"/>
              </w:rPr>
              <w:t xml:space="preserve">468 </w:t>
            </w:r>
            <w:r>
              <w:rPr>
                <w:rFonts w:hint="eastAsia" w:asciiTheme="minorEastAsia" w:hAnsiTheme="minorEastAsia" w:eastAsiaTheme="minorEastAsia" w:cstheme="minorEastAsia"/>
                <w:b w:val="0"/>
                <w:bCs/>
                <w:sz w:val="24"/>
                <w:szCs w:val="24"/>
                <w:lang w:eastAsia="zh-CN"/>
              </w:rPr>
              <w:t>万元</w:t>
            </w:r>
            <w:r>
              <w:rPr>
                <w:rFonts w:hint="eastAsia" w:asciiTheme="minorEastAsia" w:hAnsiTheme="minorEastAsia" w:eastAsiaTheme="minorEastAsia" w:cstheme="minorEastAsia"/>
                <w:b w:val="0"/>
                <w:bCs/>
                <w:sz w:val="24"/>
                <w:szCs w:val="24"/>
                <w:lang w:val="en-US" w:eastAsia="zh-CN"/>
              </w:rPr>
              <w:t>/</w:t>
            </w:r>
            <w:r>
              <w:rPr>
                <w:rFonts w:hint="eastAsia" w:asciiTheme="minorEastAsia" w:hAnsiTheme="minorEastAsia" w:eastAsiaTheme="minorEastAsia" w:cstheme="minorEastAsia"/>
                <w:b w:val="0"/>
                <w:bCs/>
                <w:color w:val="000000"/>
                <w:sz w:val="24"/>
                <w:szCs w:val="24"/>
                <w:lang w:val="en-US" w:eastAsia="zh-CN"/>
              </w:rPr>
              <w:t>3</w:t>
            </w:r>
            <w:r>
              <w:rPr>
                <w:rFonts w:hint="eastAsia" w:asciiTheme="minorEastAsia" w:hAnsiTheme="minorEastAsia" w:eastAsiaTheme="minorEastAsia" w:cstheme="minorEastAsia"/>
                <w:b w:val="0"/>
                <w:bCs/>
                <w:color w:val="000000"/>
                <w:sz w:val="24"/>
                <w:szCs w:val="24"/>
                <w:lang w:eastAsia="zh-CN"/>
              </w:rPr>
              <w:t>年</w:t>
            </w:r>
          </w:p>
        </w:tc>
      </w:tr>
      <w:tr w14:paraId="23C394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E67505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9E8494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2967B9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B07AC0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EDE272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电子投标文件：1份</w:t>
            </w:r>
          </w:p>
        </w:tc>
      </w:tr>
      <w:tr w14:paraId="6676A5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4EFB28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A6BA07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10</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30</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（北京时间）</w:t>
            </w:r>
          </w:p>
        </w:tc>
      </w:tr>
      <w:tr w14:paraId="4298CA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C00CDA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6524E0C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color w:val="auto"/>
                <w:sz w:val="24"/>
                <w:szCs w:val="24"/>
                <w:highlight w:val="none"/>
                <w:u w:val="single"/>
                <w:lang w:eastAsia="zh-CN"/>
              </w:rPr>
            </w:pPr>
            <w:r>
              <w:rPr>
                <w:rFonts w:hint="eastAsia" w:asciiTheme="minorEastAsia" w:hAnsiTheme="minorEastAsia" w:eastAsiaTheme="minorEastAsia" w:cstheme="minorEastAsia"/>
                <w:color w:val="auto"/>
                <w:spacing w:val="-12"/>
                <w:sz w:val="24"/>
                <w:szCs w:val="24"/>
                <w:highlight w:val="none"/>
                <w:u w:val="single"/>
                <w:lang w:val="en-US" w:eastAsia="zh-CN"/>
              </w:rPr>
              <w:t xml:space="preserve">  2025  </w:t>
            </w:r>
            <w:r>
              <w:rPr>
                <w:rFonts w:hint="eastAsia" w:asciiTheme="minorEastAsia" w:hAnsiTheme="minorEastAsia" w:eastAsiaTheme="minorEastAsia" w:cstheme="minorEastAsia"/>
                <w:color w:val="auto"/>
                <w:spacing w:val="-12"/>
                <w:sz w:val="24"/>
                <w:szCs w:val="24"/>
                <w:highlight w:val="none"/>
              </w:rPr>
              <w:t>年</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10</w:t>
            </w:r>
            <w:r>
              <w:rPr>
                <w:rFonts w:hint="eastAsia" w:asciiTheme="minorEastAsia" w:hAnsiTheme="minorEastAsia" w:eastAsiaTheme="minorEastAsia" w:cstheme="minorEastAsia"/>
                <w:color w:val="auto"/>
                <w:spacing w:val="-12"/>
                <w:sz w:val="24"/>
                <w:szCs w:val="24"/>
                <w:highlight w:val="none"/>
              </w:rPr>
              <w:t>月</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30</w:t>
            </w:r>
            <w:r>
              <w:rPr>
                <w:rFonts w:hint="eastAsia" w:asciiTheme="minorEastAsia" w:hAnsiTheme="minorEastAsia" w:eastAsiaTheme="minorEastAsia" w:cstheme="minorEastAsia"/>
                <w:color w:val="auto"/>
                <w:spacing w:val="-12"/>
                <w:sz w:val="24"/>
                <w:szCs w:val="24"/>
                <w:highlight w:val="none"/>
              </w:rPr>
              <w:t>日</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9 </w:t>
            </w:r>
            <w:r>
              <w:rPr>
                <w:rFonts w:hint="eastAsia" w:asciiTheme="minorEastAsia" w:hAnsiTheme="minorEastAsia" w:eastAsiaTheme="minorEastAsia" w:cstheme="minorEastAsia"/>
                <w:color w:val="auto"/>
                <w:spacing w:val="-12"/>
                <w:sz w:val="24"/>
                <w:szCs w:val="24"/>
                <w:highlight w:val="none"/>
              </w:rPr>
              <w:t>点</w:t>
            </w:r>
            <w:r>
              <w:rPr>
                <w:rFonts w:hint="eastAsia" w:asciiTheme="minorEastAsia" w:hAnsiTheme="minorEastAsia" w:eastAsiaTheme="minorEastAsia" w:cstheme="minorEastAsia"/>
                <w:color w:val="auto"/>
                <w:spacing w:val="-12"/>
                <w:sz w:val="24"/>
                <w:szCs w:val="24"/>
                <w:highlight w:val="none"/>
                <w:u w:val="single"/>
                <w:lang w:val="en-US" w:eastAsia="zh-CN"/>
              </w:rPr>
              <w:t xml:space="preserve"> 00 </w:t>
            </w:r>
            <w:r>
              <w:rPr>
                <w:rFonts w:hint="eastAsia" w:asciiTheme="minorEastAsia" w:hAnsiTheme="minorEastAsia" w:eastAsiaTheme="minorEastAsia" w:cstheme="minorEastAsia"/>
                <w:color w:val="auto"/>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58150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05232F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1D2E36E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综合评分法</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val="en-US" w:eastAsia="zh-CN"/>
              </w:rPr>
              <w:t>最低评标价法</w:t>
            </w:r>
          </w:p>
        </w:tc>
      </w:tr>
      <w:tr w14:paraId="408150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20D1EA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A8FC5F4">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是否委托评标委员会直接确定中标人：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rPr>
              <w:t>□</w:t>
            </w:r>
            <w:r>
              <w:rPr>
                <w:rFonts w:hint="eastAsia" w:asciiTheme="minorEastAsia" w:hAnsiTheme="minorEastAsia" w:eastAsiaTheme="minorEastAsia" w:cstheme="minorEastAsia"/>
                <w:spacing w:val="14"/>
                <w:sz w:val="24"/>
                <w:szCs w:val="24"/>
                <w:lang w:val="en-US" w:eastAsia="zh-CN"/>
              </w:rPr>
              <w:t>否</w:t>
            </w:r>
          </w:p>
        </w:tc>
      </w:tr>
      <w:tr w14:paraId="27652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76D7AF9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0AC1475A">
            <w:pPr>
              <w:pStyle w:val="33"/>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p w14:paraId="28450553">
            <w:pPr>
              <w:pStyle w:val="33"/>
              <w:keepNext w:val="0"/>
              <w:keepLines w:val="0"/>
              <w:pageBreakBefore w:val="0"/>
              <w:kinsoku/>
              <w:wordWrap w:val="0"/>
              <w:overflowPunct/>
              <w:topLinePunct w:val="0"/>
              <w:bidi w:val="0"/>
              <w:spacing w:before="1" w:line="220" w:lineRule="auto"/>
              <w:ind w:left="126"/>
              <w:jc w:val="both"/>
              <w:rPr>
                <w:rFonts w:hint="default" w:asciiTheme="minorEastAsia" w:hAnsiTheme="minorEastAsia" w:eastAsiaTheme="minorEastAsia" w:cstheme="minorEastAsia"/>
                <w:spacing w:val="-13"/>
                <w:sz w:val="24"/>
                <w:szCs w:val="24"/>
                <w:lang w:val="en-US" w:eastAsia="zh-CN"/>
              </w:rPr>
            </w:pPr>
          </w:p>
        </w:tc>
      </w:tr>
    </w:tbl>
    <w:p w14:paraId="4355A955">
      <w:pPr>
        <w:pStyle w:val="2"/>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074FBFB0">
      <w:pPr>
        <w:pStyle w:val="2"/>
        <w:keepNext w:val="0"/>
        <w:keepLines w:val="0"/>
        <w:pageBreakBefore w:val="0"/>
        <w:kinsoku/>
        <w:wordWrap w:val="0"/>
        <w:overflowPunct/>
        <w:topLinePunct w:val="0"/>
        <w:bidi w:val="0"/>
        <w:spacing w:before="91" w:line="221" w:lineRule="auto"/>
        <w:jc w:val="both"/>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77FBD6C2">
      <w:pPr>
        <w:pStyle w:val="2"/>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投标人须知</w:t>
      </w:r>
    </w:p>
    <w:p w14:paraId="76CDBAA0">
      <w:pPr>
        <w:pStyle w:val="2"/>
        <w:keepNext w:val="0"/>
        <w:keepLines w:val="0"/>
        <w:pageBreakBefore w:val="0"/>
        <w:kinsoku/>
        <w:wordWrap w:val="0"/>
        <w:overflowPunct/>
        <w:topLinePunct w:val="0"/>
        <w:bidi w:val="0"/>
        <w:spacing w:before="268" w:line="360" w:lineRule="auto"/>
        <w:jc w:val="both"/>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一</w:t>
      </w:r>
      <w:r>
        <w:rPr>
          <w:rFonts w:hint="eastAsia" w:asciiTheme="minorEastAsia" w:hAnsiTheme="minorEastAsia" w:eastAsiaTheme="minorEastAsia" w:cstheme="minorEastAsia"/>
          <w:spacing w:val="-10"/>
          <w:sz w:val="24"/>
          <w:szCs w:val="24"/>
          <w:lang w:eastAsia="zh-CN"/>
          <w14:textOutline w14:w="1800"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FF9E46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采购人、采购代理机构、投标人、联合体</w:t>
      </w:r>
    </w:p>
    <w:p w14:paraId="29876AC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采购人、采购代理机构：指依法进行政府采购的国家机关、事业单位、团体组织及其委托的采购代理机构。本项目采购人、采购代理机构见第一章《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p w14:paraId="218A27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投标人（也称供应商、申请人）：指向采购人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17044C0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1BA14CB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资金来源、项目属性、科研仪器设备采购、核心产品</w:t>
      </w:r>
    </w:p>
    <w:p w14:paraId="7FFC283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u w:val="none"/>
          <w:lang w:val="en-US" w:eastAsia="zh-CN"/>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color w:val="auto"/>
          <w:spacing w:val="7"/>
          <w:sz w:val="24"/>
          <w:szCs w:val="24"/>
          <w:highlight w:val="none"/>
          <w:u w:val="single"/>
          <w:lang w:val="en-US" w:eastAsia="zh-CN"/>
        </w:rPr>
        <w:t xml:space="preserve"> </w:t>
      </w:r>
      <w:r>
        <w:rPr>
          <w:rFonts w:hint="eastAsia" w:asciiTheme="minorEastAsia" w:hAnsiTheme="minorEastAsia" w:eastAsiaTheme="minorEastAsia" w:cstheme="minorEastAsia"/>
          <w:b/>
          <w:bCs/>
          <w:color w:val="auto"/>
          <w:spacing w:val="7"/>
          <w:sz w:val="24"/>
          <w:szCs w:val="24"/>
          <w:highlight w:val="none"/>
          <w:u w:val="single"/>
          <w:lang w:val="en-US" w:eastAsia="zh-CN"/>
        </w:rPr>
        <w:t>468</w:t>
      </w:r>
      <w:r>
        <w:rPr>
          <w:rFonts w:hint="eastAsia" w:asciiTheme="minorEastAsia" w:hAnsiTheme="minorEastAsia" w:eastAsiaTheme="minorEastAsia" w:cstheme="minorEastAsia"/>
          <w:spacing w:val="7"/>
          <w:sz w:val="24"/>
          <w:szCs w:val="24"/>
          <w:highlight w:val="none"/>
          <w:u w:val="single"/>
          <w:lang w:val="en-US" w:eastAsia="zh-CN"/>
        </w:rPr>
        <w:t xml:space="preserve">  </w:t>
      </w:r>
      <w:r>
        <w:rPr>
          <w:rFonts w:hint="eastAsia" w:asciiTheme="minorEastAsia" w:hAnsiTheme="minorEastAsia" w:eastAsiaTheme="minorEastAsia" w:cstheme="minorEastAsia"/>
          <w:spacing w:val="7"/>
          <w:sz w:val="24"/>
          <w:szCs w:val="24"/>
          <w:highlight w:val="none"/>
          <w:u w:val="none"/>
          <w:lang w:val="en-US" w:eastAsia="zh-CN"/>
        </w:rPr>
        <w:t>万元</w:t>
      </w:r>
    </w:p>
    <w:p w14:paraId="50A9D36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投标人须知表</w:t>
      </w:r>
      <w:r>
        <w:rPr>
          <w:rFonts w:hint="eastAsia" w:asciiTheme="minorEastAsia" w:hAnsiTheme="minorEastAsia" w:eastAsiaTheme="minorEastAsia" w:cstheme="minorEastAsia"/>
          <w:spacing w:val="7"/>
          <w:sz w:val="24"/>
          <w:szCs w:val="24"/>
        </w:rPr>
        <w:t>》。</w:t>
      </w:r>
    </w:p>
    <w:p w14:paraId="1CBA6EF0">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8" w:firstLineChars="200"/>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
          <w:sz w:val="24"/>
          <w:szCs w:val="24"/>
        </w:rPr>
        <w:t>2.3</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是否属于科研仪器设备采购见《</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w:t>
      </w:r>
    </w:p>
    <w:p w14:paraId="5FD391D5">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7"/>
          <w:sz w:val="24"/>
          <w:szCs w:val="24"/>
        </w:rPr>
        <w:t>2.4</w:t>
      </w:r>
      <w:r>
        <w:rPr>
          <w:rFonts w:hint="eastAsia" w:asciiTheme="minorEastAsia" w:hAnsiTheme="minorEastAsia" w:eastAsiaTheme="minorEastAsia" w:cstheme="minorEastAsia"/>
          <w:spacing w:val="-4"/>
          <w:position w:val="17"/>
          <w:sz w:val="24"/>
          <w:szCs w:val="24"/>
          <w:lang w:val="en-US" w:eastAsia="zh-CN"/>
        </w:rPr>
        <w:t xml:space="preserve"> </w:t>
      </w:r>
      <w:r>
        <w:rPr>
          <w:rFonts w:hint="eastAsia" w:asciiTheme="minorEastAsia" w:hAnsiTheme="minorEastAsia" w:eastAsiaTheme="minorEastAsia" w:cstheme="minorEastAsia"/>
          <w:spacing w:val="-4"/>
          <w:position w:val="17"/>
          <w:sz w:val="24"/>
          <w:szCs w:val="24"/>
        </w:rPr>
        <w:t>核心产品见《</w:t>
      </w:r>
      <w:r>
        <w:rPr>
          <w:rFonts w:hint="eastAsia" w:asciiTheme="minorEastAsia" w:hAnsiTheme="minorEastAsia" w:eastAsiaTheme="minorEastAsia" w:cstheme="minorEastAsia"/>
          <w:spacing w:val="-4"/>
          <w:position w:val="17"/>
          <w:sz w:val="24"/>
          <w:szCs w:val="24"/>
          <w:lang w:eastAsia="zh-CN"/>
        </w:rPr>
        <w:t>投标人须知表</w:t>
      </w:r>
      <w:r>
        <w:rPr>
          <w:rFonts w:hint="eastAsia" w:asciiTheme="minorEastAsia" w:hAnsiTheme="minorEastAsia" w:eastAsiaTheme="minorEastAsia" w:cstheme="minorEastAsia"/>
          <w:spacing w:val="-4"/>
          <w:position w:val="17"/>
          <w:sz w:val="24"/>
          <w:szCs w:val="24"/>
        </w:rPr>
        <w:t>》。</w:t>
      </w:r>
    </w:p>
    <w:p w14:paraId="7A52BF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1C5A67C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投标人须知表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织现场考察、召开开标前答疑会，则投</w:t>
      </w:r>
      <w:r>
        <w:rPr>
          <w:rFonts w:hint="eastAsia" w:asciiTheme="minorEastAsia" w:hAnsiTheme="minorEastAsia" w:eastAsiaTheme="minorEastAsia" w:cstheme="minorEastAsia"/>
          <w:spacing w:val="-3"/>
          <w:sz w:val="24"/>
          <w:szCs w:val="24"/>
        </w:rPr>
        <w:t>标人应按要求在规定的时间和地点参加。</w:t>
      </w:r>
    </w:p>
    <w:p w14:paraId="724912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由于未参加现场考察或开标前答疑会而导致对项目实际情况不了解，影响投标文件编制、投标报价准确性、综合因素响应不全面等问题的，由投标人自行承担不利评审后果。</w:t>
      </w:r>
    </w:p>
    <w:p w14:paraId="73234C9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6FD0FE68">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EC244CD">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670FAD6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6D7C368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0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w:t>
      </w:r>
      <w:r>
        <w:rPr>
          <w:rFonts w:hint="eastAsia" w:asciiTheme="minorEastAsia" w:hAnsiTheme="minorEastAsia" w:eastAsiaTheme="minorEastAsia" w:cstheme="minorEastAsia"/>
          <w:spacing w:val="6"/>
          <w:sz w:val="24"/>
          <w:szCs w:val="24"/>
          <w:lang w:val="en-US" w:eastAsia="zh-CN"/>
        </w:rPr>
        <w:t xml:space="preserve"> </w:t>
      </w:r>
      <w:r>
        <w:rPr>
          <w:rFonts w:hint="eastAsia" w:asciiTheme="minorEastAsia" w:hAnsiTheme="minorEastAsia" w:eastAsiaTheme="minorEastAsia" w:cstheme="minorEastAsia"/>
          <w:spacing w:val="6"/>
          <w:sz w:val="24"/>
          <w:szCs w:val="24"/>
        </w:rPr>
        <w:t>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rPr>
        <w:t>法》（财库〔2007〕119号文）、《关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5"/>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14:paraId="0332BD4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7772AA1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EA570B7">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0E328B4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1F2A4CD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14:paraId="7608F8C9">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14:paraId="2A2666FE">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3A09ADD2">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14:paraId="1E87A5E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以联合体形式参加政府采购活动，联合体各方均为中小企业的，联合体视同中小企业。其中，联合体各方均为小微企业的，联合体视同小微企业。</w:t>
      </w:r>
    </w:p>
    <w:p w14:paraId="429966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529AC96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326A1CF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724C4210">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1EDD5A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321530DA">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04B5592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8F40E37">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60D35F3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eastAsia="zh-CN"/>
        </w:rPr>
        <w:t>公开招标公告</w:t>
      </w:r>
      <w:r>
        <w:rPr>
          <w:rFonts w:hint="eastAsia" w:asciiTheme="minorEastAsia" w:hAnsiTheme="minorEastAsia" w:eastAsiaTheme="minorEastAsia" w:cstheme="minorEastAsia"/>
          <w:spacing w:val="-8"/>
          <w:sz w:val="24"/>
          <w:szCs w:val="24"/>
        </w:rPr>
        <w:t>》。</w:t>
      </w:r>
    </w:p>
    <w:p w14:paraId="063C9EF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投标人须知表</w:t>
      </w:r>
      <w:r>
        <w:rPr>
          <w:rFonts w:hint="eastAsia" w:asciiTheme="minorEastAsia" w:hAnsiTheme="minorEastAsia" w:eastAsiaTheme="minorEastAsia" w:cstheme="minorEastAsia"/>
          <w:spacing w:val="-8"/>
          <w:sz w:val="24"/>
          <w:szCs w:val="24"/>
        </w:rPr>
        <w:t>》。</w:t>
      </w:r>
    </w:p>
    <w:p w14:paraId="1B558A6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w:t>
      </w:r>
    </w:p>
    <w:p w14:paraId="4B841A5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政府采购节能产品、环境标志产品</w:t>
      </w:r>
    </w:p>
    <w:p w14:paraId="2AFA0C8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line="360" w:lineRule="auto"/>
        <w:ind w:left="0" w:right="0" w:firstLine="448" w:firstLineChars="200"/>
        <w:jc w:val="both"/>
        <w:textAlignment w:val="baseline"/>
        <w:rPr>
          <w:rFonts w:hint="eastAsia" w:asciiTheme="minorEastAsia" w:hAnsiTheme="minorEastAsia" w:eastAsiaTheme="minorEastAsia" w:cstheme="minorEastAsia"/>
          <w:b w:val="0"/>
          <w:snapToGrid w:val="0"/>
          <w:color w:val="000000"/>
          <w:spacing w:val="-8"/>
          <w:kern w:val="0"/>
          <w:sz w:val="24"/>
          <w:szCs w:val="24"/>
          <w:lang w:val="en-US" w:eastAsia="en-US" w:bidi="ar-SA"/>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.3.1</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en-US" w:bidi="ar-SA"/>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EA621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b w:val="0"/>
          <w:snapToGrid w:val="0"/>
          <w:color w:val="000000"/>
          <w:spacing w:val="-8"/>
          <w:kern w:val="0"/>
          <w:sz w:val="24"/>
          <w:szCs w:val="24"/>
          <w:lang w:val="en-US" w:eastAsia="zh-CN" w:bidi="ar-SA"/>
        </w:rPr>
        <w:t>4</w:t>
      </w:r>
      <w:r>
        <w:rPr>
          <w:rFonts w:hint="eastAsia" w:asciiTheme="minorEastAsia" w:hAnsiTheme="minorEastAsia" w:eastAsiaTheme="minorEastAsia" w:cstheme="minorEastAsia"/>
          <w:b w:val="0"/>
          <w:snapToGrid w:val="0"/>
          <w:color w:val="000000"/>
          <w:spacing w:val="-8"/>
          <w:kern w:val="0"/>
          <w:sz w:val="24"/>
          <w:szCs w:val="24"/>
          <w:lang w:val="en-US" w:eastAsia="en-US" w:bidi="ar-SA"/>
        </w:rPr>
        <w:t>.3.2</w:t>
      </w:r>
      <w:r>
        <w:rPr>
          <w:rFonts w:hint="eastAsia" w:asciiTheme="minorEastAsia" w:hAnsiTheme="minorEastAsia" w:eastAsiaTheme="minorEastAsia" w:cstheme="minorEastAsia"/>
          <w:b w:val="0"/>
          <w:snapToGrid w:val="0"/>
          <w:color w:val="000000"/>
          <w:spacing w:val="-8"/>
          <w:kern w:val="0"/>
          <w:sz w:val="24"/>
          <w:szCs w:val="24"/>
          <w:lang w:val="en-US" w:eastAsia="zh-CN" w:bidi="ar-SA"/>
        </w:rPr>
        <w:t xml:space="preserve"> </w:t>
      </w:r>
      <w:r>
        <w:rPr>
          <w:rFonts w:hint="eastAsia" w:asciiTheme="minorEastAsia" w:hAnsiTheme="minorEastAsia" w:eastAsiaTheme="minorEastAsia" w:cstheme="minorEastAsia"/>
          <w:b w:val="0"/>
          <w:snapToGrid w:val="0"/>
          <w:color w:val="000000"/>
          <w:spacing w:val="-8"/>
          <w:kern w:val="0"/>
          <w:sz w:val="24"/>
          <w:szCs w:val="24"/>
          <w:lang w:val="en-US" w:eastAsia="en-US" w:bidi="ar-SA"/>
        </w:rPr>
        <w:t>采购人拟采购的产品属于品目清单范围的，采购人及其委托的采购代理机构依据</w:t>
      </w:r>
      <w:r>
        <w:rPr>
          <w:rFonts w:hint="eastAsia" w:asciiTheme="minorEastAsia" w:hAnsiTheme="minorEastAsia" w:eastAsiaTheme="minorEastAsia" w:cstheme="minorEastAsia"/>
          <w:spacing w:val="-8"/>
          <w:sz w:val="24"/>
          <w:szCs w:val="24"/>
        </w:rPr>
        <w:t>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5ED8A4A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如本项目采购产品属于实施政府强制采购品目清单范围的节能产品，则投标人所报产品必须获得国家确定的认证机构出具的、处于有效期之内的节能产品认证证书，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否则投标无效；</w:t>
      </w:r>
    </w:p>
    <w:p w14:paraId="5B14100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非政府强制采购的节能产品或环境标志产品，依据品目清单和认证证书实施政府优先采购。优先采购的具体规定见第四章《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rPr>
        <w:t>评标程序、评标方法和评标标准》（如涉及）。</w:t>
      </w:r>
    </w:p>
    <w:p w14:paraId="6A713D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正版软件</w:t>
      </w:r>
    </w:p>
    <w:p w14:paraId="35FC4E9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b w:val="0"/>
          <w:snapToGrid w:val="0"/>
          <w:color w:val="000000"/>
          <w:spacing w:val="-8"/>
          <w:kern w:val="0"/>
          <w:sz w:val="24"/>
          <w:szCs w:val="24"/>
          <w:lang w:val="en-US" w:eastAsia="zh-CN" w:bidi="ar-SA"/>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HYPERLINK"https://www.baidu.com/link?url=pV2gqlWQVIfLHb2GO1RMJVp24ETQ1a_TiqQ-2CHpcULsECvXubLhLHJTcTJbIedy&amp;wd=&amp;eqid=88c7d5f9006c2d6b0000000265780e74"\t"https://www.baidu.com/_blank"</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14:paraId="50DD27D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各级政府部门在购置计算机办公设备时，必须采购预装正版操作系统</w:t>
      </w:r>
    </w:p>
    <w:p w14:paraId="67867D8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pacing w:val="-3"/>
          <w:sz w:val="24"/>
          <w:szCs w:val="24"/>
        </w:rPr>
        <w:t>（国办发〔2010〕47号）、《财政部关于进一步做好政府机关使用</w:t>
      </w:r>
      <w:r>
        <w:rPr>
          <w:rFonts w:hint="eastAsia" w:asciiTheme="minorEastAsia" w:hAnsiTheme="minorEastAsia" w:eastAsiaTheme="minorEastAsia" w:cstheme="minorEastAsia"/>
          <w:spacing w:val="-6"/>
          <w:sz w:val="24"/>
          <w:szCs w:val="24"/>
        </w:rPr>
        <w:t>正版软件工作的通知》（财预〔2010〕536号）。</w:t>
      </w:r>
    </w:p>
    <w:p w14:paraId="35C8414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5 </w:t>
      </w:r>
      <w:r>
        <w:rPr>
          <w:rFonts w:hint="eastAsia" w:asciiTheme="minorEastAsia" w:hAnsiTheme="minorEastAsia" w:eastAsiaTheme="minorEastAsia" w:cstheme="minorEastAsia"/>
          <w:spacing w:val="2"/>
          <w:sz w:val="24"/>
          <w:szCs w:val="24"/>
        </w:rPr>
        <w:t>采购需求标准</w:t>
      </w:r>
    </w:p>
    <w:p w14:paraId="1722BDF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pacing w:val="2"/>
          <w:sz w:val="24"/>
          <w:szCs w:val="24"/>
        </w:rPr>
        <w:t>.1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商品包装、快递包装政府采购需求标准（试行）</w:t>
      </w:r>
      <w:r>
        <w:rPr>
          <w:rFonts w:hint="eastAsia" w:asciiTheme="minorEastAsia" w:hAnsiTheme="minorEastAsia" w:eastAsiaTheme="minorEastAsia" w:cstheme="minorEastAsia"/>
          <w:spacing w:val="-12"/>
          <w:sz w:val="24"/>
          <w:szCs w:val="24"/>
        </w:rPr>
        <w:t>为助力打好污染防治攻坚战，推广使用绿色包装，根据财政部关于印发《商品包装政府采购需求标准（试行）》、《快递包装政府采购需求</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14:paraId="39B3BA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BE43632">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投标人</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527E7189">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054DBC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本次招标适用的法律、法规为《中华人民共和国政府采购法》《中华人民共和国政府采购法实施条例》《政府采购货物和服务招标投标管理办法》《中华人民共和国民法典》以及其他相关政府采购法律法规。</w:t>
      </w:r>
    </w:p>
    <w:p w14:paraId="70D1DE7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河南省财政厅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3A6D0D4F">
      <w:pPr>
        <w:keepNext w:val="0"/>
        <w:keepLines w:val="0"/>
        <w:pageBreakBefore w:val="0"/>
        <w:kinsoku/>
        <w:wordWrap w:val="0"/>
        <w:overflowPunct/>
        <w:topLinePunct w:val="0"/>
        <w:bidi w:val="0"/>
        <w:spacing w:line="360" w:lineRule="auto"/>
        <w:ind w:firstLine="567"/>
        <w:jc w:val="both"/>
        <w:rPr>
          <w:rFonts w:hint="eastAsia" w:eastAsia="宋体" w:asciiTheme="minorEastAsia" w:hAnsiTheme="minorEastAsia" w:cstheme="minorEastAsia"/>
          <w:sz w:val="24"/>
          <w:lang w:eastAsia="zh-CN"/>
        </w:rPr>
      </w:pPr>
      <w:r>
        <w:rPr>
          <w:rFonts w:hint="eastAsia" w:asciiTheme="minorEastAsia" w:hAnsiTheme="minorEastAsia" w:eastAsiaTheme="minorEastAsia" w:cstheme="minorEastAsia"/>
          <w:snapToGrid w:val="0"/>
          <w:color w:val="000000"/>
          <w:spacing w:val="-4"/>
          <w:kern w:val="0"/>
          <w:sz w:val="24"/>
          <w:szCs w:val="24"/>
          <w:lang w:val="en-US" w:eastAsia="zh-CN" w:bidi="ar-SA"/>
        </w:rPr>
        <w:t>6.3 “货物”指投标人按招标文件规定，须向采购人提供的与本次招标相关的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w:t>
      </w:r>
      <w:r>
        <w:rPr>
          <w:rFonts w:hint="eastAsia" w:asciiTheme="minorEastAsia" w:hAnsiTheme="minorEastAsia" w:eastAsiaTheme="minorEastAsia" w:cstheme="minorEastAsia"/>
          <w:spacing w:val="-24"/>
          <w:sz w:val="24"/>
          <w:szCs w:val="24"/>
          <w:u w:val="single"/>
          <w:lang w:eastAsia="zh-CN"/>
        </w:rPr>
        <w:t>河南省南阳市人民检察院物业服务项目</w:t>
      </w:r>
      <w:r>
        <w:rPr>
          <w:rFonts w:hint="eastAsia" w:eastAsia="宋体" w:asciiTheme="minorEastAsia" w:hAnsiTheme="minorEastAsia" w:cstheme="minorEastAsia"/>
          <w:sz w:val="24"/>
          <w:lang w:eastAsia="zh-CN"/>
        </w:rPr>
        <w:t>。</w:t>
      </w:r>
    </w:p>
    <w:p w14:paraId="537E018C">
      <w:pPr>
        <w:pStyle w:val="31"/>
        <w:keepNext w:val="0"/>
        <w:keepLines w:val="0"/>
        <w:pageBreakBefore w:val="0"/>
        <w:kinsoku/>
        <w:wordWrap w:val="0"/>
        <w:overflowPunct/>
        <w:topLinePunct w:val="0"/>
        <w:bidi w:val="0"/>
        <w:jc w:val="both"/>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7FFF0D0">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7D99C914">
      <w:pPr>
        <w:pStyle w:val="2"/>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招标文件</w:t>
      </w:r>
    </w:p>
    <w:p w14:paraId="79C2363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7.招标文件构成</w:t>
      </w:r>
    </w:p>
    <w:p w14:paraId="7698F38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招标文件包括以下部分：</w:t>
      </w:r>
    </w:p>
    <w:p w14:paraId="7C99C4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公开招标公告</w:t>
      </w:r>
    </w:p>
    <w:p w14:paraId="6D05A80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767EC704">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投标人须知</w:t>
      </w:r>
    </w:p>
    <w:p w14:paraId="51F61C97">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开、评标程序、评标方法和评标标准</w:t>
      </w:r>
    </w:p>
    <w:p w14:paraId="597CF69F">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政府采购合同（草案）</w:t>
      </w:r>
    </w:p>
    <w:p w14:paraId="677513D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投标文件格式</w:t>
      </w:r>
    </w:p>
    <w:p w14:paraId="16D5D67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投标人应认真阅读招标文件的全部内容。投标人应按照招标文件要求提交投标文件并保证所提供的全部资料的真实性，并对招标文件做出实质性响应，否则投标无效。</w:t>
      </w:r>
    </w:p>
    <w:p w14:paraId="6738368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8.对招标文件的澄清或修改</w:t>
      </w:r>
    </w:p>
    <w:p w14:paraId="3ADFB48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采购人或采购代理机构对已发出的招标文件进行必要澄清或者修改的，将在原公告发布媒体上发布更正公告，不得改变采购标的和资格条件。</w:t>
      </w:r>
    </w:p>
    <w:p w14:paraId="49F9EF0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招标文件的组成部分，并对所有获取招标文件的潜在投标人具有约束力。澄清或者修改的内容可能影响投标文件编制的，将在投标截止时间至少15日前，以书面形式（必须在原公告发布媒体上发布公告）通知所有获取招标文件的潜在投标人；不足15日的，将顺延提交投标文件的截止时间和开标时间。</w:t>
      </w:r>
    </w:p>
    <w:p w14:paraId="53C94BF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招标公告、更正公告、澄清公告、延期公告等）均在“河南省政府采购网”“南阳市公共资源交易中心网”发布，请潜在投标供应商随时查询有关公告信息。若因潜在投标供应商没有及时查看到公告信息而造成的投标失误，责任自负。</w:t>
      </w:r>
    </w:p>
    <w:p w14:paraId="52C227D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投标人应关注是否有发布最新的澄清更正公告和更正的最新招标文件（电子答疑文件），如有则需下载最新的招标文件，并在此基础上制作最新的投标文件并上传。</w:t>
      </w:r>
    </w:p>
    <w:p w14:paraId="07BA5ADF">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2A1BEE9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投标文件的编制</w:t>
      </w:r>
    </w:p>
    <w:p w14:paraId="6890849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投标范围、投标文件中计量单位的使用及投标语言</w:t>
      </w:r>
    </w:p>
    <w:p w14:paraId="4FE88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本项目如划分采购包，投标人可以对本项目的其中一个采购包进行投标，也可同时对多个采购包进行投标。投标人应当对所投采购包对应第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章《采购需求》所列的全部内容进行投标，不得将一个采购包中的内容拆分投标，否则其对该采购包的投标将被认定为无效投标。</w:t>
      </w:r>
    </w:p>
    <w:p w14:paraId="4C142B7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除招标文件有特殊要求外，本项目投标所使用的计量单位，应采用中华人民共和国法定计量单位。</w:t>
      </w:r>
    </w:p>
    <w:p w14:paraId="315F350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除专用术语外，投标文件及来往函电均应使用中文书写。必要时专用术语应附有中文解释。投标人</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624519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投标文件构成</w:t>
      </w:r>
    </w:p>
    <w:p w14:paraId="005151F4">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投标人应当按照招标文件的要求编制投标文件。投标文件应由《</w:t>
      </w:r>
      <w:r>
        <w:rPr>
          <w:rFonts w:hint="eastAsia" w:asciiTheme="minorEastAsia" w:hAnsiTheme="minorEastAsia" w:eastAsiaTheme="minorEastAsia" w:cstheme="minorEastAsia"/>
          <w:sz w:val="24"/>
          <w:szCs w:val="24"/>
          <w:lang w:eastAsia="zh-CN"/>
        </w:rPr>
        <w:t>开标一览表及资格证明文件</w:t>
      </w:r>
      <w:r>
        <w:rPr>
          <w:rFonts w:hint="eastAsia" w:asciiTheme="minorEastAsia" w:hAnsiTheme="minorEastAsia" w:eastAsiaTheme="minorEastAsia" w:cstheme="minorEastAsia"/>
          <w:sz w:val="24"/>
          <w:szCs w:val="24"/>
        </w:rPr>
        <w:t>》、《商务技术文件》两部分构成。投标文件的部分格式要求，见第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章《投标文件格式》。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评标委员会</w:t>
      </w:r>
      <w:r>
        <w:rPr>
          <w:rFonts w:hint="eastAsia" w:asciiTheme="minorEastAsia" w:hAnsiTheme="minorEastAsia" w:eastAsiaTheme="minorEastAsia" w:cstheme="minorEastAsia"/>
          <w:sz w:val="24"/>
          <w:szCs w:val="24"/>
          <w:lang w:eastAsia="zh-CN"/>
        </w:rPr>
        <w:t>认为其投标文件有明显缺陷的，造成的后果由投标人自己承担。</w:t>
      </w:r>
    </w:p>
    <w:p w14:paraId="42AC962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招标文件中标记了实质性格式文件的，投标人不得改变格式中给定的文字所表达的含义，不得删减格式中的实质性内容，不得对应当填写的空格不填写或不实质性响应，否则投标无效。未标记实质性格式的文件和招标文件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供格式的内容，可由投标人自行编写。</w:t>
      </w:r>
    </w:p>
    <w:p w14:paraId="2AC967A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文件应使用CA数字证书生成并在截止时间前上传其加密版本，</w:t>
      </w:r>
      <w:r>
        <w:rPr>
          <w:rFonts w:hint="eastAsia" w:asciiTheme="minorEastAsia" w:hAnsiTheme="minorEastAsia" w:eastAsiaTheme="minorEastAsia" w:cstheme="minorEastAsia"/>
          <w:sz w:val="24"/>
          <w:szCs w:val="24"/>
          <w:lang w:val="en-US" w:eastAsia="zh-CN"/>
        </w:rPr>
        <w:t>根据招标文件中规定的下载平台要求，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投标</w:t>
      </w:r>
      <w:r>
        <w:rPr>
          <w:rFonts w:hint="eastAsia" w:asciiTheme="minorEastAsia" w:hAnsiTheme="minorEastAsia" w:eastAsiaTheme="minorEastAsia" w:cstheme="minorEastAsia"/>
          <w:b/>
          <w:bCs/>
          <w:sz w:val="24"/>
          <w:szCs w:val="24"/>
          <w:lang w:eastAsia="zh-CN"/>
        </w:rPr>
        <w:t>文件，将被平台系统拒绝。</w:t>
      </w:r>
    </w:p>
    <w:p w14:paraId="530CF5A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10.4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rPr>
        <w:t>评标程序、评标方法和评标标准》中涉及的证明文件。</w:t>
      </w:r>
    </w:p>
    <w:p w14:paraId="3E951FA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供证明文件的，投标人应当按具体要求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486F95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6 </w:t>
      </w:r>
      <w:r>
        <w:rPr>
          <w:rFonts w:hint="eastAsia" w:asciiTheme="minorEastAsia" w:hAnsiTheme="minorEastAsia" w:eastAsiaTheme="minorEastAsia" w:cstheme="minorEastAsia"/>
          <w:sz w:val="24"/>
          <w:szCs w:val="24"/>
          <w:lang w:eastAsia="zh-CN"/>
        </w:rPr>
        <w:t>投标人编制投标文件时，涉及营业执照、资质、业绩、财务、社保、纳税及各类证书、报告等内容，必须是原件的扫描件。</w:t>
      </w:r>
    </w:p>
    <w:p w14:paraId="59EA0E1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10.7 </w:t>
      </w:r>
      <w:r>
        <w:rPr>
          <w:rFonts w:hint="eastAsia" w:asciiTheme="minorEastAsia" w:hAnsiTheme="minorEastAsia" w:eastAsiaTheme="minorEastAsia" w:cstheme="minorEastAsia"/>
          <w:sz w:val="24"/>
          <w:szCs w:val="24"/>
          <w:lang w:eastAsia="zh-CN"/>
        </w:rPr>
        <w:t>投标人认为应附的其他材料。</w:t>
      </w:r>
    </w:p>
    <w:p w14:paraId="60FCF3EA">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投标报价</w:t>
      </w:r>
    </w:p>
    <w:p w14:paraId="3A22162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所有投标均以人民币报价。</w:t>
      </w:r>
    </w:p>
    <w:p w14:paraId="605C563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投标人的报价应包括为完成本项目所发生的一切费用和税费，采购人将不再支付报价以外的任何费用。投标人的报价应包括但不限于下列内容，</w:t>
      </w:r>
      <w:r>
        <w:rPr>
          <w:rFonts w:hint="eastAsia" w:asciiTheme="minorEastAsia" w:hAnsiTheme="minorEastAsia" w:eastAsiaTheme="minorEastAsia" w:cstheme="minorEastAsia"/>
          <w:sz w:val="24"/>
          <w:szCs w:val="24"/>
          <w:lang w:val="en-US" w:eastAsia="zh-CN"/>
        </w:rPr>
        <w:t>招标文件</w:t>
      </w:r>
      <w:r>
        <w:rPr>
          <w:rFonts w:hint="eastAsia" w:asciiTheme="minorEastAsia" w:hAnsiTheme="minorEastAsia" w:eastAsiaTheme="minorEastAsia" w:cstheme="minorEastAsia"/>
          <w:sz w:val="24"/>
          <w:szCs w:val="24"/>
        </w:rPr>
        <w:t>中有特殊规定的，从其规定。</w:t>
      </w:r>
    </w:p>
    <w:p w14:paraId="3F29613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14:paraId="34AC192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按照招标文件要求完成本项目的全部相关费用。</w:t>
      </w:r>
    </w:p>
    <w:p w14:paraId="6FFB29D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采购人不得向供应商索要或者接受其给予的赠品、回扣或者与采购无关的其他商品、服务。</w:t>
      </w:r>
    </w:p>
    <w:p w14:paraId="427B664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投标人不能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供任何有选择性或可调整的报价（招标文件另有规定的除外），否则其投标无效。</w:t>
      </w:r>
    </w:p>
    <w:p w14:paraId="5A80E45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11.5 </w:t>
      </w:r>
      <w:r>
        <w:rPr>
          <w:rFonts w:hint="eastAsia" w:asciiTheme="minorEastAsia" w:hAnsiTheme="minorEastAsia" w:eastAsiaTheme="minorEastAsia" w:cstheme="minorEastAsia"/>
          <w:sz w:val="24"/>
          <w:szCs w:val="24"/>
          <w:lang w:eastAsia="zh-CN"/>
        </w:rPr>
        <w:t>本次招标设有预算，投标人报价超过预算的，评标委员会将不予评议。</w:t>
      </w:r>
    </w:p>
    <w:p w14:paraId="0139C593">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 xml:space="preserve">11.6 </w:t>
      </w:r>
      <w:r>
        <w:rPr>
          <w:rFonts w:hint="eastAsia" w:asciiTheme="minorEastAsia" w:hAnsiTheme="minorEastAsia" w:eastAsiaTheme="minorEastAsia" w:cstheme="minorEastAsia"/>
          <w:b/>
          <w:bCs/>
          <w:sz w:val="24"/>
          <w:szCs w:val="24"/>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1E092921">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投标有效期</w:t>
      </w:r>
    </w:p>
    <w:p w14:paraId="4AD1A5D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投标文件应在本招标文件《</w:t>
      </w:r>
      <w:r>
        <w:rPr>
          <w:rFonts w:hint="eastAsia" w:asciiTheme="minorEastAsia" w:hAnsiTheme="minorEastAsia" w:eastAsiaTheme="minorEastAsia" w:cstheme="minorEastAsia"/>
          <w:sz w:val="24"/>
          <w:szCs w:val="24"/>
          <w:lang w:eastAsia="zh-CN"/>
        </w:rPr>
        <w:t>投标人须知表</w:t>
      </w:r>
      <w:r>
        <w:rPr>
          <w:rFonts w:hint="eastAsia" w:asciiTheme="minorEastAsia" w:hAnsiTheme="minorEastAsia" w:eastAsiaTheme="minorEastAsia" w:cstheme="minorEastAsia"/>
          <w:sz w:val="24"/>
          <w:szCs w:val="24"/>
        </w:rPr>
        <w:t>》中规定的投标有效期内保持有效，投标有效期少于招标文件规定期限的，其投标无效。</w:t>
      </w:r>
      <w:r>
        <w:rPr>
          <w:rFonts w:hint="eastAsia" w:asciiTheme="minorEastAsia" w:hAnsiTheme="minorEastAsia" w:eastAsiaTheme="minorEastAsia" w:cstheme="minorEastAsia"/>
          <w:sz w:val="24"/>
          <w:szCs w:val="24"/>
          <w:lang w:eastAsia="zh-CN"/>
        </w:rPr>
        <w:t>中标人的投标有效期延长至项目验收合格之日。</w:t>
      </w:r>
    </w:p>
    <w:p w14:paraId="6E3C227E">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特别情况下，</w:t>
      </w:r>
      <w:r>
        <w:rPr>
          <w:rFonts w:hint="eastAsia" w:asciiTheme="minorEastAsia" w:hAnsiTheme="minorEastAsia" w:eastAsiaTheme="minorEastAsia" w:cstheme="minorEastAsia"/>
          <w:sz w:val="24"/>
          <w:szCs w:val="24"/>
          <w:lang w:val="en-US" w:eastAsia="zh-CN"/>
        </w:rPr>
        <w:t>采购代理机构</w:t>
      </w:r>
      <w:r>
        <w:rPr>
          <w:rFonts w:hint="eastAsia" w:asciiTheme="minorEastAsia" w:hAnsiTheme="minorEastAsia" w:eastAsiaTheme="minorEastAsia" w:cstheme="minorEastAsia"/>
          <w:sz w:val="24"/>
          <w:szCs w:val="24"/>
          <w:lang w:eastAsia="zh-CN"/>
        </w:rPr>
        <w:t>、采购人可于投标有效期满之前要求投标人同意延长有效期，要求与答复均为书面形式。投标人可以拒绝上述要求。对于同意该要求的投标人，既不要求也不允许其修改投标文件。</w:t>
      </w:r>
    </w:p>
    <w:p w14:paraId="6D270E4D">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rPr>
        <w:t>投标文件的签署、盖章</w:t>
      </w:r>
    </w:p>
    <w:p w14:paraId="7DC2E2D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投标</w:t>
      </w:r>
      <w:r>
        <w:rPr>
          <w:rFonts w:hint="eastAsia" w:asciiTheme="minorEastAsia" w:hAnsiTheme="minorEastAsia" w:eastAsiaTheme="minorEastAsia" w:cstheme="minorEastAsia"/>
          <w:sz w:val="24"/>
          <w:szCs w:val="24"/>
          <w:lang w:eastAsia="zh-CN"/>
        </w:rPr>
        <w:t>文件必须在规定签章处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手写签字后扫描上传进投标文件。</w:t>
      </w:r>
    </w:p>
    <w:p w14:paraId="3E4E934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招标文件要求盖章的内容，一般通过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07AC238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41B6154C">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投标文件的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A5A4EF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rPr>
        <w:t>投标文件的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557C001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投标文件的提交是指使用南阳市公共资源交易中心网上交易系统在投标截止时间前完成制作软件生成的加密电子投标文件的上传。未在投标截止时间前完成上传的，视为逾期提交。逾期提交的投标文件，招标人不予受理。</w:t>
      </w:r>
    </w:p>
    <w:p w14:paraId="4D0C562E">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采购人及采购代理机构拒绝接受通过电子交易平台以外任何形式提交的投标文件。</w:t>
      </w:r>
    </w:p>
    <w:p w14:paraId="09A2A10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15.投标截止时间</w:t>
      </w:r>
    </w:p>
    <w:p w14:paraId="6FD129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3"/>
          <w:kern w:val="0"/>
          <w:sz w:val="24"/>
          <w:szCs w:val="24"/>
          <w:lang w:val="en-US" w:eastAsia="zh-CN" w:bidi="ar-SA"/>
        </w:rPr>
        <w:t>投标人应在招标文件要求的投标文件截止时间前，将电子投标文件提交至电</w:t>
      </w:r>
      <w:r>
        <w:rPr>
          <w:rFonts w:hint="eastAsia" w:asciiTheme="minorEastAsia" w:hAnsiTheme="minorEastAsia" w:eastAsiaTheme="minorEastAsia" w:cstheme="minorEastAsia"/>
          <w:spacing w:val="-9"/>
          <w:sz w:val="24"/>
          <w:szCs w:val="24"/>
        </w:rPr>
        <w:t>子交易平台。</w:t>
      </w:r>
    </w:p>
    <w:p w14:paraId="4AB2483A">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6.</w:t>
      </w:r>
      <w:r>
        <w:rPr>
          <w:rFonts w:hint="eastAsia" w:asciiTheme="minorEastAsia" w:hAnsiTheme="minorEastAsia" w:eastAsiaTheme="minorEastAsia" w:cstheme="minorEastAsia"/>
          <w:b/>
          <w:bCs/>
          <w:spacing w:val="-1"/>
          <w:sz w:val="24"/>
          <w:szCs w:val="24"/>
        </w:rPr>
        <w:t>投标文件的修改与撤回</w:t>
      </w:r>
    </w:p>
    <w:p w14:paraId="17430D3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16.1 在招标文件规定的投标截止时间前，投标人可以修改或撤回已上传的电子投标文件，最终电子投标文件以投标截止时间前完成上传至南阳市电子交易平台系统最后一份解密投标文件为准。投标截止时间之后，投标人不得修改或撤回电子投标文件。</w:t>
      </w:r>
    </w:p>
    <w:p w14:paraId="7EA9C3B1">
      <w:pPr>
        <w:pStyle w:val="2"/>
        <w:keepNext w:val="0"/>
        <w:keepLines w:val="0"/>
        <w:pageBreakBefore w:val="0"/>
        <w:kinsoku/>
        <w:wordWrap w:val="0"/>
        <w:overflowPunct/>
        <w:topLinePunct w:val="0"/>
        <w:bidi w:val="0"/>
        <w:spacing w:before="353" w:line="219" w:lineRule="auto"/>
        <w:jc w:val="both"/>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94109A0">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B186C96">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A3FE142">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FAAA961">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AB025EC">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24208A4">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5868C47">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D6A4422">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2B0FD146">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0F4F971">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5C485F4">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367669">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51D765F">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DBBBD8D">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FB11AAB">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898764E">
      <w:pPr>
        <w:pStyle w:val="2"/>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评标程序、评标方法和评标标准</w:t>
      </w:r>
    </w:p>
    <w:p w14:paraId="4AC40E87">
      <w:pPr>
        <w:pStyle w:val="2"/>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56F54493">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14D4B55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1.采购人或采购代理机构按招标公告中规定的时间开标，本项目使用不见面开标，投标人无需到开标现场。</w:t>
      </w:r>
    </w:p>
    <w:p w14:paraId="7EDD4E7F">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299536B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投标人解密：投标人制作电子投标文件时，必须使用本单位企业数字证书进行加密，投标人在开标前须自行检查数字证书的有效性。在解密时间到达后，系统做出解密提示，请各投标人自行解密即可。开标解密时未在规定时间（30分钟）内进行解密的视为撤销其投标文件（因电子开标系统原因除外）。</w:t>
      </w:r>
    </w:p>
    <w:p w14:paraId="18639A3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投标人查看，如无异议视为同意）。招标（采购）人、监督人员需要关注开标过程中，投标人随时在线提出的异议、问题沟通等信息，并及时做好答复工作。</w:t>
      </w:r>
    </w:p>
    <w:p w14:paraId="3C177BC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DFD1E7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4C1B8AC9">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009869BB">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1.开标结束后，采购人或采购代理机构将根据资格审查要求中的规定，对投标人进行资格审查，并形成资格审查结果。</w:t>
      </w:r>
    </w:p>
    <w:p w14:paraId="2763BB6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2.投标人《资格证明文件》有任何一项不符合《资格审查要求》的，资格审查不合格，其投标无效。</w:t>
      </w:r>
    </w:p>
    <w:p w14:paraId="40E6DD3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3.资格审查合格的投标人不足3家的，不进行评标。</w:t>
      </w:r>
    </w:p>
    <w:p w14:paraId="4D1DB8CF">
      <w:pPr>
        <w:pStyle w:val="31"/>
        <w:rPr>
          <w:rFonts w:hint="eastAsia"/>
          <w:lang w:val="en-US" w:eastAsia="zh-CN"/>
        </w:rPr>
      </w:pPr>
    </w:p>
    <w:p w14:paraId="68CA1E7A">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3D379B8">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3C22A52">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139A113">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78FA0ECE">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6D02667B">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07FA2419">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7BCC665">
      <w:pPr>
        <w:pStyle w:val="2"/>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04BE9BB">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32"/>
        <w:tblW w:w="835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61"/>
        <w:gridCol w:w="3600"/>
        <w:gridCol w:w="2967"/>
      </w:tblGrid>
      <w:tr w14:paraId="45067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14:paraId="39DD36FA">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1" w:type="dxa"/>
            <w:vAlign w:val="top"/>
          </w:tcPr>
          <w:p w14:paraId="4D3233B6">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3600" w:type="dxa"/>
            <w:vAlign w:val="top"/>
          </w:tcPr>
          <w:p w14:paraId="79875504">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2967" w:type="dxa"/>
            <w:vAlign w:val="top"/>
          </w:tcPr>
          <w:p w14:paraId="1477F815">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76E442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4" w:hRule="atLeast"/>
        </w:trPr>
        <w:tc>
          <w:tcPr>
            <w:tcW w:w="729" w:type="dxa"/>
            <w:vAlign w:val="center"/>
          </w:tcPr>
          <w:p w14:paraId="61070C0A">
            <w:pPr>
              <w:pStyle w:val="33"/>
              <w:keepNext w:val="0"/>
              <w:keepLines w:val="0"/>
              <w:pageBreakBefore w:val="0"/>
              <w:kinsoku/>
              <w:wordWrap w:val="0"/>
              <w:overflowPunct/>
              <w:topLinePunct w:val="0"/>
              <w:bidi w:val="0"/>
              <w:spacing w:line="454" w:lineRule="auto"/>
              <w:jc w:val="both"/>
              <w:rPr>
                <w:rFonts w:hint="eastAsia" w:asciiTheme="minorEastAsia" w:hAnsiTheme="minorEastAsia" w:eastAsiaTheme="minorEastAsia" w:cstheme="minorEastAsia"/>
              </w:rPr>
            </w:pPr>
          </w:p>
          <w:p w14:paraId="1E3621D3">
            <w:pPr>
              <w:pStyle w:val="33"/>
              <w:keepNext w:val="0"/>
              <w:keepLines w:val="0"/>
              <w:pageBreakBefore w:val="0"/>
              <w:kinsoku/>
              <w:wordWrap w:val="0"/>
              <w:overflowPunct/>
              <w:topLinePunct w:val="0"/>
              <w:bidi w:val="0"/>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1" w:type="dxa"/>
            <w:vAlign w:val="center"/>
          </w:tcPr>
          <w:p w14:paraId="21B78BBF">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投标人具备的</w:t>
            </w:r>
            <w:r>
              <w:rPr>
                <w:rFonts w:hint="eastAsia" w:asciiTheme="minorEastAsia" w:hAnsiTheme="minorEastAsia" w:eastAsiaTheme="minorEastAsia" w:cstheme="minorEastAsia"/>
                <w:spacing w:val="-2"/>
                <w:sz w:val="24"/>
                <w:szCs w:val="24"/>
              </w:rPr>
              <w:t>资格要求</w:t>
            </w:r>
          </w:p>
        </w:tc>
        <w:tc>
          <w:tcPr>
            <w:tcW w:w="3600" w:type="dxa"/>
            <w:vAlign w:val="top"/>
          </w:tcPr>
          <w:p w14:paraId="11A44CB4">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14:paraId="039E821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14:paraId="1164C33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14:paraId="16E81B69">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14:paraId="60BFBEB7">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w:t>
            </w:r>
            <w:r>
              <w:rPr>
                <w:rFonts w:hint="eastAsia" w:asciiTheme="minorEastAsia" w:hAnsiTheme="minorEastAsia" w:eastAsiaTheme="minorEastAsia" w:cstheme="minorEastAsia"/>
                <w:snapToGrid w:val="0"/>
                <w:color w:val="000000"/>
                <w:spacing w:val="-14"/>
                <w:kern w:val="0"/>
                <w:sz w:val="24"/>
                <w:szCs w:val="24"/>
                <w:lang w:val="en-US" w:eastAsia="zh-CN" w:bidi="ar-SA"/>
              </w:rPr>
              <w:t>参加政府采购活动前三年内，在经营活动中没有重大违法记录；</w:t>
            </w:r>
          </w:p>
          <w:p w14:paraId="5B0B1100">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412A40CA">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7.遵守国家有关法律、法规、规章。</w:t>
            </w:r>
          </w:p>
        </w:tc>
        <w:tc>
          <w:tcPr>
            <w:tcW w:w="2967" w:type="dxa"/>
            <w:vAlign w:val="top"/>
          </w:tcPr>
          <w:p w14:paraId="4F776756">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投标人为企业（包括合伙企业、个体工商户）的，应提供有效的营业执照；</w:t>
            </w:r>
          </w:p>
          <w:p w14:paraId="44724EB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投标人为事业单位的，应提供有效的事业单位法人证书；</w:t>
            </w:r>
          </w:p>
          <w:p w14:paraId="6B81B4E9">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投标人是非企业机构的，应提供有效的执业许可证、登记证书等证明文件；</w:t>
            </w:r>
          </w:p>
          <w:p w14:paraId="70B7593B">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投标人是自然人的，应提供有效的自然人身份证明。</w:t>
            </w:r>
          </w:p>
          <w:p w14:paraId="1CA8150D">
            <w:pPr>
              <w:keepNext w:val="0"/>
              <w:keepLines w:val="0"/>
              <w:pageBreakBefore w:val="0"/>
              <w:kinsoku/>
              <w:wordWrap w:val="0"/>
              <w:overflowPunct/>
              <w:topLinePunct w:val="0"/>
              <w:bidi w:val="0"/>
              <w:spacing w:before="32" w:line="232" w:lineRule="auto"/>
              <w:ind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r w14:paraId="5E0C77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14:paraId="0649D8A0">
            <w:pPr>
              <w:pStyle w:val="33"/>
              <w:keepNext w:val="0"/>
              <w:keepLines w:val="0"/>
              <w:pageBreakBefore w:val="0"/>
              <w:kinsoku/>
              <w:wordWrap w:val="0"/>
              <w:overflowPunct/>
              <w:topLinePunct w:val="0"/>
              <w:bidi w:val="0"/>
              <w:spacing w:before="137" w:line="201" w:lineRule="auto"/>
              <w:ind w:left="2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61" w:type="dxa"/>
            <w:vAlign w:val="top"/>
          </w:tcPr>
          <w:p w14:paraId="26B03830">
            <w:pPr>
              <w:keepNext w:val="0"/>
              <w:keepLines w:val="0"/>
              <w:pageBreakBefore w:val="0"/>
              <w:kinsoku/>
              <w:wordWrap w:val="0"/>
              <w:overflowPunct/>
              <w:topLinePunct w:val="0"/>
              <w:bidi w:val="0"/>
              <w:spacing w:before="116" w:line="221" w:lineRule="auto"/>
              <w:ind w:lef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3600" w:type="dxa"/>
            <w:vAlign w:val="top"/>
          </w:tcPr>
          <w:p w14:paraId="5AB63DB1">
            <w:pPr>
              <w:keepNext w:val="0"/>
              <w:keepLines w:val="0"/>
              <w:pageBreakBefore w:val="0"/>
              <w:kinsoku/>
              <w:wordWrap w:val="0"/>
              <w:overflowPunct/>
              <w:topLinePunct w:val="0"/>
              <w:bidi w:val="0"/>
              <w:spacing w:before="116" w:line="219" w:lineRule="auto"/>
              <w:ind w:left="11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公开招标公告</w:t>
            </w:r>
            <w:r>
              <w:rPr>
                <w:rFonts w:hint="eastAsia" w:asciiTheme="minorEastAsia" w:hAnsiTheme="minorEastAsia" w:eastAsiaTheme="minorEastAsia" w:cstheme="minorEastAsia"/>
                <w:spacing w:val="-2"/>
                <w:sz w:val="24"/>
                <w:szCs w:val="24"/>
              </w:rPr>
              <w:t>》</w:t>
            </w:r>
          </w:p>
        </w:tc>
        <w:tc>
          <w:tcPr>
            <w:tcW w:w="2967" w:type="dxa"/>
            <w:vAlign w:val="top"/>
          </w:tcPr>
          <w:p w14:paraId="62C5FBCB">
            <w:pPr>
              <w:pStyle w:val="33"/>
              <w:keepNext w:val="0"/>
              <w:keepLines w:val="0"/>
              <w:pageBreakBefore w:val="0"/>
              <w:kinsoku/>
              <w:wordWrap w:val="0"/>
              <w:overflowPunct/>
              <w:topLinePunct w:val="0"/>
              <w:bidi w:val="0"/>
              <w:jc w:val="both"/>
              <w:rPr>
                <w:rFonts w:hint="eastAsia" w:asciiTheme="minorEastAsia" w:hAnsiTheme="minorEastAsia" w:eastAsiaTheme="minorEastAsia" w:cstheme="minorEastAsia"/>
              </w:rPr>
            </w:pPr>
          </w:p>
        </w:tc>
      </w:tr>
    </w:tbl>
    <w:p w14:paraId="42FABAFA">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3B96C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三、评标委员会</w:t>
      </w:r>
    </w:p>
    <w:p w14:paraId="484A768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采购人、采购代理机构将根据《中华人民共和国政府采购法》的规定和招标采购项目的特点组建评标委员会，评标委员会由采购人代表和评审专家组成，成员人数应当为5人以上单数，其中评审专家不得少于成员总数的三分之二。采购预算金额在1000万元以上的或者技术复杂或者社会影响较大的采购项目，评标委员会成员人数应当为7人以上单数。</w:t>
      </w:r>
    </w:p>
    <w:p w14:paraId="0DCB6E5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采购人应当从省级以上财政部门设立的政府采购评审专家库，通过随机方式抽取专家。对技术复杂、专业性强的采购项目，通过随机方式难以确定合适评审专家的，经主管预算单位同意，采购人可以自行选定相应领域的评审专家。但在中标结果公告评审专家名单时，对自行选定的评审专家做出标注。</w:t>
      </w:r>
    </w:p>
    <w:p w14:paraId="41F1E3D5">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3.评标委员会应当严格遵守评审纪律，现场签订评审委员会评审承诺书，并按照客观、公正、审慎的原则，根据采购文件规定的评审程序、评审方法和评审标准进行独立评审。</w:t>
      </w:r>
    </w:p>
    <w:p w14:paraId="657D7F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4.评标委员会应当在评审报告上签字，对自己评审意见承担法律责任。</w:t>
      </w:r>
    </w:p>
    <w:p w14:paraId="18D508B7">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5.评审专家未完成评审工作擅自离开评审现场，或者在评审活动中有违法违规行为的，不得获取劳务报酬和报销异地评审差旅费。评审专家以外的其他人员不得获取评审劳务报酬。</w:t>
      </w:r>
    </w:p>
    <w:p w14:paraId="6372CE68">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383C2661">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7.评标委员会或者其成员存在下列情形导致评标结果无效的，采购人、采购代理机构可以重新组建评标委员会进行评标，并书面报告本级财政部门，但采购合同已经履行的除外：</w:t>
      </w:r>
    </w:p>
    <w:p w14:paraId="28839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（1）评标委员会组成不符合本办法规定的;</w:t>
      </w:r>
    </w:p>
    <w:p w14:paraId="3D528E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712CB6B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（3）评标委员会及其成员独立评标受到非法干预的;</w:t>
      </w:r>
    </w:p>
    <w:p w14:paraId="12A108D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308B0F6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有违法违规行为的原评标委员会成员不得参加重新组建的评标委员会。</w:t>
      </w:r>
    </w:p>
    <w:p w14:paraId="46C170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8.评审活动结束，按照《河南省政府采购评审专家劳务报酬支付标准》的通知(豫财购〔2017〕9号)的规定，发放劳务报酬。</w:t>
      </w:r>
    </w:p>
    <w:p w14:paraId="5055EB7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12482C15">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1705973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四、投标文件的审查</w:t>
      </w:r>
    </w:p>
    <w:p w14:paraId="3CDB697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投标文件的符合性审查</w:t>
      </w:r>
    </w:p>
    <w:p w14:paraId="048F032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评标委员会对资格审查合格的投标人的投标文件进行符合性审查，以确定</w:t>
      </w:r>
      <w:r>
        <w:rPr>
          <w:rFonts w:hint="eastAsia" w:asciiTheme="minorEastAsia" w:hAnsiTheme="minorEastAsia" w:eastAsiaTheme="minorEastAsia" w:cstheme="minorEastAsia"/>
          <w:spacing w:val="2"/>
          <w:position w:val="17"/>
          <w:sz w:val="24"/>
          <w:szCs w:val="24"/>
          <w:lang w:val="en-US" w:eastAsia="zh-CN"/>
        </w:rPr>
        <w:t>其</w:t>
      </w:r>
      <w:r>
        <w:rPr>
          <w:rFonts w:hint="eastAsia" w:asciiTheme="minorEastAsia" w:hAnsiTheme="minorEastAsia" w:eastAsiaTheme="minorEastAsia" w:cstheme="minorEastAsia"/>
          <w:spacing w:val="2"/>
          <w:position w:val="17"/>
          <w:sz w:val="24"/>
          <w:szCs w:val="24"/>
        </w:rPr>
        <w:t>是否满足招标文件的实质性要求。</w:t>
      </w:r>
    </w:p>
    <w:p w14:paraId="2E914D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要求的，投标无效。</w:t>
      </w:r>
    </w:p>
    <w:p w14:paraId="3280C50B">
      <w:pPr>
        <w:pStyle w:val="2"/>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651FB964">
      <w:pPr>
        <w:pStyle w:val="2"/>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395EE62E">
      <w:pPr>
        <w:pStyle w:val="2"/>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2E1B8CE8">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32"/>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6189F4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168D0C8D">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0AD959C3">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CE69F19">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C327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13B8B765">
            <w:pPr>
              <w:pStyle w:val="33"/>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top"/>
          </w:tcPr>
          <w:p w14:paraId="4B6DFF64">
            <w:pPr>
              <w:keepNext w:val="0"/>
              <w:keepLines w:val="0"/>
              <w:pageBreakBefore w:val="0"/>
              <w:kinsoku/>
              <w:wordWrap w:val="0"/>
              <w:overflowPunct/>
              <w:topLinePunct w:val="0"/>
              <w:bidi w:val="0"/>
              <w:spacing w:before="222" w:line="219" w:lineRule="auto"/>
              <w:ind w:left="11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1F82B5C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按招标文件要求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687E5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4ABBBF8A">
            <w:pPr>
              <w:pStyle w:val="33"/>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48069772">
            <w:pPr>
              <w:keepNext w:val="0"/>
              <w:keepLines w:val="0"/>
              <w:pageBreakBefore w:val="0"/>
              <w:kinsoku/>
              <w:wordWrap w:val="0"/>
              <w:overflowPunct/>
              <w:topLinePunct w:val="0"/>
              <w:bidi w:val="0"/>
              <w:spacing w:before="223" w:line="220"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投标完整性</w:t>
            </w:r>
          </w:p>
        </w:tc>
        <w:tc>
          <w:tcPr>
            <w:tcW w:w="5791" w:type="dxa"/>
            <w:vAlign w:val="center"/>
          </w:tcPr>
          <w:p w14:paraId="7874CFB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未将一个采购包中的内容拆分投标；</w:t>
            </w:r>
          </w:p>
          <w:p w14:paraId="647B1C38">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投标人对所投招标文件中所列的所有内容进行投标。</w:t>
            </w:r>
          </w:p>
        </w:tc>
      </w:tr>
      <w:tr w14:paraId="1F27DA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6C80B003">
            <w:pPr>
              <w:pStyle w:val="33"/>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top"/>
          </w:tcPr>
          <w:p w14:paraId="162DFF7B">
            <w:pPr>
              <w:keepNext w:val="0"/>
              <w:keepLines w:val="0"/>
              <w:pageBreakBefore w:val="0"/>
              <w:kinsoku/>
              <w:wordWrap w:val="0"/>
              <w:overflowPunct/>
              <w:topLinePunct w:val="0"/>
              <w:bidi w:val="0"/>
              <w:spacing w:before="221" w:line="219"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投标报价</w:t>
            </w:r>
          </w:p>
        </w:tc>
        <w:tc>
          <w:tcPr>
            <w:tcW w:w="5791" w:type="dxa"/>
            <w:vAlign w:val="top"/>
          </w:tcPr>
          <w:p w14:paraId="2B723B37">
            <w:pPr>
              <w:pStyle w:val="33"/>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投标报价未超过招标文件中规定的项目/采购包预算金额或者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21C00D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02BC5691">
            <w:pPr>
              <w:pStyle w:val="33"/>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top"/>
          </w:tcPr>
          <w:p w14:paraId="5C67DC66">
            <w:pPr>
              <w:keepNext w:val="0"/>
              <w:keepLines w:val="0"/>
              <w:pageBreakBefore w:val="0"/>
              <w:kinsoku/>
              <w:wordWrap w:val="0"/>
              <w:overflowPunct/>
              <w:topLinePunct w:val="0"/>
              <w:bidi w:val="0"/>
              <w:spacing w:before="223"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320F8272">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投标文件未出现可选择性或可调整的报价（招标文件另有规定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4EDCF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3FE03373">
            <w:pPr>
              <w:pStyle w:val="33"/>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top"/>
          </w:tcPr>
          <w:p w14:paraId="15DE9A7C">
            <w:pPr>
              <w:keepNext w:val="0"/>
              <w:keepLines w:val="0"/>
              <w:pageBreakBefore w:val="0"/>
              <w:kinsoku/>
              <w:wordWrap w:val="0"/>
              <w:overflowPunct/>
              <w:topLinePunct w:val="0"/>
              <w:bidi w:val="0"/>
              <w:spacing w:before="222" w:line="221" w:lineRule="auto"/>
              <w:ind w:left="1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投标有效期</w:t>
            </w:r>
          </w:p>
        </w:tc>
        <w:tc>
          <w:tcPr>
            <w:tcW w:w="5791" w:type="dxa"/>
            <w:vAlign w:val="top"/>
          </w:tcPr>
          <w:p w14:paraId="7428D941">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投标文件中承诺的投标有效期满足招标文件中载明的投标有效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54E172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C8A29C0">
            <w:pPr>
              <w:pStyle w:val="33"/>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top"/>
          </w:tcPr>
          <w:p w14:paraId="3A670216">
            <w:pPr>
              <w:keepNext w:val="0"/>
              <w:keepLines w:val="0"/>
              <w:pageBreakBefore w:val="0"/>
              <w:kinsoku/>
              <w:wordWrap w:val="0"/>
              <w:overflowPunct/>
              <w:topLinePunct w:val="0"/>
              <w:bidi w:val="0"/>
              <w:spacing w:before="224" w:line="220"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46C709B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实质性格式的文件均按招标文件要求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031AA7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3F8F989">
            <w:pPr>
              <w:pStyle w:val="33"/>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top"/>
          </w:tcPr>
          <w:p w14:paraId="766CCC69">
            <w:pPr>
              <w:keepNext w:val="0"/>
              <w:keepLines w:val="0"/>
              <w:pageBreakBefore w:val="0"/>
              <w:kinsoku/>
              <w:wordWrap w:val="0"/>
              <w:overflowPunct/>
              <w:topLinePunct w:val="0"/>
              <w:bidi w:val="0"/>
              <w:spacing w:before="72" w:line="230" w:lineRule="auto"/>
              <w:ind w:left="112" w:right="123" w:hanging="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报价的修正（如</w:t>
            </w:r>
            <w:r>
              <w:rPr>
                <w:rFonts w:hint="eastAsia" w:asciiTheme="minorEastAsia" w:hAnsiTheme="minorEastAsia" w:eastAsiaTheme="minorEastAsia" w:cstheme="minorEastAsia"/>
                <w:spacing w:val="-7"/>
                <w:sz w:val="24"/>
                <w:szCs w:val="24"/>
              </w:rPr>
              <w:t>有）</w:t>
            </w:r>
          </w:p>
        </w:tc>
        <w:tc>
          <w:tcPr>
            <w:tcW w:w="5791" w:type="dxa"/>
            <w:vAlign w:val="top"/>
          </w:tcPr>
          <w:p w14:paraId="0A6D0427">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不涉及报价修正，或投标文件报价出现前后不一致时，投标人</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5232B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1AEC28BD">
            <w:pPr>
              <w:pStyle w:val="33"/>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1F119847">
            <w:pPr>
              <w:pStyle w:val="33"/>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top"/>
          </w:tcPr>
          <w:p w14:paraId="632FF2DD">
            <w:pPr>
              <w:pStyle w:val="33"/>
              <w:keepNext w:val="0"/>
              <w:keepLines w:val="0"/>
              <w:pageBreakBefore w:val="0"/>
              <w:kinsoku/>
              <w:wordWrap w:val="0"/>
              <w:overflowPunct/>
              <w:topLinePunct w:val="0"/>
              <w:bidi w:val="0"/>
              <w:spacing w:line="271" w:lineRule="auto"/>
              <w:jc w:val="both"/>
              <w:rPr>
                <w:rFonts w:hint="eastAsia" w:asciiTheme="minorEastAsia" w:hAnsiTheme="minorEastAsia" w:eastAsiaTheme="minorEastAsia" w:cstheme="minorEastAsia"/>
              </w:rPr>
            </w:pPr>
          </w:p>
          <w:p w14:paraId="25C14A21">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9D75389">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报价合理，或投标人的报价明显低于其他通过符合性审查投标人的报价，有可能影响产品质量或者不能诚信履约的，能够应</w:t>
            </w:r>
            <w:r>
              <w:rPr>
                <w:rFonts w:hint="eastAsia" w:asciiTheme="minorEastAsia" w:hAnsiTheme="minorEastAsia" w:eastAsiaTheme="minorEastAsia" w:cstheme="minorEastAsia"/>
                <w:spacing w:val="-3"/>
                <w:sz w:val="24"/>
                <w:szCs w:val="24"/>
              </w:rPr>
              <w:t>评标委员会要求在规定时间内证明其报价合理性的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4EC799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1C321564">
            <w:pPr>
              <w:pStyle w:val="33"/>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top"/>
          </w:tcPr>
          <w:p w14:paraId="4D65D5C9">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交货时间</w:t>
            </w:r>
          </w:p>
          <w:p w14:paraId="20BDE7E7">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2512D1CF">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504BB6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6DED775D">
            <w:pPr>
              <w:pStyle w:val="33"/>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29F5B41E">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2"/>
                <w:sz w:val="24"/>
                <w:szCs w:val="24"/>
                <w:lang w:val="en-US" w:eastAsia="zh-CN"/>
              </w:rPr>
              <w:t>质保期</w:t>
            </w:r>
          </w:p>
          <w:p w14:paraId="6D621457">
            <w:pPr>
              <w:keepNext w:val="0"/>
              <w:keepLines w:val="0"/>
              <w:pageBreakBefore w:val="0"/>
              <w:kinsoku/>
              <w:wordWrap w:val="0"/>
              <w:overflowPunct/>
              <w:topLinePunct w:val="0"/>
              <w:bidi w:val="0"/>
              <w:spacing w:before="78" w:line="219" w:lineRule="auto"/>
              <w:ind w:left="11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62C9F2E7">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F255A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6F1B215B">
            <w:pPr>
              <w:pStyle w:val="33"/>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4F1E8B33">
            <w:pPr>
              <w:pStyle w:val="33"/>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top"/>
          </w:tcPr>
          <w:p w14:paraId="0C75D6D8">
            <w:pPr>
              <w:pStyle w:val="33"/>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51BDD5F0">
            <w:pPr>
              <w:keepNext w:val="0"/>
              <w:keepLines w:val="0"/>
              <w:pageBreakBefore w:val="0"/>
              <w:kinsoku/>
              <w:wordWrap w:val="0"/>
              <w:overflowPunct/>
              <w:topLinePunct w:val="0"/>
              <w:bidi w:val="0"/>
              <w:spacing w:before="78" w:line="220" w:lineRule="auto"/>
              <w:ind w:left="12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1522C2A1">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投标人遵循公平竞争的原则，不存在恶意串通，妨碍其他投标人的竞争行为，不存在损害采购人或者其他投标人的合法权益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6DFFB7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229F6A6D">
            <w:pPr>
              <w:pStyle w:val="33"/>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3D0892ED">
            <w:pPr>
              <w:pStyle w:val="33"/>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03C195C0">
            <w:pPr>
              <w:pStyle w:val="33"/>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71DEE443">
            <w:pPr>
              <w:pStyle w:val="33"/>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top"/>
          </w:tcPr>
          <w:p w14:paraId="4D8C2CDF">
            <w:pPr>
              <w:pStyle w:val="33"/>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17A63A4C">
            <w:pPr>
              <w:pStyle w:val="33"/>
              <w:keepNext w:val="0"/>
              <w:keepLines w:val="0"/>
              <w:pageBreakBefore w:val="0"/>
              <w:kinsoku/>
              <w:wordWrap w:val="0"/>
              <w:overflowPunct/>
              <w:topLinePunct w:val="0"/>
              <w:bidi w:val="0"/>
              <w:spacing w:line="296" w:lineRule="auto"/>
              <w:jc w:val="both"/>
              <w:rPr>
                <w:rFonts w:hint="eastAsia" w:asciiTheme="minorEastAsia" w:hAnsiTheme="minorEastAsia" w:eastAsiaTheme="minorEastAsia" w:cstheme="minorEastAsia"/>
              </w:rPr>
            </w:pPr>
          </w:p>
          <w:p w14:paraId="5F75363B">
            <w:pPr>
              <w:pStyle w:val="33"/>
              <w:keepNext w:val="0"/>
              <w:keepLines w:val="0"/>
              <w:pageBreakBefore w:val="0"/>
              <w:kinsoku/>
              <w:wordWrap w:val="0"/>
              <w:overflowPunct/>
              <w:topLinePunct w:val="0"/>
              <w:bidi w:val="0"/>
              <w:spacing w:line="297" w:lineRule="auto"/>
              <w:jc w:val="both"/>
              <w:rPr>
                <w:rFonts w:hint="eastAsia" w:asciiTheme="minorEastAsia" w:hAnsiTheme="minorEastAsia" w:eastAsiaTheme="minorEastAsia" w:cstheme="minorEastAsia"/>
              </w:rPr>
            </w:pPr>
          </w:p>
          <w:p w14:paraId="2AF5C095">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Merge w:val="restart"/>
            <w:vAlign w:val="top"/>
          </w:tcPr>
          <w:p w14:paraId="34E06A5E">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一）不同投标人的投标文件由同一单位或者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二）不同投标人委托同一单位或者个人办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三）不同投标人的投标文件载明的项目管理成员或者联系人员为同一人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四）不同投标人的投标文件异常一</w:t>
            </w:r>
            <w:r>
              <w:rPr>
                <w:rFonts w:hint="eastAsia" w:asciiTheme="minorEastAsia" w:hAnsiTheme="minorEastAsia" w:eastAsiaTheme="minorEastAsia" w:cstheme="minorEastAsia"/>
                <w:spacing w:val="-7"/>
                <w:sz w:val="24"/>
                <w:szCs w:val="24"/>
              </w:rPr>
              <w:t>致或者投标</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五）不同投标人的投标文件相互混装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不同投标人的投标保证金从同一单位或者个人的账户转出；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rPr>
              <w:t>投标人</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7193D909">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）不同供应商的电子投标（响应）文件上传的计算机网卡MAC地址、CPU序列号和硬盘序列号等硬件信息相同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）不同供应商的投标（响应）文件内容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）不同供应商投标</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79074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2" w:hRule="atLeast"/>
        </w:trPr>
        <w:tc>
          <w:tcPr>
            <w:tcW w:w="685" w:type="dxa"/>
            <w:vAlign w:val="top"/>
          </w:tcPr>
          <w:p w14:paraId="5EC27CB6">
            <w:pPr>
              <w:pStyle w:val="33"/>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pacing w:val="5"/>
                <w:sz w:val="24"/>
                <w:szCs w:val="24"/>
                <w:lang w:val="en-US" w:eastAsia="zh-CN"/>
              </w:rPr>
            </w:pPr>
          </w:p>
        </w:tc>
        <w:tc>
          <w:tcPr>
            <w:tcW w:w="1812" w:type="dxa"/>
            <w:vAlign w:val="top"/>
          </w:tcPr>
          <w:p w14:paraId="4B442EF2">
            <w:pPr>
              <w:keepNext w:val="0"/>
              <w:keepLines w:val="0"/>
              <w:pageBreakBefore w:val="0"/>
              <w:kinsoku/>
              <w:wordWrap w:val="0"/>
              <w:overflowPunct/>
              <w:topLinePunct w:val="0"/>
              <w:bidi w:val="0"/>
              <w:spacing w:before="78" w:line="221" w:lineRule="auto"/>
              <w:ind w:left="134"/>
              <w:jc w:val="both"/>
              <w:rPr>
                <w:rFonts w:hint="eastAsia" w:asciiTheme="minorEastAsia" w:hAnsiTheme="minorEastAsia" w:eastAsiaTheme="minorEastAsia" w:cstheme="minorEastAsia"/>
                <w:spacing w:val="-6"/>
                <w:sz w:val="24"/>
                <w:szCs w:val="24"/>
              </w:rPr>
            </w:pPr>
          </w:p>
        </w:tc>
        <w:tc>
          <w:tcPr>
            <w:tcW w:w="5791" w:type="dxa"/>
            <w:vMerge w:val="continue"/>
            <w:vAlign w:val="top"/>
          </w:tcPr>
          <w:p w14:paraId="055D57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val="0"/>
              <w:autoSpaceDN w:val="0"/>
              <w:bidi w:val="0"/>
              <w:adjustRightInd w:val="0"/>
              <w:snapToGrid w:val="0"/>
              <w:spacing w:before="0" w:beforeAutospacing="0" w:after="0" w:afterAutospacing="0"/>
              <w:ind w:left="0" w:right="0" w:firstLine="0"/>
              <w:jc w:val="both"/>
              <w:textAlignment w:val="baseline"/>
              <w:rPr>
                <w:rFonts w:hint="eastAsia" w:asciiTheme="minorEastAsia" w:hAnsiTheme="minorEastAsia" w:eastAsiaTheme="minorEastAsia" w:cstheme="minorEastAsia"/>
                <w:spacing w:val="-1"/>
                <w:sz w:val="24"/>
                <w:szCs w:val="24"/>
              </w:rPr>
            </w:pPr>
          </w:p>
        </w:tc>
      </w:tr>
      <w:tr w14:paraId="61581D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62172FC0">
            <w:pPr>
              <w:pStyle w:val="33"/>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top"/>
          </w:tcPr>
          <w:p w14:paraId="11D352C7">
            <w:pPr>
              <w:keepNext w:val="0"/>
              <w:keepLines w:val="0"/>
              <w:pageBreakBefore w:val="0"/>
              <w:kinsoku/>
              <w:wordWrap w:val="0"/>
              <w:overflowPunct/>
              <w:topLinePunct w:val="0"/>
              <w:bidi w:val="0"/>
              <w:spacing w:before="228" w:line="219" w:lineRule="auto"/>
              <w:ind w:left="13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7A65CD9F">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投标文件未含有采购人不能接受的附加条件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3CD828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50422593">
            <w:pPr>
              <w:pStyle w:val="33"/>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34019483">
            <w:pPr>
              <w:keepNext w:val="0"/>
              <w:keepLines w:val="0"/>
              <w:pageBreakBefore w:val="0"/>
              <w:kinsoku/>
              <w:wordWrap w:val="0"/>
              <w:overflowPunct/>
              <w:topLinePunct w:val="0"/>
              <w:bidi w:val="0"/>
              <w:spacing w:before="226" w:line="221" w:lineRule="auto"/>
              <w:ind w:left="11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07612F3F">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投标人、投标文件不存在不符合法律、法规和招标文件规定的</w:t>
            </w:r>
            <w:r>
              <w:rPr>
                <w:rFonts w:hint="eastAsia" w:asciiTheme="minorEastAsia" w:hAnsiTheme="minorEastAsia" w:eastAsiaTheme="minorEastAsia" w:cstheme="minorEastAsia"/>
                <w:spacing w:val="-6"/>
                <w:sz w:val="24"/>
                <w:szCs w:val="24"/>
              </w:rPr>
              <w:t>其他无效情形。</w:t>
            </w:r>
          </w:p>
        </w:tc>
      </w:tr>
    </w:tbl>
    <w:p w14:paraId="1803DC80">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p>
    <w:p w14:paraId="40826A13">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3C1215AE">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□货物类，审查投标设备的技术指标、技术性能或产品技术说明、项目供货方案、售后服务方案、培训计划和强制节能产品证明文件等是否符合招标要求。</w:t>
      </w:r>
    </w:p>
    <w:p w14:paraId="1F307464">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☑服务类，审查服务方案、人员配备方案及人员基本情况等是否符合招标要求。</w:t>
      </w:r>
    </w:p>
    <w:p w14:paraId="591D126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3.评标委员会将通过审查确定每一投标人是否对招标文件做出了实质性响应</w:t>
      </w:r>
    </w:p>
    <w:p w14:paraId="2B8A077E">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投标是指投标符合招标文件的所有条款、条件和要求，而无重大偏离和保留。重大偏离和保留是指影响到招标文件规定的范围、质量和性能，或限制了采购人的权利和投标人的义务的规定，而纠正这些偏差将影响到其它提交实质性响应投标的投标人的公平竞争地位。评标委员会判断投标文件的响应性仅基于投标文件本身内容而不靠外部证据。评标委员会将拒绝被确定为非实质性响应的投标人，投标人不得通过修正或撤销不符之处而使其投标成为实质性响应的投标。</w:t>
      </w:r>
    </w:p>
    <w:p w14:paraId="4A3F8DC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4.投标文件的澄清</w:t>
      </w:r>
    </w:p>
    <w:p w14:paraId="5A99B6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投标文件进行审查、评估和比较，评标委员会有权向投标人质疑，请投标人澄清、说明或补正其投标内容。投标人须按照采购人或采购代理机构通知的时间、地点、方式指派法定代表人（负责人）或授权代表进行澄清、说明或补正。</w:t>
      </w:r>
    </w:p>
    <w:p w14:paraId="58F3B7A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投标文件中含义不明确、同类问题表述不一致或者有明显文字和计算错误的内容，评标委员会应当以书面形式要求投标人作出必要的澄清、说明或补正。投标人的澄清、说明或者补正应当采用书面形式，由其法定代表人（负责人）或授权代表签字，并不得超出投标文件的范围或者改变投标文件的实质性内容。</w:t>
      </w:r>
    </w:p>
    <w:p w14:paraId="421AD62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投标人的澄清、说明或补正文件是投标文件的组成部分，并取代投标文件中被澄清、说明或补正的部分。</w:t>
      </w:r>
    </w:p>
    <w:p w14:paraId="1B459621">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3DDC55D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评标方法和评标标准</w:t>
      </w:r>
    </w:p>
    <w:p w14:paraId="69CE335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本项目采用的评标方法为：</w:t>
      </w:r>
    </w:p>
    <w:p w14:paraId="4AE5B11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1952022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多家投标人提供的核心产品品牌相同且通过资格审查、符合性审查的，按一家投标人计算，评审后得分最高的同品牌投标人获得中标人推荐</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08088C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最低评标价法，指投标文件满足招标文件全部实质性要求，且投标报价最低的投标人为中标候选人的评标方法。</w:t>
      </w:r>
    </w:p>
    <w:p w14:paraId="6DFA9F4D">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投标无效。</w:t>
      </w:r>
    </w:p>
    <w:p w14:paraId="6A7098C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w:t>
      </w:r>
    </w:p>
    <w:p w14:paraId="6B70B19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2.非政府强制采购的节能产品或环境标志产品，依据品目清单和认证证书实施政府优先采购。优先采购的具体规定（如涉及）。</w:t>
      </w:r>
    </w:p>
    <w:p w14:paraId="656BA279">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关于无线局域网认证产品政府采购清单中的产品，优先采购的具体规定（如涉及）</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p>
    <w:p w14:paraId="4F8AB275">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确定中标候选人名单</w:t>
      </w:r>
    </w:p>
    <w:p w14:paraId="5BE8585D">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4A3B77A">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随机抽取</w:t>
      </w:r>
    </w:p>
    <w:p w14:paraId="5D0DD67E">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其他方式，</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具体要求：</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优先选择报价低的。</w:t>
      </w:r>
    </w:p>
    <w:p w14:paraId="3A0E32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采用综合评分法时，</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投标人的排名按得分顺序从高到低排列；得分相同的，按投标报价由低到高顺序排列；得分且投标报价相同的，按技术指标优劣顺序排列。</w:t>
      </w:r>
    </w:p>
    <w:p w14:paraId="565BCDDC">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采用最低评标价法时，评标结果</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按照</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投标报价由低到高顺序排列。投标报价相同的并列。投标文件满足招标文件全部实质性要求且投标报价最低的投标人为排名第一的中标候选人。</w:t>
      </w:r>
    </w:p>
    <w:p w14:paraId="1906015F">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 xml:space="preserve">4.4 </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评标委员会要对评分汇总情况进行复核，特别是对排名第一的、报价最低的、投标文件被认定为无效的情形进行重点复核。</w:t>
      </w:r>
    </w:p>
    <w:p w14:paraId="43D23E82">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 </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评标委员会将根据各投标人的评标排序，依次推荐本项目（各采购包）的中标候选人，起草并签署评标报告。本项目（采购包）评标委</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员会共推荐</w:t>
      </w:r>
      <w:r>
        <w:rPr>
          <w:rFonts w:hint="eastAsia" w:asciiTheme="minorEastAsia" w:hAnsiTheme="minorEastAsia" w:eastAsiaTheme="minorEastAsia" w:cstheme="minorEastAsia"/>
          <w:snapToGrid w:val="0"/>
          <w:color w:val="auto"/>
          <w:spacing w:val="2"/>
          <w:kern w:val="0"/>
          <w:position w:val="17"/>
          <w:sz w:val="24"/>
          <w:szCs w:val="24"/>
          <w:u w:val="single"/>
          <w:lang w:val="en-US" w:eastAsia="zh-CN" w:bidi="ar-SA"/>
        </w:rPr>
        <w:t xml:space="preserve">   3 </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名中标</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w:t>
      </w:r>
    </w:p>
    <w:p w14:paraId="6977AE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3D189CC0">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评标委员会在评标过程中发现投标人有行贿、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供虚假材料或者串通等违法行为时，有向采购人、采购代理机构或者有关部门报告的职责。</w:t>
      </w:r>
    </w:p>
    <w:p w14:paraId="5BB8E7F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6.确定中标人</w:t>
      </w:r>
    </w:p>
    <w:p w14:paraId="435CA163">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☑根据采购人授权，评委会根据排名顺序直接确定排名第一的中标候选人为中标人。</w:t>
      </w:r>
    </w:p>
    <w:p w14:paraId="551884D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□采购人应当在收到评标报告之日起5个工作日内，在评标报告确定的中标候选人名单中按顺序确定中标人。</w:t>
      </w:r>
    </w:p>
    <w:p w14:paraId="6975078B">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7.投标人存在下列情况之一的，投标无效：</w:t>
      </w:r>
    </w:p>
    <w:p w14:paraId="0D1A01E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（1）投标文件未按招标文件要求签署、盖章的；</w:t>
      </w:r>
    </w:p>
    <w:p w14:paraId="3DEDE11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（2）不具备招标文件中规定的资格要求的；</w:t>
      </w:r>
    </w:p>
    <w:p w14:paraId="79BC7C0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（3）报价超过招标文件中规定的预算金额或者最高限价的；</w:t>
      </w:r>
    </w:p>
    <w:p w14:paraId="24CFFB6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（4）投标文件含有采购人不能接受的附加条件的；</w:t>
      </w:r>
    </w:p>
    <w:p w14:paraId="589723A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（5）不符合应提交投标文件资料数量要求的；</w:t>
      </w:r>
    </w:p>
    <w:p w14:paraId="5E34016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（6）开标解密时未在规定时间（30分钟）内进行解密成功的视为撤销其投标文件（因电子开标系统原因除外）；</w:t>
      </w:r>
    </w:p>
    <w:p w14:paraId="2BB05719">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（7）电子投标文件未使用CA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334C85DF">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（8）未在投标截止时间前完成上传的；</w:t>
      </w:r>
    </w:p>
    <w:p w14:paraId="07B2AFE7">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（9）法律、法规和招标文件规定的其他无效情形。</w:t>
      </w:r>
    </w:p>
    <w:p w14:paraId="7692054B">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8.在招标采购中，出现下列情形之一的，应予废标：</w:t>
      </w:r>
    </w:p>
    <w:p w14:paraId="161B3C95">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（1）符合专业条件的供应商或者对招标文件作实质性响应的供应商不足三家的；</w:t>
      </w:r>
    </w:p>
    <w:p w14:paraId="0936CBE1">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3BE0B54F">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（3）投标人的报价均超过了预算金额，采购人不能支付的；</w:t>
      </w:r>
    </w:p>
    <w:p w14:paraId="5071B639">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069249FA">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废标后，应当在指定媒体发布公告，将废标理由通知所有投标人。</w:t>
      </w:r>
    </w:p>
    <w:p w14:paraId="7C7A3CFF">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224D0D66">
      <w:pPr>
        <w:pStyle w:val="2"/>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7FA7D2CE">
      <w:pPr>
        <w:pStyle w:val="2"/>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4D1446D5">
      <w:pPr>
        <w:pStyle w:val="2"/>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65F059A5">
      <w:pPr>
        <w:pStyle w:val="25"/>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p>
    <w:p w14:paraId="72087328">
      <w:pPr>
        <w:pStyle w:val="2"/>
        <w:keepNext w:val="0"/>
        <w:keepLines w:val="0"/>
        <w:pageBreakBefore w:val="0"/>
        <w:kinsoku/>
        <w:wordWrap w:val="0"/>
        <w:overflowPunct/>
        <w:topLinePunct w:val="0"/>
        <w:bidi w:val="0"/>
        <w:spacing w:before="78" w:line="221" w:lineRule="auto"/>
        <w:jc w:val="both"/>
        <w:outlineLvl w:val="2"/>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4CAE7A0C">
      <w:pP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2A4B8904">
      <w:pPr>
        <w:pStyle w:val="2"/>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187DAAC3">
      <w:pP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5F41906F">
      <w:pPr>
        <w:pStyle w:val="2"/>
        <w:rPr>
          <w:rFonts w:hint="eastAsia" w:ascii="宋体" w:hAnsi="宋体" w:eastAsia="宋体" w:cs="宋体"/>
          <w:b/>
          <w:bCs/>
          <w:snapToGrid w:val="0"/>
          <w:color w:val="000000"/>
          <w:kern w:val="2"/>
          <w:sz w:val="24"/>
          <w:szCs w:val="24"/>
          <w:lang w:val="en-US" w:eastAsia="zh-CN" w:bidi="ar-SA"/>
        </w:rPr>
      </w:pPr>
    </w:p>
    <w:p w14:paraId="1BA02136">
      <w:pPr>
        <w:pStyle w:val="2"/>
        <w:jc w:val="center"/>
        <w:rPr>
          <w:rFonts w:hint="eastAsia" w:ascii="宋体" w:hAnsi="宋体" w:eastAsia="宋体" w:cs="宋体"/>
          <w:b/>
          <w:bCs/>
          <w:snapToGrid w:val="0"/>
          <w:color w:val="000000"/>
          <w:kern w:val="2"/>
          <w:sz w:val="24"/>
          <w:szCs w:val="24"/>
          <w:lang w:val="en-US" w:eastAsia="zh-CN" w:bidi="ar-SA"/>
        </w:rPr>
      </w:pPr>
    </w:p>
    <w:p w14:paraId="33C9B014">
      <w:pPr>
        <w:pStyle w:val="2"/>
        <w:jc w:val="center"/>
        <w:rPr>
          <w:rFonts w:hint="eastAsia" w:ascii="宋体" w:hAnsi="宋体" w:eastAsia="宋体" w:cs="宋体"/>
          <w:b/>
          <w:bCs/>
          <w:snapToGrid w:val="0"/>
          <w:color w:val="000000"/>
          <w:kern w:val="2"/>
          <w:sz w:val="24"/>
          <w:szCs w:val="24"/>
          <w:lang w:val="en-US" w:eastAsia="zh-CN" w:bidi="ar-SA"/>
        </w:rPr>
      </w:pPr>
    </w:p>
    <w:p w14:paraId="40F39313">
      <w:pPr>
        <w:pStyle w:val="2"/>
        <w:jc w:val="center"/>
        <w:rPr>
          <w:rFonts w:hint="eastAsia" w:ascii="宋体" w:hAnsi="宋体" w:eastAsia="宋体" w:cs="宋体"/>
          <w:b/>
          <w:bCs/>
          <w:snapToGrid w:val="0"/>
          <w:color w:val="000000"/>
          <w:kern w:val="2"/>
          <w:sz w:val="24"/>
          <w:szCs w:val="24"/>
          <w:lang w:val="en-US" w:eastAsia="zh-CN" w:bidi="ar-SA"/>
        </w:rPr>
      </w:pPr>
    </w:p>
    <w:p w14:paraId="4DB2A1D6">
      <w:pPr>
        <w:pStyle w:val="2"/>
        <w:jc w:val="center"/>
        <w:rPr>
          <w:rFonts w:hint="eastAsia" w:ascii="宋体" w:hAnsi="宋体" w:eastAsia="宋体" w:cs="宋体"/>
          <w:b/>
          <w:bCs/>
          <w:snapToGrid w:val="0"/>
          <w:color w:val="000000"/>
          <w:kern w:val="2"/>
          <w:sz w:val="24"/>
          <w:szCs w:val="24"/>
          <w:lang w:val="en-US" w:eastAsia="zh-CN" w:bidi="ar-SA"/>
        </w:rPr>
      </w:pPr>
    </w:p>
    <w:p w14:paraId="55A1EE33">
      <w:pPr>
        <w:pStyle w:val="2"/>
        <w:jc w:val="center"/>
        <w:rPr>
          <w:rFonts w:hint="eastAsia" w:ascii="宋体" w:hAnsi="宋体" w:eastAsia="宋体" w:cs="宋体"/>
          <w:b/>
          <w:bCs/>
          <w:snapToGrid w:val="0"/>
          <w:color w:val="000000"/>
          <w:kern w:val="2"/>
          <w:sz w:val="24"/>
          <w:szCs w:val="24"/>
          <w:lang w:val="en-US" w:eastAsia="zh-CN" w:bidi="ar-SA"/>
        </w:rPr>
      </w:pPr>
    </w:p>
    <w:p w14:paraId="380F529E">
      <w:pPr>
        <w:pStyle w:val="2"/>
        <w:jc w:val="center"/>
        <w:rPr>
          <w:rFonts w:hint="eastAsia" w:ascii="宋体" w:hAnsi="宋体" w:eastAsia="宋体" w:cs="宋体"/>
          <w:b/>
          <w:bCs/>
          <w:snapToGrid w:val="0"/>
          <w:color w:val="000000"/>
          <w:kern w:val="2"/>
          <w:sz w:val="24"/>
          <w:szCs w:val="24"/>
          <w:lang w:val="en-US" w:eastAsia="zh-CN" w:bidi="ar-SA"/>
        </w:rPr>
      </w:pPr>
    </w:p>
    <w:p w14:paraId="683AD0C3">
      <w:pPr>
        <w:pStyle w:val="2"/>
        <w:jc w:val="center"/>
        <w:rPr>
          <w:rFonts w:hint="eastAsia" w:ascii="宋体" w:hAnsi="宋体" w:eastAsia="宋体" w:cs="宋体"/>
          <w:b/>
          <w:bCs/>
          <w:snapToGrid w:val="0"/>
          <w:color w:val="000000"/>
          <w:kern w:val="2"/>
          <w:sz w:val="24"/>
          <w:szCs w:val="24"/>
          <w:lang w:val="en-US" w:eastAsia="zh-CN" w:bidi="ar-SA"/>
        </w:rPr>
      </w:pPr>
    </w:p>
    <w:p w14:paraId="1E54A579">
      <w:pPr>
        <w:pStyle w:val="2"/>
        <w:jc w:val="center"/>
        <w:rPr>
          <w:rFonts w:hint="eastAsia" w:ascii="宋体" w:hAnsi="宋体" w:eastAsia="宋体" w:cs="宋体"/>
          <w:b/>
          <w:bCs/>
          <w:snapToGrid w:val="0"/>
          <w:color w:val="000000"/>
          <w:kern w:val="2"/>
          <w:sz w:val="24"/>
          <w:szCs w:val="24"/>
          <w:lang w:val="en-US" w:eastAsia="zh-CN" w:bidi="ar-SA"/>
        </w:rPr>
      </w:pPr>
    </w:p>
    <w:p w14:paraId="38A2B849">
      <w:pPr>
        <w:pStyle w:val="2"/>
        <w:jc w:val="center"/>
        <w:rPr>
          <w:rFonts w:hint="eastAsia" w:ascii="宋体" w:hAnsi="宋体" w:eastAsia="宋体" w:cs="宋体"/>
          <w:b/>
          <w:bCs/>
          <w:snapToGrid w:val="0"/>
          <w:color w:val="000000"/>
          <w:kern w:val="2"/>
          <w:sz w:val="24"/>
          <w:szCs w:val="24"/>
          <w:lang w:val="en-US" w:eastAsia="zh-CN" w:bidi="ar-SA"/>
        </w:rPr>
      </w:pPr>
    </w:p>
    <w:p w14:paraId="2C76DDBF">
      <w:pPr>
        <w:pStyle w:val="2"/>
        <w:jc w:val="both"/>
        <w:rPr>
          <w:rFonts w:hint="eastAsia" w:ascii="宋体" w:hAnsi="宋体" w:eastAsia="宋体" w:cs="宋体"/>
          <w:b/>
          <w:bCs/>
          <w:snapToGrid w:val="0"/>
          <w:color w:val="000000"/>
          <w:kern w:val="2"/>
          <w:sz w:val="24"/>
          <w:szCs w:val="24"/>
          <w:lang w:val="en-US" w:eastAsia="zh-CN" w:bidi="ar-SA"/>
        </w:rPr>
      </w:pPr>
    </w:p>
    <w:p w14:paraId="2FBB479D">
      <w:pPr>
        <w:pStyle w:val="2"/>
        <w:jc w:val="center"/>
        <w:rPr>
          <w:rFonts w:hint="eastAsia" w:ascii="宋体" w:hAnsi="宋体" w:eastAsia="宋体" w:cs="宋体"/>
          <w:b/>
          <w:bCs/>
          <w:snapToGrid w:val="0"/>
          <w:color w:val="000000"/>
          <w:kern w:val="2"/>
          <w:sz w:val="32"/>
          <w:szCs w:val="32"/>
          <w:lang w:val="en-US" w:eastAsia="zh-CN" w:bidi="ar-SA"/>
        </w:rPr>
      </w:pPr>
      <w:r>
        <w:rPr>
          <w:rFonts w:hint="eastAsia" w:ascii="宋体" w:hAnsi="宋体" w:eastAsia="宋体" w:cs="宋体"/>
          <w:b/>
          <w:bCs/>
          <w:snapToGrid w:val="0"/>
          <w:color w:val="000000"/>
          <w:kern w:val="2"/>
          <w:sz w:val="32"/>
          <w:szCs w:val="32"/>
          <w:lang w:val="en-US" w:eastAsia="zh-CN" w:bidi="ar-SA"/>
        </w:rPr>
        <w:t>评分标准</w:t>
      </w:r>
    </w:p>
    <w:p w14:paraId="27549CA3">
      <w:pPr>
        <w:pStyle w:val="2"/>
        <w:rPr>
          <w:rFonts w:hint="eastAsia" w:ascii="宋体" w:hAnsi="宋体" w:eastAsia="宋体" w:cs="宋体"/>
          <w:b/>
          <w:bCs/>
          <w:snapToGrid w:val="0"/>
          <w:color w:val="000000"/>
          <w:kern w:val="2"/>
          <w:sz w:val="24"/>
          <w:szCs w:val="24"/>
          <w:lang w:val="en-US" w:eastAsia="zh-CN" w:bidi="ar-SA"/>
        </w:rPr>
      </w:pPr>
    </w:p>
    <w:tbl>
      <w:tblPr>
        <w:tblStyle w:val="32"/>
        <w:tblW w:w="947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7"/>
        <w:gridCol w:w="1211"/>
        <w:gridCol w:w="717"/>
        <w:gridCol w:w="1753"/>
        <w:gridCol w:w="5015"/>
      </w:tblGrid>
      <w:tr w14:paraId="23F1CF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noWrap w:val="0"/>
            <w:vAlign w:val="top"/>
          </w:tcPr>
          <w:p w14:paraId="074AC67D">
            <w:pPr>
              <w:keepNext w:val="0"/>
              <w:keepLines w:val="0"/>
              <w:pageBreakBefore w:val="0"/>
              <w:kinsoku w:val="0"/>
              <w:wordWrap/>
              <w:overflowPunct/>
              <w:topLinePunct w:val="0"/>
              <w:autoSpaceDE w:val="0"/>
              <w:autoSpaceDN w:val="0"/>
              <w:bidi w:val="0"/>
              <w:adjustRightInd w:val="0"/>
              <w:snapToGrid w:val="0"/>
              <w:spacing w:before="40" w:line="400" w:lineRule="exact"/>
              <w:ind w:left="198"/>
              <w:jc w:val="both"/>
              <w:textAlignment w:val="baseline"/>
              <w:rPr>
                <w:rFonts w:hint="eastAsia" w:ascii="仿宋" w:hAnsi="仿宋" w:eastAsia="仿宋" w:cs="仿宋"/>
                <w:b/>
                <w:bCs/>
                <w:sz w:val="22"/>
                <w:szCs w:val="22"/>
              </w:rPr>
            </w:pPr>
            <w:r>
              <w:rPr>
                <w:rFonts w:hint="eastAsia" w:ascii="仿宋" w:hAnsi="仿宋" w:eastAsia="仿宋" w:cs="仿宋"/>
                <w:b/>
                <w:bCs/>
                <w:spacing w:val="-3"/>
                <w:sz w:val="22"/>
                <w:szCs w:val="22"/>
              </w:rPr>
              <w:t>序号</w:t>
            </w:r>
          </w:p>
        </w:tc>
        <w:tc>
          <w:tcPr>
            <w:tcW w:w="1211" w:type="dxa"/>
            <w:noWrap w:val="0"/>
            <w:vAlign w:val="top"/>
          </w:tcPr>
          <w:p w14:paraId="25CF429F">
            <w:pPr>
              <w:keepNext w:val="0"/>
              <w:keepLines w:val="0"/>
              <w:pageBreakBefore w:val="0"/>
              <w:kinsoku w:val="0"/>
              <w:wordWrap/>
              <w:overflowPunct/>
              <w:topLinePunct w:val="0"/>
              <w:autoSpaceDE w:val="0"/>
              <w:autoSpaceDN w:val="0"/>
              <w:bidi w:val="0"/>
              <w:adjustRightInd w:val="0"/>
              <w:snapToGrid w:val="0"/>
              <w:spacing w:before="40" w:line="400" w:lineRule="exact"/>
              <w:jc w:val="center"/>
              <w:textAlignment w:val="baseline"/>
              <w:rPr>
                <w:rFonts w:hint="eastAsia" w:ascii="仿宋" w:hAnsi="仿宋" w:eastAsia="仿宋" w:cs="仿宋"/>
                <w:b/>
                <w:bCs/>
                <w:sz w:val="22"/>
                <w:szCs w:val="22"/>
              </w:rPr>
            </w:pPr>
            <w:r>
              <w:rPr>
                <w:rFonts w:hint="eastAsia" w:ascii="仿宋" w:hAnsi="仿宋" w:eastAsia="仿宋" w:cs="仿宋"/>
                <w:b/>
                <w:bCs/>
                <w:spacing w:val="-2"/>
                <w:sz w:val="22"/>
                <w:szCs w:val="22"/>
              </w:rPr>
              <w:t>评分因素</w:t>
            </w:r>
          </w:p>
        </w:tc>
        <w:tc>
          <w:tcPr>
            <w:tcW w:w="717" w:type="dxa"/>
            <w:noWrap w:val="0"/>
            <w:vAlign w:val="top"/>
          </w:tcPr>
          <w:p w14:paraId="0141CA71">
            <w:pPr>
              <w:keepNext w:val="0"/>
              <w:keepLines w:val="0"/>
              <w:pageBreakBefore w:val="0"/>
              <w:kinsoku w:val="0"/>
              <w:wordWrap/>
              <w:overflowPunct/>
              <w:topLinePunct w:val="0"/>
              <w:autoSpaceDE w:val="0"/>
              <w:autoSpaceDN w:val="0"/>
              <w:bidi w:val="0"/>
              <w:adjustRightInd w:val="0"/>
              <w:snapToGrid w:val="0"/>
              <w:spacing w:before="40" w:line="400" w:lineRule="exact"/>
              <w:jc w:val="center"/>
              <w:textAlignment w:val="baseline"/>
              <w:rPr>
                <w:rFonts w:hint="eastAsia" w:ascii="仿宋" w:hAnsi="仿宋" w:eastAsia="仿宋" w:cs="仿宋"/>
                <w:b/>
                <w:bCs/>
                <w:sz w:val="22"/>
                <w:szCs w:val="22"/>
              </w:rPr>
            </w:pPr>
            <w:r>
              <w:rPr>
                <w:rFonts w:hint="eastAsia" w:ascii="仿宋" w:hAnsi="仿宋" w:eastAsia="仿宋" w:cs="仿宋"/>
                <w:b/>
                <w:bCs/>
                <w:spacing w:val="-4"/>
                <w:sz w:val="22"/>
                <w:szCs w:val="22"/>
              </w:rPr>
              <w:t>分值</w:t>
            </w:r>
          </w:p>
        </w:tc>
        <w:tc>
          <w:tcPr>
            <w:tcW w:w="1753" w:type="dxa"/>
            <w:noWrap w:val="0"/>
            <w:vAlign w:val="top"/>
          </w:tcPr>
          <w:p w14:paraId="0331E8CC">
            <w:pPr>
              <w:keepNext w:val="0"/>
              <w:keepLines w:val="0"/>
              <w:pageBreakBefore w:val="0"/>
              <w:kinsoku w:val="0"/>
              <w:wordWrap/>
              <w:overflowPunct/>
              <w:topLinePunct w:val="0"/>
              <w:autoSpaceDE w:val="0"/>
              <w:autoSpaceDN w:val="0"/>
              <w:bidi w:val="0"/>
              <w:adjustRightInd w:val="0"/>
              <w:snapToGrid w:val="0"/>
              <w:spacing w:before="40" w:line="400" w:lineRule="exact"/>
              <w:jc w:val="center"/>
              <w:textAlignment w:val="baseline"/>
              <w:rPr>
                <w:rFonts w:hint="eastAsia" w:ascii="仿宋" w:hAnsi="仿宋" w:eastAsia="仿宋" w:cs="仿宋"/>
                <w:b/>
                <w:bCs/>
                <w:sz w:val="22"/>
                <w:szCs w:val="22"/>
              </w:rPr>
            </w:pPr>
            <w:r>
              <w:rPr>
                <w:rFonts w:hint="eastAsia" w:ascii="仿宋" w:hAnsi="仿宋" w:eastAsia="仿宋" w:cs="仿宋"/>
                <w:b/>
                <w:bCs/>
                <w:spacing w:val="-2"/>
                <w:sz w:val="22"/>
                <w:szCs w:val="22"/>
              </w:rPr>
              <w:t>评分标准</w:t>
            </w:r>
          </w:p>
        </w:tc>
        <w:tc>
          <w:tcPr>
            <w:tcW w:w="5015" w:type="dxa"/>
            <w:noWrap w:val="0"/>
            <w:vAlign w:val="top"/>
          </w:tcPr>
          <w:p w14:paraId="00E8784F">
            <w:pPr>
              <w:keepNext w:val="0"/>
              <w:keepLines w:val="0"/>
              <w:pageBreakBefore w:val="0"/>
              <w:kinsoku w:val="0"/>
              <w:wordWrap/>
              <w:overflowPunct/>
              <w:topLinePunct w:val="0"/>
              <w:autoSpaceDE w:val="0"/>
              <w:autoSpaceDN w:val="0"/>
              <w:bidi w:val="0"/>
              <w:adjustRightInd w:val="0"/>
              <w:snapToGrid w:val="0"/>
              <w:spacing w:before="40" w:line="400" w:lineRule="exact"/>
              <w:jc w:val="center"/>
              <w:textAlignment w:val="baseline"/>
              <w:rPr>
                <w:rFonts w:hint="eastAsia" w:ascii="仿宋" w:hAnsi="仿宋" w:eastAsia="仿宋" w:cs="仿宋"/>
                <w:b/>
                <w:bCs/>
                <w:sz w:val="22"/>
                <w:szCs w:val="22"/>
              </w:rPr>
            </w:pPr>
            <w:r>
              <w:rPr>
                <w:rFonts w:hint="eastAsia" w:ascii="仿宋" w:hAnsi="仿宋" w:eastAsia="仿宋" w:cs="仿宋"/>
                <w:b/>
                <w:bCs/>
                <w:spacing w:val="-4"/>
                <w:sz w:val="22"/>
                <w:szCs w:val="22"/>
              </w:rPr>
              <w:t>说明</w:t>
            </w:r>
          </w:p>
        </w:tc>
      </w:tr>
      <w:tr w14:paraId="15D34F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noWrap w:val="0"/>
            <w:vAlign w:val="center"/>
          </w:tcPr>
          <w:p w14:paraId="7C163D56">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sz w:val="22"/>
                <w:szCs w:val="22"/>
                <w:lang w:val="en-US" w:eastAsia="zh-CN"/>
              </w:rPr>
            </w:pPr>
            <w:r>
              <w:rPr>
                <w:rFonts w:hint="eastAsia" w:ascii="仿宋" w:hAnsi="仿宋" w:eastAsia="仿宋" w:cs="仿宋"/>
                <w:b/>
                <w:bCs/>
                <w:sz w:val="22"/>
                <w:szCs w:val="22"/>
                <w:lang w:val="en-US" w:eastAsia="zh-CN"/>
              </w:rPr>
              <w:t>1</w:t>
            </w:r>
          </w:p>
        </w:tc>
        <w:tc>
          <w:tcPr>
            <w:tcW w:w="1211" w:type="dxa"/>
            <w:noWrap w:val="0"/>
            <w:vAlign w:val="center"/>
          </w:tcPr>
          <w:p w14:paraId="0A8C689B">
            <w:pPr>
              <w:keepNext w:val="0"/>
              <w:keepLines w:val="0"/>
              <w:pageBreakBefore w:val="0"/>
              <w:kinsoku/>
              <w:wordWrap w:val="0"/>
              <w:overflowPunct/>
              <w:topLinePunct w:val="0"/>
              <w:bidi w:val="0"/>
              <w:spacing w:line="360" w:lineRule="exact"/>
              <w:jc w:val="center"/>
              <w:rPr>
                <w:rFonts w:hint="eastAsia" w:ascii="仿宋" w:hAnsi="仿宋" w:eastAsia="仿宋" w:cs="仿宋"/>
                <w:b/>
                <w:bCs/>
                <w:spacing w:val="-3"/>
                <w:sz w:val="22"/>
                <w:szCs w:val="22"/>
                <w:highlight w:val="none"/>
              </w:rPr>
            </w:pPr>
            <w:r>
              <w:rPr>
                <w:rFonts w:hint="eastAsia" w:ascii="仿宋" w:hAnsi="仿宋" w:eastAsia="仿宋" w:cs="仿宋"/>
                <w:b/>
                <w:bCs/>
                <w:spacing w:val="-3"/>
                <w:sz w:val="22"/>
                <w:szCs w:val="22"/>
                <w:highlight w:val="none"/>
              </w:rPr>
              <w:t>投标报价</w:t>
            </w:r>
          </w:p>
          <w:p w14:paraId="6699AAB6">
            <w:pPr>
              <w:pStyle w:val="2"/>
              <w:rPr>
                <w:rFonts w:hint="default" w:eastAsia="仿宋"/>
                <w:lang w:val="en-US" w:eastAsia="zh-CN"/>
              </w:rPr>
            </w:pPr>
            <w:r>
              <w:rPr>
                <w:rFonts w:hint="eastAsia" w:ascii="仿宋" w:hAnsi="仿宋" w:eastAsia="仿宋" w:cs="仿宋"/>
                <w:b/>
                <w:bCs/>
                <w:spacing w:val="-3"/>
                <w:sz w:val="22"/>
                <w:szCs w:val="22"/>
                <w:highlight w:val="none"/>
                <w:lang w:val="en-US" w:eastAsia="zh-CN"/>
              </w:rPr>
              <w:t xml:space="preserve">  （10分）</w:t>
            </w:r>
          </w:p>
        </w:tc>
        <w:tc>
          <w:tcPr>
            <w:tcW w:w="717" w:type="dxa"/>
            <w:noWrap w:val="0"/>
            <w:vAlign w:val="center"/>
          </w:tcPr>
          <w:p w14:paraId="49618227">
            <w:pPr>
              <w:pStyle w:val="33"/>
              <w:keepNext w:val="0"/>
              <w:keepLines w:val="0"/>
              <w:pageBreakBefore w:val="0"/>
              <w:kinsoku/>
              <w:wordWrap w:val="0"/>
              <w:overflowPunct/>
              <w:topLinePunct w:val="0"/>
              <w:bidi w:val="0"/>
              <w:spacing w:line="360" w:lineRule="exact"/>
              <w:jc w:val="center"/>
              <w:rPr>
                <w:rFonts w:hint="default" w:ascii="仿宋" w:hAnsi="仿宋" w:eastAsia="仿宋" w:cs="仿宋"/>
                <w:b/>
                <w:bCs/>
                <w:sz w:val="22"/>
                <w:szCs w:val="22"/>
                <w:lang w:val="en-US" w:eastAsia="zh-CN"/>
              </w:rPr>
            </w:pPr>
            <w:r>
              <w:rPr>
                <w:rFonts w:hint="eastAsia" w:ascii="仿宋" w:hAnsi="仿宋" w:eastAsia="仿宋" w:cs="仿宋"/>
                <w:b/>
                <w:bCs/>
                <w:snapToGrid w:val="0"/>
                <w:color w:val="000000"/>
                <w:spacing w:val="-3"/>
                <w:kern w:val="0"/>
                <w:sz w:val="22"/>
                <w:szCs w:val="22"/>
                <w:highlight w:val="none"/>
                <w:lang w:val="en-US" w:eastAsia="zh-CN" w:bidi="ar-SA"/>
              </w:rPr>
              <w:t>10分</w:t>
            </w:r>
          </w:p>
        </w:tc>
        <w:tc>
          <w:tcPr>
            <w:tcW w:w="1753" w:type="dxa"/>
            <w:noWrap w:val="0"/>
            <w:vAlign w:val="center"/>
          </w:tcPr>
          <w:p w14:paraId="73E53C58">
            <w:pPr>
              <w:keepNext w:val="0"/>
              <w:keepLines w:val="0"/>
              <w:pageBreakBefore w:val="0"/>
              <w:kinsoku/>
              <w:wordWrap w:val="0"/>
              <w:overflowPunct/>
              <w:topLinePunct w:val="0"/>
              <w:bidi w:val="0"/>
              <w:spacing w:line="360" w:lineRule="exact"/>
              <w:ind w:left="113" w:right="103"/>
              <w:jc w:val="left"/>
              <w:rPr>
                <w:rFonts w:hint="eastAsia" w:ascii="仿宋" w:hAnsi="仿宋" w:eastAsia="仿宋" w:cs="仿宋"/>
                <w:sz w:val="22"/>
                <w:szCs w:val="22"/>
                <w:highlight w:val="none"/>
              </w:rPr>
            </w:pPr>
            <w:r>
              <w:rPr>
                <w:rFonts w:hint="eastAsia" w:ascii="仿宋" w:hAnsi="仿宋" w:eastAsia="仿宋" w:cs="仿宋"/>
                <w:spacing w:val="10"/>
                <w:sz w:val="22"/>
                <w:szCs w:val="22"/>
                <w:highlight w:val="none"/>
              </w:rPr>
              <w:t>满足招标文件要求且投标价格最低</w:t>
            </w:r>
            <w:r>
              <w:rPr>
                <w:rFonts w:hint="eastAsia" w:ascii="仿宋" w:hAnsi="仿宋" w:eastAsia="仿宋" w:cs="仿宋"/>
                <w:spacing w:val="-13"/>
                <w:sz w:val="22"/>
                <w:szCs w:val="22"/>
                <w:highlight w:val="none"/>
              </w:rPr>
              <w:t>的投标报价为评标基准价，其价格分</w:t>
            </w:r>
            <w:r>
              <w:rPr>
                <w:rFonts w:hint="eastAsia" w:ascii="仿宋" w:hAnsi="仿宋" w:eastAsia="仿宋" w:cs="仿宋"/>
                <w:spacing w:val="-6"/>
                <w:sz w:val="22"/>
                <w:szCs w:val="22"/>
                <w:highlight w:val="none"/>
              </w:rPr>
              <w:t>为满分。其他投标人的价格分统一按</w:t>
            </w:r>
            <w:r>
              <w:rPr>
                <w:rFonts w:hint="eastAsia" w:ascii="仿宋" w:hAnsi="仿宋" w:eastAsia="仿宋" w:cs="仿宋"/>
                <w:spacing w:val="-8"/>
                <w:sz w:val="22"/>
                <w:szCs w:val="22"/>
                <w:highlight w:val="none"/>
              </w:rPr>
              <w:t>照下列公式计算：</w:t>
            </w:r>
          </w:p>
          <w:p w14:paraId="28B361D1">
            <w:pPr>
              <w:pStyle w:val="33"/>
              <w:keepNext w:val="0"/>
              <w:keepLines w:val="0"/>
              <w:pageBreakBefore w:val="0"/>
              <w:kinsoku/>
              <w:wordWrap w:val="0"/>
              <w:overflowPunct/>
              <w:topLinePunct w:val="0"/>
              <w:bidi w:val="0"/>
              <w:spacing w:line="360" w:lineRule="exact"/>
              <w:ind w:left="111" w:leftChars="0" w:right="103" w:rightChars="0" w:firstLine="4" w:firstLineChars="0"/>
              <w:jc w:val="left"/>
              <w:rPr>
                <w:rFonts w:hint="eastAsia" w:ascii="仿宋" w:hAnsi="仿宋" w:eastAsia="仿宋" w:cs="仿宋"/>
                <w:sz w:val="22"/>
                <w:szCs w:val="22"/>
              </w:rPr>
            </w:pPr>
            <w:r>
              <w:rPr>
                <w:rFonts w:hint="eastAsia" w:ascii="仿宋" w:hAnsi="仿宋" w:eastAsia="仿宋" w:cs="仿宋"/>
                <w:spacing w:val="7"/>
                <w:sz w:val="22"/>
                <w:szCs w:val="22"/>
                <w:highlight w:val="none"/>
              </w:rPr>
              <w:t>投标报价得分</w:t>
            </w:r>
            <w:r>
              <w:rPr>
                <w:rFonts w:hint="eastAsia" w:ascii="仿宋" w:hAnsi="仿宋" w:eastAsia="仿宋" w:cs="仿宋"/>
                <w:spacing w:val="-8"/>
                <w:sz w:val="22"/>
                <w:szCs w:val="22"/>
                <w:highlight w:val="none"/>
              </w:rPr>
              <w:t>＝（</w:t>
            </w:r>
            <w:r>
              <w:rPr>
                <w:rFonts w:hint="eastAsia" w:ascii="仿宋" w:hAnsi="仿宋" w:eastAsia="仿宋" w:cs="仿宋"/>
                <w:spacing w:val="7"/>
                <w:sz w:val="22"/>
                <w:szCs w:val="22"/>
                <w:highlight w:val="none"/>
              </w:rPr>
              <w:t>评标基准价/投标</w:t>
            </w:r>
            <w:r>
              <w:rPr>
                <w:rFonts w:hint="eastAsia" w:ascii="仿宋" w:hAnsi="仿宋" w:eastAsia="仿宋" w:cs="仿宋"/>
                <w:spacing w:val="-12"/>
                <w:sz w:val="22"/>
                <w:szCs w:val="22"/>
                <w:highlight w:val="none"/>
              </w:rPr>
              <w:t>报价）×</w:t>
            </w:r>
            <w:r>
              <w:rPr>
                <w:rFonts w:hint="eastAsia" w:ascii="仿宋" w:hAnsi="仿宋" w:eastAsia="仿宋" w:cs="仿宋"/>
                <w:spacing w:val="-12"/>
                <w:sz w:val="22"/>
                <w:szCs w:val="22"/>
                <w:highlight w:val="none"/>
                <w:lang w:val="en-US" w:eastAsia="zh-CN"/>
              </w:rPr>
              <w:t>10</w:t>
            </w:r>
            <w:r>
              <w:rPr>
                <w:rFonts w:hint="eastAsia" w:ascii="仿宋" w:hAnsi="仿宋" w:eastAsia="仿宋" w:cs="仿宋"/>
                <w:spacing w:val="-12"/>
                <w:sz w:val="22"/>
                <w:szCs w:val="22"/>
                <w:highlight w:val="none"/>
              </w:rPr>
              <w:t>。</w:t>
            </w:r>
          </w:p>
        </w:tc>
        <w:tc>
          <w:tcPr>
            <w:tcW w:w="5015" w:type="dxa"/>
            <w:noWrap w:val="0"/>
            <w:vAlign w:val="top"/>
          </w:tcPr>
          <w:p w14:paraId="0DF463D4">
            <w:pPr>
              <w:keepNext w:val="0"/>
              <w:keepLines w:val="0"/>
              <w:pageBreakBefore w:val="0"/>
              <w:kinsoku/>
              <w:wordWrap w:val="0"/>
              <w:overflowPunct/>
              <w:topLinePunct w:val="0"/>
              <w:bidi w:val="0"/>
              <w:spacing w:line="360" w:lineRule="exact"/>
              <w:ind w:left="113" w:leftChars="0" w:right="103" w:rightChars="0"/>
              <w:jc w:val="both"/>
              <w:rPr>
                <w:rFonts w:hint="eastAsia" w:ascii="仿宋" w:hAnsi="仿宋" w:eastAsia="仿宋" w:cs="仿宋"/>
                <w:sz w:val="22"/>
                <w:szCs w:val="22"/>
              </w:rPr>
            </w:pPr>
            <w:r>
              <w:rPr>
                <w:rFonts w:hint="eastAsia" w:ascii="仿宋" w:hAnsi="仿宋" w:eastAsia="仿宋" w:cs="仿宋"/>
                <w:spacing w:val="-13"/>
                <w:sz w:val="22"/>
                <w:szCs w:val="22"/>
                <w:highlight w:val="none"/>
                <w:lang w:eastAsia="zh-CN"/>
              </w:rPr>
              <w:t>注：根据《政府采购促进中小企业发展管理办法》（财库﹝2020﹞46号）、《关于进一步加大政府采购支持中小企业力度的通知》《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或《残疾人福利性单位声明函》或省级以上监狱管理局、戒毒管理局（含新疆生产建设兵团）出具的属于监狱企业的证明文件的投标人，其投标报价</w:t>
            </w:r>
            <w:r>
              <w:rPr>
                <w:rFonts w:hint="eastAsia" w:ascii="仿宋" w:hAnsi="仿宋" w:eastAsia="仿宋" w:cs="仿宋"/>
                <w:color w:val="auto"/>
                <w:spacing w:val="-13"/>
                <w:sz w:val="22"/>
                <w:szCs w:val="22"/>
                <w:highlight w:val="none"/>
                <w:lang w:eastAsia="zh-CN"/>
              </w:rPr>
              <w:t>扣除后参与评</w:t>
            </w:r>
            <w:r>
              <w:rPr>
                <w:rFonts w:hint="eastAsia" w:ascii="仿宋" w:hAnsi="仿宋" w:eastAsia="仿宋" w:cs="仿宋"/>
                <w:spacing w:val="-13"/>
                <w:sz w:val="22"/>
                <w:szCs w:val="22"/>
                <w:highlight w:val="none"/>
                <w:lang w:eastAsia="zh-CN"/>
              </w:rPr>
              <w:t>审。对于同时属于小微企业、监狱企业或残疾人福利性单位的，不重复进行投标报价扣除。（</w:t>
            </w:r>
            <w:r>
              <w:rPr>
                <w:rFonts w:hint="eastAsia" w:ascii="仿宋" w:hAnsi="仿宋" w:eastAsia="仿宋" w:cs="仿宋"/>
                <w:spacing w:val="-13"/>
                <w:sz w:val="22"/>
                <w:szCs w:val="22"/>
                <w:highlight w:val="none"/>
                <w:lang w:val="en-US" w:eastAsia="zh-CN"/>
              </w:rPr>
              <w:t>专门面向中小企业的项目除外</w:t>
            </w:r>
            <w:r>
              <w:rPr>
                <w:rFonts w:hint="eastAsia" w:ascii="仿宋" w:hAnsi="仿宋" w:eastAsia="仿宋" w:cs="仿宋"/>
                <w:spacing w:val="-13"/>
                <w:sz w:val="22"/>
                <w:szCs w:val="22"/>
                <w:highlight w:val="none"/>
                <w:lang w:eastAsia="zh-CN"/>
              </w:rPr>
              <w:t>）</w:t>
            </w:r>
          </w:p>
        </w:tc>
      </w:tr>
      <w:tr w14:paraId="1EDB8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restart"/>
            <w:noWrap w:val="0"/>
            <w:vAlign w:val="center"/>
          </w:tcPr>
          <w:p w14:paraId="1540A232">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2</w:t>
            </w:r>
          </w:p>
        </w:tc>
        <w:tc>
          <w:tcPr>
            <w:tcW w:w="1211" w:type="dxa"/>
            <w:vMerge w:val="restart"/>
            <w:noWrap w:val="0"/>
            <w:vAlign w:val="center"/>
          </w:tcPr>
          <w:p w14:paraId="6EEC0DB6">
            <w:pPr>
              <w:keepNext w:val="0"/>
              <w:keepLines w:val="0"/>
              <w:pageBreakBefore w:val="0"/>
              <w:kinsoku w:val="0"/>
              <w:wordWrap/>
              <w:overflowPunct/>
              <w:topLinePunct w:val="0"/>
              <w:autoSpaceDE w:val="0"/>
              <w:autoSpaceDN w:val="0"/>
              <w:bidi w:val="0"/>
              <w:adjustRightInd w:val="0"/>
              <w:snapToGrid w:val="0"/>
              <w:spacing w:before="78" w:line="400" w:lineRule="exact"/>
              <w:jc w:val="center"/>
              <w:textAlignment w:val="baseline"/>
              <w:rPr>
                <w:rFonts w:hint="eastAsia" w:ascii="仿宋" w:hAnsi="仿宋" w:eastAsia="仿宋" w:cs="仿宋"/>
                <w:b/>
                <w:bCs/>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技术服务</w:t>
            </w:r>
          </w:p>
          <w:p w14:paraId="0D07385E">
            <w:pPr>
              <w:keepNext w:val="0"/>
              <w:keepLines w:val="0"/>
              <w:pageBreakBefore w:val="0"/>
              <w:kinsoku w:val="0"/>
              <w:wordWrap/>
              <w:overflowPunct/>
              <w:topLinePunct w:val="0"/>
              <w:autoSpaceDE w:val="0"/>
              <w:autoSpaceDN w:val="0"/>
              <w:bidi w:val="0"/>
              <w:adjustRightInd w:val="0"/>
              <w:snapToGrid w:val="0"/>
              <w:spacing w:before="78" w:line="400" w:lineRule="exact"/>
              <w:jc w:val="center"/>
              <w:textAlignment w:val="baseline"/>
              <w:rPr>
                <w:rFonts w:hint="eastAsia" w:ascii="仿宋" w:hAnsi="仿宋" w:eastAsia="仿宋" w:cs="仿宋"/>
                <w:b/>
                <w:bCs/>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方案</w:t>
            </w:r>
          </w:p>
          <w:p w14:paraId="2EB4E50D">
            <w:pPr>
              <w:keepNext w:val="0"/>
              <w:keepLines w:val="0"/>
              <w:pageBreakBefore w:val="0"/>
              <w:kinsoku w:val="0"/>
              <w:wordWrap/>
              <w:overflowPunct/>
              <w:topLinePunct w:val="0"/>
              <w:autoSpaceDE w:val="0"/>
              <w:autoSpaceDN w:val="0"/>
              <w:bidi w:val="0"/>
              <w:adjustRightInd w:val="0"/>
              <w:snapToGrid w:val="0"/>
              <w:spacing w:before="78" w:line="400" w:lineRule="exact"/>
              <w:jc w:val="center"/>
              <w:textAlignment w:val="baseline"/>
              <w:rPr>
                <w:rFonts w:hint="eastAsia" w:ascii="仿宋" w:hAnsi="仿宋" w:eastAsia="仿宋" w:cs="仿宋"/>
                <w:b/>
                <w:bCs/>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（76分）</w:t>
            </w:r>
          </w:p>
        </w:tc>
        <w:tc>
          <w:tcPr>
            <w:tcW w:w="717" w:type="dxa"/>
            <w:noWrap w:val="0"/>
            <w:vAlign w:val="center"/>
          </w:tcPr>
          <w:p w14:paraId="5173C349">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default" w:ascii="仿宋" w:hAnsi="仿宋" w:eastAsia="仿宋" w:cs="仿宋"/>
                <w:b/>
                <w:bCs/>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8分</w:t>
            </w:r>
          </w:p>
        </w:tc>
        <w:tc>
          <w:tcPr>
            <w:tcW w:w="1753" w:type="dxa"/>
            <w:noWrap w:val="0"/>
            <w:vAlign w:val="center"/>
          </w:tcPr>
          <w:p w14:paraId="743A9E4D">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kern w:val="2"/>
                <w:sz w:val="22"/>
                <w:szCs w:val="22"/>
                <w:highlight w:val="none"/>
                <w:lang w:val="en-US" w:eastAsia="zh-CN" w:bidi="ar-SA"/>
              </w:rPr>
              <w:t>安保服务方案</w:t>
            </w:r>
          </w:p>
        </w:tc>
        <w:tc>
          <w:tcPr>
            <w:tcW w:w="5015" w:type="dxa"/>
            <w:noWrap w:val="0"/>
            <w:vAlign w:val="top"/>
          </w:tcPr>
          <w:p w14:paraId="4F1DE6B2">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kern w:val="2"/>
                <w:sz w:val="22"/>
                <w:szCs w:val="22"/>
                <w:highlight w:val="none"/>
                <w:lang w:val="en-US" w:eastAsia="zh-CN" w:bidi="ar-SA"/>
              </w:rPr>
              <w:t>根据投标人提供的安保服务方案进行评审：</w:t>
            </w:r>
          </w:p>
          <w:p w14:paraId="5A903A23">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1.</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安保服务方案</w:t>
            </w:r>
            <w:r>
              <w:rPr>
                <w:rFonts w:hint="eastAsia" w:ascii="仿宋" w:hAnsi="仿宋" w:eastAsia="仿宋" w:cs="仿宋"/>
                <w:snapToGrid w:val="0"/>
                <w:color w:val="000000"/>
                <w:spacing w:val="-13"/>
                <w:kern w:val="0"/>
                <w:sz w:val="22"/>
                <w:szCs w:val="22"/>
                <w:lang w:val="en-US" w:eastAsia="en-US" w:bidi="ar-SA"/>
              </w:rPr>
              <w:t>内容完整，实施方案合理、规范，可操作性强，完全满足采购文件的要求得</w:t>
            </w:r>
            <w:r>
              <w:rPr>
                <w:rFonts w:hint="eastAsia" w:ascii="仿宋" w:hAnsi="仿宋" w:eastAsia="仿宋" w:cs="仿宋"/>
                <w:snapToGrid w:val="0"/>
                <w:color w:val="000000"/>
                <w:spacing w:val="-13"/>
                <w:kern w:val="0"/>
                <w:sz w:val="22"/>
                <w:szCs w:val="22"/>
                <w:lang w:val="en-US" w:eastAsia="zh-CN" w:bidi="ar-SA"/>
              </w:rPr>
              <w:t>8</w:t>
            </w:r>
            <w:r>
              <w:rPr>
                <w:rFonts w:hint="eastAsia" w:ascii="仿宋" w:hAnsi="仿宋" w:eastAsia="仿宋" w:cs="仿宋"/>
                <w:snapToGrid w:val="0"/>
                <w:color w:val="000000"/>
                <w:spacing w:val="-13"/>
                <w:kern w:val="0"/>
                <w:sz w:val="22"/>
                <w:szCs w:val="22"/>
                <w:lang w:val="en-US" w:eastAsia="en-US" w:bidi="ar-SA"/>
              </w:rPr>
              <w:t>分；</w:t>
            </w:r>
          </w:p>
          <w:p w14:paraId="661DF482">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2.</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安保服务方案</w:t>
            </w:r>
            <w:r>
              <w:rPr>
                <w:rFonts w:hint="eastAsia" w:ascii="仿宋" w:hAnsi="仿宋" w:eastAsia="仿宋" w:cs="仿宋"/>
                <w:snapToGrid w:val="0"/>
                <w:color w:val="000000"/>
                <w:spacing w:val="-13"/>
                <w:kern w:val="0"/>
                <w:sz w:val="22"/>
                <w:szCs w:val="22"/>
                <w:lang w:val="en-US" w:eastAsia="en-US" w:bidi="ar-SA"/>
              </w:rPr>
              <w:t>内容较完整，实施方案较为合理，有可操作性，能满足采购文件的要求得</w:t>
            </w:r>
            <w:r>
              <w:rPr>
                <w:rFonts w:hint="eastAsia" w:ascii="仿宋" w:hAnsi="仿宋" w:eastAsia="仿宋" w:cs="仿宋"/>
                <w:snapToGrid w:val="0"/>
                <w:color w:val="000000"/>
                <w:spacing w:val="-13"/>
                <w:kern w:val="0"/>
                <w:sz w:val="22"/>
                <w:szCs w:val="22"/>
                <w:lang w:val="en-US" w:eastAsia="zh-CN" w:bidi="ar-SA"/>
              </w:rPr>
              <w:t>6</w:t>
            </w:r>
            <w:r>
              <w:rPr>
                <w:rFonts w:hint="eastAsia" w:ascii="仿宋" w:hAnsi="仿宋" w:eastAsia="仿宋" w:cs="仿宋"/>
                <w:snapToGrid w:val="0"/>
                <w:color w:val="000000"/>
                <w:spacing w:val="-13"/>
                <w:kern w:val="0"/>
                <w:sz w:val="22"/>
                <w:szCs w:val="22"/>
                <w:lang w:val="en-US" w:eastAsia="en-US" w:bidi="ar-SA"/>
              </w:rPr>
              <w:t>分；</w:t>
            </w:r>
          </w:p>
          <w:p w14:paraId="46B87C3A">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3.</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安保服务方案</w:t>
            </w:r>
            <w:r>
              <w:rPr>
                <w:rFonts w:hint="eastAsia" w:ascii="仿宋" w:hAnsi="仿宋" w:eastAsia="仿宋" w:cs="仿宋"/>
                <w:snapToGrid w:val="0"/>
                <w:color w:val="000000"/>
                <w:spacing w:val="-13"/>
                <w:kern w:val="0"/>
                <w:sz w:val="22"/>
                <w:szCs w:val="22"/>
                <w:lang w:val="en-US" w:eastAsia="en-US" w:bidi="ar-SA"/>
              </w:rPr>
              <w:t>基本全面，内容基本完整，实施方案基本合理、规范，可操作性一般，基本满足采购文件的要求，得</w:t>
            </w:r>
            <w:r>
              <w:rPr>
                <w:rFonts w:hint="eastAsia" w:ascii="仿宋" w:hAnsi="仿宋" w:eastAsia="仿宋" w:cs="仿宋"/>
                <w:snapToGrid w:val="0"/>
                <w:color w:val="000000"/>
                <w:spacing w:val="-13"/>
                <w:kern w:val="0"/>
                <w:sz w:val="22"/>
                <w:szCs w:val="22"/>
                <w:lang w:val="en-US" w:eastAsia="zh-CN" w:bidi="ar-SA"/>
              </w:rPr>
              <w:t>4</w:t>
            </w:r>
            <w:r>
              <w:rPr>
                <w:rFonts w:hint="eastAsia" w:ascii="仿宋" w:hAnsi="仿宋" w:eastAsia="仿宋" w:cs="仿宋"/>
                <w:snapToGrid w:val="0"/>
                <w:color w:val="000000"/>
                <w:spacing w:val="-13"/>
                <w:kern w:val="0"/>
                <w:sz w:val="22"/>
                <w:szCs w:val="22"/>
                <w:lang w:val="en-US" w:eastAsia="en-US" w:bidi="ar-SA"/>
              </w:rPr>
              <w:t>分；</w:t>
            </w:r>
          </w:p>
          <w:p w14:paraId="54828428">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4.</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安保服务方案</w:t>
            </w:r>
            <w:r>
              <w:rPr>
                <w:rFonts w:hint="eastAsia" w:ascii="仿宋" w:hAnsi="仿宋" w:eastAsia="仿宋" w:cs="仿宋"/>
                <w:snapToGrid w:val="0"/>
                <w:color w:val="000000"/>
                <w:spacing w:val="-13"/>
                <w:kern w:val="0"/>
                <w:sz w:val="22"/>
                <w:szCs w:val="22"/>
                <w:lang w:val="en-US" w:eastAsia="en-US" w:bidi="ar-SA"/>
              </w:rPr>
              <w:t>不够全面，方案不够合理、规范，不够可行，得</w:t>
            </w:r>
            <w:r>
              <w:rPr>
                <w:rFonts w:hint="eastAsia" w:ascii="仿宋" w:hAnsi="仿宋" w:eastAsia="仿宋" w:cs="仿宋"/>
                <w:snapToGrid w:val="0"/>
                <w:color w:val="000000"/>
                <w:spacing w:val="-13"/>
                <w:kern w:val="0"/>
                <w:sz w:val="22"/>
                <w:szCs w:val="22"/>
                <w:lang w:val="en-US" w:eastAsia="zh-CN" w:bidi="ar-SA"/>
              </w:rPr>
              <w:t>2</w:t>
            </w:r>
            <w:r>
              <w:rPr>
                <w:rFonts w:hint="eastAsia" w:ascii="仿宋" w:hAnsi="仿宋" w:eastAsia="仿宋" w:cs="仿宋"/>
                <w:snapToGrid w:val="0"/>
                <w:color w:val="000000"/>
                <w:spacing w:val="-13"/>
                <w:kern w:val="0"/>
                <w:sz w:val="22"/>
                <w:szCs w:val="22"/>
                <w:lang w:val="en-US" w:eastAsia="en-US" w:bidi="ar-SA"/>
              </w:rPr>
              <w:t>分；</w:t>
            </w:r>
          </w:p>
          <w:p w14:paraId="3F1731C8">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5.缺项不得分。</w:t>
            </w:r>
          </w:p>
        </w:tc>
      </w:tr>
      <w:tr w14:paraId="6972C5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continue"/>
            <w:noWrap w:val="0"/>
            <w:vAlign w:val="center"/>
          </w:tcPr>
          <w:p w14:paraId="3194C9C3">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snapToGrid w:val="0"/>
                <w:color w:val="000000"/>
                <w:spacing w:val="-13"/>
                <w:kern w:val="0"/>
                <w:sz w:val="22"/>
                <w:szCs w:val="22"/>
                <w:lang w:val="en-US" w:eastAsia="zh-CN" w:bidi="ar-SA"/>
              </w:rPr>
            </w:pPr>
          </w:p>
        </w:tc>
        <w:tc>
          <w:tcPr>
            <w:tcW w:w="1211" w:type="dxa"/>
            <w:vMerge w:val="continue"/>
            <w:noWrap w:val="0"/>
            <w:vAlign w:val="center"/>
          </w:tcPr>
          <w:p w14:paraId="710DEE21">
            <w:pPr>
              <w:keepNext w:val="0"/>
              <w:keepLines w:val="0"/>
              <w:pageBreakBefore w:val="0"/>
              <w:kinsoku w:val="0"/>
              <w:wordWrap/>
              <w:overflowPunct/>
              <w:topLinePunct w:val="0"/>
              <w:autoSpaceDE w:val="0"/>
              <w:autoSpaceDN w:val="0"/>
              <w:bidi w:val="0"/>
              <w:adjustRightInd w:val="0"/>
              <w:snapToGrid w:val="0"/>
              <w:spacing w:before="78" w:line="400" w:lineRule="exact"/>
              <w:jc w:val="center"/>
              <w:textAlignment w:val="baseline"/>
              <w:rPr>
                <w:rFonts w:hint="eastAsia" w:ascii="仿宋" w:hAnsi="仿宋" w:eastAsia="仿宋" w:cs="仿宋"/>
                <w:b/>
                <w:bCs/>
                <w:snapToGrid w:val="0"/>
                <w:color w:val="000000"/>
                <w:spacing w:val="-13"/>
                <w:kern w:val="0"/>
                <w:sz w:val="22"/>
                <w:szCs w:val="22"/>
                <w:lang w:val="en-US" w:eastAsia="zh-CN" w:bidi="ar-SA"/>
              </w:rPr>
            </w:pPr>
          </w:p>
        </w:tc>
        <w:tc>
          <w:tcPr>
            <w:tcW w:w="717" w:type="dxa"/>
            <w:noWrap w:val="0"/>
            <w:vAlign w:val="center"/>
          </w:tcPr>
          <w:p w14:paraId="3ACDAA39">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8分</w:t>
            </w:r>
          </w:p>
        </w:tc>
        <w:tc>
          <w:tcPr>
            <w:tcW w:w="1753" w:type="dxa"/>
            <w:noWrap w:val="0"/>
            <w:vAlign w:val="center"/>
          </w:tcPr>
          <w:p w14:paraId="0809643C">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保洁服务方案</w:t>
            </w:r>
          </w:p>
        </w:tc>
        <w:tc>
          <w:tcPr>
            <w:tcW w:w="5015" w:type="dxa"/>
            <w:noWrap w:val="0"/>
            <w:vAlign w:val="top"/>
          </w:tcPr>
          <w:p w14:paraId="43BC7332">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kern w:val="2"/>
                <w:sz w:val="22"/>
                <w:szCs w:val="22"/>
                <w:highlight w:val="none"/>
                <w:lang w:val="en-US" w:eastAsia="zh-CN" w:bidi="ar-SA"/>
              </w:rPr>
              <w:t>根据投标人提供的保洁服务方案进行评审：</w:t>
            </w:r>
          </w:p>
          <w:p w14:paraId="792FDF9A">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1.</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保洁服务方案</w:t>
            </w:r>
            <w:r>
              <w:rPr>
                <w:rFonts w:hint="eastAsia" w:ascii="仿宋" w:hAnsi="仿宋" w:eastAsia="仿宋" w:cs="仿宋"/>
                <w:snapToGrid w:val="0"/>
                <w:color w:val="000000"/>
                <w:spacing w:val="-13"/>
                <w:kern w:val="0"/>
                <w:sz w:val="22"/>
                <w:szCs w:val="22"/>
                <w:lang w:val="en-US" w:eastAsia="en-US" w:bidi="ar-SA"/>
              </w:rPr>
              <w:t>内容完整，实施方案合理、规范，可操作性强，完全满足采购文件的要求得</w:t>
            </w:r>
            <w:r>
              <w:rPr>
                <w:rFonts w:hint="eastAsia" w:ascii="仿宋" w:hAnsi="仿宋" w:eastAsia="仿宋" w:cs="仿宋"/>
                <w:snapToGrid w:val="0"/>
                <w:color w:val="000000"/>
                <w:spacing w:val="-13"/>
                <w:kern w:val="0"/>
                <w:sz w:val="22"/>
                <w:szCs w:val="22"/>
                <w:lang w:val="en-US" w:eastAsia="zh-CN" w:bidi="ar-SA"/>
              </w:rPr>
              <w:t>8</w:t>
            </w:r>
            <w:r>
              <w:rPr>
                <w:rFonts w:hint="eastAsia" w:ascii="仿宋" w:hAnsi="仿宋" w:eastAsia="仿宋" w:cs="仿宋"/>
                <w:snapToGrid w:val="0"/>
                <w:color w:val="000000"/>
                <w:spacing w:val="-13"/>
                <w:kern w:val="0"/>
                <w:sz w:val="22"/>
                <w:szCs w:val="22"/>
                <w:lang w:val="en-US" w:eastAsia="en-US" w:bidi="ar-SA"/>
              </w:rPr>
              <w:t>分；</w:t>
            </w:r>
          </w:p>
          <w:p w14:paraId="4BFABB69">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2.</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保洁服务方案</w:t>
            </w:r>
            <w:r>
              <w:rPr>
                <w:rFonts w:hint="eastAsia" w:ascii="仿宋" w:hAnsi="仿宋" w:eastAsia="仿宋" w:cs="仿宋"/>
                <w:snapToGrid w:val="0"/>
                <w:color w:val="000000"/>
                <w:spacing w:val="-13"/>
                <w:kern w:val="0"/>
                <w:sz w:val="22"/>
                <w:szCs w:val="22"/>
                <w:lang w:val="en-US" w:eastAsia="en-US" w:bidi="ar-SA"/>
              </w:rPr>
              <w:t>内容较完整，实施方案较为合理，有可操作性，能满足采购文件的要求得</w:t>
            </w:r>
            <w:r>
              <w:rPr>
                <w:rFonts w:hint="eastAsia" w:ascii="仿宋" w:hAnsi="仿宋" w:eastAsia="仿宋" w:cs="仿宋"/>
                <w:snapToGrid w:val="0"/>
                <w:color w:val="000000"/>
                <w:spacing w:val="-13"/>
                <w:kern w:val="0"/>
                <w:sz w:val="22"/>
                <w:szCs w:val="22"/>
                <w:lang w:val="en-US" w:eastAsia="zh-CN" w:bidi="ar-SA"/>
              </w:rPr>
              <w:t>6</w:t>
            </w:r>
            <w:r>
              <w:rPr>
                <w:rFonts w:hint="eastAsia" w:ascii="仿宋" w:hAnsi="仿宋" w:eastAsia="仿宋" w:cs="仿宋"/>
                <w:snapToGrid w:val="0"/>
                <w:color w:val="000000"/>
                <w:spacing w:val="-13"/>
                <w:kern w:val="0"/>
                <w:sz w:val="22"/>
                <w:szCs w:val="22"/>
                <w:lang w:val="en-US" w:eastAsia="en-US" w:bidi="ar-SA"/>
              </w:rPr>
              <w:t>分；</w:t>
            </w:r>
          </w:p>
          <w:p w14:paraId="11512FE1">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3.</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保洁服务方案</w:t>
            </w:r>
            <w:r>
              <w:rPr>
                <w:rFonts w:hint="eastAsia" w:ascii="仿宋" w:hAnsi="仿宋" w:eastAsia="仿宋" w:cs="仿宋"/>
                <w:snapToGrid w:val="0"/>
                <w:color w:val="000000"/>
                <w:spacing w:val="-13"/>
                <w:kern w:val="0"/>
                <w:sz w:val="22"/>
                <w:szCs w:val="22"/>
                <w:lang w:val="en-US" w:eastAsia="en-US" w:bidi="ar-SA"/>
              </w:rPr>
              <w:t>基本全面，内容基本完整，实施方案基本合理、规范，可操作性一般，基本满足采购文件的要求，得</w:t>
            </w:r>
            <w:r>
              <w:rPr>
                <w:rFonts w:hint="eastAsia" w:ascii="仿宋" w:hAnsi="仿宋" w:eastAsia="仿宋" w:cs="仿宋"/>
                <w:snapToGrid w:val="0"/>
                <w:color w:val="000000"/>
                <w:spacing w:val="-13"/>
                <w:kern w:val="0"/>
                <w:sz w:val="22"/>
                <w:szCs w:val="22"/>
                <w:lang w:val="en-US" w:eastAsia="zh-CN" w:bidi="ar-SA"/>
              </w:rPr>
              <w:t>4</w:t>
            </w:r>
            <w:r>
              <w:rPr>
                <w:rFonts w:hint="eastAsia" w:ascii="仿宋" w:hAnsi="仿宋" w:eastAsia="仿宋" w:cs="仿宋"/>
                <w:snapToGrid w:val="0"/>
                <w:color w:val="000000"/>
                <w:spacing w:val="-13"/>
                <w:kern w:val="0"/>
                <w:sz w:val="22"/>
                <w:szCs w:val="22"/>
                <w:lang w:val="en-US" w:eastAsia="en-US" w:bidi="ar-SA"/>
              </w:rPr>
              <w:t>分；</w:t>
            </w:r>
          </w:p>
          <w:p w14:paraId="02801CB5">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4.</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保洁服务方案</w:t>
            </w:r>
            <w:r>
              <w:rPr>
                <w:rFonts w:hint="eastAsia" w:ascii="仿宋" w:hAnsi="仿宋" w:eastAsia="仿宋" w:cs="仿宋"/>
                <w:snapToGrid w:val="0"/>
                <w:color w:val="000000"/>
                <w:spacing w:val="-13"/>
                <w:kern w:val="0"/>
                <w:sz w:val="22"/>
                <w:szCs w:val="22"/>
                <w:lang w:val="en-US" w:eastAsia="en-US" w:bidi="ar-SA"/>
              </w:rPr>
              <w:t>不够全面，方案不够合理、规范，不够可行，得</w:t>
            </w:r>
            <w:r>
              <w:rPr>
                <w:rFonts w:hint="eastAsia" w:ascii="仿宋" w:hAnsi="仿宋" w:eastAsia="仿宋" w:cs="仿宋"/>
                <w:snapToGrid w:val="0"/>
                <w:color w:val="000000"/>
                <w:spacing w:val="-13"/>
                <w:kern w:val="0"/>
                <w:sz w:val="22"/>
                <w:szCs w:val="22"/>
                <w:lang w:val="en-US" w:eastAsia="zh-CN" w:bidi="ar-SA"/>
              </w:rPr>
              <w:t>2</w:t>
            </w:r>
            <w:r>
              <w:rPr>
                <w:rFonts w:hint="eastAsia" w:ascii="仿宋" w:hAnsi="仿宋" w:eastAsia="仿宋" w:cs="仿宋"/>
                <w:snapToGrid w:val="0"/>
                <w:color w:val="000000"/>
                <w:spacing w:val="-13"/>
                <w:kern w:val="0"/>
                <w:sz w:val="22"/>
                <w:szCs w:val="22"/>
                <w:lang w:val="en-US" w:eastAsia="en-US" w:bidi="ar-SA"/>
              </w:rPr>
              <w:t>分；</w:t>
            </w:r>
          </w:p>
          <w:p w14:paraId="21D8FF1A">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5.缺项不得分。</w:t>
            </w:r>
          </w:p>
        </w:tc>
      </w:tr>
      <w:tr w14:paraId="09C82A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continue"/>
            <w:noWrap w:val="0"/>
            <w:vAlign w:val="center"/>
          </w:tcPr>
          <w:p w14:paraId="0099B83F">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1211" w:type="dxa"/>
            <w:vMerge w:val="continue"/>
            <w:noWrap w:val="0"/>
            <w:vAlign w:val="center"/>
          </w:tcPr>
          <w:p w14:paraId="1123468B">
            <w:pPr>
              <w:keepNext w:val="0"/>
              <w:keepLines w:val="0"/>
              <w:pageBreakBefore w:val="0"/>
              <w:kinsoku w:val="0"/>
              <w:wordWrap/>
              <w:overflowPunct/>
              <w:topLinePunct w:val="0"/>
              <w:autoSpaceDE w:val="0"/>
              <w:autoSpaceDN w:val="0"/>
              <w:bidi w:val="0"/>
              <w:adjustRightInd w:val="0"/>
              <w:snapToGrid w:val="0"/>
              <w:spacing w:before="78"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717" w:type="dxa"/>
            <w:noWrap w:val="0"/>
            <w:vAlign w:val="center"/>
          </w:tcPr>
          <w:p w14:paraId="37A120ED">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8分</w:t>
            </w:r>
          </w:p>
        </w:tc>
        <w:tc>
          <w:tcPr>
            <w:tcW w:w="1753" w:type="dxa"/>
            <w:noWrap w:val="0"/>
            <w:vAlign w:val="center"/>
          </w:tcPr>
          <w:p w14:paraId="1231C8BD">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b w:val="0"/>
                <w:bCs w:val="0"/>
                <w:kern w:val="2"/>
                <w:sz w:val="22"/>
                <w:szCs w:val="22"/>
                <w:highlight w:val="none"/>
                <w:lang w:val="en-US" w:eastAsia="zh-CN" w:bidi="ar-SA"/>
              </w:rPr>
              <w:t>水电维修方案</w:t>
            </w:r>
          </w:p>
        </w:tc>
        <w:tc>
          <w:tcPr>
            <w:tcW w:w="5015" w:type="dxa"/>
            <w:noWrap w:val="0"/>
            <w:vAlign w:val="top"/>
          </w:tcPr>
          <w:p w14:paraId="4C16F69C">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根据投标人提供的水电维修方案进行评审：</w:t>
            </w:r>
          </w:p>
          <w:p w14:paraId="4F43342B">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1.</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水电维修方案</w:t>
            </w:r>
            <w:r>
              <w:rPr>
                <w:rFonts w:hint="eastAsia" w:ascii="仿宋" w:hAnsi="仿宋" w:eastAsia="仿宋" w:cs="仿宋"/>
                <w:snapToGrid w:val="0"/>
                <w:color w:val="000000"/>
                <w:spacing w:val="-13"/>
                <w:kern w:val="0"/>
                <w:sz w:val="22"/>
                <w:szCs w:val="22"/>
                <w:lang w:val="en-US" w:eastAsia="en-US" w:bidi="ar-SA"/>
              </w:rPr>
              <w:t>内容完整，实施方案合理、规范，可操作性强，完全满足采购文件的要求得</w:t>
            </w:r>
            <w:r>
              <w:rPr>
                <w:rFonts w:hint="eastAsia" w:ascii="仿宋" w:hAnsi="仿宋" w:eastAsia="仿宋" w:cs="仿宋"/>
                <w:snapToGrid w:val="0"/>
                <w:color w:val="000000"/>
                <w:spacing w:val="-13"/>
                <w:kern w:val="0"/>
                <w:sz w:val="22"/>
                <w:szCs w:val="22"/>
                <w:lang w:val="en-US" w:eastAsia="zh-CN" w:bidi="ar-SA"/>
              </w:rPr>
              <w:t>8</w:t>
            </w:r>
            <w:r>
              <w:rPr>
                <w:rFonts w:hint="eastAsia" w:ascii="仿宋" w:hAnsi="仿宋" w:eastAsia="仿宋" w:cs="仿宋"/>
                <w:snapToGrid w:val="0"/>
                <w:color w:val="000000"/>
                <w:spacing w:val="-13"/>
                <w:kern w:val="0"/>
                <w:sz w:val="22"/>
                <w:szCs w:val="22"/>
                <w:lang w:val="en-US" w:eastAsia="en-US" w:bidi="ar-SA"/>
              </w:rPr>
              <w:t>分；</w:t>
            </w:r>
          </w:p>
          <w:p w14:paraId="115E3C95">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2.</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水电维修方案</w:t>
            </w:r>
            <w:r>
              <w:rPr>
                <w:rFonts w:hint="eastAsia" w:ascii="仿宋" w:hAnsi="仿宋" w:eastAsia="仿宋" w:cs="仿宋"/>
                <w:snapToGrid w:val="0"/>
                <w:color w:val="000000"/>
                <w:spacing w:val="-13"/>
                <w:kern w:val="0"/>
                <w:sz w:val="22"/>
                <w:szCs w:val="22"/>
                <w:lang w:val="en-US" w:eastAsia="en-US" w:bidi="ar-SA"/>
              </w:rPr>
              <w:t>内容较完整，实施方案较为合理，有可操作性，能满足采购文件的要求得</w:t>
            </w:r>
            <w:r>
              <w:rPr>
                <w:rFonts w:hint="eastAsia" w:ascii="仿宋" w:hAnsi="仿宋" w:eastAsia="仿宋" w:cs="仿宋"/>
                <w:snapToGrid w:val="0"/>
                <w:color w:val="000000"/>
                <w:spacing w:val="-13"/>
                <w:kern w:val="0"/>
                <w:sz w:val="22"/>
                <w:szCs w:val="22"/>
                <w:lang w:val="en-US" w:eastAsia="zh-CN" w:bidi="ar-SA"/>
              </w:rPr>
              <w:t>6</w:t>
            </w:r>
            <w:r>
              <w:rPr>
                <w:rFonts w:hint="eastAsia" w:ascii="仿宋" w:hAnsi="仿宋" w:eastAsia="仿宋" w:cs="仿宋"/>
                <w:snapToGrid w:val="0"/>
                <w:color w:val="000000"/>
                <w:spacing w:val="-13"/>
                <w:kern w:val="0"/>
                <w:sz w:val="22"/>
                <w:szCs w:val="22"/>
                <w:lang w:val="en-US" w:eastAsia="en-US" w:bidi="ar-SA"/>
              </w:rPr>
              <w:t>分；</w:t>
            </w:r>
          </w:p>
          <w:p w14:paraId="5BE54412">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3.</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水电维修方案</w:t>
            </w:r>
            <w:r>
              <w:rPr>
                <w:rFonts w:hint="eastAsia" w:ascii="仿宋" w:hAnsi="仿宋" w:eastAsia="仿宋" w:cs="仿宋"/>
                <w:snapToGrid w:val="0"/>
                <w:color w:val="000000"/>
                <w:spacing w:val="-13"/>
                <w:kern w:val="0"/>
                <w:sz w:val="22"/>
                <w:szCs w:val="22"/>
                <w:lang w:val="en-US" w:eastAsia="en-US" w:bidi="ar-SA"/>
              </w:rPr>
              <w:t>基本全面，内容基本完整，实施方案基本合理、规范，可操作性一般，基本满足采购文件的要求，得</w:t>
            </w:r>
            <w:r>
              <w:rPr>
                <w:rFonts w:hint="eastAsia" w:ascii="仿宋" w:hAnsi="仿宋" w:eastAsia="仿宋" w:cs="仿宋"/>
                <w:snapToGrid w:val="0"/>
                <w:color w:val="000000"/>
                <w:spacing w:val="-13"/>
                <w:kern w:val="0"/>
                <w:sz w:val="22"/>
                <w:szCs w:val="22"/>
                <w:lang w:val="en-US" w:eastAsia="zh-CN" w:bidi="ar-SA"/>
              </w:rPr>
              <w:t>4</w:t>
            </w:r>
            <w:r>
              <w:rPr>
                <w:rFonts w:hint="eastAsia" w:ascii="仿宋" w:hAnsi="仿宋" w:eastAsia="仿宋" w:cs="仿宋"/>
                <w:snapToGrid w:val="0"/>
                <w:color w:val="000000"/>
                <w:spacing w:val="-13"/>
                <w:kern w:val="0"/>
                <w:sz w:val="22"/>
                <w:szCs w:val="22"/>
                <w:lang w:val="en-US" w:eastAsia="en-US" w:bidi="ar-SA"/>
              </w:rPr>
              <w:t>分；</w:t>
            </w:r>
          </w:p>
          <w:p w14:paraId="7FD131FF">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4.</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水电维修方案</w:t>
            </w:r>
            <w:r>
              <w:rPr>
                <w:rFonts w:hint="eastAsia" w:ascii="仿宋" w:hAnsi="仿宋" w:eastAsia="仿宋" w:cs="仿宋"/>
                <w:snapToGrid w:val="0"/>
                <w:color w:val="000000"/>
                <w:spacing w:val="-13"/>
                <w:kern w:val="0"/>
                <w:sz w:val="22"/>
                <w:szCs w:val="22"/>
                <w:lang w:val="en-US" w:eastAsia="en-US" w:bidi="ar-SA"/>
              </w:rPr>
              <w:t>不够全面，方案不够合理、规范，不够可行，得</w:t>
            </w:r>
            <w:r>
              <w:rPr>
                <w:rFonts w:hint="eastAsia" w:ascii="仿宋" w:hAnsi="仿宋" w:eastAsia="仿宋" w:cs="仿宋"/>
                <w:snapToGrid w:val="0"/>
                <w:color w:val="000000"/>
                <w:spacing w:val="-13"/>
                <w:kern w:val="0"/>
                <w:sz w:val="22"/>
                <w:szCs w:val="22"/>
                <w:lang w:val="en-US" w:eastAsia="zh-CN" w:bidi="ar-SA"/>
              </w:rPr>
              <w:t>2</w:t>
            </w:r>
            <w:r>
              <w:rPr>
                <w:rFonts w:hint="eastAsia" w:ascii="仿宋" w:hAnsi="仿宋" w:eastAsia="仿宋" w:cs="仿宋"/>
                <w:snapToGrid w:val="0"/>
                <w:color w:val="000000"/>
                <w:spacing w:val="-13"/>
                <w:kern w:val="0"/>
                <w:sz w:val="22"/>
                <w:szCs w:val="22"/>
                <w:lang w:val="en-US" w:eastAsia="en-US" w:bidi="ar-SA"/>
              </w:rPr>
              <w:t>分；</w:t>
            </w:r>
          </w:p>
          <w:p w14:paraId="408CA015">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5.缺项不得分。</w:t>
            </w:r>
          </w:p>
        </w:tc>
      </w:tr>
      <w:tr w14:paraId="4DAB53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continue"/>
            <w:noWrap w:val="0"/>
            <w:vAlign w:val="center"/>
          </w:tcPr>
          <w:p w14:paraId="2C7C2E30">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1211" w:type="dxa"/>
            <w:vMerge w:val="continue"/>
            <w:noWrap w:val="0"/>
            <w:vAlign w:val="center"/>
          </w:tcPr>
          <w:p w14:paraId="0B8CB93A">
            <w:pPr>
              <w:keepNext w:val="0"/>
              <w:keepLines w:val="0"/>
              <w:pageBreakBefore w:val="0"/>
              <w:kinsoku w:val="0"/>
              <w:wordWrap/>
              <w:overflowPunct/>
              <w:topLinePunct w:val="0"/>
              <w:autoSpaceDE w:val="0"/>
              <w:autoSpaceDN w:val="0"/>
              <w:bidi w:val="0"/>
              <w:adjustRightInd w:val="0"/>
              <w:snapToGrid w:val="0"/>
              <w:spacing w:before="78"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717" w:type="dxa"/>
            <w:noWrap w:val="0"/>
            <w:vAlign w:val="center"/>
          </w:tcPr>
          <w:p w14:paraId="2AD64421">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default" w:ascii="仿宋" w:hAnsi="仿宋" w:eastAsia="仿宋" w:cs="仿宋"/>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8分</w:t>
            </w:r>
          </w:p>
        </w:tc>
        <w:tc>
          <w:tcPr>
            <w:tcW w:w="1753" w:type="dxa"/>
            <w:noWrap w:val="0"/>
            <w:vAlign w:val="center"/>
          </w:tcPr>
          <w:p w14:paraId="1E2B27E4">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default"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绿地管护方案</w:t>
            </w:r>
          </w:p>
        </w:tc>
        <w:tc>
          <w:tcPr>
            <w:tcW w:w="5015" w:type="dxa"/>
            <w:noWrap w:val="0"/>
            <w:vAlign w:val="top"/>
          </w:tcPr>
          <w:p w14:paraId="4D6D19DB">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根据投标人提供的绿地管护方案进行评审：</w:t>
            </w:r>
          </w:p>
          <w:p w14:paraId="55AE4BDE">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1.</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绿地管护方案</w:t>
            </w:r>
            <w:r>
              <w:rPr>
                <w:rFonts w:hint="eastAsia" w:ascii="仿宋" w:hAnsi="仿宋" w:eastAsia="仿宋" w:cs="仿宋"/>
                <w:snapToGrid w:val="0"/>
                <w:color w:val="000000"/>
                <w:spacing w:val="-13"/>
                <w:kern w:val="0"/>
                <w:sz w:val="22"/>
                <w:szCs w:val="22"/>
                <w:lang w:val="en-US" w:eastAsia="en-US" w:bidi="ar-SA"/>
              </w:rPr>
              <w:t>内容完整，实施方案合理、规范，可操作性强，完全满足采购文件的要求得</w:t>
            </w:r>
            <w:r>
              <w:rPr>
                <w:rFonts w:hint="eastAsia" w:ascii="仿宋" w:hAnsi="仿宋" w:eastAsia="仿宋" w:cs="仿宋"/>
                <w:snapToGrid w:val="0"/>
                <w:color w:val="000000"/>
                <w:spacing w:val="-13"/>
                <w:kern w:val="0"/>
                <w:sz w:val="22"/>
                <w:szCs w:val="22"/>
                <w:lang w:val="en-US" w:eastAsia="zh-CN" w:bidi="ar-SA"/>
              </w:rPr>
              <w:t>8</w:t>
            </w:r>
            <w:r>
              <w:rPr>
                <w:rFonts w:hint="eastAsia" w:ascii="仿宋" w:hAnsi="仿宋" w:eastAsia="仿宋" w:cs="仿宋"/>
                <w:snapToGrid w:val="0"/>
                <w:color w:val="000000"/>
                <w:spacing w:val="-13"/>
                <w:kern w:val="0"/>
                <w:sz w:val="22"/>
                <w:szCs w:val="22"/>
                <w:lang w:val="en-US" w:eastAsia="en-US" w:bidi="ar-SA"/>
              </w:rPr>
              <w:t>分；</w:t>
            </w:r>
          </w:p>
          <w:p w14:paraId="0E65A058">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2.</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绿地管护方案</w:t>
            </w:r>
            <w:r>
              <w:rPr>
                <w:rFonts w:hint="eastAsia" w:ascii="仿宋" w:hAnsi="仿宋" w:eastAsia="仿宋" w:cs="仿宋"/>
                <w:snapToGrid w:val="0"/>
                <w:color w:val="000000"/>
                <w:spacing w:val="-13"/>
                <w:kern w:val="0"/>
                <w:sz w:val="22"/>
                <w:szCs w:val="22"/>
                <w:lang w:val="en-US" w:eastAsia="en-US" w:bidi="ar-SA"/>
              </w:rPr>
              <w:t>内容较完整，实施方案较为合理，有可操作性，能满足采购文件的要求得</w:t>
            </w:r>
            <w:r>
              <w:rPr>
                <w:rFonts w:hint="eastAsia" w:ascii="仿宋" w:hAnsi="仿宋" w:eastAsia="仿宋" w:cs="仿宋"/>
                <w:snapToGrid w:val="0"/>
                <w:color w:val="000000"/>
                <w:spacing w:val="-13"/>
                <w:kern w:val="0"/>
                <w:sz w:val="22"/>
                <w:szCs w:val="22"/>
                <w:lang w:val="en-US" w:eastAsia="zh-CN" w:bidi="ar-SA"/>
              </w:rPr>
              <w:t>6</w:t>
            </w:r>
            <w:r>
              <w:rPr>
                <w:rFonts w:hint="eastAsia" w:ascii="仿宋" w:hAnsi="仿宋" w:eastAsia="仿宋" w:cs="仿宋"/>
                <w:snapToGrid w:val="0"/>
                <w:color w:val="000000"/>
                <w:spacing w:val="-13"/>
                <w:kern w:val="0"/>
                <w:sz w:val="22"/>
                <w:szCs w:val="22"/>
                <w:lang w:val="en-US" w:eastAsia="en-US" w:bidi="ar-SA"/>
              </w:rPr>
              <w:t>分；</w:t>
            </w:r>
          </w:p>
          <w:p w14:paraId="5E3D3175">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3.</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绿地管护方案</w:t>
            </w:r>
            <w:r>
              <w:rPr>
                <w:rFonts w:hint="eastAsia" w:ascii="仿宋" w:hAnsi="仿宋" w:eastAsia="仿宋" w:cs="仿宋"/>
                <w:snapToGrid w:val="0"/>
                <w:color w:val="000000"/>
                <w:spacing w:val="-13"/>
                <w:kern w:val="0"/>
                <w:sz w:val="22"/>
                <w:szCs w:val="22"/>
                <w:lang w:val="en-US" w:eastAsia="en-US" w:bidi="ar-SA"/>
              </w:rPr>
              <w:t>基本全面，内容基本完整，实施方案基本合理、规范，可操作性一般，基本满足采购文件的要求，得</w:t>
            </w:r>
            <w:r>
              <w:rPr>
                <w:rFonts w:hint="eastAsia" w:ascii="仿宋" w:hAnsi="仿宋" w:eastAsia="仿宋" w:cs="仿宋"/>
                <w:snapToGrid w:val="0"/>
                <w:color w:val="000000"/>
                <w:spacing w:val="-13"/>
                <w:kern w:val="0"/>
                <w:sz w:val="22"/>
                <w:szCs w:val="22"/>
                <w:lang w:val="en-US" w:eastAsia="zh-CN" w:bidi="ar-SA"/>
              </w:rPr>
              <w:t>4</w:t>
            </w:r>
            <w:r>
              <w:rPr>
                <w:rFonts w:hint="eastAsia" w:ascii="仿宋" w:hAnsi="仿宋" w:eastAsia="仿宋" w:cs="仿宋"/>
                <w:snapToGrid w:val="0"/>
                <w:color w:val="000000"/>
                <w:spacing w:val="-13"/>
                <w:kern w:val="0"/>
                <w:sz w:val="22"/>
                <w:szCs w:val="22"/>
                <w:lang w:val="en-US" w:eastAsia="en-US" w:bidi="ar-SA"/>
              </w:rPr>
              <w:t>分；</w:t>
            </w:r>
          </w:p>
          <w:p w14:paraId="23E000A5">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4.</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绿地管护方案</w:t>
            </w:r>
            <w:r>
              <w:rPr>
                <w:rFonts w:hint="eastAsia" w:ascii="仿宋" w:hAnsi="仿宋" w:eastAsia="仿宋" w:cs="仿宋"/>
                <w:snapToGrid w:val="0"/>
                <w:color w:val="000000"/>
                <w:spacing w:val="-13"/>
                <w:kern w:val="0"/>
                <w:sz w:val="22"/>
                <w:szCs w:val="22"/>
                <w:lang w:val="en-US" w:eastAsia="en-US" w:bidi="ar-SA"/>
              </w:rPr>
              <w:t>不够全面，方案不够合理、规范，不够可行，得</w:t>
            </w:r>
            <w:r>
              <w:rPr>
                <w:rFonts w:hint="eastAsia" w:ascii="仿宋" w:hAnsi="仿宋" w:eastAsia="仿宋" w:cs="仿宋"/>
                <w:snapToGrid w:val="0"/>
                <w:color w:val="000000"/>
                <w:spacing w:val="-13"/>
                <w:kern w:val="0"/>
                <w:sz w:val="22"/>
                <w:szCs w:val="22"/>
                <w:lang w:val="en-US" w:eastAsia="zh-CN" w:bidi="ar-SA"/>
              </w:rPr>
              <w:t>2</w:t>
            </w:r>
            <w:r>
              <w:rPr>
                <w:rFonts w:hint="eastAsia" w:ascii="仿宋" w:hAnsi="仿宋" w:eastAsia="仿宋" w:cs="仿宋"/>
                <w:snapToGrid w:val="0"/>
                <w:color w:val="000000"/>
                <w:spacing w:val="-13"/>
                <w:kern w:val="0"/>
                <w:sz w:val="22"/>
                <w:szCs w:val="22"/>
                <w:lang w:val="en-US" w:eastAsia="en-US" w:bidi="ar-SA"/>
              </w:rPr>
              <w:t>分；</w:t>
            </w:r>
          </w:p>
          <w:p w14:paraId="5E9CA4EF">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kern w:val="2"/>
                <w:sz w:val="22"/>
                <w:szCs w:val="22"/>
                <w:highlight w:val="none"/>
                <w:lang w:val="en-US" w:eastAsia="en-US" w:bidi="ar-SA"/>
              </w:rPr>
            </w:pPr>
            <w:r>
              <w:rPr>
                <w:rFonts w:hint="eastAsia" w:ascii="仿宋" w:hAnsi="仿宋" w:eastAsia="仿宋" w:cs="仿宋"/>
                <w:snapToGrid w:val="0"/>
                <w:color w:val="000000"/>
                <w:spacing w:val="-13"/>
                <w:kern w:val="0"/>
                <w:sz w:val="22"/>
                <w:szCs w:val="22"/>
                <w:lang w:val="en-US" w:eastAsia="en-US" w:bidi="ar-SA"/>
              </w:rPr>
              <w:t>5.缺项不得分。</w:t>
            </w:r>
          </w:p>
        </w:tc>
      </w:tr>
      <w:tr w14:paraId="5524F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continue"/>
            <w:noWrap w:val="0"/>
            <w:vAlign w:val="center"/>
          </w:tcPr>
          <w:p w14:paraId="5AEE30B4">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1211" w:type="dxa"/>
            <w:vMerge w:val="continue"/>
            <w:noWrap w:val="0"/>
            <w:vAlign w:val="center"/>
          </w:tcPr>
          <w:p w14:paraId="2F5EBF8B">
            <w:pPr>
              <w:keepNext w:val="0"/>
              <w:keepLines w:val="0"/>
              <w:pageBreakBefore w:val="0"/>
              <w:kinsoku w:val="0"/>
              <w:wordWrap/>
              <w:overflowPunct/>
              <w:topLinePunct w:val="0"/>
              <w:autoSpaceDE w:val="0"/>
              <w:autoSpaceDN w:val="0"/>
              <w:bidi w:val="0"/>
              <w:adjustRightInd w:val="0"/>
              <w:snapToGrid w:val="0"/>
              <w:spacing w:before="78"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717" w:type="dxa"/>
            <w:noWrap w:val="0"/>
            <w:vAlign w:val="center"/>
          </w:tcPr>
          <w:p w14:paraId="340C289C">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default" w:ascii="仿宋" w:hAnsi="仿宋" w:eastAsia="仿宋" w:cs="仿宋"/>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8分</w:t>
            </w:r>
          </w:p>
        </w:tc>
        <w:tc>
          <w:tcPr>
            <w:tcW w:w="1753" w:type="dxa"/>
            <w:noWrap w:val="0"/>
            <w:vAlign w:val="center"/>
          </w:tcPr>
          <w:p w14:paraId="356A9E39">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default"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会议及办案区住宿房间服务方案</w:t>
            </w:r>
          </w:p>
        </w:tc>
        <w:tc>
          <w:tcPr>
            <w:tcW w:w="5015" w:type="dxa"/>
            <w:noWrap w:val="0"/>
            <w:vAlign w:val="top"/>
          </w:tcPr>
          <w:p w14:paraId="36719F65">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根据投标人提供的会议及办案区住宿房间服务方案进行评审：</w:t>
            </w:r>
          </w:p>
          <w:p w14:paraId="1DBD7431">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1.</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会议及办案区住宿房间服务方案</w:t>
            </w:r>
            <w:r>
              <w:rPr>
                <w:rFonts w:hint="eastAsia" w:ascii="仿宋" w:hAnsi="仿宋" w:eastAsia="仿宋" w:cs="仿宋"/>
                <w:snapToGrid w:val="0"/>
                <w:color w:val="000000"/>
                <w:spacing w:val="-13"/>
                <w:kern w:val="0"/>
                <w:sz w:val="22"/>
                <w:szCs w:val="22"/>
                <w:lang w:val="en-US" w:eastAsia="en-US" w:bidi="ar-SA"/>
              </w:rPr>
              <w:t>内容完整，实施方案合理、规范，可操作性强，完全满足采购文件的要求得</w:t>
            </w:r>
            <w:r>
              <w:rPr>
                <w:rFonts w:hint="eastAsia" w:ascii="仿宋" w:hAnsi="仿宋" w:eastAsia="仿宋" w:cs="仿宋"/>
                <w:snapToGrid w:val="0"/>
                <w:color w:val="000000"/>
                <w:spacing w:val="-13"/>
                <w:kern w:val="0"/>
                <w:sz w:val="22"/>
                <w:szCs w:val="22"/>
                <w:lang w:val="en-US" w:eastAsia="zh-CN" w:bidi="ar-SA"/>
              </w:rPr>
              <w:t>8</w:t>
            </w:r>
            <w:r>
              <w:rPr>
                <w:rFonts w:hint="eastAsia" w:ascii="仿宋" w:hAnsi="仿宋" w:eastAsia="仿宋" w:cs="仿宋"/>
                <w:snapToGrid w:val="0"/>
                <w:color w:val="000000"/>
                <w:spacing w:val="-13"/>
                <w:kern w:val="0"/>
                <w:sz w:val="22"/>
                <w:szCs w:val="22"/>
                <w:lang w:val="en-US" w:eastAsia="en-US" w:bidi="ar-SA"/>
              </w:rPr>
              <w:t>分；</w:t>
            </w:r>
          </w:p>
          <w:p w14:paraId="24734450">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2.</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会议及办案区住宿房间服务方案</w:t>
            </w:r>
            <w:r>
              <w:rPr>
                <w:rFonts w:hint="eastAsia" w:ascii="仿宋" w:hAnsi="仿宋" w:eastAsia="仿宋" w:cs="仿宋"/>
                <w:snapToGrid w:val="0"/>
                <w:color w:val="000000"/>
                <w:spacing w:val="-13"/>
                <w:kern w:val="0"/>
                <w:sz w:val="22"/>
                <w:szCs w:val="22"/>
                <w:lang w:val="en-US" w:eastAsia="en-US" w:bidi="ar-SA"/>
              </w:rPr>
              <w:t>内容较完整，实施方案较为合理，有可操作性，能满足采购文件的要求得</w:t>
            </w:r>
            <w:r>
              <w:rPr>
                <w:rFonts w:hint="eastAsia" w:ascii="仿宋" w:hAnsi="仿宋" w:eastAsia="仿宋" w:cs="仿宋"/>
                <w:snapToGrid w:val="0"/>
                <w:color w:val="000000"/>
                <w:spacing w:val="-13"/>
                <w:kern w:val="0"/>
                <w:sz w:val="22"/>
                <w:szCs w:val="22"/>
                <w:lang w:val="en-US" w:eastAsia="zh-CN" w:bidi="ar-SA"/>
              </w:rPr>
              <w:t>6</w:t>
            </w:r>
            <w:r>
              <w:rPr>
                <w:rFonts w:hint="eastAsia" w:ascii="仿宋" w:hAnsi="仿宋" w:eastAsia="仿宋" w:cs="仿宋"/>
                <w:snapToGrid w:val="0"/>
                <w:color w:val="000000"/>
                <w:spacing w:val="-13"/>
                <w:kern w:val="0"/>
                <w:sz w:val="22"/>
                <w:szCs w:val="22"/>
                <w:lang w:val="en-US" w:eastAsia="en-US" w:bidi="ar-SA"/>
              </w:rPr>
              <w:t>分；</w:t>
            </w:r>
          </w:p>
          <w:p w14:paraId="06FDBB9F">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3.</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会议及办案区住宿房间服务方案</w:t>
            </w:r>
            <w:r>
              <w:rPr>
                <w:rFonts w:hint="eastAsia" w:ascii="仿宋" w:hAnsi="仿宋" w:eastAsia="仿宋" w:cs="仿宋"/>
                <w:snapToGrid w:val="0"/>
                <w:color w:val="000000"/>
                <w:spacing w:val="-13"/>
                <w:kern w:val="0"/>
                <w:sz w:val="22"/>
                <w:szCs w:val="22"/>
                <w:lang w:val="en-US" w:eastAsia="en-US" w:bidi="ar-SA"/>
              </w:rPr>
              <w:t>基本全面，内容基本完整，实施方案基本合理、规范，可操作性一般，基本满足采购文件的要求，得</w:t>
            </w:r>
            <w:r>
              <w:rPr>
                <w:rFonts w:hint="eastAsia" w:ascii="仿宋" w:hAnsi="仿宋" w:eastAsia="仿宋" w:cs="仿宋"/>
                <w:snapToGrid w:val="0"/>
                <w:color w:val="000000"/>
                <w:spacing w:val="-13"/>
                <w:kern w:val="0"/>
                <w:sz w:val="22"/>
                <w:szCs w:val="22"/>
                <w:lang w:val="en-US" w:eastAsia="zh-CN" w:bidi="ar-SA"/>
              </w:rPr>
              <w:t>4</w:t>
            </w:r>
            <w:r>
              <w:rPr>
                <w:rFonts w:hint="eastAsia" w:ascii="仿宋" w:hAnsi="仿宋" w:eastAsia="仿宋" w:cs="仿宋"/>
                <w:snapToGrid w:val="0"/>
                <w:color w:val="000000"/>
                <w:spacing w:val="-13"/>
                <w:kern w:val="0"/>
                <w:sz w:val="22"/>
                <w:szCs w:val="22"/>
                <w:lang w:val="en-US" w:eastAsia="en-US" w:bidi="ar-SA"/>
              </w:rPr>
              <w:t>分；</w:t>
            </w:r>
          </w:p>
          <w:p w14:paraId="483D5921">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4.</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会议及办案区住宿房间服务方案</w:t>
            </w:r>
            <w:r>
              <w:rPr>
                <w:rFonts w:hint="eastAsia" w:ascii="仿宋" w:hAnsi="仿宋" w:eastAsia="仿宋" w:cs="仿宋"/>
                <w:snapToGrid w:val="0"/>
                <w:color w:val="000000"/>
                <w:spacing w:val="-13"/>
                <w:kern w:val="0"/>
                <w:sz w:val="22"/>
                <w:szCs w:val="22"/>
                <w:lang w:val="en-US" w:eastAsia="en-US" w:bidi="ar-SA"/>
              </w:rPr>
              <w:t>不够全面，方案不够合理、规范，不够可行，得</w:t>
            </w:r>
            <w:r>
              <w:rPr>
                <w:rFonts w:hint="eastAsia" w:ascii="仿宋" w:hAnsi="仿宋" w:eastAsia="仿宋" w:cs="仿宋"/>
                <w:snapToGrid w:val="0"/>
                <w:color w:val="000000"/>
                <w:spacing w:val="-13"/>
                <w:kern w:val="0"/>
                <w:sz w:val="22"/>
                <w:szCs w:val="22"/>
                <w:lang w:val="en-US" w:eastAsia="zh-CN" w:bidi="ar-SA"/>
              </w:rPr>
              <w:t>2</w:t>
            </w:r>
            <w:r>
              <w:rPr>
                <w:rFonts w:hint="eastAsia" w:ascii="仿宋" w:hAnsi="仿宋" w:eastAsia="仿宋" w:cs="仿宋"/>
                <w:snapToGrid w:val="0"/>
                <w:color w:val="000000"/>
                <w:spacing w:val="-13"/>
                <w:kern w:val="0"/>
                <w:sz w:val="22"/>
                <w:szCs w:val="22"/>
                <w:lang w:val="en-US" w:eastAsia="en-US" w:bidi="ar-SA"/>
              </w:rPr>
              <w:t>分；</w:t>
            </w:r>
          </w:p>
          <w:p w14:paraId="724C2FB0">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5.缺项不得分。</w:t>
            </w:r>
          </w:p>
        </w:tc>
      </w:tr>
      <w:tr w14:paraId="3F19D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continue"/>
            <w:noWrap w:val="0"/>
            <w:vAlign w:val="center"/>
          </w:tcPr>
          <w:p w14:paraId="7B3AAC96">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1211" w:type="dxa"/>
            <w:vMerge w:val="continue"/>
            <w:noWrap w:val="0"/>
            <w:vAlign w:val="center"/>
          </w:tcPr>
          <w:p w14:paraId="00CD5D7F">
            <w:pPr>
              <w:keepNext w:val="0"/>
              <w:keepLines w:val="0"/>
              <w:pageBreakBefore w:val="0"/>
              <w:kinsoku w:val="0"/>
              <w:wordWrap/>
              <w:overflowPunct/>
              <w:topLinePunct w:val="0"/>
              <w:autoSpaceDE w:val="0"/>
              <w:autoSpaceDN w:val="0"/>
              <w:bidi w:val="0"/>
              <w:adjustRightInd w:val="0"/>
              <w:snapToGrid w:val="0"/>
              <w:spacing w:before="78"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717" w:type="dxa"/>
            <w:noWrap w:val="0"/>
            <w:vAlign w:val="center"/>
          </w:tcPr>
          <w:p w14:paraId="6C689D43">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8分</w:t>
            </w:r>
          </w:p>
        </w:tc>
        <w:tc>
          <w:tcPr>
            <w:tcW w:w="1753" w:type="dxa"/>
            <w:noWrap w:val="0"/>
            <w:vAlign w:val="center"/>
          </w:tcPr>
          <w:p w14:paraId="378D4A14">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电梯维护方案</w:t>
            </w:r>
          </w:p>
        </w:tc>
        <w:tc>
          <w:tcPr>
            <w:tcW w:w="5015" w:type="dxa"/>
            <w:noWrap w:val="0"/>
            <w:vAlign w:val="top"/>
          </w:tcPr>
          <w:p w14:paraId="4081B239">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根据投标人提供的电梯维护方案进行评审：</w:t>
            </w:r>
          </w:p>
          <w:p w14:paraId="5EFFF0EB">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1.</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电梯维护方案</w:t>
            </w:r>
            <w:r>
              <w:rPr>
                <w:rFonts w:hint="eastAsia" w:ascii="仿宋" w:hAnsi="仿宋" w:eastAsia="仿宋" w:cs="仿宋"/>
                <w:snapToGrid w:val="0"/>
                <w:color w:val="000000"/>
                <w:spacing w:val="-13"/>
                <w:kern w:val="0"/>
                <w:sz w:val="22"/>
                <w:szCs w:val="22"/>
                <w:lang w:val="en-US" w:eastAsia="en-US" w:bidi="ar-SA"/>
              </w:rPr>
              <w:t>内容完整，实施方案合理、规范，可操作性强，完全满足采购文件的要求得</w:t>
            </w:r>
            <w:r>
              <w:rPr>
                <w:rFonts w:hint="eastAsia" w:ascii="仿宋" w:hAnsi="仿宋" w:eastAsia="仿宋" w:cs="仿宋"/>
                <w:snapToGrid w:val="0"/>
                <w:color w:val="000000"/>
                <w:spacing w:val="-13"/>
                <w:kern w:val="0"/>
                <w:sz w:val="22"/>
                <w:szCs w:val="22"/>
                <w:lang w:val="en-US" w:eastAsia="zh-CN" w:bidi="ar-SA"/>
              </w:rPr>
              <w:t>8</w:t>
            </w:r>
            <w:r>
              <w:rPr>
                <w:rFonts w:hint="eastAsia" w:ascii="仿宋" w:hAnsi="仿宋" w:eastAsia="仿宋" w:cs="仿宋"/>
                <w:snapToGrid w:val="0"/>
                <w:color w:val="000000"/>
                <w:spacing w:val="-13"/>
                <w:kern w:val="0"/>
                <w:sz w:val="22"/>
                <w:szCs w:val="22"/>
                <w:lang w:val="en-US" w:eastAsia="en-US" w:bidi="ar-SA"/>
              </w:rPr>
              <w:t>分；</w:t>
            </w:r>
          </w:p>
          <w:p w14:paraId="7F13E0A9">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2.</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电梯维护方案</w:t>
            </w:r>
            <w:r>
              <w:rPr>
                <w:rFonts w:hint="eastAsia" w:ascii="仿宋" w:hAnsi="仿宋" w:eastAsia="仿宋" w:cs="仿宋"/>
                <w:snapToGrid w:val="0"/>
                <w:color w:val="000000"/>
                <w:spacing w:val="-13"/>
                <w:kern w:val="0"/>
                <w:sz w:val="22"/>
                <w:szCs w:val="22"/>
                <w:lang w:val="en-US" w:eastAsia="en-US" w:bidi="ar-SA"/>
              </w:rPr>
              <w:t>内容较完整，实施方案较为合理，有可操作性，能满足采购文件的要求得</w:t>
            </w:r>
            <w:r>
              <w:rPr>
                <w:rFonts w:hint="eastAsia" w:ascii="仿宋" w:hAnsi="仿宋" w:eastAsia="仿宋" w:cs="仿宋"/>
                <w:snapToGrid w:val="0"/>
                <w:color w:val="000000"/>
                <w:spacing w:val="-13"/>
                <w:kern w:val="0"/>
                <w:sz w:val="22"/>
                <w:szCs w:val="22"/>
                <w:lang w:val="en-US" w:eastAsia="zh-CN" w:bidi="ar-SA"/>
              </w:rPr>
              <w:t>6</w:t>
            </w:r>
            <w:r>
              <w:rPr>
                <w:rFonts w:hint="eastAsia" w:ascii="仿宋" w:hAnsi="仿宋" w:eastAsia="仿宋" w:cs="仿宋"/>
                <w:snapToGrid w:val="0"/>
                <w:color w:val="000000"/>
                <w:spacing w:val="-13"/>
                <w:kern w:val="0"/>
                <w:sz w:val="22"/>
                <w:szCs w:val="22"/>
                <w:lang w:val="en-US" w:eastAsia="en-US" w:bidi="ar-SA"/>
              </w:rPr>
              <w:t>分；</w:t>
            </w:r>
          </w:p>
          <w:p w14:paraId="16E8A922">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3.</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电梯维护方案</w:t>
            </w:r>
            <w:r>
              <w:rPr>
                <w:rFonts w:hint="eastAsia" w:ascii="仿宋" w:hAnsi="仿宋" w:eastAsia="仿宋" w:cs="仿宋"/>
                <w:snapToGrid w:val="0"/>
                <w:color w:val="000000"/>
                <w:spacing w:val="-13"/>
                <w:kern w:val="0"/>
                <w:sz w:val="22"/>
                <w:szCs w:val="22"/>
                <w:lang w:val="en-US" w:eastAsia="en-US" w:bidi="ar-SA"/>
              </w:rPr>
              <w:t>基本全面，内容基本完整，实施方案基本合理、规范，可操作性一般，基本满足采购文件的要求，得</w:t>
            </w:r>
            <w:r>
              <w:rPr>
                <w:rFonts w:hint="eastAsia" w:ascii="仿宋" w:hAnsi="仿宋" w:eastAsia="仿宋" w:cs="仿宋"/>
                <w:snapToGrid w:val="0"/>
                <w:color w:val="000000"/>
                <w:spacing w:val="-13"/>
                <w:kern w:val="0"/>
                <w:sz w:val="22"/>
                <w:szCs w:val="22"/>
                <w:lang w:val="en-US" w:eastAsia="zh-CN" w:bidi="ar-SA"/>
              </w:rPr>
              <w:t>4</w:t>
            </w:r>
            <w:r>
              <w:rPr>
                <w:rFonts w:hint="eastAsia" w:ascii="仿宋" w:hAnsi="仿宋" w:eastAsia="仿宋" w:cs="仿宋"/>
                <w:snapToGrid w:val="0"/>
                <w:color w:val="000000"/>
                <w:spacing w:val="-13"/>
                <w:kern w:val="0"/>
                <w:sz w:val="22"/>
                <w:szCs w:val="22"/>
                <w:lang w:val="en-US" w:eastAsia="en-US" w:bidi="ar-SA"/>
              </w:rPr>
              <w:t>分；</w:t>
            </w:r>
          </w:p>
          <w:p w14:paraId="6C76E456">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4.</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en-US" w:bidi="ar-SA"/>
              </w:rPr>
              <w:t>提供的</w:t>
            </w:r>
            <w:r>
              <w:rPr>
                <w:rFonts w:hint="eastAsia" w:ascii="仿宋" w:hAnsi="仿宋" w:eastAsia="仿宋" w:cs="仿宋"/>
                <w:kern w:val="2"/>
                <w:sz w:val="22"/>
                <w:szCs w:val="22"/>
                <w:highlight w:val="none"/>
                <w:lang w:val="en-US" w:eastAsia="zh-CN" w:bidi="ar-SA"/>
              </w:rPr>
              <w:t>电梯维护方案</w:t>
            </w:r>
            <w:r>
              <w:rPr>
                <w:rFonts w:hint="eastAsia" w:ascii="仿宋" w:hAnsi="仿宋" w:eastAsia="仿宋" w:cs="仿宋"/>
                <w:snapToGrid w:val="0"/>
                <w:color w:val="000000"/>
                <w:spacing w:val="-13"/>
                <w:kern w:val="0"/>
                <w:sz w:val="22"/>
                <w:szCs w:val="22"/>
                <w:lang w:val="en-US" w:eastAsia="en-US" w:bidi="ar-SA"/>
              </w:rPr>
              <w:t>不够全面，方案不够合理、规范，不够可行，得</w:t>
            </w:r>
            <w:r>
              <w:rPr>
                <w:rFonts w:hint="eastAsia" w:ascii="仿宋" w:hAnsi="仿宋" w:eastAsia="仿宋" w:cs="仿宋"/>
                <w:snapToGrid w:val="0"/>
                <w:color w:val="000000"/>
                <w:spacing w:val="-13"/>
                <w:kern w:val="0"/>
                <w:sz w:val="22"/>
                <w:szCs w:val="22"/>
                <w:lang w:val="en-US" w:eastAsia="zh-CN" w:bidi="ar-SA"/>
              </w:rPr>
              <w:t>2</w:t>
            </w:r>
            <w:r>
              <w:rPr>
                <w:rFonts w:hint="eastAsia" w:ascii="仿宋" w:hAnsi="仿宋" w:eastAsia="仿宋" w:cs="仿宋"/>
                <w:snapToGrid w:val="0"/>
                <w:color w:val="000000"/>
                <w:spacing w:val="-13"/>
                <w:kern w:val="0"/>
                <w:sz w:val="22"/>
                <w:szCs w:val="22"/>
                <w:lang w:val="en-US" w:eastAsia="en-US" w:bidi="ar-SA"/>
              </w:rPr>
              <w:t>分；</w:t>
            </w:r>
          </w:p>
          <w:p w14:paraId="0B1C8E16">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5.缺项不得分。</w:t>
            </w:r>
          </w:p>
        </w:tc>
      </w:tr>
      <w:tr w14:paraId="5941A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continue"/>
            <w:noWrap w:val="0"/>
            <w:vAlign w:val="center"/>
          </w:tcPr>
          <w:p w14:paraId="1320EDFB">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1211" w:type="dxa"/>
            <w:vMerge w:val="continue"/>
            <w:noWrap w:val="0"/>
            <w:vAlign w:val="center"/>
          </w:tcPr>
          <w:p w14:paraId="06F3197C">
            <w:pPr>
              <w:keepNext w:val="0"/>
              <w:keepLines w:val="0"/>
              <w:pageBreakBefore w:val="0"/>
              <w:kinsoku w:val="0"/>
              <w:wordWrap/>
              <w:overflowPunct/>
              <w:topLinePunct w:val="0"/>
              <w:autoSpaceDE w:val="0"/>
              <w:autoSpaceDN w:val="0"/>
              <w:bidi w:val="0"/>
              <w:adjustRightInd w:val="0"/>
              <w:snapToGrid w:val="0"/>
              <w:spacing w:before="78"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717" w:type="dxa"/>
            <w:noWrap w:val="0"/>
            <w:vAlign w:val="center"/>
          </w:tcPr>
          <w:p w14:paraId="1A37CB4D">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7分</w:t>
            </w:r>
          </w:p>
        </w:tc>
        <w:tc>
          <w:tcPr>
            <w:tcW w:w="1753" w:type="dxa"/>
            <w:noWrap w:val="0"/>
            <w:vAlign w:val="center"/>
          </w:tcPr>
          <w:p w14:paraId="3F91F14D">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eastAsia"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人员配备</w:t>
            </w:r>
          </w:p>
        </w:tc>
        <w:tc>
          <w:tcPr>
            <w:tcW w:w="5015" w:type="dxa"/>
            <w:noWrap w:val="0"/>
            <w:vAlign w:val="top"/>
          </w:tcPr>
          <w:p w14:paraId="24B7721E">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根据</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kern w:val="2"/>
                <w:sz w:val="22"/>
                <w:szCs w:val="22"/>
                <w:highlight w:val="none"/>
                <w:lang w:val="en-US" w:eastAsia="zh-CN" w:bidi="ar-SA"/>
              </w:rPr>
              <w:t>拟投入本项目的人员安排、从业人员岗位分配、时间安排等方面进行评审：</w:t>
            </w:r>
          </w:p>
          <w:p w14:paraId="655EA9EF">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1.人员安排合理，配备专门服务团队，组织架构完整、人员分工明确、完全满足采购需求得7分；</w:t>
            </w:r>
          </w:p>
          <w:p w14:paraId="7515C815">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2.人员安排较合理，分工较明确、可行，基本满足采购需求得5分；</w:t>
            </w:r>
          </w:p>
          <w:p w14:paraId="6DB70791">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default"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3.人员安排及分工缺乏针对性，不能完全满足采购需求得3分；</w:t>
            </w:r>
          </w:p>
          <w:p w14:paraId="35CD9567">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4.有人员配备方案，但方案简单，人员安排不够合理，分工不够明确得1分；</w:t>
            </w:r>
          </w:p>
          <w:p w14:paraId="257CA5F9">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kern w:val="2"/>
                <w:sz w:val="22"/>
                <w:szCs w:val="22"/>
                <w:highlight w:val="none"/>
                <w:lang w:val="en-US" w:eastAsia="en-US" w:bidi="ar-SA"/>
              </w:rPr>
            </w:pPr>
            <w:r>
              <w:rPr>
                <w:rFonts w:hint="eastAsia" w:ascii="仿宋" w:hAnsi="仿宋" w:eastAsia="仿宋" w:cs="仿宋"/>
                <w:snapToGrid w:val="0"/>
                <w:color w:val="000000"/>
                <w:kern w:val="2"/>
                <w:sz w:val="22"/>
                <w:szCs w:val="22"/>
                <w:highlight w:val="none"/>
                <w:lang w:val="en-US" w:eastAsia="zh-CN" w:bidi="ar-SA"/>
              </w:rPr>
              <w:t>5.缺项不得分。</w:t>
            </w:r>
          </w:p>
        </w:tc>
      </w:tr>
      <w:tr w14:paraId="67579B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continue"/>
            <w:noWrap w:val="0"/>
            <w:vAlign w:val="center"/>
          </w:tcPr>
          <w:p w14:paraId="48D061F0">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1211" w:type="dxa"/>
            <w:vMerge w:val="continue"/>
            <w:noWrap w:val="0"/>
            <w:vAlign w:val="center"/>
          </w:tcPr>
          <w:p w14:paraId="02B51B98">
            <w:pPr>
              <w:keepNext w:val="0"/>
              <w:keepLines w:val="0"/>
              <w:pageBreakBefore w:val="0"/>
              <w:kinsoku w:val="0"/>
              <w:wordWrap/>
              <w:overflowPunct/>
              <w:topLinePunct w:val="0"/>
              <w:autoSpaceDE w:val="0"/>
              <w:autoSpaceDN w:val="0"/>
              <w:bidi w:val="0"/>
              <w:adjustRightInd w:val="0"/>
              <w:snapToGrid w:val="0"/>
              <w:spacing w:before="78"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717" w:type="dxa"/>
            <w:noWrap w:val="0"/>
            <w:vAlign w:val="center"/>
          </w:tcPr>
          <w:p w14:paraId="37F4165C">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7分</w:t>
            </w:r>
          </w:p>
        </w:tc>
        <w:tc>
          <w:tcPr>
            <w:tcW w:w="1753" w:type="dxa"/>
            <w:noWrap w:val="0"/>
            <w:vAlign w:val="center"/>
          </w:tcPr>
          <w:p w14:paraId="42A58B7B">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 xml:space="preserve"> 拟投入的设备</w:t>
            </w:r>
          </w:p>
        </w:tc>
        <w:tc>
          <w:tcPr>
            <w:tcW w:w="5015" w:type="dxa"/>
            <w:noWrap w:val="0"/>
            <w:vAlign w:val="top"/>
          </w:tcPr>
          <w:p w14:paraId="7B84BD03">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根据投标人拟投入本项目的设备状况、设备数量等的科学性、合理性进行评审：</w:t>
            </w:r>
          </w:p>
          <w:p w14:paraId="0CE9EF35">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1.拟投入设备种类、数量齐全、配置合理，完全满足采购需求得7分；</w:t>
            </w:r>
          </w:p>
          <w:p w14:paraId="279A9E2A">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2.拟投入设备种类、数量较齐全、配置基本合理，能满足采购需求得5分；</w:t>
            </w:r>
          </w:p>
          <w:p w14:paraId="3842B9C9">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default"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3.拟投入设备种类、数量有欠缺，</w:t>
            </w:r>
            <w:r>
              <w:rPr>
                <w:rFonts w:hint="eastAsia" w:ascii="仿宋" w:hAnsi="仿宋" w:eastAsia="仿宋" w:cs="仿宋"/>
                <w:snapToGrid w:val="0"/>
                <w:color w:val="000000"/>
                <w:kern w:val="2"/>
                <w:sz w:val="22"/>
                <w:szCs w:val="22"/>
                <w:highlight w:val="none"/>
                <w:lang w:val="en-US" w:eastAsia="zh-CN" w:bidi="ar-SA"/>
              </w:rPr>
              <w:t>基本满足采购需求得3分；</w:t>
            </w:r>
          </w:p>
          <w:p w14:paraId="5927D89A">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4.拟投入设备不够齐全，分配不够合理，得1分；</w:t>
            </w:r>
          </w:p>
          <w:p w14:paraId="423A49BB">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5.缺项不得分。</w:t>
            </w:r>
          </w:p>
          <w:p w14:paraId="15065379">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default"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注：可提供设备购买发票或租赁合同、设备清单、设备图片等相关证明文件。</w:t>
            </w:r>
          </w:p>
        </w:tc>
      </w:tr>
      <w:tr w14:paraId="2C41D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continue"/>
            <w:noWrap w:val="0"/>
            <w:vAlign w:val="center"/>
          </w:tcPr>
          <w:p w14:paraId="3F30AA3A">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1211" w:type="dxa"/>
            <w:vMerge w:val="continue"/>
            <w:noWrap w:val="0"/>
            <w:vAlign w:val="center"/>
          </w:tcPr>
          <w:p w14:paraId="4BB7DD6C">
            <w:pPr>
              <w:keepNext w:val="0"/>
              <w:keepLines w:val="0"/>
              <w:pageBreakBefore w:val="0"/>
              <w:kinsoku w:val="0"/>
              <w:wordWrap/>
              <w:overflowPunct/>
              <w:topLinePunct w:val="0"/>
              <w:autoSpaceDE w:val="0"/>
              <w:autoSpaceDN w:val="0"/>
              <w:bidi w:val="0"/>
              <w:adjustRightInd w:val="0"/>
              <w:snapToGrid w:val="0"/>
              <w:spacing w:before="78" w:line="400" w:lineRule="exact"/>
              <w:ind w:firstLine="194" w:firstLineChars="100"/>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717" w:type="dxa"/>
            <w:noWrap w:val="0"/>
            <w:vAlign w:val="center"/>
          </w:tcPr>
          <w:p w14:paraId="278BCF2E">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7分</w:t>
            </w:r>
          </w:p>
        </w:tc>
        <w:tc>
          <w:tcPr>
            <w:tcW w:w="1753" w:type="dxa"/>
            <w:noWrap w:val="0"/>
            <w:vAlign w:val="center"/>
          </w:tcPr>
          <w:p w14:paraId="7FC0006F">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default" w:ascii="仿宋" w:hAnsi="仿宋" w:eastAsia="仿宋" w:cs="仿宋"/>
                <w:kern w:val="2"/>
                <w:sz w:val="22"/>
                <w:szCs w:val="22"/>
                <w:highlight w:val="none"/>
                <w:lang w:val="en-US" w:eastAsia="zh-CN" w:bidi="ar-SA"/>
              </w:rPr>
            </w:pPr>
            <w:r>
              <w:rPr>
                <w:rFonts w:hint="eastAsia" w:ascii="仿宋" w:hAnsi="仿宋" w:eastAsia="仿宋" w:cs="仿宋"/>
                <w:kern w:val="2"/>
                <w:sz w:val="22"/>
                <w:szCs w:val="22"/>
                <w:highlight w:val="none"/>
                <w:lang w:val="en-US" w:eastAsia="zh-CN" w:bidi="ar-SA"/>
              </w:rPr>
              <w:t>管理制度</w:t>
            </w:r>
          </w:p>
        </w:tc>
        <w:tc>
          <w:tcPr>
            <w:tcW w:w="5015" w:type="dxa"/>
            <w:noWrap w:val="0"/>
            <w:vAlign w:val="top"/>
          </w:tcPr>
          <w:p w14:paraId="5F7076D2">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根据</w:t>
            </w:r>
            <w:r>
              <w:rPr>
                <w:rFonts w:hint="eastAsia" w:ascii="仿宋" w:hAnsi="仿宋" w:eastAsia="仿宋" w:cs="仿宋"/>
                <w:kern w:val="2"/>
                <w:sz w:val="22"/>
                <w:szCs w:val="22"/>
                <w:highlight w:val="none"/>
                <w:lang w:val="en-US" w:eastAsia="zh-CN" w:bidi="ar-SA"/>
              </w:rPr>
              <w:t>投标人</w:t>
            </w:r>
            <w:r>
              <w:rPr>
                <w:rFonts w:hint="eastAsia" w:ascii="仿宋" w:hAnsi="仿宋" w:eastAsia="仿宋" w:cs="仿宋"/>
                <w:snapToGrid w:val="0"/>
                <w:color w:val="000000"/>
                <w:spacing w:val="-13"/>
                <w:kern w:val="0"/>
                <w:sz w:val="22"/>
                <w:szCs w:val="22"/>
                <w:lang w:val="en-US" w:eastAsia="zh-CN" w:bidi="ar-SA"/>
              </w:rPr>
              <w:t>提供管理制度（包含人员的岗前培训计划、管理措施、人员日常考核等内容)进行评审：</w:t>
            </w:r>
          </w:p>
          <w:p w14:paraId="670EF025">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1.制度健全可行，具有合理性，制度完善，条理清晰的，得7分；</w:t>
            </w:r>
          </w:p>
          <w:p w14:paraId="712413D1">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2.制度基本健全可行，基本具有合理性，制度完善，条理基本清晰的，得5分；</w:t>
            </w:r>
          </w:p>
          <w:p w14:paraId="4B289673">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3.制度基本简单粗略，内容不够全面，合理性一般，得3分；</w:t>
            </w:r>
          </w:p>
          <w:p w14:paraId="4ADC1020">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4.制度不健全，内容简单，不够科学、合理，得1分；</w:t>
            </w:r>
          </w:p>
          <w:p w14:paraId="359AE752">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5.缺项不得分</w:t>
            </w:r>
          </w:p>
        </w:tc>
      </w:tr>
      <w:tr w14:paraId="583FA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continue"/>
            <w:noWrap w:val="0"/>
            <w:vAlign w:val="center"/>
          </w:tcPr>
          <w:p w14:paraId="5A3A4094">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1211" w:type="dxa"/>
            <w:vMerge w:val="continue"/>
            <w:noWrap w:val="0"/>
            <w:vAlign w:val="center"/>
          </w:tcPr>
          <w:p w14:paraId="3DF4974B">
            <w:pPr>
              <w:keepNext w:val="0"/>
              <w:keepLines w:val="0"/>
              <w:pageBreakBefore w:val="0"/>
              <w:kinsoku w:val="0"/>
              <w:wordWrap/>
              <w:overflowPunct/>
              <w:topLinePunct w:val="0"/>
              <w:autoSpaceDE w:val="0"/>
              <w:autoSpaceDN w:val="0"/>
              <w:bidi w:val="0"/>
              <w:adjustRightInd w:val="0"/>
              <w:snapToGrid w:val="0"/>
              <w:spacing w:before="78" w:line="400" w:lineRule="exact"/>
              <w:ind w:firstLine="194" w:firstLineChars="100"/>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717" w:type="dxa"/>
            <w:noWrap w:val="0"/>
            <w:vAlign w:val="center"/>
          </w:tcPr>
          <w:p w14:paraId="0EB0263D">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default" w:ascii="仿宋" w:hAnsi="仿宋" w:eastAsia="仿宋" w:cs="仿宋"/>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7分</w:t>
            </w:r>
          </w:p>
        </w:tc>
        <w:tc>
          <w:tcPr>
            <w:tcW w:w="1753" w:type="dxa"/>
            <w:noWrap w:val="0"/>
            <w:vAlign w:val="center"/>
          </w:tcPr>
          <w:p w14:paraId="249D7A61">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default"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应急预案</w:t>
            </w:r>
          </w:p>
        </w:tc>
        <w:tc>
          <w:tcPr>
            <w:tcW w:w="5015" w:type="dxa"/>
            <w:noWrap w:val="0"/>
            <w:vAlign w:val="top"/>
          </w:tcPr>
          <w:p w14:paraId="11435006">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default"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根据供应商针对本项目提供的关于重大活动、突发事件应急预案和保障措施的科学性、合理性、可行性进行评审：</w:t>
            </w:r>
          </w:p>
          <w:p w14:paraId="12D084B8">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1.供应商提供的应急方案内容全面完整，方案合理、规范，可操作性强，完全满足采购文件的要求得7分；</w:t>
            </w:r>
          </w:p>
          <w:p w14:paraId="195E2303">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2.供应商提供的应急方案内容较全面，方案较为合理，有可操作性，能满足采购文件的要求得5分；</w:t>
            </w:r>
          </w:p>
          <w:p w14:paraId="0397EC5B">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3.供应商提供的应急方案基本全面，内容基本完整，方案基本合理、规范，可操作性一般，基本满足采购文件的要求，得3分；</w:t>
            </w:r>
          </w:p>
          <w:p w14:paraId="7777FD0D">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4.供应商提供的应急方案不够全面，内容不够完整、合理，不够可行得1分；</w:t>
            </w:r>
          </w:p>
          <w:p w14:paraId="379C398B">
            <w:pPr>
              <w:pStyle w:val="33"/>
              <w:keepNext w:val="0"/>
              <w:keepLines w:val="0"/>
              <w:pageBreakBefore w:val="0"/>
              <w:numPr>
                <w:ilvl w:val="0"/>
                <w:numId w:val="0"/>
              </w:numPr>
              <w:kinsoku w:val="0"/>
              <w:wordWrap/>
              <w:overflowPunct/>
              <w:topLinePunct w:val="0"/>
              <w:autoSpaceDE w:val="0"/>
              <w:autoSpaceDN w:val="0"/>
              <w:bidi w:val="0"/>
              <w:adjustRightInd w:val="0"/>
              <w:snapToGrid w:val="0"/>
              <w:spacing w:before="33" w:line="400" w:lineRule="exact"/>
              <w:ind w:left="76" w:leftChars="0" w:right="23" w:rightChars="0" w:firstLine="2" w:firstLineChars="0"/>
              <w:jc w:val="both"/>
              <w:textAlignment w:val="baseline"/>
              <w:rPr>
                <w:rFonts w:hint="eastAsia" w:ascii="仿宋" w:hAnsi="仿宋" w:eastAsia="仿宋" w:cs="仿宋"/>
                <w:snapToGrid w:val="0"/>
                <w:color w:val="000000"/>
                <w:kern w:val="2"/>
                <w:sz w:val="22"/>
                <w:szCs w:val="22"/>
                <w:highlight w:val="none"/>
                <w:lang w:val="en-US" w:eastAsia="zh-CN" w:bidi="ar-SA"/>
              </w:rPr>
            </w:pPr>
            <w:r>
              <w:rPr>
                <w:rFonts w:hint="eastAsia" w:ascii="仿宋" w:hAnsi="仿宋" w:eastAsia="仿宋" w:cs="仿宋"/>
                <w:snapToGrid w:val="0"/>
                <w:color w:val="000000"/>
                <w:kern w:val="2"/>
                <w:sz w:val="22"/>
                <w:szCs w:val="22"/>
                <w:highlight w:val="none"/>
                <w:lang w:val="en-US" w:eastAsia="zh-CN" w:bidi="ar-SA"/>
              </w:rPr>
              <w:t>5.缺项不得分。</w:t>
            </w:r>
          </w:p>
        </w:tc>
      </w:tr>
      <w:tr w14:paraId="1E0215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restart"/>
            <w:noWrap w:val="0"/>
            <w:vAlign w:val="center"/>
          </w:tcPr>
          <w:p w14:paraId="380E5072">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kern w:val="0"/>
                <w:sz w:val="22"/>
                <w:szCs w:val="22"/>
                <w:lang w:val="en-US" w:eastAsia="zh-CN" w:bidi="ar-SA"/>
              </w:rPr>
            </w:pPr>
            <w:r>
              <w:rPr>
                <w:rFonts w:hint="eastAsia" w:ascii="仿宋" w:hAnsi="仿宋" w:eastAsia="仿宋" w:cs="仿宋"/>
                <w:sz w:val="22"/>
                <w:szCs w:val="22"/>
                <w:lang w:val="en-US" w:eastAsia="zh-CN"/>
              </w:rPr>
              <w:t>3</w:t>
            </w:r>
          </w:p>
        </w:tc>
        <w:tc>
          <w:tcPr>
            <w:tcW w:w="1211" w:type="dxa"/>
            <w:vMerge w:val="restart"/>
            <w:noWrap w:val="0"/>
            <w:vAlign w:val="center"/>
          </w:tcPr>
          <w:p w14:paraId="7A45035C">
            <w:pPr>
              <w:keepNext w:val="0"/>
              <w:keepLines w:val="0"/>
              <w:pageBreakBefore w:val="0"/>
              <w:kinsoku w:val="0"/>
              <w:wordWrap/>
              <w:overflowPunct/>
              <w:topLinePunct w:val="0"/>
              <w:autoSpaceDE w:val="0"/>
              <w:autoSpaceDN w:val="0"/>
              <w:bidi w:val="0"/>
              <w:adjustRightInd w:val="0"/>
              <w:snapToGrid w:val="0"/>
              <w:spacing w:before="157" w:line="400" w:lineRule="exact"/>
              <w:jc w:val="left"/>
              <w:textAlignment w:val="baseline"/>
              <w:rPr>
                <w:rFonts w:hint="eastAsia" w:ascii="仿宋" w:hAnsi="仿宋" w:eastAsia="仿宋" w:cs="仿宋"/>
                <w:b/>
                <w:bCs/>
                <w:spacing w:val="-2"/>
                <w:sz w:val="22"/>
                <w:szCs w:val="22"/>
                <w:lang w:val="en-US" w:eastAsia="zh-CN"/>
              </w:rPr>
            </w:pPr>
            <w:r>
              <w:rPr>
                <w:rFonts w:hint="eastAsia" w:ascii="仿宋" w:hAnsi="仿宋" w:eastAsia="仿宋" w:cs="仿宋"/>
                <w:b/>
                <w:bCs/>
                <w:spacing w:val="-2"/>
                <w:sz w:val="22"/>
                <w:szCs w:val="22"/>
                <w:lang w:val="en-US" w:eastAsia="zh-CN"/>
              </w:rPr>
              <w:t>综合实力</w:t>
            </w:r>
          </w:p>
          <w:p w14:paraId="373CBFB6">
            <w:pPr>
              <w:keepNext w:val="0"/>
              <w:keepLines w:val="0"/>
              <w:pageBreakBefore w:val="0"/>
              <w:kinsoku w:val="0"/>
              <w:wordWrap/>
              <w:overflowPunct/>
              <w:topLinePunct w:val="0"/>
              <w:autoSpaceDE w:val="0"/>
              <w:autoSpaceDN w:val="0"/>
              <w:bidi w:val="0"/>
              <w:adjustRightInd w:val="0"/>
              <w:snapToGrid w:val="0"/>
              <w:spacing w:before="157" w:line="400" w:lineRule="exact"/>
              <w:jc w:val="left"/>
              <w:textAlignment w:val="baseline"/>
              <w:rPr>
                <w:rFonts w:hint="eastAsia" w:ascii="仿宋" w:hAnsi="仿宋" w:eastAsia="仿宋" w:cs="仿宋"/>
                <w:b/>
                <w:bCs/>
                <w:spacing w:val="-2"/>
                <w:sz w:val="22"/>
                <w:szCs w:val="22"/>
                <w:lang w:val="en-US" w:eastAsia="zh-CN"/>
              </w:rPr>
            </w:pPr>
            <w:r>
              <w:rPr>
                <w:rFonts w:hint="eastAsia" w:ascii="仿宋" w:hAnsi="仿宋" w:eastAsia="仿宋" w:cs="仿宋"/>
                <w:b/>
                <w:bCs/>
                <w:spacing w:val="-2"/>
                <w:sz w:val="22"/>
                <w:szCs w:val="22"/>
                <w:lang w:val="en-US" w:eastAsia="zh-CN"/>
              </w:rPr>
              <w:t>（7分）</w:t>
            </w:r>
          </w:p>
          <w:p w14:paraId="46F3F636">
            <w:pPr>
              <w:pStyle w:val="2"/>
              <w:jc w:val="left"/>
              <w:rPr>
                <w:rFonts w:hint="eastAsia"/>
                <w:lang w:val="en-US" w:eastAsia="zh-CN"/>
              </w:rPr>
            </w:pPr>
          </w:p>
        </w:tc>
        <w:tc>
          <w:tcPr>
            <w:tcW w:w="717" w:type="dxa"/>
            <w:vMerge w:val="restart"/>
            <w:noWrap w:val="0"/>
            <w:vAlign w:val="center"/>
          </w:tcPr>
          <w:p w14:paraId="513978EA">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7分</w:t>
            </w:r>
          </w:p>
        </w:tc>
        <w:tc>
          <w:tcPr>
            <w:tcW w:w="1753" w:type="dxa"/>
            <w:noWrap w:val="0"/>
            <w:vAlign w:val="center"/>
          </w:tcPr>
          <w:p w14:paraId="12E69F66">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right="103" w:firstLine="4"/>
              <w:jc w:val="center"/>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业绩</w:t>
            </w:r>
          </w:p>
          <w:p w14:paraId="244BC624">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right="103" w:firstLine="4"/>
              <w:jc w:val="center"/>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en-US" w:bidi="ar-SA"/>
              </w:rPr>
              <w:t>（</w:t>
            </w:r>
            <w:r>
              <w:rPr>
                <w:rFonts w:hint="eastAsia" w:ascii="仿宋" w:hAnsi="仿宋" w:eastAsia="仿宋" w:cs="仿宋"/>
                <w:snapToGrid w:val="0"/>
                <w:color w:val="000000"/>
                <w:spacing w:val="-13"/>
                <w:kern w:val="0"/>
                <w:sz w:val="22"/>
                <w:szCs w:val="22"/>
                <w:lang w:val="en-US" w:eastAsia="zh-CN" w:bidi="ar-SA"/>
              </w:rPr>
              <w:t>3</w:t>
            </w:r>
            <w:r>
              <w:rPr>
                <w:rFonts w:hint="eastAsia" w:ascii="仿宋" w:hAnsi="仿宋" w:eastAsia="仿宋" w:cs="仿宋"/>
                <w:snapToGrid w:val="0"/>
                <w:color w:val="000000"/>
                <w:spacing w:val="-13"/>
                <w:kern w:val="0"/>
                <w:sz w:val="22"/>
                <w:szCs w:val="22"/>
                <w:lang w:val="en-US" w:eastAsia="en-US" w:bidi="ar-SA"/>
              </w:rPr>
              <w:t>分）</w:t>
            </w:r>
          </w:p>
        </w:tc>
        <w:tc>
          <w:tcPr>
            <w:tcW w:w="5015" w:type="dxa"/>
            <w:noWrap w:val="0"/>
            <w:vAlign w:val="top"/>
          </w:tcPr>
          <w:p w14:paraId="537DE664">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投标人提供2022年1月1日以来类似（物业服务类）项目业绩的，每提供一份业绩合同得3分，本项最多得3分。（须提供业绩合同扫描件，时间以合同签订时间为准）</w:t>
            </w:r>
          </w:p>
        </w:tc>
      </w:tr>
      <w:tr w14:paraId="415B3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continue"/>
            <w:noWrap w:val="0"/>
            <w:vAlign w:val="center"/>
          </w:tcPr>
          <w:p w14:paraId="4626FC23">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2"/>
                <w:szCs w:val="22"/>
                <w:lang w:val="en-US" w:eastAsia="zh-CN"/>
              </w:rPr>
            </w:pPr>
          </w:p>
        </w:tc>
        <w:tc>
          <w:tcPr>
            <w:tcW w:w="1211" w:type="dxa"/>
            <w:vMerge w:val="continue"/>
            <w:noWrap w:val="0"/>
            <w:vAlign w:val="center"/>
          </w:tcPr>
          <w:p w14:paraId="63B04956">
            <w:pPr>
              <w:keepNext w:val="0"/>
              <w:keepLines w:val="0"/>
              <w:pageBreakBefore w:val="0"/>
              <w:kinsoku w:val="0"/>
              <w:wordWrap/>
              <w:overflowPunct/>
              <w:topLinePunct w:val="0"/>
              <w:autoSpaceDE w:val="0"/>
              <w:autoSpaceDN w:val="0"/>
              <w:bidi w:val="0"/>
              <w:adjustRightInd w:val="0"/>
              <w:snapToGrid w:val="0"/>
              <w:spacing w:before="157" w:line="400" w:lineRule="exact"/>
              <w:ind w:left="148" w:leftChars="0"/>
              <w:jc w:val="center"/>
              <w:textAlignment w:val="baseline"/>
              <w:rPr>
                <w:rFonts w:hint="eastAsia" w:ascii="仿宋" w:hAnsi="仿宋" w:eastAsia="仿宋" w:cs="仿宋"/>
                <w:spacing w:val="-2"/>
                <w:sz w:val="22"/>
                <w:szCs w:val="22"/>
                <w:lang w:val="en-US" w:eastAsia="zh-CN"/>
              </w:rPr>
            </w:pPr>
          </w:p>
        </w:tc>
        <w:tc>
          <w:tcPr>
            <w:tcW w:w="717" w:type="dxa"/>
            <w:vMerge w:val="continue"/>
            <w:noWrap w:val="0"/>
            <w:vAlign w:val="center"/>
          </w:tcPr>
          <w:p w14:paraId="5134707A">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1753" w:type="dxa"/>
            <w:vMerge w:val="restart"/>
            <w:noWrap w:val="0"/>
            <w:vAlign w:val="center"/>
          </w:tcPr>
          <w:p w14:paraId="0DCB7AAA">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技术人员</w:t>
            </w:r>
          </w:p>
          <w:p w14:paraId="2F6E8B0B">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zh-CN" w:bidi="ar-SA"/>
              </w:rPr>
              <w:t>（4分）</w:t>
            </w:r>
          </w:p>
        </w:tc>
        <w:tc>
          <w:tcPr>
            <w:tcW w:w="5015" w:type="dxa"/>
            <w:noWrap w:val="0"/>
            <w:vAlign w:val="top"/>
          </w:tcPr>
          <w:p w14:paraId="22827B8D">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供应商拟派项目负责人具有物业职业资格证书的得2分，响应文件中须提供资格证书扫描件，未提供的不得分。</w:t>
            </w:r>
          </w:p>
        </w:tc>
      </w:tr>
      <w:tr w14:paraId="56F5F7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vMerge w:val="continue"/>
            <w:noWrap w:val="0"/>
            <w:vAlign w:val="center"/>
          </w:tcPr>
          <w:p w14:paraId="3BB94F5B">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z w:val="22"/>
                <w:szCs w:val="22"/>
                <w:lang w:val="en-US" w:eastAsia="zh-CN"/>
              </w:rPr>
            </w:pPr>
          </w:p>
        </w:tc>
        <w:tc>
          <w:tcPr>
            <w:tcW w:w="1211" w:type="dxa"/>
            <w:vMerge w:val="continue"/>
            <w:noWrap w:val="0"/>
            <w:vAlign w:val="center"/>
          </w:tcPr>
          <w:p w14:paraId="4C20A8F1">
            <w:pPr>
              <w:keepNext w:val="0"/>
              <w:keepLines w:val="0"/>
              <w:pageBreakBefore w:val="0"/>
              <w:kinsoku w:val="0"/>
              <w:wordWrap/>
              <w:overflowPunct/>
              <w:topLinePunct w:val="0"/>
              <w:autoSpaceDE w:val="0"/>
              <w:autoSpaceDN w:val="0"/>
              <w:bidi w:val="0"/>
              <w:adjustRightInd w:val="0"/>
              <w:snapToGrid w:val="0"/>
              <w:spacing w:before="157" w:line="400" w:lineRule="exact"/>
              <w:ind w:left="148" w:leftChars="0"/>
              <w:jc w:val="center"/>
              <w:textAlignment w:val="baseline"/>
              <w:rPr>
                <w:rFonts w:hint="eastAsia" w:ascii="仿宋" w:hAnsi="仿宋" w:eastAsia="仿宋" w:cs="仿宋"/>
                <w:spacing w:val="-2"/>
                <w:sz w:val="22"/>
                <w:szCs w:val="22"/>
                <w:lang w:val="en-US" w:eastAsia="zh-CN"/>
              </w:rPr>
            </w:pPr>
          </w:p>
        </w:tc>
        <w:tc>
          <w:tcPr>
            <w:tcW w:w="717" w:type="dxa"/>
            <w:vMerge w:val="continue"/>
            <w:noWrap w:val="0"/>
            <w:vAlign w:val="center"/>
          </w:tcPr>
          <w:p w14:paraId="3CF8B60A">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p>
        </w:tc>
        <w:tc>
          <w:tcPr>
            <w:tcW w:w="1753" w:type="dxa"/>
            <w:vMerge w:val="continue"/>
            <w:noWrap w:val="0"/>
            <w:vAlign w:val="center"/>
          </w:tcPr>
          <w:p w14:paraId="7AEF59F9">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leftChars="0" w:right="103" w:rightChars="0" w:firstLine="4" w:firstLineChars="0"/>
              <w:jc w:val="center"/>
              <w:textAlignment w:val="baseline"/>
              <w:rPr>
                <w:rFonts w:hint="eastAsia" w:ascii="仿宋" w:hAnsi="仿宋" w:eastAsia="仿宋" w:cs="仿宋"/>
                <w:snapToGrid w:val="0"/>
                <w:color w:val="000000"/>
                <w:spacing w:val="-13"/>
                <w:kern w:val="0"/>
                <w:sz w:val="22"/>
                <w:szCs w:val="22"/>
                <w:lang w:val="en-US" w:eastAsia="en-US" w:bidi="ar-SA"/>
              </w:rPr>
            </w:pPr>
          </w:p>
        </w:tc>
        <w:tc>
          <w:tcPr>
            <w:tcW w:w="5015" w:type="dxa"/>
            <w:noWrap w:val="0"/>
            <w:vAlign w:val="top"/>
          </w:tcPr>
          <w:p w14:paraId="5B7BABAE">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供应商拟派专职电工人员具有电工证的，每提供一个人员证书得2分，最多得2分，响应文件中须提供证书扫描件，未提供的不得分。</w:t>
            </w:r>
          </w:p>
        </w:tc>
      </w:tr>
      <w:tr w14:paraId="2279A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jc w:val="center"/>
        </w:trPr>
        <w:tc>
          <w:tcPr>
            <w:tcW w:w="777" w:type="dxa"/>
            <w:noWrap w:val="0"/>
            <w:vAlign w:val="center"/>
          </w:tcPr>
          <w:p w14:paraId="2F68697B">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4</w:t>
            </w:r>
          </w:p>
        </w:tc>
        <w:tc>
          <w:tcPr>
            <w:tcW w:w="1211" w:type="dxa"/>
            <w:noWrap w:val="0"/>
            <w:vAlign w:val="center"/>
          </w:tcPr>
          <w:p w14:paraId="444F106E">
            <w:pPr>
              <w:keepNext w:val="0"/>
              <w:keepLines w:val="0"/>
              <w:pageBreakBefore w:val="0"/>
              <w:kinsoku w:val="0"/>
              <w:wordWrap/>
              <w:overflowPunct/>
              <w:topLinePunct w:val="0"/>
              <w:autoSpaceDE w:val="0"/>
              <w:autoSpaceDN w:val="0"/>
              <w:bidi w:val="0"/>
              <w:adjustRightInd w:val="0"/>
              <w:snapToGrid w:val="0"/>
              <w:spacing w:before="78" w:line="400" w:lineRule="exact"/>
              <w:jc w:val="center"/>
              <w:textAlignment w:val="baseline"/>
              <w:rPr>
                <w:rFonts w:hint="eastAsia" w:ascii="仿宋" w:hAnsi="仿宋" w:eastAsia="仿宋" w:cs="仿宋"/>
                <w:b/>
                <w:bCs/>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服务承诺</w:t>
            </w:r>
          </w:p>
          <w:p w14:paraId="49588D81">
            <w:pPr>
              <w:keepNext w:val="0"/>
              <w:keepLines w:val="0"/>
              <w:pageBreakBefore w:val="0"/>
              <w:kinsoku w:val="0"/>
              <w:wordWrap/>
              <w:overflowPunct/>
              <w:topLinePunct w:val="0"/>
              <w:autoSpaceDE w:val="0"/>
              <w:autoSpaceDN w:val="0"/>
              <w:bidi w:val="0"/>
              <w:adjustRightInd w:val="0"/>
              <w:snapToGrid w:val="0"/>
              <w:spacing w:before="78" w:line="400" w:lineRule="exact"/>
              <w:jc w:val="center"/>
              <w:textAlignment w:val="baseline"/>
              <w:rPr>
                <w:rFonts w:hint="eastAsia" w:ascii="仿宋" w:hAnsi="仿宋" w:eastAsia="仿宋" w:cs="仿宋"/>
                <w:b/>
                <w:bCs/>
                <w:snapToGrid w:val="0"/>
                <w:color w:val="000000"/>
                <w:spacing w:val="-13"/>
                <w:kern w:val="0"/>
                <w:sz w:val="22"/>
                <w:szCs w:val="22"/>
                <w:lang w:val="en-US" w:eastAsia="zh-CN" w:bidi="ar-SA"/>
              </w:rPr>
            </w:pPr>
            <w:r>
              <w:rPr>
                <w:rFonts w:hint="eastAsia" w:ascii="仿宋" w:hAnsi="仿宋" w:eastAsia="仿宋" w:cs="仿宋"/>
                <w:b/>
                <w:bCs/>
                <w:spacing w:val="-2"/>
                <w:sz w:val="22"/>
                <w:szCs w:val="22"/>
                <w:lang w:val="en-US" w:eastAsia="zh-CN"/>
              </w:rPr>
              <w:t>（7分）</w:t>
            </w:r>
          </w:p>
        </w:tc>
        <w:tc>
          <w:tcPr>
            <w:tcW w:w="717" w:type="dxa"/>
            <w:noWrap w:val="0"/>
            <w:vAlign w:val="center"/>
          </w:tcPr>
          <w:p w14:paraId="309B6366">
            <w:pPr>
              <w:pStyle w:val="33"/>
              <w:keepNext w:val="0"/>
              <w:keepLines w:val="0"/>
              <w:pageBreakBefore w:val="0"/>
              <w:kinsoku w:val="0"/>
              <w:wordWrap/>
              <w:overflowPunct/>
              <w:topLinePunct w:val="0"/>
              <w:autoSpaceDE w:val="0"/>
              <w:autoSpaceDN w:val="0"/>
              <w:bidi w:val="0"/>
              <w:adjustRightInd w:val="0"/>
              <w:snapToGrid w:val="0"/>
              <w:spacing w:line="400" w:lineRule="exact"/>
              <w:jc w:val="center"/>
              <w:textAlignment w:val="baseline"/>
              <w:rPr>
                <w:rFonts w:hint="eastAsia" w:ascii="仿宋" w:hAnsi="仿宋" w:eastAsia="仿宋" w:cs="仿宋"/>
                <w:b/>
                <w:bCs/>
                <w:snapToGrid w:val="0"/>
                <w:color w:val="000000"/>
                <w:spacing w:val="-13"/>
                <w:kern w:val="0"/>
                <w:sz w:val="22"/>
                <w:szCs w:val="22"/>
                <w:lang w:val="en-US" w:eastAsia="zh-CN" w:bidi="ar-SA"/>
              </w:rPr>
            </w:pPr>
            <w:r>
              <w:rPr>
                <w:rFonts w:hint="eastAsia" w:ascii="仿宋" w:hAnsi="仿宋" w:eastAsia="仿宋" w:cs="仿宋"/>
                <w:b/>
                <w:bCs/>
                <w:snapToGrid w:val="0"/>
                <w:color w:val="000000"/>
                <w:spacing w:val="-13"/>
                <w:kern w:val="0"/>
                <w:sz w:val="22"/>
                <w:szCs w:val="22"/>
                <w:lang w:val="en-US" w:eastAsia="zh-CN" w:bidi="ar-SA"/>
              </w:rPr>
              <w:t>7分</w:t>
            </w:r>
          </w:p>
        </w:tc>
        <w:tc>
          <w:tcPr>
            <w:tcW w:w="1753" w:type="dxa"/>
            <w:noWrap w:val="0"/>
            <w:vAlign w:val="center"/>
          </w:tcPr>
          <w:p w14:paraId="64845C05">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right="103" w:firstLine="4"/>
              <w:jc w:val="center"/>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服务承诺</w:t>
            </w:r>
          </w:p>
          <w:p w14:paraId="7380E251">
            <w:pPr>
              <w:pStyle w:val="33"/>
              <w:keepNext w:val="0"/>
              <w:keepLines w:val="0"/>
              <w:pageBreakBefore w:val="0"/>
              <w:kinsoku w:val="0"/>
              <w:wordWrap/>
              <w:overflowPunct/>
              <w:topLinePunct w:val="0"/>
              <w:autoSpaceDE w:val="0"/>
              <w:autoSpaceDN w:val="0"/>
              <w:bidi w:val="0"/>
              <w:adjustRightInd w:val="0"/>
              <w:snapToGrid w:val="0"/>
              <w:spacing w:before="26" w:line="400" w:lineRule="exact"/>
              <w:ind w:left="111" w:right="103" w:firstLine="4"/>
              <w:jc w:val="center"/>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（7分）</w:t>
            </w:r>
          </w:p>
        </w:tc>
        <w:tc>
          <w:tcPr>
            <w:tcW w:w="5015" w:type="dxa"/>
            <w:noWrap w:val="0"/>
            <w:vAlign w:val="top"/>
          </w:tcPr>
          <w:p w14:paraId="638BF04E">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评委根据投标人</w:t>
            </w:r>
            <w:r>
              <w:rPr>
                <w:rFonts w:hint="eastAsia" w:ascii="仿宋" w:hAnsi="仿宋" w:eastAsia="仿宋" w:cs="仿宋"/>
                <w:snapToGrid w:val="0"/>
                <w:color w:val="000000"/>
                <w:spacing w:val="-13"/>
                <w:kern w:val="0"/>
                <w:sz w:val="22"/>
                <w:szCs w:val="22"/>
                <w:lang w:val="en-US" w:eastAsia="en-US" w:bidi="ar-SA"/>
              </w:rPr>
              <w:t>针对项目的特点和要求，结合自身的条件，有利于提高服务质量等方面的承诺</w:t>
            </w:r>
            <w:r>
              <w:rPr>
                <w:rFonts w:hint="eastAsia" w:ascii="仿宋" w:hAnsi="仿宋" w:eastAsia="仿宋" w:cs="仿宋"/>
                <w:snapToGrid w:val="0"/>
                <w:color w:val="000000"/>
                <w:spacing w:val="-13"/>
                <w:kern w:val="0"/>
                <w:sz w:val="22"/>
                <w:szCs w:val="22"/>
                <w:lang w:val="en-US" w:eastAsia="zh-CN" w:bidi="ar-SA"/>
              </w:rPr>
              <w:t>进行评审：</w:t>
            </w:r>
          </w:p>
          <w:p w14:paraId="1DD126E6">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zh-CN" w:bidi="ar-SA"/>
              </w:rPr>
              <w:t>1.方案</w:t>
            </w:r>
            <w:r>
              <w:rPr>
                <w:rFonts w:hint="eastAsia" w:ascii="仿宋" w:hAnsi="仿宋" w:eastAsia="仿宋" w:cs="仿宋"/>
                <w:snapToGrid w:val="0"/>
                <w:color w:val="000000"/>
                <w:spacing w:val="-13"/>
                <w:kern w:val="0"/>
                <w:sz w:val="22"/>
                <w:szCs w:val="22"/>
                <w:lang w:val="en-US" w:eastAsia="en-US" w:bidi="ar-SA"/>
              </w:rPr>
              <w:t>详细，</w:t>
            </w:r>
            <w:r>
              <w:rPr>
                <w:rFonts w:hint="eastAsia" w:ascii="仿宋" w:hAnsi="仿宋" w:eastAsia="仿宋" w:cs="仿宋"/>
                <w:snapToGrid w:val="0"/>
                <w:color w:val="000000"/>
                <w:spacing w:val="-13"/>
                <w:kern w:val="0"/>
                <w:sz w:val="22"/>
                <w:szCs w:val="22"/>
                <w:lang w:val="en-US" w:eastAsia="zh-CN" w:bidi="ar-SA"/>
              </w:rPr>
              <w:t>科</w:t>
            </w:r>
            <w:r>
              <w:rPr>
                <w:rFonts w:hint="eastAsia" w:ascii="仿宋" w:hAnsi="仿宋" w:eastAsia="仿宋" w:cs="仿宋"/>
                <w:snapToGrid w:val="0"/>
                <w:color w:val="000000"/>
                <w:spacing w:val="-13"/>
                <w:kern w:val="0"/>
                <w:sz w:val="22"/>
                <w:szCs w:val="22"/>
                <w:lang w:val="en-US" w:eastAsia="en-US" w:bidi="ar-SA"/>
              </w:rPr>
              <w:t>学合理、可操作性强</w:t>
            </w:r>
            <w:r>
              <w:rPr>
                <w:rFonts w:hint="eastAsia" w:ascii="仿宋" w:hAnsi="仿宋" w:eastAsia="仿宋" w:cs="仿宋"/>
                <w:snapToGrid w:val="0"/>
                <w:color w:val="000000"/>
                <w:spacing w:val="-13"/>
                <w:kern w:val="0"/>
                <w:sz w:val="22"/>
                <w:szCs w:val="22"/>
                <w:lang w:val="en-US" w:eastAsia="zh-CN" w:bidi="ar-SA"/>
              </w:rPr>
              <w:t>的得7分</w:t>
            </w:r>
            <w:r>
              <w:rPr>
                <w:rFonts w:hint="eastAsia" w:ascii="仿宋" w:hAnsi="仿宋" w:eastAsia="仿宋" w:cs="仿宋"/>
                <w:snapToGrid w:val="0"/>
                <w:color w:val="000000"/>
                <w:spacing w:val="-13"/>
                <w:kern w:val="0"/>
                <w:sz w:val="22"/>
                <w:szCs w:val="22"/>
                <w:lang w:val="en-US" w:eastAsia="en-US" w:bidi="ar-SA"/>
              </w:rPr>
              <w:t>；</w:t>
            </w:r>
          </w:p>
          <w:p w14:paraId="4915E49B">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zh-CN" w:bidi="ar-SA"/>
              </w:rPr>
              <w:t>2.方案较</w:t>
            </w:r>
            <w:r>
              <w:rPr>
                <w:rFonts w:hint="eastAsia" w:ascii="仿宋" w:hAnsi="仿宋" w:eastAsia="仿宋" w:cs="仿宋"/>
                <w:snapToGrid w:val="0"/>
                <w:color w:val="000000"/>
                <w:spacing w:val="-13"/>
                <w:kern w:val="0"/>
                <w:sz w:val="22"/>
                <w:szCs w:val="22"/>
                <w:lang w:val="en-US" w:eastAsia="en-US" w:bidi="ar-SA"/>
              </w:rPr>
              <w:t>详细，</w:t>
            </w:r>
            <w:r>
              <w:rPr>
                <w:rFonts w:hint="eastAsia" w:ascii="仿宋" w:hAnsi="仿宋" w:eastAsia="仿宋" w:cs="仿宋"/>
                <w:snapToGrid w:val="0"/>
                <w:color w:val="000000"/>
                <w:spacing w:val="-13"/>
                <w:kern w:val="0"/>
                <w:sz w:val="22"/>
                <w:szCs w:val="22"/>
                <w:lang w:val="en-US" w:eastAsia="zh-CN" w:bidi="ar-SA"/>
              </w:rPr>
              <w:t>较科</w:t>
            </w:r>
            <w:r>
              <w:rPr>
                <w:rFonts w:hint="eastAsia" w:ascii="仿宋" w:hAnsi="仿宋" w:eastAsia="仿宋" w:cs="仿宋"/>
                <w:snapToGrid w:val="0"/>
                <w:color w:val="000000"/>
                <w:spacing w:val="-13"/>
                <w:kern w:val="0"/>
                <w:sz w:val="22"/>
                <w:szCs w:val="22"/>
                <w:lang w:val="en-US" w:eastAsia="en-US" w:bidi="ar-SA"/>
              </w:rPr>
              <w:t>学合理、</w:t>
            </w:r>
            <w:r>
              <w:rPr>
                <w:rFonts w:hint="eastAsia" w:ascii="仿宋" w:hAnsi="仿宋" w:eastAsia="仿宋" w:cs="仿宋"/>
                <w:snapToGrid w:val="0"/>
                <w:color w:val="000000"/>
                <w:spacing w:val="-13"/>
                <w:kern w:val="0"/>
                <w:sz w:val="22"/>
                <w:szCs w:val="22"/>
                <w:lang w:val="en-US" w:eastAsia="zh-CN" w:bidi="ar-SA"/>
              </w:rPr>
              <w:t>有可操作性的得5分</w:t>
            </w:r>
            <w:r>
              <w:rPr>
                <w:rFonts w:hint="eastAsia" w:ascii="仿宋" w:hAnsi="仿宋" w:eastAsia="仿宋" w:cs="仿宋"/>
                <w:snapToGrid w:val="0"/>
                <w:color w:val="000000"/>
                <w:spacing w:val="-13"/>
                <w:kern w:val="0"/>
                <w:sz w:val="22"/>
                <w:szCs w:val="22"/>
                <w:lang w:val="en-US" w:eastAsia="en-US" w:bidi="ar-SA"/>
              </w:rPr>
              <w:t>；</w:t>
            </w:r>
          </w:p>
          <w:p w14:paraId="5D61BA62">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3.方案较</w:t>
            </w:r>
            <w:r>
              <w:rPr>
                <w:rFonts w:hint="eastAsia" w:ascii="仿宋" w:hAnsi="仿宋" w:eastAsia="仿宋" w:cs="仿宋"/>
                <w:snapToGrid w:val="0"/>
                <w:color w:val="000000"/>
                <w:spacing w:val="-13"/>
                <w:kern w:val="0"/>
                <w:sz w:val="22"/>
                <w:szCs w:val="22"/>
                <w:lang w:val="en-US" w:eastAsia="en-US" w:bidi="ar-SA"/>
              </w:rPr>
              <w:t>详细，</w:t>
            </w:r>
            <w:r>
              <w:rPr>
                <w:rFonts w:hint="eastAsia" w:ascii="仿宋" w:hAnsi="仿宋" w:eastAsia="仿宋" w:cs="仿宋"/>
                <w:snapToGrid w:val="0"/>
                <w:color w:val="000000"/>
                <w:spacing w:val="-13"/>
                <w:kern w:val="0"/>
                <w:sz w:val="22"/>
                <w:szCs w:val="22"/>
                <w:lang w:val="en-US" w:eastAsia="zh-CN" w:bidi="ar-SA"/>
              </w:rPr>
              <w:t>科</w:t>
            </w:r>
            <w:r>
              <w:rPr>
                <w:rFonts w:hint="eastAsia" w:ascii="仿宋" w:hAnsi="仿宋" w:eastAsia="仿宋" w:cs="仿宋"/>
                <w:snapToGrid w:val="0"/>
                <w:color w:val="000000"/>
                <w:spacing w:val="-13"/>
                <w:kern w:val="0"/>
                <w:sz w:val="22"/>
                <w:szCs w:val="22"/>
                <w:lang w:val="en-US" w:eastAsia="en-US" w:bidi="ar-SA"/>
              </w:rPr>
              <w:t>学</w:t>
            </w:r>
            <w:r>
              <w:rPr>
                <w:rFonts w:hint="eastAsia" w:ascii="仿宋" w:hAnsi="仿宋" w:eastAsia="仿宋" w:cs="仿宋"/>
                <w:snapToGrid w:val="0"/>
                <w:color w:val="000000"/>
                <w:spacing w:val="-13"/>
                <w:kern w:val="0"/>
                <w:sz w:val="22"/>
                <w:szCs w:val="22"/>
                <w:lang w:val="en-US" w:eastAsia="zh-CN" w:bidi="ar-SA"/>
              </w:rPr>
              <w:t>性、</w:t>
            </w:r>
            <w:r>
              <w:rPr>
                <w:rFonts w:hint="eastAsia" w:ascii="仿宋" w:hAnsi="仿宋" w:eastAsia="仿宋" w:cs="仿宋"/>
                <w:snapToGrid w:val="0"/>
                <w:color w:val="000000"/>
                <w:spacing w:val="-13"/>
                <w:kern w:val="0"/>
                <w:sz w:val="22"/>
                <w:szCs w:val="22"/>
                <w:lang w:val="en-US" w:eastAsia="en-US" w:bidi="ar-SA"/>
              </w:rPr>
              <w:t>合理</w:t>
            </w:r>
            <w:r>
              <w:rPr>
                <w:rFonts w:hint="eastAsia" w:ascii="仿宋" w:hAnsi="仿宋" w:eastAsia="仿宋" w:cs="仿宋"/>
                <w:snapToGrid w:val="0"/>
                <w:color w:val="000000"/>
                <w:spacing w:val="-13"/>
                <w:kern w:val="0"/>
                <w:sz w:val="22"/>
                <w:szCs w:val="22"/>
                <w:lang w:val="en-US" w:eastAsia="zh-CN" w:bidi="ar-SA"/>
              </w:rPr>
              <w:t>性</w:t>
            </w:r>
            <w:r>
              <w:rPr>
                <w:rFonts w:hint="eastAsia" w:ascii="仿宋" w:hAnsi="仿宋" w:eastAsia="仿宋" w:cs="仿宋"/>
                <w:snapToGrid w:val="0"/>
                <w:color w:val="000000"/>
                <w:spacing w:val="-13"/>
                <w:kern w:val="0"/>
                <w:sz w:val="22"/>
                <w:szCs w:val="22"/>
                <w:lang w:val="en-US" w:eastAsia="en-US" w:bidi="ar-SA"/>
              </w:rPr>
              <w:t>、</w:t>
            </w:r>
            <w:r>
              <w:rPr>
                <w:rFonts w:hint="eastAsia" w:ascii="仿宋" w:hAnsi="仿宋" w:eastAsia="仿宋" w:cs="仿宋"/>
                <w:snapToGrid w:val="0"/>
                <w:color w:val="000000"/>
                <w:spacing w:val="-13"/>
                <w:kern w:val="0"/>
                <w:sz w:val="22"/>
                <w:szCs w:val="22"/>
                <w:lang w:val="en-US" w:eastAsia="zh-CN" w:bidi="ar-SA"/>
              </w:rPr>
              <w:t>可操作性一般的得3分</w:t>
            </w:r>
            <w:r>
              <w:rPr>
                <w:rFonts w:hint="eastAsia" w:ascii="仿宋" w:hAnsi="仿宋" w:eastAsia="仿宋" w:cs="仿宋"/>
                <w:snapToGrid w:val="0"/>
                <w:color w:val="000000"/>
                <w:spacing w:val="-13"/>
                <w:kern w:val="0"/>
                <w:sz w:val="22"/>
                <w:szCs w:val="22"/>
                <w:lang w:val="en-US" w:eastAsia="en-US" w:bidi="ar-SA"/>
              </w:rPr>
              <w:t>；</w:t>
            </w:r>
          </w:p>
          <w:p w14:paraId="79C1E4D3">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en-US" w:bidi="ar-SA"/>
              </w:rPr>
            </w:pPr>
            <w:r>
              <w:rPr>
                <w:rFonts w:hint="eastAsia" w:ascii="仿宋" w:hAnsi="仿宋" w:eastAsia="仿宋" w:cs="仿宋"/>
                <w:snapToGrid w:val="0"/>
                <w:color w:val="000000"/>
                <w:spacing w:val="-13"/>
                <w:kern w:val="0"/>
                <w:sz w:val="22"/>
                <w:szCs w:val="22"/>
                <w:lang w:val="en-US" w:eastAsia="zh-CN" w:bidi="ar-SA"/>
              </w:rPr>
              <w:t>4.方案不够</w:t>
            </w:r>
            <w:r>
              <w:rPr>
                <w:rFonts w:hint="eastAsia" w:ascii="仿宋" w:hAnsi="仿宋" w:eastAsia="仿宋" w:cs="仿宋"/>
                <w:snapToGrid w:val="0"/>
                <w:color w:val="000000"/>
                <w:spacing w:val="-13"/>
                <w:kern w:val="0"/>
                <w:sz w:val="22"/>
                <w:szCs w:val="22"/>
                <w:lang w:val="en-US" w:eastAsia="en-US" w:bidi="ar-SA"/>
              </w:rPr>
              <w:t>详细，</w:t>
            </w:r>
            <w:r>
              <w:rPr>
                <w:rFonts w:hint="eastAsia" w:ascii="仿宋" w:hAnsi="仿宋" w:eastAsia="仿宋" w:cs="仿宋"/>
                <w:snapToGrid w:val="0"/>
                <w:color w:val="000000"/>
                <w:spacing w:val="-13"/>
                <w:kern w:val="0"/>
                <w:sz w:val="22"/>
                <w:szCs w:val="22"/>
                <w:lang w:val="en-US" w:eastAsia="zh-CN" w:bidi="ar-SA"/>
              </w:rPr>
              <w:t>不够科</w:t>
            </w:r>
            <w:r>
              <w:rPr>
                <w:rFonts w:hint="eastAsia" w:ascii="仿宋" w:hAnsi="仿宋" w:eastAsia="仿宋" w:cs="仿宋"/>
                <w:snapToGrid w:val="0"/>
                <w:color w:val="000000"/>
                <w:spacing w:val="-13"/>
                <w:kern w:val="0"/>
                <w:sz w:val="22"/>
                <w:szCs w:val="22"/>
                <w:lang w:val="en-US" w:eastAsia="en-US" w:bidi="ar-SA"/>
              </w:rPr>
              <w:t>学合理、</w:t>
            </w:r>
            <w:r>
              <w:rPr>
                <w:rFonts w:hint="eastAsia" w:ascii="仿宋" w:hAnsi="仿宋" w:eastAsia="仿宋" w:cs="仿宋"/>
                <w:snapToGrid w:val="0"/>
                <w:color w:val="000000"/>
                <w:spacing w:val="-13"/>
                <w:kern w:val="0"/>
                <w:sz w:val="22"/>
                <w:szCs w:val="22"/>
                <w:lang w:val="en-US" w:eastAsia="zh-CN" w:bidi="ar-SA"/>
              </w:rPr>
              <w:t>操作性不强的得1分</w:t>
            </w:r>
            <w:r>
              <w:rPr>
                <w:rFonts w:hint="eastAsia" w:ascii="仿宋" w:hAnsi="仿宋" w:eastAsia="仿宋" w:cs="仿宋"/>
                <w:snapToGrid w:val="0"/>
                <w:color w:val="000000"/>
                <w:spacing w:val="-13"/>
                <w:kern w:val="0"/>
                <w:sz w:val="22"/>
                <w:szCs w:val="22"/>
                <w:lang w:val="en-US" w:eastAsia="en-US" w:bidi="ar-SA"/>
              </w:rPr>
              <w:t>；</w:t>
            </w:r>
          </w:p>
          <w:p w14:paraId="7E4C5B2E">
            <w:pPr>
              <w:pStyle w:val="33"/>
              <w:keepNext w:val="0"/>
              <w:keepLines w:val="0"/>
              <w:pageBreakBefore w:val="0"/>
              <w:kinsoku w:val="0"/>
              <w:wordWrap/>
              <w:overflowPunct/>
              <w:topLinePunct w:val="0"/>
              <w:autoSpaceDE w:val="0"/>
              <w:autoSpaceDN w:val="0"/>
              <w:bidi w:val="0"/>
              <w:adjustRightInd w:val="0"/>
              <w:snapToGrid w:val="0"/>
              <w:spacing w:before="33" w:line="400" w:lineRule="exact"/>
              <w:ind w:left="76" w:right="23" w:firstLine="2"/>
              <w:jc w:val="both"/>
              <w:textAlignment w:val="baseline"/>
              <w:rPr>
                <w:rFonts w:hint="eastAsia" w:ascii="仿宋" w:hAnsi="仿宋" w:eastAsia="仿宋" w:cs="仿宋"/>
                <w:snapToGrid w:val="0"/>
                <w:color w:val="000000"/>
                <w:spacing w:val="-13"/>
                <w:kern w:val="0"/>
                <w:sz w:val="22"/>
                <w:szCs w:val="22"/>
                <w:lang w:val="en-US" w:eastAsia="zh-CN" w:bidi="ar-SA"/>
              </w:rPr>
            </w:pPr>
            <w:r>
              <w:rPr>
                <w:rFonts w:hint="eastAsia" w:ascii="仿宋" w:hAnsi="仿宋" w:eastAsia="仿宋" w:cs="仿宋"/>
                <w:snapToGrid w:val="0"/>
                <w:color w:val="000000"/>
                <w:spacing w:val="-13"/>
                <w:kern w:val="0"/>
                <w:sz w:val="22"/>
                <w:szCs w:val="22"/>
                <w:lang w:val="en-US" w:eastAsia="zh-CN" w:bidi="ar-SA"/>
              </w:rPr>
              <w:t>5.缺项不得分。</w:t>
            </w:r>
          </w:p>
        </w:tc>
      </w:tr>
    </w:tbl>
    <w:p w14:paraId="0146703F">
      <w:pPr>
        <w:numPr>
          <w:ilvl w:val="0"/>
          <w:numId w:val="0"/>
        </w:numPr>
        <w:spacing w:line="360" w:lineRule="auto"/>
        <w:rPr>
          <w:rFonts w:hint="eastAsia" w:ascii="宋体" w:hAnsi="宋体" w:eastAsia="宋体"/>
          <w:color w:val="000000"/>
          <w:sz w:val="24"/>
          <w:szCs w:val="24"/>
          <w:highlight w:val="none"/>
          <w:lang w:val="en-US" w:eastAsia="zh-CN"/>
        </w:rPr>
      </w:pPr>
    </w:p>
    <w:p w14:paraId="15390CB6">
      <w:pPr>
        <w:pStyle w:val="2"/>
        <w:rPr>
          <w:rFonts w:hint="eastAsia" w:ascii="宋体" w:hAnsi="宋体" w:eastAsia="宋体" w:cs="宋体"/>
          <w:b/>
          <w:bCs/>
          <w:snapToGrid w:val="0"/>
          <w:color w:val="000000"/>
          <w:kern w:val="2"/>
          <w:sz w:val="24"/>
          <w:szCs w:val="24"/>
          <w:lang w:val="en-US" w:eastAsia="zh-CN" w:bidi="ar-SA"/>
        </w:rPr>
      </w:pPr>
    </w:p>
    <w:p w14:paraId="5F8CF5F6">
      <w:pPr>
        <w:pStyle w:val="2"/>
        <w:rPr>
          <w:rFonts w:hint="eastAsia" w:ascii="宋体" w:hAnsi="宋体" w:eastAsia="宋体" w:cs="宋体"/>
          <w:b/>
          <w:bCs/>
          <w:snapToGrid w:val="0"/>
          <w:color w:val="000000"/>
          <w:kern w:val="2"/>
          <w:sz w:val="24"/>
          <w:szCs w:val="24"/>
          <w:lang w:val="en-US" w:eastAsia="zh-CN" w:bidi="ar-SA"/>
        </w:rPr>
      </w:pPr>
    </w:p>
    <w:p w14:paraId="43E28AF0">
      <w:pPr>
        <w:pStyle w:val="2"/>
        <w:rPr>
          <w:rFonts w:hint="eastAsia" w:ascii="宋体" w:hAnsi="宋体" w:eastAsia="宋体" w:cs="宋体"/>
          <w:b/>
          <w:bCs/>
          <w:snapToGrid w:val="0"/>
          <w:color w:val="000000"/>
          <w:kern w:val="2"/>
          <w:sz w:val="24"/>
          <w:szCs w:val="24"/>
          <w:lang w:val="en-US" w:eastAsia="zh-CN" w:bidi="ar-SA"/>
        </w:rPr>
      </w:pPr>
    </w:p>
    <w:p w14:paraId="5792007D">
      <w:pPr>
        <w:pStyle w:val="2"/>
        <w:rPr>
          <w:rFonts w:hint="eastAsia" w:ascii="宋体" w:hAnsi="宋体" w:eastAsia="宋体" w:cs="宋体"/>
          <w:b/>
          <w:bCs/>
          <w:snapToGrid w:val="0"/>
          <w:color w:val="000000"/>
          <w:kern w:val="2"/>
          <w:sz w:val="24"/>
          <w:szCs w:val="24"/>
          <w:lang w:val="en-US" w:eastAsia="zh-CN" w:bidi="ar-SA"/>
        </w:rPr>
      </w:pPr>
    </w:p>
    <w:p w14:paraId="0315C5FB">
      <w:pPr>
        <w:pStyle w:val="2"/>
        <w:rPr>
          <w:rFonts w:hint="eastAsia" w:ascii="宋体" w:hAnsi="宋体" w:eastAsia="宋体" w:cs="宋体"/>
          <w:b/>
          <w:bCs/>
          <w:snapToGrid w:val="0"/>
          <w:color w:val="000000"/>
          <w:kern w:val="2"/>
          <w:sz w:val="24"/>
          <w:szCs w:val="24"/>
          <w:lang w:val="en-US" w:eastAsia="zh-CN" w:bidi="ar-SA"/>
        </w:rPr>
      </w:pPr>
    </w:p>
    <w:p w14:paraId="7DE5C1B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5A9836C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六.中标通知及签订合同</w:t>
      </w:r>
    </w:p>
    <w:p w14:paraId="11C874C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1.中标通知</w:t>
      </w:r>
    </w:p>
    <w:p w14:paraId="1A0DBBA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中标人被正式确定后，将在“河南省政府采购网”和“南阳市公共资源交易中心网”上公告中标结果，同时向中标人发出《中标通知书》。</w:t>
      </w:r>
    </w:p>
    <w:p w14:paraId="64CE523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1.2 《中标通知书》将作为签订合同的依据之一。</w:t>
      </w:r>
    </w:p>
    <w:p w14:paraId="506D05E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1.3 《中标通知书》发放办法：政府采购项目通过“南阳市公共资源交易中心公共服务平台”向中标人发出电子《中标通知书》后，中标供应商可登录南阳市公共资源交易平台会员系统自行打印加盖电子签章的《中标通知书》。</w:t>
      </w:r>
    </w:p>
    <w:p w14:paraId="774610C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2.签订合同</w:t>
      </w:r>
    </w:p>
    <w:p w14:paraId="1CCE1BB7">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2.1中标供应商打印《中标通知书》后及时与采购人签订政府采购合同。合同签订后，采购人应通过“河南省电子化政府采购系统”(www.hngp.gov.cn)合同管理栏目上传合同原件扫描件完成备案。</w:t>
      </w:r>
    </w:p>
    <w:p w14:paraId="6FB2BE74">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2.2招标文件、投标文件、答疑及澄清文件，均为签订合同的依据。</w:t>
      </w:r>
    </w:p>
    <w:p w14:paraId="2DE0F0D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0ED0A623">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0046CB2">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14:paraId="21156107">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5B353D5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18046B5">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19153B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0528BF6D">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14:paraId="4A8DD39C">
      <w:pPr>
        <w:pStyle w:val="6"/>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14:paraId="17E94B7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八、相关注意事项</w:t>
      </w:r>
    </w:p>
    <w:p w14:paraId="290C6CC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1.开标及询标时，投标人法定代表人（负责人）或授权代表务必携带有效的身份证明，否则产生的不利后果由投标人自行承担。</w:t>
      </w:r>
    </w:p>
    <w:p w14:paraId="2824011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2.各投标人应保证：投标文件中涉及到的所有内容，不会出现因第三方提出侵权而引发法律及经济纠纷，不论何种情况下若发生此类情况，其相应责任由投标人自行承担。</w:t>
      </w:r>
    </w:p>
    <w:p w14:paraId="06356E9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3.3开标、评标期间，投标人不得向评委询问评标情况，不得进行旨在影响评标结果的活动。</w:t>
      </w:r>
    </w:p>
    <w:p w14:paraId="23B8F23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4.为了保证评标的公正性，除询标外，评委不得与投标人交换意见。无论评标工作结束与否，参与评标的任何人均不得私下向外透露评标中的任何情况。</w:t>
      </w:r>
    </w:p>
    <w:p w14:paraId="15811D3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5.投标人应本着公平竞争的原则参与投标，不得用任何方式对其它投标人恶意攻击。</w:t>
      </w:r>
    </w:p>
    <w:p w14:paraId="07EA225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6.投标人如有违反上述要求或违反国家法律、法规的行为，无论评标结果如何，其投标资格将被取消。</w:t>
      </w:r>
    </w:p>
    <w:p w14:paraId="1590135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7DA04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0CB4567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22ABA22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4E51F8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173B5C1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04F7F9F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19625ED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22F3FD9F">
      <w:pPr>
        <w:pStyle w:val="31"/>
        <w:keepNext w:val="0"/>
        <w:keepLines w:val="0"/>
        <w:pageBreakBefore w:val="0"/>
        <w:kinsoku/>
        <w:wordWrap w:val="0"/>
        <w:overflowPunct/>
        <w:topLinePunct w:val="0"/>
        <w:bidi w:val="0"/>
        <w:jc w:val="both"/>
        <w:rPr>
          <w:rFonts w:hint="eastAsia"/>
          <w:lang w:val="en-US" w:eastAsia="zh-CN"/>
        </w:rPr>
        <w:sectPr>
          <w:footerReference r:id="rId7" w:type="default"/>
          <w:pgSz w:w="11907" w:h="16840"/>
          <w:pgMar w:top="1440" w:right="1800" w:bottom="1440" w:left="1800" w:header="878" w:footer="886" w:gutter="0"/>
          <w:pgNumType w:fmt="decimal" w:start="1"/>
          <w:cols w:space="720" w:num="1"/>
        </w:sectPr>
      </w:pPr>
    </w:p>
    <w:p w14:paraId="1667603F">
      <w:pPr>
        <w:pStyle w:val="2"/>
        <w:keepNext w:val="0"/>
        <w:keepLines w:val="0"/>
        <w:pageBreakBefore w:val="0"/>
        <w:kinsoku/>
        <w:wordWrap w:val="0"/>
        <w:overflowPunct/>
        <w:topLinePunct w:val="0"/>
        <w:bidi w:val="0"/>
        <w:spacing w:before="353" w:line="219" w:lineRule="auto"/>
        <w:ind w:left="2294"/>
        <w:jc w:val="both"/>
        <w:rPr>
          <w:rFonts w:hint="eastAsia" w:asciiTheme="minorEastAsia" w:hAnsiTheme="minorEastAsia" w:eastAsiaTheme="minorEastAsia" w:cstheme="minorEastAsia"/>
          <w:spacing w:val="-1"/>
          <w:sz w:val="36"/>
          <w:szCs w:val="36"/>
          <w:highlight w:val="none"/>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五</w:t>
      </w:r>
      <w:r>
        <w:rPr>
          <w:rFonts w:hint="eastAsia" w:asciiTheme="minorEastAsia" w:hAnsiTheme="minorEastAsia" w:eastAsiaTheme="minorEastAsia" w:cstheme="minorEastAsia"/>
          <w:spacing w:val="-1"/>
          <w:sz w:val="36"/>
          <w:szCs w:val="36"/>
          <w:highlight w:val="none"/>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highlight w:val="none"/>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highlight w:val="none"/>
          <w:lang w:eastAsia="zh-CN"/>
          <w14:textOutline w14:w="2306" w14:cap="flat" w14:cmpd="sng">
            <w14:solidFill>
              <w14:srgbClr w14:val="000000"/>
            </w14:solidFill>
            <w14:prstDash w14:val="solid"/>
            <w14:miter w14:val="0"/>
          </w14:textOutline>
        </w:rPr>
        <w:t>政府采购合同（草案）</w:t>
      </w:r>
    </w:p>
    <w:p w14:paraId="76C2CE67">
      <w:pPr>
        <w:pStyle w:val="31"/>
        <w:jc w:val="both"/>
        <w:rPr>
          <w:rFonts w:hint="eastAsia"/>
          <w:highlight w:val="none"/>
        </w:rPr>
      </w:pPr>
    </w:p>
    <w:p w14:paraId="197CAC55">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rPr>
        <w:t>说明：</w:t>
      </w:r>
    </w:p>
    <w:p w14:paraId="08E11897">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rPr>
        <w:t>1.合同类型按照</w:t>
      </w:r>
      <w:r>
        <w:rPr>
          <w:rFonts w:hint="eastAsia" w:asciiTheme="minorEastAsia" w:hAnsiTheme="minorEastAsia" w:eastAsiaTheme="minorEastAsia" w:cstheme="minorEastAsia"/>
          <w:spacing w:val="-13"/>
          <w:sz w:val="24"/>
          <w:szCs w:val="24"/>
          <w:highlight w:val="none"/>
          <w:lang w:val="en-US" w:eastAsia="zh-CN"/>
        </w:rPr>
        <w:t>中华人民共和国</w:t>
      </w:r>
      <w:r>
        <w:rPr>
          <w:rFonts w:hint="eastAsia" w:asciiTheme="minorEastAsia" w:hAnsiTheme="minorEastAsia" w:eastAsiaTheme="minorEastAsia" w:cstheme="minorEastAsia"/>
          <w:spacing w:val="-13"/>
          <w:sz w:val="24"/>
          <w:szCs w:val="24"/>
          <w:highlight w:val="none"/>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highlight w:val="none"/>
          <w:lang w:val="en-US" w:eastAsia="zh-CN"/>
        </w:rPr>
        <w:t>中华人民共和国</w:t>
      </w:r>
      <w:r>
        <w:rPr>
          <w:rFonts w:hint="eastAsia" w:asciiTheme="minorEastAsia" w:hAnsiTheme="minorEastAsia" w:eastAsiaTheme="minorEastAsia" w:cstheme="minorEastAsia"/>
          <w:spacing w:val="-13"/>
          <w:sz w:val="24"/>
          <w:szCs w:val="24"/>
          <w:highlight w:val="none"/>
        </w:rPr>
        <w:t>民法典及《政府采购需求管理办法》（财库〔2021〕22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0B5746A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2</w:t>
      </w:r>
      <w:r>
        <w:rPr>
          <w:rFonts w:hint="eastAsia" w:asciiTheme="minorEastAsia" w:hAnsiTheme="minorEastAsia" w:eastAsiaTheme="minorEastAsia" w:cstheme="minorEastAsia"/>
          <w:spacing w:val="-13"/>
          <w:sz w:val="24"/>
          <w:szCs w:val="24"/>
          <w:highlight w:val="none"/>
        </w:rPr>
        <w:t>.合同条款中应规定，乙方完全遵守《中华人民共和国妇女权益保障法》中关于劳动和社会保障权益的有关要求。</w:t>
      </w:r>
    </w:p>
    <w:p w14:paraId="422478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3</w:t>
      </w:r>
      <w:r>
        <w:rPr>
          <w:rFonts w:hint="eastAsia" w:asciiTheme="minorEastAsia" w:hAnsiTheme="minorEastAsia" w:eastAsiaTheme="minorEastAsia" w:cstheme="minorEastAsia"/>
          <w:spacing w:val="-13"/>
          <w:sz w:val="24"/>
          <w:szCs w:val="24"/>
          <w:highlight w:val="none"/>
        </w:rPr>
        <w:t>.对于通过预留采购项目、预留专门采购包等措施签订的采购合同，应当明确标注本合同为中小企业预留合同。</w:t>
      </w:r>
    </w:p>
    <w:p w14:paraId="2E72DA84">
      <w:pPr>
        <w:pStyle w:val="2"/>
        <w:keepNext w:val="0"/>
        <w:keepLines w:val="0"/>
        <w:pageBreakBefore w:val="0"/>
        <w:widowControl/>
        <w:kinsoku/>
        <w:wordWrap/>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4</w:t>
      </w:r>
      <w:r>
        <w:rPr>
          <w:rFonts w:hint="eastAsia" w:asciiTheme="minorEastAsia" w:hAnsiTheme="minorEastAsia" w:eastAsiaTheme="minorEastAsia" w:cstheme="minorEastAsia"/>
          <w:spacing w:val="-13"/>
          <w:sz w:val="24"/>
          <w:szCs w:val="24"/>
          <w:highlight w:val="none"/>
        </w:rPr>
        <w:t>.政府采购合同设定</w:t>
      </w:r>
      <w:r>
        <w:rPr>
          <w:rFonts w:hint="eastAsia" w:asciiTheme="minorEastAsia" w:hAnsiTheme="minorEastAsia" w:eastAsiaTheme="minorEastAsia" w:cstheme="minorEastAsia"/>
          <w:spacing w:val="-13"/>
          <w:sz w:val="24"/>
          <w:szCs w:val="24"/>
          <w:highlight w:val="none"/>
          <w:lang w:val="en-US" w:eastAsia="zh-CN"/>
        </w:rPr>
        <w:t>预</w:t>
      </w:r>
      <w:r>
        <w:rPr>
          <w:rFonts w:hint="eastAsia" w:asciiTheme="minorEastAsia" w:hAnsiTheme="minorEastAsia" w:eastAsiaTheme="minorEastAsia" w:cstheme="minorEastAsia"/>
          <w:spacing w:val="-13"/>
          <w:sz w:val="24"/>
          <w:szCs w:val="24"/>
          <w:highlight w:val="none"/>
        </w:rPr>
        <w:t>付款支付方式的，</w:t>
      </w:r>
      <w:r>
        <w:rPr>
          <w:rFonts w:hint="eastAsia" w:asciiTheme="minorEastAsia" w:hAnsiTheme="minorEastAsia" w:eastAsiaTheme="minorEastAsia" w:cstheme="minorEastAsia"/>
          <w:spacing w:val="-13"/>
          <w:sz w:val="24"/>
          <w:szCs w:val="24"/>
          <w:highlight w:val="none"/>
          <w:lang w:val="en-US" w:eastAsia="zh-CN"/>
        </w:rPr>
        <w:t>预</w:t>
      </w:r>
      <w:r>
        <w:rPr>
          <w:rFonts w:hint="eastAsia" w:asciiTheme="minorEastAsia" w:hAnsiTheme="minorEastAsia" w:eastAsiaTheme="minorEastAsia" w:cstheme="minorEastAsia"/>
          <w:spacing w:val="-13"/>
          <w:sz w:val="24"/>
          <w:szCs w:val="24"/>
          <w:highlight w:val="none"/>
        </w:rPr>
        <w:t>付款支付比例原则上不低于合同金额的</w:t>
      </w:r>
      <w:r>
        <w:rPr>
          <w:rFonts w:hint="eastAsia" w:asciiTheme="minorEastAsia" w:hAnsiTheme="minorEastAsia" w:eastAsiaTheme="minorEastAsia" w:cstheme="minorEastAsia"/>
          <w:spacing w:val="-13"/>
          <w:sz w:val="24"/>
          <w:szCs w:val="24"/>
          <w:highlight w:val="none"/>
          <w:lang w:val="en-US" w:eastAsia="zh-CN"/>
        </w:rPr>
        <w:t>5</w:t>
      </w:r>
      <w:r>
        <w:rPr>
          <w:rFonts w:hint="eastAsia" w:asciiTheme="minorEastAsia" w:hAnsiTheme="minorEastAsia" w:eastAsiaTheme="minorEastAsia" w:cstheme="minorEastAsia"/>
          <w:spacing w:val="-13"/>
          <w:sz w:val="24"/>
          <w:szCs w:val="24"/>
          <w:highlight w:val="none"/>
        </w:rPr>
        <w:t>0%；对于中小企业，</w:t>
      </w:r>
      <w:r>
        <w:rPr>
          <w:rFonts w:hint="eastAsia" w:asciiTheme="minorEastAsia" w:hAnsiTheme="minorEastAsia" w:eastAsiaTheme="minorEastAsia" w:cstheme="minorEastAsia"/>
          <w:spacing w:val="-13"/>
          <w:sz w:val="24"/>
          <w:szCs w:val="24"/>
          <w:highlight w:val="none"/>
          <w:lang w:val="en-US" w:eastAsia="zh-CN"/>
        </w:rPr>
        <w:t>预</w:t>
      </w:r>
      <w:r>
        <w:rPr>
          <w:rFonts w:hint="eastAsia" w:asciiTheme="minorEastAsia" w:hAnsiTheme="minorEastAsia" w:eastAsiaTheme="minorEastAsia" w:cstheme="minorEastAsia"/>
          <w:spacing w:val="-13"/>
          <w:sz w:val="24"/>
          <w:szCs w:val="24"/>
          <w:highlight w:val="none"/>
        </w:rPr>
        <w:t>付款支付比例原则上不低于合同金额的</w:t>
      </w:r>
      <w:r>
        <w:rPr>
          <w:rFonts w:hint="eastAsia" w:asciiTheme="minorEastAsia" w:hAnsiTheme="minorEastAsia" w:eastAsiaTheme="minorEastAsia" w:cstheme="minorEastAsia"/>
          <w:spacing w:val="-13"/>
          <w:sz w:val="24"/>
          <w:szCs w:val="24"/>
          <w:highlight w:val="none"/>
          <w:lang w:val="en-US" w:eastAsia="zh-CN"/>
        </w:rPr>
        <w:t>7</w:t>
      </w:r>
      <w:r>
        <w:rPr>
          <w:rFonts w:hint="eastAsia" w:asciiTheme="minorEastAsia" w:hAnsiTheme="minorEastAsia" w:eastAsiaTheme="minorEastAsia" w:cstheme="minorEastAsia"/>
          <w:spacing w:val="-13"/>
          <w:sz w:val="24"/>
          <w:szCs w:val="24"/>
          <w:highlight w:val="none"/>
        </w:rPr>
        <w:t>0%。</w:t>
      </w:r>
    </w:p>
    <w:p w14:paraId="7BC3D1F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5</w:t>
      </w:r>
      <w:r>
        <w:rPr>
          <w:rFonts w:hint="eastAsia" w:asciiTheme="minorEastAsia" w:hAnsiTheme="minorEastAsia" w:eastAsiaTheme="minorEastAsia" w:cstheme="minorEastAsia"/>
          <w:spacing w:val="-13"/>
          <w:sz w:val="24"/>
          <w:szCs w:val="24"/>
          <w:highlight w:val="none"/>
        </w:rPr>
        <w:t>.政府采购合同应当约定资金支付的方式、时间和条件，明确逾期支付资金的违约责任。对于满足合同约定支付条件的，采购人应当自收到发票后</w:t>
      </w:r>
      <w:r>
        <w:rPr>
          <w:rFonts w:hint="eastAsia" w:asciiTheme="minorEastAsia" w:hAnsiTheme="minorEastAsia" w:eastAsiaTheme="minorEastAsia" w:cstheme="minorEastAsia"/>
          <w:spacing w:val="-13"/>
          <w:sz w:val="24"/>
          <w:szCs w:val="24"/>
          <w:highlight w:val="none"/>
          <w:lang w:val="en-US" w:eastAsia="zh-CN"/>
        </w:rPr>
        <w:t>1</w:t>
      </w:r>
      <w:r>
        <w:rPr>
          <w:rFonts w:hint="eastAsia" w:asciiTheme="minorEastAsia" w:hAnsiTheme="minorEastAsia" w:eastAsiaTheme="minorEastAsia" w:cstheme="minorEastAsia"/>
          <w:spacing w:val="-13"/>
          <w:sz w:val="24"/>
          <w:szCs w:val="24"/>
          <w:highlight w:val="none"/>
        </w:rPr>
        <w:t>日内将资金支付到合同约定的供应商账户，不得以机构变动、人员更替、政策调整等为由延迟付款，不得将采购文件和合同中未规定的义务作为向供应商付款的条件。</w:t>
      </w:r>
    </w:p>
    <w:p w14:paraId="16F0538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6</w:t>
      </w:r>
      <w:r>
        <w:rPr>
          <w:rFonts w:hint="eastAsia" w:asciiTheme="minorEastAsia" w:hAnsiTheme="minorEastAsia" w:eastAsiaTheme="minorEastAsia" w:cstheme="minorEastAsia"/>
          <w:spacing w:val="-13"/>
          <w:sz w:val="24"/>
          <w:szCs w:val="24"/>
          <w:highlight w:val="none"/>
        </w:rPr>
        <w:t>.采购文件对商品包装和快递包装</w:t>
      </w:r>
      <w:r>
        <w:rPr>
          <w:rFonts w:hint="eastAsia" w:asciiTheme="minorEastAsia" w:hAnsiTheme="minorEastAsia" w:eastAsiaTheme="minorEastAsia" w:cstheme="minorEastAsia"/>
          <w:spacing w:val="-13"/>
          <w:sz w:val="24"/>
          <w:szCs w:val="24"/>
          <w:highlight w:val="none"/>
          <w:lang w:val="en-US" w:eastAsia="zh-CN"/>
        </w:rPr>
        <w:t>提</w:t>
      </w:r>
      <w:r>
        <w:rPr>
          <w:rFonts w:hint="eastAsia" w:asciiTheme="minorEastAsia" w:hAnsiTheme="minorEastAsia" w:eastAsiaTheme="minorEastAsia" w:cstheme="minorEastAsia"/>
          <w:spacing w:val="-13"/>
          <w:sz w:val="24"/>
          <w:szCs w:val="24"/>
          <w:highlight w:val="none"/>
        </w:rPr>
        <w:t>出具体要求的，政府采购合同应当载明对政府采购供应商</w:t>
      </w:r>
      <w:r>
        <w:rPr>
          <w:rFonts w:hint="eastAsia" w:asciiTheme="minorEastAsia" w:hAnsiTheme="minorEastAsia" w:eastAsiaTheme="minorEastAsia" w:cstheme="minorEastAsia"/>
          <w:spacing w:val="-13"/>
          <w:sz w:val="24"/>
          <w:szCs w:val="24"/>
          <w:highlight w:val="none"/>
          <w:lang w:val="en-US" w:eastAsia="zh-CN"/>
        </w:rPr>
        <w:t>提</w:t>
      </w:r>
      <w:r>
        <w:rPr>
          <w:rFonts w:hint="eastAsia" w:asciiTheme="minorEastAsia" w:hAnsiTheme="minorEastAsia" w:eastAsiaTheme="minorEastAsia" w:cstheme="minorEastAsia"/>
          <w:spacing w:val="-13"/>
          <w:sz w:val="24"/>
          <w:szCs w:val="24"/>
          <w:highlight w:val="none"/>
        </w:rPr>
        <w:t>供产品及相关快递服务的具体包装要求和履约验收相关条款，必要时要求中标、成交供应商在履约验收环节出具检测报告。</w:t>
      </w:r>
    </w:p>
    <w:p w14:paraId="12D6D6C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firstLine="428" w:firstLineChars="200"/>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lang w:val="en-US" w:eastAsia="zh-CN"/>
        </w:rPr>
        <w:t>7</w:t>
      </w:r>
      <w:r>
        <w:rPr>
          <w:rFonts w:hint="eastAsia" w:asciiTheme="minorEastAsia" w:hAnsiTheme="minorEastAsia" w:eastAsiaTheme="minorEastAsia" w:cstheme="minorEastAsia"/>
          <w:spacing w:val="-13"/>
          <w:sz w:val="24"/>
          <w:szCs w:val="24"/>
          <w:highlight w:val="none"/>
        </w:rPr>
        <w:t>.当采购项目涉及数据中心相关设备、运维服务时，采购需求应当符合《绿色数据中</w:t>
      </w:r>
    </w:p>
    <w:p w14:paraId="41372032">
      <w:pPr>
        <w:pStyle w:val="2"/>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13"/>
          <w:sz w:val="24"/>
          <w:szCs w:val="24"/>
          <w:highlight w:val="none"/>
        </w:rPr>
      </w:pPr>
      <w:r>
        <w:rPr>
          <w:rFonts w:hint="eastAsia" w:asciiTheme="minorEastAsia" w:hAnsiTheme="minorEastAsia" w:eastAsiaTheme="minorEastAsia" w:cstheme="minorEastAsia"/>
          <w:spacing w:val="-13"/>
          <w:sz w:val="24"/>
          <w:szCs w:val="24"/>
          <w:highlight w:val="none"/>
        </w:rPr>
        <w:t>心政府采购需求标准（试行）》（财库〔2023〕7号）的有关要求，并在合同中明确对相关指标的验收方式和违约责任。</w:t>
      </w:r>
    </w:p>
    <w:p w14:paraId="46489EF9">
      <w:pPr>
        <w:rPr>
          <w:rFonts w:hint="eastAsia" w:asciiTheme="minorEastAsia" w:hAnsiTheme="minorEastAsia" w:eastAsiaTheme="minorEastAsia" w:cstheme="minorEastAsia"/>
          <w:spacing w:val="-13"/>
          <w:sz w:val="24"/>
          <w:szCs w:val="24"/>
          <w:highlight w:val="yellow"/>
        </w:rPr>
      </w:pPr>
      <w:r>
        <w:rPr>
          <w:rFonts w:hint="eastAsia" w:asciiTheme="minorEastAsia" w:hAnsiTheme="minorEastAsia" w:eastAsiaTheme="minorEastAsia" w:cstheme="minorEastAsia"/>
          <w:spacing w:val="-13"/>
          <w:sz w:val="24"/>
          <w:szCs w:val="24"/>
          <w:highlight w:val="yellow"/>
        </w:rPr>
        <w:br w:type="page"/>
      </w:r>
    </w:p>
    <w:p w14:paraId="26A45E1E">
      <w:pPr>
        <w:keepNext w:val="0"/>
        <w:keepLines w:val="0"/>
        <w:pageBreakBefore w:val="0"/>
        <w:widowControl/>
        <w:kinsoku w:val="0"/>
        <w:wordWrap/>
        <w:overflowPunct/>
        <w:topLinePunct w:val="0"/>
        <w:autoSpaceDE w:val="0"/>
        <w:autoSpaceDN w:val="0"/>
        <w:bidi w:val="0"/>
        <w:adjustRightInd w:val="0"/>
        <w:snapToGrid w:val="0"/>
        <w:spacing w:before="164" w:line="262" w:lineRule="auto"/>
        <w:ind w:right="0"/>
        <w:jc w:val="center"/>
        <w:textAlignment w:val="baseline"/>
        <w:outlineLvl w:val="0"/>
        <w:rPr>
          <w:rFonts w:hint="eastAsia" w:ascii="宋体" w:hAnsi="宋体" w:eastAsia="宋体" w:cs="宋体"/>
          <w:sz w:val="43"/>
          <w:szCs w:val="43"/>
          <w:highlight w:val="none"/>
        </w:rPr>
      </w:pPr>
      <w:r>
        <w:rPr>
          <w:rFonts w:hint="eastAsia" w:ascii="宋体" w:hAnsi="宋体" w:eastAsia="宋体" w:cs="宋体"/>
          <w:b/>
          <w:bCs/>
          <w:spacing w:val="5"/>
          <w:sz w:val="43"/>
          <w:szCs w:val="43"/>
          <w:highlight w:val="none"/>
        </w:rPr>
        <w:t>物业管理服务合同</w:t>
      </w:r>
    </w:p>
    <w:p w14:paraId="4CCC3618">
      <w:pPr>
        <w:spacing w:line="298" w:lineRule="auto"/>
        <w:jc w:val="center"/>
        <w:rPr>
          <w:rFonts w:hint="default" w:ascii="宋体" w:hAnsi="宋体" w:eastAsia="宋体" w:cs="宋体"/>
          <w:sz w:val="28"/>
          <w:szCs w:val="28"/>
          <w:highlight w:val="none"/>
          <w:lang w:val="en-US" w:eastAsia="zh-CN"/>
        </w:rPr>
      </w:pPr>
      <w:r>
        <w:rPr>
          <w:rFonts w:hint="eastAsia" w:ascii="宋体" w:hAnsi="宋体" w:eastAsia="宋体" w:cs="宋体"/>
          <w:b/>
          <w:bCs/>
          <w:sz w:val="28"/>
          <w:szCs w:val="28"/>
          <w:highlight w:val="none"/>
          <w:lang w:val="en-US" w:eastAsia="zh-CN"/>
        </w:rPr>
        <w:t>（以实际签订合同为准）</w:t>
      </w:r>
    </w:p>
    <w:p w14:paraId="267359F4">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4"/>
        <w:textAlignment w:val="baseline"/>
        <w:rPr>
          <w:rFonts w:hint="eastAsia" w:ascii="宋体" w:hAnsi="宋体" w:eastAsia="宋体" w:cs="宋体"/>
          <w:spacing w:val="7"/>
          <w:sz w:val="24"/>
          <w:szCs w:val="24"/>
          <w:highlight w:val="none"/>
        </w:rPr>
      </w:pPr>
    </w:p>
    <w:p w14:paraId="0892C772">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4"/>
        <w:textAlignment w:val="baseline"/>
        <w:rPr>
          <w:rFonts w:hint="eastAsia" w:ascii="宋体" w:hAnsi="宋体" w:eastAsia="宋体" w:cs="宋体"/>
          <w:sz w:val="24"/>
          <w:szCs w:val="24"/>
          <w:highlight w:val="none"/>
          <w:lang w:val="en-US" w:eastAsia="zh-CN"/>
        </w:rPr>
      </w:pPr>
      <w:r>
        <w:rPr>
          <w:rFonts w:hint="eastAsia" w:ascii="宋体" w:hAnsi="宋体" w:eastAsia="宋体" w:cs="宋体"/>
          <w:spacing w:val="7"/>
          <w:sz w:val="24"/>
          <w:szCs w:val="24"/>
          <w:highlight w:val="none"/>
        </w:rPr>
        <w:t>甲方：</w:t>
      </w:r>
      <w:r>
        <w:rPr>
          <w:rFonts w:hint="eastAsia" w:ascii="宋体" w:hAnsi="宋体" w:eastAsia="宋体" w:cs="宋体"/>
          <w:spacing w:val="7"/>
          <w:sz w:val="24"/>
          <w:szCs w:val="24"/>
          <w:highlight w:val="none"/>
          <w:lang w:val="en-US" w:eastAsia="zh-CN"/>
        </w:rPr>
        <w:t>河南省南阳市人民检察院</w:t>
      </w:r>
    </w:p>
    <w:p w14:paraId="5BE8CB11">
      <w:pPr>
        <w:pStyle w:val="2"/>
        <w:keepNext w:val="0"/>
        <w:keepLines w:val="0"/>
        <w:pageBreakBefore w:val="0"/>
        <w:widowControl/>
        <w:kinsoku w:val="0"/>
        <w:wordWrap/>
        <w:overflowPunct/>
        <w:topLinePunct w:val="0"/>
        <w:autoSpaceDE w:val="0"/>
        <w:autoSpaceDN w:val="0"/>
        <w:bidi w:val="0"/>
        <w:adjustRightInd w:val="0"/>
        <w:snapToGrid w:val="0"/>
        <w:spacing w:line="360" w:lineRule="auto"/>
        <w:ind w:left="14"/>
        <w:textAlignment w:val="baseline"/>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乙方：</w:t>
      </w:r>
    </w:p>
    <w:p w14:paraId="5FB67EF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left="10" w:firstLine="554"/>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本项目经</w:t>
      </w:r>
      <w:r>
        <w:rPr>
          <w:rFonts w:hint="eastAsia" w:ascii="宋体" w:hAnsi="宋体" w:eastAsia="宋体" w:cs="宋体"/>
          <w:spacing w:val="6"/>
          <w:sz w:val="24"/>
          <w:szCs w:val="24"/>
          <w:lang w:val="en-US" w:eastAsia="zh-CN"/>
        </w:rPr>
        <w:t>河南省</w:t>
      </w:r>
      <w:r>
        <w:rPr>
          <w:rFonts w:hint="eastAsia" w:ascii="宋体" w:hAnsi="宋体" w:eastAsia="宋体" w:cs="宋体"/>
          <w:spacing w:val="6"/>
          <w:sz w:val="24"/>
          <w:szCs w:val="24"/>
        </w:rPr>
        <w:t>政府采购监督管理办公室批准，采用公开招标方式由南阳市</w:t>
      </w:r>
      <w:r>
        <w:rPr>
          <w:rFonts w:hint="eastAsia" w:ascii="宋体" w:hAnsi="宋体" w:eastAsia="宋体" w:cs="宋体"/>
          <w:spacing w:val="6"/>
          <w:sz w:val="24"/>
          <w:szCs w:val="24"/>
          <w:lang w:val="en-US" w:eastAsia="zh-CN"/>
        </w:rPr>
        <w:t>公共资源交易中心</w:t>
      </w:r>
      <w:r>
        <w:rPr>
          <w:rFonts w:hint="eastAsia" w:ascii="宋体" w:hAnsi="宋体" w:eastAsia="宋体" w:cs="宋体"/>
          <w:spacing w:val="6"/>
          <w:sz w:val="24"/>
          <w:szCs w:val="24"/>
        </w:rPr>
        <w:t>依法组织采购，经评审委员会评审，决</w:t>
      </w:r>
      <w:r>
        <w:rPr>
          <w:rFonts w:hint="eastAsia" w:ascii="宋体" w:hAnsi="宋体" w:eastAsia="宋体" w:cs="宋体"/>
          <w:spacing w:val="7"/>
          <w:sz w:val="24"/>
          <w:szCs w:val="24"/>
        </w:rPr>
        <w:t>定将政府采购合同授予乙方。为进一步明确甲乙双</w:t>
      </w:r>
      <w:r>
        <w:rPr>
          <w:rFonts w:hint="eastAsia" w:ascii="宋体" w:hAnsi="宋体" w:eastAsia="宋体" w:cs="宋体"/>
          <w:spacing w:val="6"/>
          <w:sz w:val="24"/>
          <w:szCs w:val="24"/>
        </w:rPr>
        <w:t>方的责任，确保</w:t>
      </w:r>
      <w:r>
        <w:rPr>
          <w:rFonts w:hint="eastAsia" w:ascii="宋体" w:hAnsi="宋体" w:eastAsia="宋体" w:cs="宋体"/>
          <w:sz w:val="24"/>
          <w:szCs w:val="24"/>
        </w:rPr>
        <w:t>合同顺利改选，根据《中华人民共和国政府采购法》及其实施条例、</w:t>
      </w:r>
      <w:r>
        <w:rPr>
          <w:rFonts w:hint="eastAsia" w:ascii="宋体" w:hAnsi="宋体" w:eastAsia="宋体" w:cs="宋体"/>
          <w:spacing w:val="16"/>
          <w:sz w:val="24"/>
          <w:szCs w:val="24"/>
        </w:rPr>
        <w:t>《中华人民共和国</w:t>
      </w:r>
      <w:r>
        <w:rPr>
          <w:rFonts w:hint="eastAsia" w:ascii="宋体" w:hAnsi="宋体" w:eastAsia="宋体" w:cs="宋体"/>
          <w:spacing w:val="16"/>
          <w:sz w:val="24"/>
          <w:szCs w:val="24"/>
          <w:lang w:val="en-US" w:eastAsia="zh-CN"/>
        </w:rPr>
        <w:t>民法典</w:t>
      </w:r>
      <w:r>
        <w:rPr>
          <w:rFonts w:hint="eastAsia" w:ascii="宋体" w:hAnsi="宋体" w:eastAsia="宋体" w:cs="宋体"/>
          <w:spacing w:val="16"/>
          <w:sz w:val="24"/>
          <w:szCs w:val="24"/>
        </w:rPr>
        <w:t>》以及本项目中标(成交)结果，甲乙双</w:t>
      </w:r>
      <w:r>
        <w:rPr>
          <w:rFonts w:hint="eastAsia" w:ascii="宋体" w:hAnsi="宋体" w:eastAsia="宋体" w:cs="宋体"/>
          <w:spacing w:val="6"/>
          <w:sz w:val="24"/>
          <w:szCs w:val="24"/>
        </w:rPr>
        <w:t>方充分协商，订立本合，共同遵守。</w:t>
      </w:r>
    </w:p>
    <w:p w14:paraId="4CA634D1">
      <w:pPr>
        <w:keepNext w:val="0"/>
        <w:keepLines w:val="0"/>
        <w:pageBreakBefore w:val="0"/>
        <w:widowControl/>
        <w:kinsoku w:val="0"/>
        <w:wordWrap/>
        <w:overflowPunct/>
        <w:topLinePunct w:val="0"/>
        <w:autoSpaceDE w:val="0"/>
        <w:autoSpaceDN w:val="0"/>
        <w:bidi w:val="0"/>
        <w:adjustRightInd w:val="0"/>
        <w:snapToGrid w:val="0"/>
        <w:spacing w:line="420" w:lineRule="exact"/>
        <w:ind w:left="569"/>
        <w:textAlignment w:val="baseline"/>
        <w:outlineLvl w:val="2"/>
        <w:rPr>
          <w:rFonts w:hint="eastAsia" w:ascii="宋体" w:hAnsi="宋体" w:eastAsia="宋体" w:cs="宋体"/>
          <w:sz w:val="24"/>
          <w:szCs w:val="24"/>
        </w:rPr>
      </w:pPr>
      <w:r>
        <w:rPr>
          <w:rFonts w:hint="eastAsia" w:ascii="宋体" w:hAnsi="宋体" w:eastAsia="宋体" w:cs="宋体"/>
          <w:b/>
          <w:bCs/>
          <w:spacing w:val="7"/>
          <w:sz w:val="24"/>
          <w:szCs w:val="24"/>
        </w:rPr>
        <w:t>第一条</w:t>
      </w:r>
      <w:r>
        <w:rPr>
          <w:rFonts w:hint="eastAsia" w:ascii="宋体" w:hAnsi="宋体" w:eastAsia="宋体" w:cs="宋体"/>
          <w:spacing w:val="146"/>
          <w:sz w:val="24"/>
          <w:szCs w:val="24"/>
        </w:rPr>
        <w:t xml:space="preserve"> </w:t>
      </w:r>
      <w:r>
        <w:rPr>
          <w:rFonts w:hint="eastAsia" w:ascii="宋体" w:hAnsi="宋体" w:eastAsia="宋体" w:cs="宋体"/>
          <w:b/>
          <w:bCs/>
          <w:spacing w:val="7"/>
          <w:sz w:val="24"/>
          <w:szCs w:val="24"/>
        </w:rPr>
        <w:t>物业基本情况</w:t>
      </w:r>
    </w:p>
    <w:p w14:paraId="6184293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left="14" w:right="155" w:firstLine="550"/>
        <w:textAlignment w:val="baseline"/>
        <w:rPr>
          <w:rFonts w:hint="eastAsia" w:ascii="宋体" w:hAnsi="宋体" w:eastAsia="宋体" w:cs="宋体"/>
          <w:sz w:val="24"/>
          <w:szCs w:val="24"/>
        </w:rPr>
      </w:pPr>
      <w:r>
        <w:rPr>
          <w:rFonts w:hint="eastAsia" w:ascii="宋体" w:hAnsi="宋体" w:eastAsia="宋体" w:cs="宋体"/>
          <w:spacing w:val="14"/>
          <w:sz w:val="24"/>
          <w:szCs w:val="24"/>
          <w:lang w:val="en-US" w:eastAsia="zh-CN"/>
        </w:rPr>
        <w:t>南阳市人民检察院位于南阳市信臣路东段，物业服务范围包括检察院整个机关大院（含办案区）共约130亩地（绿化面积约2.6万平方米）区域的安保、绿地管护、楼内保洁、电梯维护及水设备清洗消毒等物业服务</w:t>
      </w:r>
      <w:r>
        <w:rPr>
          <w:rFonts w:hint="eastAsia" w:ascii="宋体" w:hAnsi="宋体" w:eastAsia="宋体" w:cs="宋体"/>
          <w:spacing w:val="14"/>
          <w:sz w:val="24"/>
          <w:szCs w:val="24"/>
        </w:rPr>
        <w:t>。</w:t>
      </w:r>
    </w:p>
    <w:p w14:paraId="243128DB">
      <w:pPr>
        <w:keepNext w:val="0"/>
        <w:keepLines w:val="0"/>
        <w:pageBreakBefore w:val="0"/>
        <w:widowControl/>
        <w:kinsoku w:val="0"/>
        <w:wordWrap/>
        <w:overflowPunct/>
        <w:topLinePunct w:val="0"/>
        <w:autoSpaceDE w:val="0"/>
        <w:autoSpaceDN w:val="0"/>
        <w:bidi w:val="0"/>
        <w:adjustRightInd w:val="0"/>
        <w:snapToGrid w:val="0"/>
        <w:spacing w:line="420" w:lineRule="exact"/>
        <w:ind w:left="569"/>
        <w:textAlignment w:val="baseline"/>
        <w:rPr>
          <w:rFonts w:hint="eastAsia" w:ascii="宋体" w:hAnsi="宋体" w:eastAsia="宋体" w:cs="宋体"/>
          <w:sz w:val="24"/>
          <w:szCs w:val="24"/>
        </w:rPr>
      </w:pPr>
      <w:r>
        <w:rPr>
          <w:rFonts w:hint="eastAsia" w:ascii="宋体" w:hAnsi="宋体" w:eastAsia="宋体" w:cs="宋体"/>
          <w:b/>
          <w:bCs/>
          <w:spacing w:val="21"/>
          <w:sz w:val="24"/>
          <w:szCs w:val="24"/>
        </w:rPr>
        <w:t>第二条服务范围、标准</w:t>
      </w:r>
    </w:p>
    <w:p w14:paraId="456F92D4">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一、服务范围及要求</w:t>
      </w:r>
    </w:p>
    <w:p w14:paraId="7ECC462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eastAsia="zh-CN"/>
        </w:rPr>
        <w:t>南阳市人民检察院位于南阳市信臣路东段，物业服务范围包括检察院整个机关大院（含办案区）共约1</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0亩地（绿化面积约2.6万平方米）区域的安保、绿地管护、楼内保洁、电梯维护及水设备清洗消毒等物业服务，服务期限3年，具体范围界定和要求如下：</w:t>
      </w:r>
    </w:p>
    <w:p w14:paraId="6743BE6A">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二、物业服务岗位要求</w:t>
      </w:r>
    </w:p>
    <w:p w14:paraId="174788D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（一）物业人数要求</w:t>
      </w:r>
    </w:p>
    <w:p w14:paraId="06DDB23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物业服务总人员不少于</w:t>
      </w:r>
      <w:r>
        <w:rPr>
          <w:rFonts w:hint="eastAsia" w:ascii="宋体" w:hAnsi="宋体" w:eastAsia="宋体" w:cs="宋体"/>
          <w:sz w:val="24"/>
          <w:szCs w:val="24"/>
          <w:lang w:val="en-US" w:eastAsia="zh-CN"/>
        </w:rPr>
        <w:t>39</w:t>
      </w:r>
      <w:r>
        <w:rPr>
          <w:rFonts w:hint="eastAsia" w:ascii="宋体" w:hAnsi="宋体" w:eastAsia="宋体" w:cs="宋体"/>
          <w:sz w:val="24"/>
          <w:szCs w:val="24"/>
          <w:lang w:eastAsia="zh-CN"/>
        </w:rPr>
        <w:t>人（含管理人员），具体物业服务人员以满足服务要求为准。</w:t>
      </w:r>
    </w:p>
    <w:p w14:paraId="498AE25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（二）物业岗位、资质（格）及职责要求</w:t>
      </w:r>
    </w:p>
    <w:p w14:paraId="768FF7A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项目经理1人，应具有相应证书，负责本项目所有事宜。</w:t>
      </w:r>
    </w:p>
    <w:p w14:paraId="3A15C078">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保安岗位不少于1</w:t>
      </w:r>
      <w:r>
        <w:rPr>
          <w:rFonts w:hint="eastAsia" w:ascii="宋体" w:hAnsi="宋体" w:eastAsia="宋体" w:cs="宋体"/>
          <w:sz w:val="24"/>
          <w:szCs w:val="24"/>
          <w:lang w:val="en" w:eastAsia="zh-CN"/>
        </w:rPr>
        <w:t>3</w:t>
      </w:r>
      <w:r>
        <w:rPr>
          <w:rFonts w:hint="eastAsia" w:ascii="宋体" w:hAnsi="宋体" w:eastAsia="宋体" w:cs="宋体"/>
          <w:sz w:val="24"/>
          <w:szCs w:val="24"/>
          <w:lang w:eastAsia="zh-CN"/>
        </w:rPr>
        <w:t>人（含保安队长）（机关大门口</w:t>
      </w:r>
      <w:r>
        <w:rPr>
          <w:rFonts w:hint="eastAsia" w:ascii="宋体" w:hAnsi="宋体" w:eastAsia="宋体" w:cs="宋体"/>
          <w:sz w:val="24"/>
          <w:szCs w:val="24"/>
          <w:lang w:val="en" w:eastAsia="zh-CN"/>
        </w:rPr>
        <w:t>4</w:t>
      </w:r>
      <w:r>
        <w:rPr>
          <w:rFonts w:hint="eastAsia" w:ascii="宋体" w:hAnsi="宋体" w:eastAsia="宋体" w:cs="宋体"/>
          <w:sz w:val="24"/>
          <w:szCs w:val="24"/>
          <w:lang w:eastAsia="zh-CN"/>
        </w:rPr>
        <w:t>人、办公楼大厅</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人、消防监控室值班</w:t>
      </w:r>
      <w:r>
        <w:rPr>
          <w:rFonts w:hint="eastAsia" w:ascii="宋体" w:hAnsi="宋体" w:eastAsia="宋体" w:cs="宋体"/>
          <w:sz w:val="24"/>
          <w:szCs w:val="24"/>
          <w:lang w:val="en" w:eastAsia="zh-CN"/>
        </w:rPr>
        <w:t>2人，办案工作区</w:t>
      </w:r>
      <w:r>
        <w:rPr>
          <w:rFonts w:hint="eastAsia" w:ascii="宋体" w:hAnsi="宋体" w:eastAsia="宋体" w:cs="宋体"/>
          <w:sz w:val="24"/>
          <w:szCs w:val="24"/>
          <w:lang w:val="en-US" w:eastAsia="zh-CN"/>
        </w:rPr>
        <w:t>2人，12309接访站1人，以上均</w:t>
      </w:r>
      <w:r>
        <w:rPr>
          <w:rFonts w:hint="eastAsia" w:ascii="宋体" w:hAnsi="宋体" w:eastAsia="宋体" w:cs="宋体"/>
          <w:sz w:val="24"/>
          <w:szCs w:val="24"/>
          <w:lang w:eastAsia="zh-CN"/>
        </w:rPr>
        <w:t>含夜间值班及巡逻）。</w:t>
      </w:r>
    </w:p>
    <w:p w14:paraId="7D652C9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）工作职责：负责门卫等机关大院（含办案工作区）的安全工作、负责进出车辆管理、负责消防监控室值班工作。</w:t>
      </w:r>
    </w:p>
    <w:p w14:paraId="24B191A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）任职人员要求：年龄18-48岁，身高1.68米以上。了解安全保障常识，服从命令听指挥，无刑事处罚、劳动教养、收容教育、强制戒毒或者被开除公职、开除军籍的记录，退伍军人优先。</w:t>
      </w:r>
    </w:p>
    <w:p w14:paraId="2B8BBAA3">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保洁服务岗位不少于1</w:t>
      </w:r>
      <w:r>
        <w:rPr>
          <w:rFonts w:hint="eastAsia" w:ascii="宋体" w:hAnsi="宋体" w:eastAsia="宋体" w:cs="宋体"/>
          <w:sz w:val="24"/>
          <w:szCs w:val="24"/>
          <w:lang w:val="en-US" w:eastAsia="zh-CN"/>
        </w:rPr>
        <w:t>0</w:t>
      </w:r>
      <w:r>
        <w:rPr>
          <w:rFonts w:hint="eastAsia" w:ascii="宋体" w:hAnsi="宋体" w:eastAsia="宋体" w:cs="宋体"/>
          <w:sz w:val="24"/>
          <w:szCs w:val="24"/>
          <w:lang w:eastAsia="zh-CN"/>
        </w:rPr>
        <w:t>人。</w:t>
      </w:r>
    </w:p>
    <w:p w14:paraId="4745CC6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岗位职责：负责机关大院（含办案区）楼内公共区域和会议室、拓展中心、接待大厅等室内及体育活动区域场地卫生清洁工作，保证按质按量的完成所分配的任务。任职人员年龄要求50岁以下。</w:t>
      </w:r>
    </w:p>
    <w:p w14:paraId="3D8665C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绿地管护岗位人员不少于</w:t>
      </w:r>
      <w:r>
        <w:rPr>
          <w:rFonts w:hint="eastAsia" w:ascii="宋体" w:hAnsi="宋体" w:eastAsia="宋体" w:cs="宋体"/>
          <w:sz w:val="24"/>
          <w:szCs w:val="24"/>
          <w:lang w:val="en" w:eastAsia="zh-CN"/>
        </w:rPr>
        <w:t>7</w:t>
      </w:r>
      <w:r>
        <w:rPr>
          <w:rFonts w:hint="eastAsia" w:ascii="宋体" w:hAnsi="宋体" w:eastAsia="宋体" w:cs="宋体"/>
          <w:sz w:val="24"/>
          <w:szCs w:val="24"/>
          <w:lang w:eastAsia="zh-CN"/>
        </w:rPr>
        <w:t>人。</w:t>
      </w:r>
    </w:p>
    <w:p w14:paraId="064DADF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岗位职责范围：负责机关大院（含办案区）的树木、草坪、花卉的养护工作，定期施肥、浇水、修剪、打药、防治病虫害；负责机关大院（含办案区）内、办公楼外的卫生保洁工作，两区域楼内生活垃圾集中整理后外运至门外垃圾中转站。</w:t>
      </w:r>
    </w:p>
    <w:p w14:paraId="5537293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）任职人员要求：年龄20-55岁，3年以上绿地管理工作经验、身体健康，工作责任心强，能吃苦耐劳，有良好的服务意识。</w:t>
      </w:r>
    </w:p>
    <w:p w14:paraId="1133B8D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水电岗位不少于</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人（含夜间值班人</w:t>
      </w:r>
      <w:r>
        <w:rPr>
          <w:rFonts w:hint="eastAsia" w:ascii="宋体" w:hAnsi="宋体" w:eastAsia="宋体" w:cs="宋体"/>
          <w:sz w:val="24"/>
          <w:szCs w:val="24"/>
          <w:lang w:val="en-US" w:eastAsia="zh-CN"/>
        </w:rPr>
        <w:t>1人</w:t>
      </w:r>
      <w:r>
        <w:rPr>
          <w:rFonts w:hint="eastAsia" w:ascii="宋体" w:hAnsi="宋体" w:eastAsia="宋体" w:cs="宋体"/>
          <w:sz w:val="24"/>
          <w:szCs w:val="24"/>
          <w:lang w:eastAsia="zh-CN"/>
        </w:rPr>
        <w:t>）。</w:t>
      </w:r>
    </w:p>
    <w:p w14:paraId="2A8B644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）岗位职责：负责机关大院（含办案工作区）的水、电设备的日常巡视、检查和维修工作，做好计划性保养工作；负责二次供水设备维护；配合完成各种临时性工程改造工作。</w:t>
      </w:r>
    </w:p>
    <w:p w14:paraId="17FABB4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）任职人员要求：年龄 18—45岁；2年以上相关工作经验；工作责任心强，有良好的服务意识。</w:t>
      </w:r>
    </w:p>
    <w:p w14:paraId="1EADF7B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会议及办案区住宿房间服务岗位不少于4人。</w:t>
      </w:r>
    </w:p>
    <w:p w14:paraId="1770AE9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岗位职责：负责会议室的保洁，负责会议时的茶水、果点、会议用品、桌椅、照明等工作；负责办案区住宿房间布草保洁等工作，办案工作区住人时，每天需对住宿房间的做好布草保洁工作，不住人时，每月需对住宿房间至少做一遍保洁工作；负责传达室报刊信件的分发工作，保证按质按量的完成所分配的任务。</w:t>
      </w:r>
    </w:p>
    <w:p w14:paraId="1339759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）任职人员要求：女，任职人员年龄要求50岁以下，其中不少于</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人员年龄在20--30岁，身高1.62米以上，相貌端庄大方，能吃苦耐劳，干活利索，有酒店服务、会议服务工作经验。</w:t>
      </w:r>
    </w:p>
    <w:p w14:paraId="2609FB9C">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三、物业服务管理范围</w:t>
      </w:r>
    </w:p>
    <w:p w14:paraId="1141734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机关大院（含办案工作区）安保服务；</w:t>
      </w:r>
    </w:p>
    <w:p w14:paraId="26F9831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负责机关大院（含办案工作区）楼内公共区域和会议室、拓展中心、接待大厅等室内及体育活动区域场地卫生清洁工作；</w:t>
      </w:r>
    </w:p>
    <w:p w14:paraId="29B475F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机关大院（含办案工作区）绿地管护服务及院落清扫保洁；</w:t>
      </w:r>
    </w:p>
    <w:p w14:paraId="6E9EC93B">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水电维护；</w:t>
      </w:r>
    </w:p>
    <w:p w14:paraId="6604CBEA">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电梯维护。</w:t>
      </w:r>
    </w:p>
    <w:p w14:paraId="39D7C1B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四、物业服务管理标准   </w:t>
      </w:r>
    </w:p>
    <w:p w14:paraId="65FDA02A">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（一）安保工作及公共秩序维护管理要求</w:t>
      </w:r>
    </w:p>
    <w:p w14:paraId="588FFD4B">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大门口、办公楼大厅卫及消防监控值班室实行24小时有人值守，安装值班电话，禁止脱岗。在机关上班时间对本单位人员、车辆，文明礼貌服务。</w:t>
      </w:r>
    </w:p>
    <w:p w14:paraId="7FE1120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疏导内部车辆（由甲方提供内部车辆车牌号，门卫以此区别外来车辆）停放在院内规划的车位上，不得在院内乱停乱放，劝阻外来车辆进入院内。</w:t>
      </w:r>
    </w:p>
    <w:p w14:paraId="45CE948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行政班时间对外来人员严格询问、登记、制止无关人员进入，非行政班时间原则上非本院人员免进。</w:t>
      </w:r>
    </w:p>
    <w:p w14:paraId="7FF5607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按甲方规定的时间及时地开关大门，保证门口秩序，人员及车辆出入顺利。</w:t>
      </w:r>
    </w:p>
    <w:p w14:paraId="3C8E350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严禁小商、小贩等闲杂人员进入办公区。</w:t>
      </w:r>
    </w:p>
    <w:p w14:paraId="63BFD12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凡大件物品出大门时需有后勤签字或办公人员陪同证明，且门卫作好记录放行。</w:t>
      </w:r>
    </w:p>
    <w:p w14:paraId="127F73D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如外来人员来访，必须能准确说明被访人所在处室及姓名者或经电话预约后，方可登记后入院；如来访人员要求到找单位领导，门卫应通过电话询问被访人，得到同意并进行登记后方可前往。</w:t>
      </w:r>
    </w:p>
    <w:p w14:paraId="1B34FEF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门卫人员如发现突发事件时如：火情、盗窃及其它危害人身财产安全的现象，迅速上报有关部门和双方主管领导，并采取力所能及的应急措施。</w:t>
      </w:r>
    </w:p>
    <w:p w14:paraId="1E6E144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配合甲方及辖区部门做好综合治理工作，把治安事件控制到最低。</w:t>
      </w:r>
    </w:p>
    <w:p w14:paraId="41F607E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门岗室内外保持整洁卫生，无关人员不准在门卫室长期逗留或打牌。</w:t>
      </w:r>
    </w:p>
    <w:p w14:paraId="73847D3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在举行大型集体活动时，疏导外来车辆的有序停放工作。</w:t>
      </w:r>
    </w:p>
    <w:p w14:paraId="5EC948D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12、</w:t>
      </w:r>
      <w:r>
        <w:rPr>
          <w:rFonts w:hint="eastAsia" w:ascii="宋体" w:hAnsi="宋体" w:eastAsia="宋体" w:cs="宋体"/>
          <w:sz w:val="24"/>
          <w:szCs w:val="24"/>
          <w:lang w:eastAsia="zh-CN"/>
        </w:rPr>
        <w:t>每周三上午在机关大院进行培训或训练。</w:t>
      </w:r>
    </w:p>
    <w:p w14:paraId="1925154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13、门卫、办公楼大厅、</w:t>
      </w:r>
      <w:r>
        <w:rPr>
          <w:rFonts w:hint="eastAsia" w:ascii="宋体" w:hAnsi="宋体" w:eastAsia="宋体" w:cs="宋体"/>
          <w:sz w:val="24"/>
          <w:szCs w:val="24"/>
          <w:lang w:eastAsia="zh-CN"/>
        </w:rPr>
        <w:t>消防监控值班室、办案工作区门卫实行24小时有人值守，安装值班电话，禁止脱岗。晚间值班人员按要求和分工，2小时内对全院夜间巡逻一次，管理物业服务部门应在院内适当位置设置打卡设备，记录巡逻轨迹，并在值班室巡逻值班薄记录巡逻情况。每年进行两次消防知识培训和消防演练，使大家掌握消防基本常识，熟练运用常用的消防器材。</w:t>
      </w:r>
    </w:p>
    <w:p w14:paraId="70ACE20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（二）办公大楼及办案区公共区域、会议室、接待大厅、信访室及拓展中心室内保洁服务范围、工作流程及质量标准</w:t>
      </w:r>
    </w:p>
    <w:p w14:paraId="48E405C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大厅的保洁：</w:t>
      </w:r>
    </w:p>
    <w:p w14:paraId="24E7D80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）范围</w:t>
      </w:r>
    </w:p>
    <w:p w14:paraId="234CC14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包括地面、宣传牌、信报箱、垃圾筒、电梯间、消防设施。</w:t>
      </w:r>
    </w:p>
    <w:p w14:paraId="2474A0C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）工作流程</w:t>
      </w:r>
    </w:p>
    <w:p w14:paraId="4FA359E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每天上午、下午院上班前分两次重点清理大厅、重点清理地面的垃圾杂物，院上班后，及时巡视保洁数次。</w:t>
      </w:r>
    </w:p>
    <w:p w14:paraId="59E8A61A">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用扫把清扫大厅地面垃圾，用长柄刷沾洗洁精清除掉污渍和香口胶。</w:t>
      </w:r>
    </w:p>
    <w:p w14:paraId="699C2AC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清倒垃圾筒，洗后净后放回原处。</w:t>
      </w:r>
    </w:p>
    <w:p w14:paraId="4036274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用尘拖或拖把拖掉地面尘土和污迹。</w:t>
      </w:r>
    </w:p>
    <w:p w14:paraId="5F140E9B">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用干毛巾和不锈钢油轻抹大厅内各种不锈钢制品，包括门柱、镶字、宣传栏。</w:t>
      </w:r>
    </w:p>
    <w:p w14:paraId="738A619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用湿毛巾拧干后，擦抹大厅门窗框、防火门、消防栓柜、指示牌、信报箱。</w:t>
      </w:r>
    </w:p>
    <w:p w14:paraId="5AACB3B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先用湿拖把拖两遍台阶，再将干净的湿拖把用力拧干后再拖一遍。</w:t>
      </w:r>
    </w:p>
    <w:p w14:paraId="4F87ADD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用干净毛巾擦拭玻璃门，并每周清刮一次。</w:t>
      </w:r>
    </w:p>
    <w:p w14:paraId="29F3DB2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出入口的台阶每周用洗洁精冲刷一次。</w:t>
      </w:r>
    </w:p>
    <w:p w14:paraId="351C7C6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）标准．</w:t>
      </w:r>
    </w:p>
    <w:p w14:paraId="7AD0C978">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地面无烟头、纸屑、果皮等杂物，无污渍。</w:t>
      </w:r>
    </w:p>
    <w:p w14:paraId="0597609B">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公共设施表面无明显灰尘。</w:t>
      </w:r>
    </w:p>
    <w:p w14:paraId="6ABA94A8">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不锈钢表面光亮无污迹</w:t>
      </w:r>
    </w:p>
    <w:p w14:paraId="3B034DF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玻璃门无水迹、手印、污迹。</w:t>
      </w:r>
    </w:p>
    <w:p w14:paraId="6209C71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公用卫生间的保洁</w:t>
      </w:r>
    </w:p>
    <w:p w14:paraId="236D35D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）范围</w:t>
      </w:r>
    </w:p>
    <w:p w14:paraId="19183848">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服务区域内所有公用卫生间。</w:t>
      </w:r>
    </w:p>
    <w:p w14:paraId="43F3F5B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）工作流程</w:t>
      </w:r>
    </w:p>
    <w:p w14:paraId="5E87355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每天上午、下午院上班前分两次重点清理公用卫生间，院上班后巡视保洁。</w:t>
      </w:r>
    </w:p>
    <w:p w14:paraId="0D3F5ED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打开门窗通风，用水冲洗大小便器，用夹子夹出小便器内的烟头等杂物。</w:t>
      </w:r>
    </w:p>
    <w:p w14:paraId="26961E7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从上到下屋顶、墙面清洁除尘、瓷砖面擦抹，清扫地面垃圾，清倒垃圾篓，换新垃圾袋后放回原位。</w:t>
      </w:r>
    </w:p>
    <w:p w14:paraId="2D4F571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将洁厕水倒入水勺内，用厕所刷沾洁厕水刷洗大、小便器，然后用清水冲净。</w:t>
      </w:r>
    </w:p>
    <w:p w14:paraId="37518D4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用湿拖把拖干净地面，然后用干拖把拖干。</w:t>
      </w:r>
    </w:p>
    <w:p w14:paraId="7DC4379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点燃卫生香和空气清新剂，小便斗内放入卫生球（樟脑丸）。</w:t>
      </w:r>
    </w:p>
    <w:p w14:paraId="2658459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及时巡视保洁数次，冲刷大小便池，清理地面垃圾、积水等。</w:t>
      </w:r>
    </w:p>
    <w:p w14:paraId="02AA7A9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）标准</w:t>
      </w:r>
    </w:p>
    <w:p w14:paraId="4583D4E8">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天花板、墙角、灯具目视无灰尘、蜘蛛网。</w:t>
      </w:r>
    </w:p>
    <w:p w14:paraId="0299B1D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面镜、洗脸盆、台面洁净无污渍。</w:t>
      </w:r>
    </w:p>
    <w:p w14:paraId="1E29619C">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目视墙壁干净，便器洁净无黄渍。</w:t>
      </w:r>
    </w:p>
    <w:p w14:paraId="0A3B9F1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室内无异味、臭味。</w:t>
      </w:r>
    </w:p>
    <w:p w14:paraId="17A9D14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地面无烟头、污渍、积水、纸屑、果皮。</w:t>
      </w:r>
    </w:p>
    <w:p w14:paraId="268C714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楼道的清洁：</w:t>
      </w:r>
    </w:p>
    <w:p w14:paraId="16A4AD0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）范围</w:t>
      </w:r>
    </w:p>
    <w:p w14:paraId="7DBC79B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楼道楼级、扶手、墙面、信报箱、消防栓、消防管道、楼道门窗、楼道灯开关及灯具的清洁。</w:t>
      </w:r>
    </w:p>
    <w:p w14:paraId="595A114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）工作流程</w:t>
      </w:r>
    </w:p>
    <w:p w14:paraId="44002E6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从顶层到底层自上而下清扫楼道梯级，将果皮、烟头、纸屑收集倒入垃圾箱；用胶桶装清水，洗净拖把，从顶层往下逐级拖抹梯级，拖抹时，清洗拖把数次。</w:t>
      </w:r>
    </w:p>
    <w:p w14:paraId="7D4FE36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自上而下擦抹楼梯扶手及栏杆，擦抹时，清洗抹布数次。</w:t>
      </w:r>
    </w:p>
    <w:p w14:paraId="022DF5B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用于抹布擦抹配电箱、电表箱上的灰尘和污迹。</w:t>
      </w:r>
    </w:p>
    <w:p w14:paraId="32B69BE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每天上午、下午院上班前保洁完毕。</w:t>
      </w:r>
    </w:p>
    <w:p w14:paraId="11FD8DD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上班后及时巡视楼道内外卫生，将广告纸、烟头、果皮、垃圾清扫干净。</w:t>
      </w:r>
    </w:p>
    <w:p w14:paraId="364D309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）标准</w:t>
      </w:r>
    </w:p>
    <w:p w14:paraId="300CAF28">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每天重点清扫、拖抹两次，并及时巡视保洁数次，保持干净。</w:t>
      </w:r>
    </w:p>
    <w:p w14:paraId="04AA4F6B">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目视楼道：无烟头、果皮、纸屑、广告纸、蜘蛛网、积尘、污迹等。</w:t>
      </w:r>
    </w:p>
    <w:p w14:paraId="007051E4">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瓷砖、喷涂和大理石墙面的保洁</w:t>
      </w:r>
    </w:p>
    <w:p w14:paraId="0672B023">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）范围</w:t>
      </w:r>
    </w:p>
    <w:p w14:paraId="42A87F4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服务区内所有贴瓷砖的内墙面、喷涂墙面和大理石墙面。</w:t>
      </w:r>
    </w:p>
    <w:p w14:paraId="302F153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）工作流程</w:t>
      </w:r>
    </w:p>
    <w:p w14:paraId="6F6C6EA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用铲刀、刀片轻轻刮掉墙面的污垢、脏渍。</w:t>
      </w:r>
    </w:p>
    <w:p w14:paraId="275B817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把毛巾浸入放有洗洁精的水盆，沿着墙壁从上往下来回擦抹。</w:t>
      </w:r>
    </w:p>
    <w:p w14:paraId="343C449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有污迹的地方，再用短柄刷刷洗。</w:t>
      </w:r>
    </w:p>
    <w:p w14:paraId="40542CBB">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换清水后，将毛巾浸透后，用力拧干，再清找一遍。</w:t>
      </w:r>
    </w:p>
    <w:p w14:paraId="613B5E3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用干拖把拖干地面。</w:t>
      </w:r>
    </w:p>
    <w:p w14:paraId="03D089C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墙面清抹每周一次，墙面清洗每月一次，视其情况增加次数。</w:t>
      </w:r>
    </w:p>
    <w:p w14:paraId="4404595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）标准</w:t>
      </w:r>
    </w:p>
    <w:p w14:paraId="6DE1092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目视墙面干净整洁无污迹。</w:t>
      </w:r>
    </w:p>
    <w:p w14:paraId="6EF89CEB">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乳胶漆墙面的保洁：</w:t>
      </w:r>
    </w:p>
    <w:p w14:paraId="08D7B33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）范围</w:t>
      </w:r>
    </w:p>
    <w:p w14:paraId="0E5EB04A">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服务区内楼梯、走道等处的乳胶漆墙面及天棚面。</w:t>
      </w:r>
    </w:p>
    <w:p w14:paraId="3119B36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）工作流程</w:t>
      </w:r>
    </w:p>
    <w:p w14:paraId="0BC2569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关闭局部要清洁处的门窗，在地面上淋些水。</w:t>
      </w:r>
    </w:p>
    <w:p w14:paraId="7B472E9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用鸡毛掸子或干净的扫把轻轻掸去墙面及天棚上灰尘。</w:t>
      </w:r>
    </w:p>
    <w:p w14:paraId="0797E3E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用干毛巾清擦墙面的污迹，擦不掉的污迹用细砂纸轻轻擦掉。</w:t>
      </w:r>
    </w:p>
    <w:p w14:paraId="2CC1EDFA">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用铲刀铲掉墙面上粘附的泥沙、痰迹。</w:t>
      </w:r>
    </w:p>
    <w:p w14:paraId="2F2A041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扫净地面灰尘，再用拖把拖干净地面。</w:t>
      </w:r>
    </w:p>
    <w:p w14:paraId="00EB9AEA">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上述工作每月做一次，视其情况增加次数。</w:t>
      </w:r>
    </w:p>
    <w:p w14:paraId="6713491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）标准</w:t>
      </w:r>
    </w:p>
    <w:p w14:paraId="06C3D8A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目视墙面洁净无污迹、无粘附物、无灰尘、无蜘蛛网等。</w:t>
      </w:r>
    </w:p>
    <w:p w14:paraId="09DEC5E3">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走廊的保洁：</w:t>
      </w:r>
    </w:p>
    <w:p w14:paraId="39A658D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）范围</w:t>
      </w:r>
    </w:p>
    <w:p w14:paraId="4BCA933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服务区内所有楼层公共通道地面。</w:t>
      </w:r>
    </w:p>
    <w:p w14:paraId="0E94CB4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）工作流程</w:t>
      </w:r>
    </w:p>
    <w:p w14:paraId="5EFFFA4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每天上午、下午院上班前分两次用扫把拖把对走道地面清扫拖抹干净；院上班后及时巡视保洁数次。</w:t>
      </w:r>
    </w:p>
    <w:p w14:paraId="22DD280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用长柄手刷沾去污粉对污迹较重的通道地面彻底清刷，再用拧干的湿毛巾，抹净墙根部分踢脚线。</w:t>
      </w:r>
    </w:p>
    <w:p w14:paraId="5AE89FA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）标准</w:t>
      </w:r>
    </w:p>
    <w:p w14:paraId="6C8CB65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地面目视干净无杂物、无污迹。</w:t>
      </w:r>
    </w:p>
    <w:p w14:paraId="00F7672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不锈钢的保洁保养：</w:t>
      </w:r>
    </w:p>
    <w:p w14:paraId="548DB753">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）范围</w:t>
      </w:r>
    </w:p>
    <w:p w14:paraId="2E4F32A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护栏、标牌、宣传栏、扶手。</w:t>
      </w:r>
    </w:p>
    <w:p w14:paraId="4EF0CCB3">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）工作流程</w:t>
      </w:r>
    </w:p>
    <w:p w14:paraId="02935914">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先用兑有中性清洁剂的溶液抹不锈钢表面。</w:t>
      </w:r>
    </w:p>
    <w:p w14:paraId="6E41B4A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然后用无绒毛巾抹净不锈钢表面上的水珠。</w:t>
      </w:r>
    </w:p>
    <w:p w14:paraId="38F360C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置少许不锈钢油于无绒毛巾上，对不锈钢表面进行拭抹。</w:t>
      </w:r>
    </w:p>
    <w:p w14:paraId="61750B7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表面面积大的可用手动喷雾枪将不锈钢油喷于不锈钢表面，然后用无绒干毛巾拭抹。</w:t>
      </w:r>
    </w:p>
    <w:p w14:paraId="14B73AB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）标准</w:t>
      </w:r>
    </w:p>
    <w:p w14:paraId="64D60A2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亚光面不锈钢表面无污迹、无灰尘。</w:t>
      </w:r>
    </w:p>
    <w:p w14:paraId="10AEDA8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镜面不锈钢表面光亮，三米内能清晰映出人物影象。</w:t>
      </w:r>
    </w:p>
    <w:p w14:paraId="18D3AAA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8、</w:t>
      </w:r>
      <w:r>
        <w:rPr>
          <w:rFonts w:hint="eastAsia" w:ascii="宋体" w:hAnsi="宋体" w:eastAsia="宋体" w:cs="宋体"/>
          <w:sz w:val="24"/>
          <w:szCs w:val="24"/>
          <w:lang w:eastAsia="zh-CN"/>
        </w:rPr>
        <w:t>垃圾桶（箱）、痰盂的保洁：</w:t>
      </w:r>
    </w:p>
    <w:p w14:paraId="37B3CE8C">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）工作流程：</w:t>
      </w:r>
    </w:p>
    <w:p w14:paraId="1FB1B9A8">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清理出的垃圾按指定位置堆放。</w:t>
      </w:r>
    </w:p>
    <w:p w14:paraId="0FA7E7B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清除垃圾桶（箱）、痰盂内的垃圾后，将桶（箱）、痰盂搬到有水源的地方，先用水冲洗一遍，然后对污迹处倒少许去污粉擦洗，再用水冲洗干净，搬到原处放好。</w:t>
      </w:r>
    </w:p>
    <w:p w14:paraId="6C7EEBD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）标准</w:t>
      </w:r>
    </w:p>
    <w:p w14:paraId="6B33AF5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目视无污迹，无广告纸，每天清运、清洗一次，垃圾桶和箱每周用去污粉清洁一次。</w:t>
      </w:r>
    </w:p>
    <w:p w14:paraId="155A2C1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垃圾桶周围不积污水，位置摆放合理，桶盖闭合，外观干净清洁。</w:t>
      </w:r>
    </w:p>
    <w:p w14:paraId="08EA79B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9、</w:t>
      </w:r>
      <w:r>
        <w:rPr>
          <w:rFonts w:hint="eastAsia" w:ascii="宋体" w:hAnsi="宋体" w:eastAsia="宋体" w:cs="宋体"/>
          <w:sz w:val="24"/>
          <w:szCs w:val="24"/>
          <w:lang w:eastAsia="zh-CN"/>
        </w:rPr>
        <w:t>客用电梯的保洁：</w:t>
      </w:r>
    </w:p>
    <w:p w14:paraId="41CA6B8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电梯门干净、无手印、无污迹、轨道干净无杂物。</w:t>
      </w:r>
    </w:p>
    <w:p w14:paraId="5C31B83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顶面、顶灯干净无灰尘。</w:t>
      </w:r>
    </w:p>
    <w:p w14:paraId="0ADB29A4">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轿箱四壁干净无灰尘、无污渍。</w:t>
      </w:r>
    </w:p>
    <w:p w14:paraId="0C9EC20B">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地板干净无杂物、尘土、污渍。</w:t>
      </w:r>
    </w:p>
    <w:p w14:paraId="6D28E8DA">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内外按键、控盘干净无灰尘、无污渍。</w:t>
      </w:r>
    </w:p>
    <w:p w14:paraId="3128A8B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会议室及拓展中心室内的保洁：</w:t>
      </w:r>
    </w:p>
    <w:p w14:paraId="164A4F5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会议室门面、门把手、表面无尘土、无污渍、手印。</w:t>
      </w:r>
    </w:p>
    <w:p w14:paraId="77813C0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桌椅摆放整齐，干净无尘土、无毛发。</w:t>
      </w:r>
    </w:p>
    <w:p w14:paraId="475B1C9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墙面、布面无尘土、无污渍、悬挂摆放的各种饰品干净，摆放整齐。</w:t>
      </w:r>
    </w:p>
    <w:p w14:paraId="73722284">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垃圾桶及时清倒、内外干净。</w:t>
      </w:r>
    </w:p>
    <w:p w14:paraId="7DC792D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地面先清扫，再用拖把清拖干净、无污渍、无杂物。</w:t>
      </w:r>
    </w:p>
    <w:p w14:paraId="040ADB9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检查照明、空调等设施，确保正常工作。</w:t>
      </w:r>
    </w:p>
    <w:p w14:paraId="1C1EA7AB">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做好开会时的茶水、果点供应和会议用品摆放。</w:t>
      </w:r>
    </w:p>
    <w:p w14:paraId="6563B2E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尽力做好服务工作，确保开会时各项工作有序进行。</w:t>
      </w:r>
    </w:p>
    <w:p w14:paraId="45EEA2A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地下室（含车库）的保洁：</w:t>
      </w:r>
    </w:p>
    <w:p w14:paraId="4044106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每周清扫一次，地面无垃圾、水渍。</w:t>
      </w:r>
    </w:p>
    <w:p w14:paraId="6AEAD2A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墙体无蜘蛛网、无浮尘。</w:t>
      </w:r>
    </w:p>
    <w:p w14:paraId="7BB1FCC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各种管道、反角镜等附属设施无锈蚀、无浮尘。</w:t>
      </w:r>
    </w:p>
    <w:p w14:paraId="676B6C6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（三）绿地管护内容要求及标准：</w:t>
      </w:r>
    </w:p>
    <w:p w14:paraId="54C9867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养护内容要求：</w:t>
      </w:r>
    </w:p>
    <w:p w14:paraId="12E941AB">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修剪：根据各类植物的生长特点、立地环境、景观要求，预先制订月历式修剪实施方案，方案中有详细注明修剪强度、修剪时间、修剪强度，院內紫薇、皂荚等古树名木要“一树一方案”，严格按照方案制定的操作规程适时进行，对院内乔木、大型灌木萌生的不定芽要及时清除，促使树木形态美观、营养集中。</w:t>
      </w:r>
    </w:p>
    <w:p w14:paraId="72693B9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）施肥：根据各类植物的生长特点及植物对肥料的需求进行作业，每年施肥次数≥2次，新种植物视生长情况，适时适量施肥，以保障各类植物的生长旺盛达到一定的景观效果。</w:t>
      </w:r>
    </w:p>
    <w:p w14:paraId="1496A558">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）除草：各类绿地、树穴、绿带要结合松土及时清理各类杂草，化学除草剂每年使用≥2次，要以人工灭草为主。</w:t>
      </w:r>
    </w:p>
    <w:p w14:paraId="331AA082">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）病虫害防治：根据各类植物的寄生对象及时做好预测预报，及时采取措施防治；以灭幼脲、高氯等生物性农药为主使用，剧毒及国家明令禁止农药坚决不能使用。</w:t>
      </w:r>
    </w:p>
    <w:p w14:paraId="276A78B4">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）抗旱、抗涝：旱季及汛期要及时进行灌溉和排涝，不能有因干旱致植物死亡现象发生，汛期绿地低洼积水不能超过2天，长期积水区要加埋排涝管道，防止植物受损。</w:t>
      </w:r>
    </w:p>
    <w:p w14:paraId="09F443C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管护期内，供应商需按照园林一级养护内容服务标准进行作业，养护工具及设备有供应商提供，确保检察院园林养护达到一级标准，具体如下：</w:t>
      </w:r>
    </w:p>
    <w:p w14:paraId="15358F5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）园林植物达到：</w:t>
      </w:r>
    </w:p>
    <w:p w14:paraId="2EDCF9C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生长势：健壮</w:t>
      </w:r>
    </w:p>
    <w:p w14:paraId="52587F4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叶子健壮：①叶色浓绿肥厚、在正常的条件下不黄叶，不焦叶、不卷叶、不落叶，叶上无虫尿、虫网灰尘；②被啃咬的叶片最严重的每株在5%以下(包括5%，以下同)。</w:t>
      </w:r>
    </w:p>
    <w:p w14:paraId="11284323">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枝、干健壮：</w:t>
      </w:r>
    </w:p>
    <w:p w14:paraId="04CCFA7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无明显枯枝、死权、枝条粗壮，过冬前新梢木质化；</w:t>
      </w:r>
    </w:p>
    <w:p w14:paraId="603492E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无蛀干害虫的活卵活虫和蛀干痕迹发生</w:t>
      </w:r>
    </w:p>
    <w:p w14:paraId="1CC7E1D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介壳虫最严重处主枝干上100平方厘米1头活虫以下(包括1头，以下同)，较细的枝条每尺长的一段上在5头活虫以下(包括5头，以下同);株数都在2%以下(包括2%，以下同)。</w:t>
      </w:r>
    </w:p>
    <w:p w14:paraId="2574FBE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树冠完整：分支点合适，主侧枝分布均称和数量适宜、内膛不乱、通风透光。</w:t>
      </w:r>
    </w:p>
    <w:p w14:paraId="0333A24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措施好：按一级技术措施要求认真进行养护。</w:t>
      </w:r>
    </w:p>
    <w:p w14:paraId="1961B76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草坪覆盖率应基本达到100%；草坪内杂草控制在10%以内；生长茂盛颜色正常，不枯黄；每年修剪暖地型6次以上，冷地型15次以上；草坪管理精细生长旺盛，无病虫害、无秃斑露土现象。</w:t>
      </w:r>
    </w:p>
    <w:p w14:paraId="09AAB2F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）行道树和绿地内无死树，树木修剪合理，树形美观，能及时很好地解决树木与电线、建筑物、交通等之间的矛盾。</w:t>
      </w:r>
    </w:p>
    <w:p w14:paraId="24DFC4D8">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）绿化生产垃圾(如：树枝、树叶、草沫等)重点地区路段能做到随产随清，其它地区和路段做到日产日清;绿地整洁，无砖石瓦块、筐和塑料袋等废弃物，并做到经常保洁。</w:t>
      </w:r>
    </w:p>
    <w:p w14:paraId="685B0A8A">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）木廊、亭台、栏杆、园路、井盖和牌饰等园林设施完整，做到及时维护和油饰。</w:t>
      </w:r>
    </w:p>
    <w:p w14:paraId="33D7120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无明显地人为损坏，绿地、草坪内无堆物堆料、搭棚或侵占等；行道树树干上无钉栓刻画的现象，树下距树干2米范围内无堆物堆料、搭棚设摊、圈栏等影响树木养护管理和生长的现象（2米以内如有），则应有保护措施。</w:t>
      </w:r>
    </w:p>
    <w:p w14:paraId="6C00F30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养护期内，对于办公区域内的濒死树木及病害严重的乔灌木（供应商接收前，与采购人共同协商确定），有义务对其进行救治防治（特殊防治费用另议），但不保证成活，除此类情况以外，乙方自进场后保证养护对象百分百的成活率，否则补种同规格同类树木。</w:t>
      </w:r>
    </w:p>
    <w:p w14:paraId="67A5B5C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管护中常用农药、化肥、工人护具、常用园林机械（如扫地机、修剪机、绿篱机、剪草机、药雾机）和油料及苗木移栽所用支杆、草绳等均由供应商自行提供。</w:t>
      </w:r>
    </w:p>
    <w:p w14:paraId="15C3001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供应商合同签订前向采购人出具《绿化养护管理计划/实施方案》，并每月向采购人定期汇报计划落实情况及工作措施。</w:t>
      </w:r>
    </w:p>
    <w:p w14:paraId="53F2BE7C">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供应商必须重视安全生产，确保上岗人员均经过培训，工人护具配备齐全，养护期间不出安全责任事故。养护人员由于养护操作造成的安全责任事故，由供应商承担一切责任及损失。</w:t>
      </w:r>
    </w:p>
    <w:p w14:paraId="006293EB">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（四）水电维护工作</w:t>
      </w:r>
    </w:p>
    <w:p w14:paraId="5AC95A8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水电设备维护</w:t>
      </w:r>
    </w:p>
    <w:p w14:paraId="1C833267">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）及时维护好电路、水路、灯具、水暖用具及日常办公桌椅。做好日常巡视、检测、保养工作，保障用电、用水和办公正常，发现故障及时上报甲方并维修，维修耗材采购方统一购买。</w:t>
      </w:r>
    </w:p>
    <w:p w14:paraId="452D3A0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）禁止违章作业，防止线路和人身安全事故的发生，及时维护好供电、供水设备保障正常供水供电。</w:t>
      </w:r>
    </w:p>
    <w:p w14:paraId="38D0DFB3">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）每天要检查办公楼灯具和路灯、电器设备的实际使用情况，发现问题及时解决。负责水路、电路等小设备的安装和维修工作。</w:t>
      </w:r>
    </w:p>
    <w:p w14:paraId="0258CAD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二次供水设施维护</w:t>
      </w:r>
    </w:p>
    <w:p w14:paraId="0F9EE10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二次供水设施维护部门应严格按国家建设部第156号令《城市供水水质管理规定》、《河南省城市供水二次供水管理规定》和《南阳市城市饮用水二次供水管理办法》的规定，在协议期内对二次供水设施进行清洗、消毒，全年4次清洗、全年8次定期消毒、全年4次水质检测。</w:t>
      </w:r>
    </w:p>
    <w:p w14:paraId="63CBDA38">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二次供水设施维护部门有义务严格按照清洗流程为用户提供服务。具体为：清理蓄水池内淤泥等杂物；用硬刷等清除池内四壁污染物；用清洗机对池内四壁进行冲刷并消毒；用清水对池内四壁进行循环冲洗，直至清水；全面消毒；在用户在场情况下，在用户监督下，采水样化验；送呈水质检测报告。</w:t>
      </w:r>
    </w:p>
    <w:p w14:paraId="621C4B9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二次供水设施维护部门严格按照清洗维护标准，配合用户维护二次供水设施水质。具体为：在现场清洗消毒后一周内为用户投放缓释消毒发生器（适用于水池、水箱、水塔），并向发生器内放置消毒药片。在维护期内，每季度向缓释消毒发生器内放置消毒药片。</w:t>
      </w:r>
    </w:p>
    <w:p w14:paraId="67E1A4C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完成领导交办的其他任务。</w:t>
      </w:r>
    </w:p>
    <w:p w14:paraId="256D37B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（五）电梯维保服务</w:t>
      </w:r>
    </w:p>
    <w:p w14:paraId="4A54175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电梯数量：8部</w:t>
      </w:r>
    </w:p>
    <w:p w14:paraId="2C07F39A">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eastAsia="zh-CN"/>
        </w:rPr>
        <w:t>服务内容：</w:t>
      </w:r>
    </w:p>
    <w:p w14:paraId="38D5149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根据《特种设备安全监察条例》及用户要求，提供每15天1次的例行保养，包括检查、清洁、调整及润滑设备的各类部件，按照河南省质量技术监督局颁布的《电梯保养周期表》执行。</w:t>
      </w:r>
    </w:p>
    <w:p w14:paraId="1E2C046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在规定的维保期限内因产品质量的原因，出现零部件的损坏，以书面形式通知业主及时购买或更换，如因用户使用不当造成的损坏，与用户协商解决。</w:t>
      </w:r>
    </w:p>
    <w:p w14:paraId="11F16793">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自行负责保养及维修所需的材料如工具、100元以下专用材料、（不包括润滑剂、照明灯具、维修配件，由用户提供）、仪器、仪表及交通设施等等。</w:t>
      </w:r>
    </w:p>
    <w:p w14:paraId="199C186D">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提供咨询服务，定期向用户通报设备运行情况，并免费提供法定工作时间内的及时热线服务。</w:t>
      </w:r>
    </w:p>
    <w:p w14:paraId="71D823B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负责实施当地政府监察部门年检前后的整改工作费用由用户方承担，并达到当地政府监察部门的各项年检标准。年检所发生的部件维修的处理，按第2条规定执行。</w:t>
      </w:r>
    </w:p>
    <w:p w14:paraId="4171F81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负责24小时紧急抢修服务，接修电话后半小时内直到现场进行抢修。</w:t>
      </w:r>
    </w:p>
    <w:p w14:paraId="1E2A016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lang w:eastAsia="zh-CN"/>
        </w:rPr>
      </w:pP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遵守用户的规章制度，服从用户的管理。如因违反用户的规章制度和服务不周所产生不良后果以及罚款，维护方自行承担。</w:t>
      </w:r>
    </w:p>
    <w:p w14:paraId="0878FB6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37" w:firstLine="599"/>
        <w:textAlignment w:val="baseline"/>
        <w:rPr>
          <w:rFonts w:hint="eastAsia" w:ascii="宋体" w:hAnsi="宋体" w:eastAsia="宋体" w:cs="宋体"/>
          <w:sz w:val="24"/>
          <w:szCs w:val="24"/>
        </w:rPr>
      </w:pPr>
      <w:r>
        <w:rPr>
          <w:rFonts w:hint="eastAsia" w:ascii="宋体" w:hAnsi="宋体" w:eastAsia="宋体" w:cs="宋体"/>
          <w:sz w:val="24"/>
          <w:szCs w:val="24"/>
          <w:lang w:eastAsia="zh-CN"/>
        </w:rPr>
        <w:t>在受检日前一个月内按相关规定主动向政府监察部门申报电梯年检，年检费用含在维保费用中。</w:t>
      </w:r>
    </w:p>
    <w:p w14:paraId="78406F1C">
      <w:pPr>
        <w:pStyle w:val="2"/>
        <w:keepNext w:val="0"/>
        <w:keepLines w:val="0"/>
        <w:pageBreakBefore w:val="0"/>
        <w:widowControl/>
        <w:kinsoku w:val="0"/>
        <w:wordWrap/>
        <w:overflowPunct/>
        <w:topLinePunct w:val="0"/>
        <w:autoSpaceDE w:val="0"/>
        <w:autoSpaceDN w:val="0"/>
        <w:bidi w:val="0"/>
        <w:adjustRightInd w:val="0"/>
        <w:snapToGrid w:val="0"/>
        <w:spacing w:line="420" w:lineRule="exact"/>
        <w:ind w:left="774"/>
        <w:textAlignment w:val="baseline"/>
        <w:outlineLvl w:val="2"/>
        <w:rPr>
          <w:rFonts w:hint="eastAsia" w:ascii="宋体" w:hAnsi="宋体" w:eastAsia="宋体" w:cs="宋体"/>
          <w:sz w:val="24"/>
          <w:szCs w:val="24"/>
        </w:rPr>
      </w:pPr>
      <w:r>
        <w:rPr>
          <w:rFonts w:hint="eastAsia" w:ascii="宋体" w:hAnsi="宋体" w:eastAsia="宋体" w:cs="宋体"/>
          <w:b/>
          <w:bCs/>
          <w:spacing w:val="16"/>
          <w:sz w:val="24"/>
          <w:szCs w:val="24"/>
        </w:rPr>
        <w:t>(六)会议及办案区住宿房间服务</w:t>
      </w:r>
    </w:p>
    <w:p w14:paraId="63C2A5A4">
      <w:pPr>
        <w:pStyle w:val="2"/>
        <w:keepNext w:val="0"/>
        <w:keepLines w:val="0"/>
        <w:pageBreakBefore w:val="0"/>
        <w:widowControl/>
        <w:kinsoku w:val="0"/>
        <w:wordWrap/>
        <w:overflowPunct/>
        <w:topLinePunct w:val="0"/>
        <w:autoSpaceDE w:val="0"/>
        <w:autoSpaceDN w:val="0"/>
        <w:bidi w:val="0"/>
        <w:adjustRightInd w:val="0"/>
        <w:snapToGrid w:val="0"/>
        <w:spacing w:line="420" w:lineRule="exact"/>
        <w:ind w:left="670"/>
        <w:textAlignment w:val="baseline"/>
        <w:rPr>
          <w:rFonts w:hint="eastAsia" w:ascii="宋体" w:hAnsi="宋体" w:eastAsia="宋体" w:cs="宋体"/>
          <w:sz w:val="24"/>
          <w:szCs w:val="24"/>
        </w:rPr>
      </w:pPr>
      <w:r>
        <w:rPr>
          <w:rFonts w:hint="eastAsia" w:ascii="宋体" w:hAnsi="宋体" w:eastAsia="宋体" w:cs="宋体"/>
          <w:spacing w:val="16"/>
          <w:sz w:val="24"/>
          <w:szCs w:val="24"/>
        </w:rPr>
        <w:t>1、负责所有会议室的保洁；</w:t>
      </w:r>
    </w:p>
    <w:p w14:paraId="26906EB5">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16" w:firstLine="660"/>
        <w:textAlignment w:val="baseline"/>
        <w:rPr>
          <w:rFonts w:hint="eastAsia" w:ascii="宋体" w:hAnsi="宋体" w:eastAsia="宋体" w:cs="宋体"/>
          <w:sz w:val="24"/>
          <w:szCs w:val="24"/>
        </w:rPr>
      </w:pPr>
      <w:r>
        <w:rPr>
          <w:rFonts w:hint="eastAsia" w:ascii="宋体" w:hAnsi="宋体" w:eastAsia="宋体" w:cs="宋体"/>
          <w:spacing w:val="22"/>
          <w:sz w:val="24"/>
          <w:szCs w:val="24"/>
        </w:rPr>
        <w:t>2、负责会议时的茶水、果点、会议用品、桌椅摆放、照明</w:t>
      </w:r>
      <w:r>
        <w:rPr>
          <w:rFonts w:hint="eastAsia" w:ascii="宋体" w:hAnsi="宋体" w:eastAsia="宋体" w:cs="宋体"/>
          <w:spacing w:val="14"/>
          <w:sz w:val="24"/>
          <w:szCs w:val="24"/>
        </w:rPr>
        <w:t>等保障工作；</w:t>
      </w:r>
    </w:p>
    <w:p w14:paraId="1C85DF58">
      <w:pPr>
        <w:pStyle w:val="2"/>
        <w:keepNext w:val="0"/>
        <w:keepLines w:val="0"/>
        <w:pageBreakBefore w:val="0"/>
        <w:widowControl/>
        <w:kinsoku w:val="0"/>
        <w:wordWrap/>
        <w:overflowPunct/>
        <w:topLinePunct w:val="0"/>
        <w:autoSpaceDE w:val="0"/>
        <w:autoSpaceDN w:val="0"/>
        <w:bidi w:val="0"/>
        <w:adjustRightInd w:val="0"/>
        <w:snapToGrid w:val="0"/>
        <w:spacing w:line="420" w:lineRule="exact"/>
        <w:ind w:firstLine="599"/>
        <w:textAlignment w:val="baseline"/>
        <w:rPr>
          <w:rFonts w:hint="eastAsia" w:ascii="宋体" w:hAnsi="宋体" w:eastAsia="宋体" w:cs="宋体"/>
          <w:sz w:val="24"/>
          <w:szCs w:val="24"/>
        </w:rPr>
      </w:pPr>
      <w:r>
        <w:rPr>
          <w:rFonts w:hint="eastAsia" w:ascii="宋体" w:hAnsi="宋体" w:eastAsia="宋体" w:cs="宋体"/>
          <w:spacing w:val="23"/>
          <w:sz w:val="24"/>
          <w:szCs w:val="24"/>
        </w:rPr>
        <w:t>3、负责办案区住宿房间布草保洁工作，工作需要住人</w:t>
      </w:r>
      <w:r>
        <w:rPr>
          <w:rFonts w:hint="eastAsia" w:ascii="宋体" w:hAnsi="宋体" w:eastAsia="宋体" w:cs="宋体"/>
          <w:spacing w:val="22"/>
          <w:sz w:val="24"/>
          <w:szCs w:val="24"/>
        </w:rPr>
        <w:t>时，</w:t>
      </w:r>
      <w:r>
        <w:rPr>
          <w:rFonts w:hint="eastAsia" w:ascii="宋体" w:hAnsi="宋体" w:eastAsia="宋体" w:cs="宋体"/>
          <w:spacing w:val="28"/>
          <w:sz w:val="24"/>
          <w:szCs w:val="24"/>
        </w:rPr>
        <w:t>每天需对住宿房间的做好布草保洁工作，不住</w:t>
      </w:r>
      <w:r>
        <w:rPr>
          <w:rFonts w:hint="eastAsia" w:ascii="宋体" w:hAnsi="宋体" w:eastAsia="宋体" w:cs="宋体"/>
          <w:spacing w:val="27"/>
          <w:sz w:val="24"/>
          <w:szCs w:val="24"/>
        </w:rPr>
        <w:t>人时，每月需对</w:t>
      </w:r>
      <w:r>
        <w:rPr>
          <w:rFonts w:hint="eastAsia" w:ascii="宋体" w:hAnsi="宋体" w:eastAsia="宋体" w:cs="宋体"/>
          <w:spacing w:val="23"/>
          <w:sz w:val="24"/>
          <w:szCs w:val="24"/>
        </w:rPr>
        <w:t>住宿房间至少做一遍保洁工作；</w:t>
      </w:r>
    </w:p>
    <w:p w14:paraId="7EF0951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85" w:firstLine="599"/>
        <w:textAlignment w:val="baseline"/>
        <w:rPr>
          <w:rFonts w:hint="eastAsia" w:ascii="宋体" w:hAnsi="宋体" w:eastAsia="宋体" w:cs="宋体"/>
          <w:sz w:val="24"/>
          <w:szCs w:val="24"/>
        </w:rPr>
      </w:pPr>
      <w:r>
        <w:rPr>
          <w:rFonts w:hint="eastAsia" w:ascii="宋体" w:hAnsi="宋体" w:eastAsia="宋体" w:cs="宋体"/>
          <w:spacing w:val="22"/>
          <w:sz w:val="24"/>
          <w:szCs w:val="24"/>
        </w:rPr>
        <w:t>4、负责传达室报刊信件的分发工作，保证按质按量的完成</w:t>
      </w:r>
      <w:r>
        <w:rPr>
          <w:rFonts w:hint="eastAsia" w:ascii="宋体" w:hAnsi="宋体" w:eastAsia="宋体" w:cs="宋体"/>
          <w:spacing w:val="17"/>
          <w:sz w:val="24"/>
          <w:szCs w:val="24"/>
        </w:rPr>
        <w:t>所分配的任务；</w:t>
      </w:r>
    </w:p>
    <w:p w14:paraId="520F46B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left="599"/>
        <w:textAlignment w:val="baseline"/>
        <w:rPr>
          <w:rFonts w:hint="eastAsia" w:ascii="宋体" w:hAnsi="宋体" w:eastAsia="宋体" w:cs="宋体"/>
          <w:sz w:val="24"/>
          <w:szCs w:val="24"/>
        </w:rPr>
      </w:pPr>
      <w:r>
        <w:rPr>
          <w:rFonts w:hint="eastAsia" w:ascii="宋体" w:hAnsi="宋体" w:eastAsia="宋体" w:cs="宋体"/>
          <w:spacing w:val="7"/>
          <w:sz w:val="24"/>
          <w:szCs w:val="24"/>
        </w:rPr>
        <w:t>5、完成领导交办的其他工作。</w:t>
      </w:r>
    </w:p>
    <w:p w14:paraId="008D3A15">
      <w:pPr>
        <w:keepNext w:val="0"/>
        <w:keepLines w:val="0"/>
        <w:pageBreakBefore w:val="0"/>
        <w:widowControl/>
        <w:kinsoku w:val="0"/>
        <w:wordWrap/>
        <w:overflowPunct/>
        <w:topLinePunct w:val="0"/>
        <w:autoSpaceDE w:val="0"/>
        <w:autoSpaceDN w:val="0"/>
        <w:bidi w:val="0"/>
        <w:adjustRightInd w:val="0"/>
        <w:snapToGrid w:val="0"/>
        <w:spacing w:line="420" w:lineRule="exact"/>
        <w:ind w:left="604"/>
        <w:textAlignment w:val="baseline"/>
        <w:outlineLvl w:val="2"/>
        <w:rPr>
          <w:rFonts w:hint="eastAsia" w:ascii="宋体" w:hAnsi="宋体" w:eastAsia="宋体" w:cs="宋体"/>
          <w:sz w:val="24"/>
          <w:szCs w:val="24"/>
        </w:rPr>
      </w:pPr>
      <w:r>
        <w:rPr>
          <w:rFonts w:hint="eastAsia" w:ascii="宋体" w:hAnsi="宋体" w:eastAsia="宋体" w:cs="宋体"/>
          <w:b/>
          <w:bCs/>
          <w:spacing w:val="20"/>
          <w:sz w:val="24"/>
          <w:szCs w:val="24"/>
        </w:rPr>
        <w:t>第三条甲方的权利和义务</w:t>
      </w:r>
    </w:p>
    <w:p w14:paraId="2D9A3817">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35" w:rightChars="0" w:firstLine="599" w:firstLineChars="0"/>
        <w:textAlignment w:val="baseline"/>
        <w:rPr>
          <w:rFonts w:hint="eastAsia" w:ascii="宋体" w:hAnsi="宋体" w:eastAsia="宋体" w:cs="宋体"/>
          <w:spacing w:val="-14"/>
          <w:sz w:val="24"/>
          <w:szCs w:val="24"/>
        </w:rPr>
      </w:pPr>
      <w:r>
        <w:rPr>
          <w:rFonts w:hint="eastAsia" w:ascii="宋体" w:hAnsi="宋体" w:eastAsia="宋体" w:cs="宋体"/>
          <w:snapToGrid w:val="0"/>
          <w:color w:val="000000"/>
          <w:spacing w:val="-14"/>
          <w:kern w:val="0"/>
          <w:sz w:val="24"/>
          <w:szCs w:val="24"/>
          <w:lang w:val="en-US" w:eastAsia="en-US" w:bidi="ar-SA"/>
        </w:rPr>
        <w:t>1、</w:t>
      </w:r>
      <w:r>
        <w:rPr>
          <w:rFonts w:hint="eastAsia" w:ascii="宋体" w:hAnsi="宋体" w:eastAsia="宋体" w:cs="宋体"/>
          <w:spacing w:val="12"/>
          <w:sz w:val="24"/>
          <w:szCs w:val="24"/>
        </w:rPr>
        <w:t>甲方有对乙方的工作提出批评改进意见的权利，监督乙方</w:t>
      </w:r>
      <w:r>
        <w:rPr>
          <w:rFonts w:hint="eastAsia" w:ascii="宋体" w:hAnsi="宋体" w:eastAsia="宋体" w:cs="宋体"/>
          <w:spacing w:val="-14"/>
          <w:sz w:val="24"/>
          <w:szCs w:val="24"/>
        </w:rPr>
        <w:t>工作。</w:t>
      </w:r>
    </w:p>
    <w:p w14:paraId="5964054A">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35" w:rightChars="0" w:firstLine="599" w:firstLineChars="0"/>
        <w:textAlignment w:val="baseline"/>
        <w:rPr>
          <w:rFonts w:hint="eastAsia" w:ascii="宋体" w:hAnsi="宋体" w:eastAsia="宋体" w:cs="宋体"/>
          <w:spacing w:val="16"/>
          <w:sz w:val="24"/>
          <w:szCs w:val="24"/>
        </w:rPr>
      </w:pPr>
      <w:r>
        <w:rPr>
          <w:rFonts w:hint="eastAsia" w:ascii="宋体" w:hAnsi="宋体" w:eastAsia="宋体" w:cs="宋体"/>
          <w:spacing w:val="16"/>
          <w:sz w:val="24"/>
          <w:szCs w:val="24"/>
        </w:rPr>
        <w:t>2、甲方在合同生效后向乙方提供3-4间物业管理服务用房。</w:t>
      </w:r>
    </w:p>
    <w:p w14:paraId="40C7E214">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420" w:lineRule="exact"/>
        <w:ind w:right="35" w:rightChars="0" w:firstLine="599" w:firstLineChars="0"/>
        <w:textAlignment w:val="baseline"/>
        <w:rPr>
          <w:rFonts w:hint="eastAsia" w:ascii="宋体" w:hAnsi="宋体" w:eastAsia="宋体" w:cs="宋体"/>
          <w:sz w:val="24"/>
          <w:szCs w:val="24"/>
        </w:rPr>
      </w:pPr>
      <w:r>
        <w:rPr>
          <w:rFonts w:hint="eastAsia" w:ascii="宋体" w:hAnsi="宋体" w:eastAsia="宋体" w:cs="宋体"/>
          <w:spacing w:val="8"/>
          <w:sz w:val="24"/>
          <w:szCs w:val="24"/>
        </w:rPr>
        <w:t>3、乙方在工作中需要甲方工作人员协助的，甲方应</w:t>
      </w:r>
      <w:r>
        <w:rPr>
          <w:rFonts w:hint="eastAsia" w:ascii="宋体" w:hAnsi="宋体" w:eastAsia="宋体" w:cs="宋体"/>
          <w:spacing w:val="7"/>
          <w:sz w:val="24"/>
          <w:szCs w:val="24"/>
        </w:rPr>
        <w:t>积极配合。</w:t>
      </w:r>
    </w:p>
    <w:p w14:paraId="4CB60D83">
      <w:pPr>
        <w:pStyle w:val="2"/>
        <w:keepNext w:val="0"/>
        <w:keepLines w:val="0"/>
        <w:pageBreakBefore w:val="0"/>
        <w:widowControl/>
        <w:kinsoku w:val="0"/>
        <w:wordWrap/>
        <w:overflowPunct/>
        <w:topLinePunct w:val="0"/>
        <w:autoSpaceDE w:val="0"/>
        <w:autoSpaceDN w:val="0"/>
        <w:bidi w:val="0"/>
        <w:adjustRightInd w:val="0"/>
        <w:snapToGrid w:val="0"/>
        <w:spacing w:line="420" w:lineRule="exact"/>
        <w:ind w:left="580"/>
        <w:textAlignment w:val="baseline"/>
        <w:rPr>
          <w:rFonts w:hint="eastAsia" w:ascii="宋体" w:hAnsi="宋体" w:eastAsia="宋体" w:cs="宋体"/>
          <w:sz w:val="24"/>
          <w:szCs w:val="24"/>
        </w:rPr>
      </w:pPr>
      <w:r>
        <w:rPr>
          <w:rFonts w:hint="eastAsia" w:ascii="宋体" w:hAnsi="宋体" w:eastAsia="宋体" w:cs="宋体"/>
          <w:spacing w:val="9"/>
          <w:sz w:val="24"/>
          <w:szCs w:val="24"/>
        </w:rPr>
        <w:t>4、甲方应按合同约定付清物业费用。</w:t>
      </w:r>
    </w:p>
    <w:p w14:paraId="1B5D5FC1">
      <w:pPr>
        <w:pStyle w:val="2"/>
        <w:keepNext w:val="0"/>
        <w:keepLines w:val="0"/>
        <w:pageBreakBefore w:val="0"/>
        <w:widowControl/>
        <w:kinsoku w:val="0"/>
        <w:wordWrap/>
        <w:overflowPunct/>
        <w:topLinePunct w:val="0"/>
        <w:autoSpaceDE w:val="0"/>
        <w:autoSpaceDN w:val="0"/>
        <w:bidi w:val="0"/>
        <w:adjustRightInd w:val="0"/>
        <w:snapToGrid w:val="0"/>
        <w:spacing w:line="420" w:lineRule="exact"/>
        <w:ind w:left="580"/>
        <w:textAlignment w:val="baseline"/>
        <w:rPr>
          <w:rFonts w:hint="eastAsia" w:ascii="宋体" w:hAnsi="宋体" w:eastAsia="宋体" w:cs="宋体"/>
          <w:sz w:val="24"/>
          <w:szCs w:val="24"/>
        </w:rPr>
      </w:pPr>
      <w:r>
        <w:rPr>
          <w:rFonts w:hint="eastAsia" w:ascii="宋体" w:hAnsi="宋体" w:eastAsia="宋体" w:cs="宋体"/>
          <w:spacing w:val="9"/>
          <w:sz w:val="24"/>
          <w:szCs w:val="24"/>
        </w:rPr>
        <w:t>5、负责协助乙方做好一切外部事务的处理与协调工作。</w:t>
      </w:r>
    </w:p>
    <w:p w14:paraId="26909574">
      <w:pPr>
        <w:keepNext w:val="0"/>
        <w:keepLines w:val="0"/>
        <w:pageBreakBefore w:val="0"/>
        <w:widowControl/>
        <w:kinsoku w:val="0"/>
        <w:wordWrap/>
        <w:overflowPunct/>
        <w:topLinePunct w:val="0"/>
        <w:autoSpaceDE w:val="0"/>
        <w:autoSpaceDN w:val="0"/>
        <w:bidi w:val="0"/>
        <w:adjustRightInd w:val="0"/>
        <w:snapToGrid w:val="0"/>
        <w:spacing w:line="420" w:lineRule="exact"/>
        <w:ind w:left="584"/>
        <w:textAlignment w:val="baseline"/>
        <w:outlineLvl w:val="2"/>
        <w:rPr>
          <w:rFonts w:hint="eastAsia" w:ascii="宋体" w:hAnsi="宋体" w:eastAsia="宋体" w:cs="宋体"/>
          <w:sz w:val="24"/>
          <w:szCs w:val="24"/>
        </w:rPr>
      </w:pPr>
      <w:r>
        <w:rPr>
          <w:rFonts w:hint="eastAsia" w:ascii="宋体" w:hAnsi="宋体" w:eastAsia="宋体" w:cs="宋体"/>
          <w:b/>
          <w:bCs/>
          <w:spacing w:val="21"/>
          <w:sz w:val="24"/>
          <w:szCs w:val="24"/>
        </w:rPr>
        <w:t>第四条乙方的权利和义务</w:t>
      </w:r>
    </w:p>
    <w:p w14:paraId="1AA4DDF4">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139" w:firstLine="580"/>
        <w:textAlignment w:val="baseline"/>
        <w:rPr>
          <w:rFonts w:hint="eastAsia" w:ascii="宋体" w:hAnsi="宋体" w:eastAsia="宋体" w:cs="宋体"/>
          <w:sz w:val="24"/>
          <w:szCs w:val="24"/>
        </w:rPr>
      </w:pPr>
      <w:r>
        <w:rPr>
          <w:rFonts w:hint="eastAsia" w:ascii="宋体" w:hAnsi="宋体" w:eastAsia="宋体" w:cs="宋体"/>
          <w:spacing w:val="14"/>
          <w:sz w:val="24"/>
          <w:szCs w:val="24"/>
        </w:rPr>
        <w:t>1、根据有关法律法规及本合同的约定，制</w:t>
      </w:r>
      <w:r>
        <w:rPr>
          <w:rFonts w:hint="eastAsia" w:ascii="宋体" w:hAnsi="宋体" w:eastAsia="宋体" w:cs="宋体"/>
          <w:spacing w:val="13"/>
          <w:sz w:val="24"/>
          <w:szCs w:val="24"/>
        </w:rPr>
        <w:t>定物业服务管理制</w:t>
      </w:r>
      <w:r>
        <w:rPr>
          <w:rFonts w:hint="eastAsia" w:ascii="宋体" w:hAnsi="宋体" w:eastAsia="宋体" w:cs="宋体"/>
          <w:spacing w:val="12"/>
          <w:sz w:val="24"/>
          <w:szCs w:val="24"/>
        </w:rPr>
        <w:t>度。每月根据服务项目评选不低于20%的优秀员</w:t>
      </w:r>
      <w:r>
        <w:rPr>
          <w:rFonts w:hint="eastAsia" w:ascii="宋体" w:hAnsi="宋体" w:eastAsia="宋体" w:cs="宋体"/>
          <w:spacing w:val="11"/>
          <w:sz w:val="24"/>
          <w:szCs w:val="24"/>
        </w:rPr>
        <w:t>工并给予奖励，并</w:t>
      </w:r>
      <w:r>
        <w:rPr>
          <w:rFonts w:hint="eastAsia" w:ascii="宋体" w:hAnsi="宋体" w:eastAsia="宋体" w:cs="宋体"/>
          <w:spacing w:val="12"/>
          <w:sz w:val="24"/>
          <w:szCs w:val="24"/>
        </w:rPr>
        <w:t>将当月奖励情况通报甲方，如无则扣除当月物业费1000元。</w:t>
      </w:r>
    </w:p>
    <w:p w14:paraId="2D479EC4">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29" w:firstLine="580"/>
        <w:textAlignment w:val="baseline"/>
        <w:rPr>
          <w:rFonts w:hint="eastAsia" w:ascii="宋体" w:hAnsi="宋体" w:eastAsia="宋体" w:cs="宋体"/>
          <w:sz w:val="24"/>
          <w:szCs w:val="24"/>
        </w:rPr>
      </w:pPr>
      <w:r>
        <w:rPr>
          <w:rFonts w:hint="eastAsia" w:ascii="宋体" w:hAnsi="宋体" w:eastAsia="宋体" w:cs="宋体"/>
          <w:spacing w:val="7"/>
          <w:sz w:val="24"/>
          <w:szCs w:val="24"/>
        </w:rPr>
        <w:t>2、乙方要接受甲方的监督和考核，必须遵守甲</w:t>
      </w:r>
      <w:r>
        <w:rPr>
          <w:rFonts w:hint="eastAsia" w:ascii="宋体" w:hAnsi="宋体" w:eastAsia="宋体" w:cs="宋体"/>
          <w:spacing w:val="6"/>
          <w:sz w:val="24"/>
          <w:szCs w:val="24"/>
        </w:rPr>
        <w:t>方的规章制度，</w:t>
      </w:r>
      <w:r>
        <w:rPr>
          <w:rFonts w:hint="eastAsia" w:ascii="宋体" w:hAnsi="宋体" w:eastAsia="宋体" w:cs="宋体"/>
          <w:spacing w:val="8"/>
          <w:sz w:val="24"/>
          <w:szCs w:val="24"/>
        </w:rPr>
        <w:t>服从甲方的安排。并向甲方提供员工花名册，人员变化要及时通报</w:t>
      </w:r>
      <w:r>
        <w:rPr>
          <w:rFonts w:hint="eastAsia" w:ascii="宋体" w:hAnsi="宋体" w:eastAsia="宋体" w:cs="宋体"/>
          <w:spacing w:val="-23"/>
          <w:sz w:val="24"/>
          <w:szCs w:val="24"/>
        </w:rPr>
        <w:t>甲方。</w:t>
      </w:r>
    </w:p>
    <w:p w14:paraId="5592512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126" w:firstLine="580"/>
        <w:textAlignment w:val="baseline"/>
        <w:rPr>
          <w:rFonts w:hint="eastAsia" w:ascii="宋体" w:hAnsi="宋体" w:eastAsia="宋体" w:cs="宋体"/>
          <w:sz w:val="24"/>
          <w:szCs w:val="24"/>
        </w:rPr>
      </w:pPr>
      <w:r>
        <w:rPr>
          <w:rFonts w:hint="eastAsia" w:ascii="宋体" w:hAnsi="宋体" w:eastAsia="宋体" w:cs="宋体"/>
          <w:spacing w:val="12"/>
          <w:sz w:val="24"/>
          <w:szCs w:val="24"/>
        </w:rPr>
        <w:t>3、乙方严格按照服务范围和标准派遣服务人员，在</w:t>
      </w:r>
      <w:r>
        <w:rPr>
          <w:rFonts w:hint="eastAsia" w:ascii="宋体" w:hAnsi="宋体" w:eastAsia="宋体" w:cs="宋体"/>
          <w:spacing w:val="11"/>
          <w:sz w:val="24"/>
          <w:szCs w:val="24"/>
        </w:rPr>
        <w:t>工作区域</w:t>
      </w:r>
      <w:r>
        <w:rPr>
          <w:rFonts w:hint="eastAsia" w:ascii="宋体" w:hAnsi="宋体" w:eastAsia="宋体" w:cs="宋体"/>
          <w:spacing w:val="7"/>
          <w:sz w:val="24"/>
          <w:szCs w:val="24"/>
        </w:rPr>
        <w:t>内乙方人员提供管理服务过程中，因乙方人员的故意或</w:t>
      </w:r>
      <w:r>
        <w:rPr>
          <w:rFonts w:hint="eastAsia" w:ascii="宋体" w:hAnsi="宋体" w:eastAsia="宋体" w:cs="宋体"/>
          <w:spacing w:val="6"/>
          <w:sz w:val="24"/>
          <w:szCs w:val="24"/>
        </w:rPr>
        <w:t>过失，造成</w:t>
      </w:r>
      <w:r>
        <w:rPr>
          <w:rFonts w:hint="eastAsia" w:ascii="宋体" w:hAnsi="宋体" w:eastAsia="宋体" w:cs="宋体"/>
          <w:spacing w:val="7"/>
          <w:sz w:val="24"/>
          <w:szCs w:val="24"/>
        </w:rPr>
        <w:t>的甲、乙双方或任何第三方的人生损害或财产损失，乙方承担一切</w:t>
      </w:r>
      <w:r>
        <w:rPr>
          <w:rFonts w:hint="eastAsia" w:ascii="宋体" w:hAnsi="宋体" w:eastAsia="宋体" w:cs="宋体"/>
          <w:spacing w:val="4"/>
          <w:sz w:val="24"/>
          <w:szCs w:val="24"/>
        </w:rPr>
        <w:t>法律责任与赔偿。</w:t>
      </w:r>
    </w:p>
    <w:p w14:paraId="5E2394F4">
      <w:pPr>
        <w:pStyle w:val="2"/>
        <w:keepNext w:val="0"/>
        <w:keepLines w:val="0"/>
        <w:pageBreakBefore w:val="0"/>
        <w:widowControl/>
        <w:kinsoku w:val="0"/>
        <w:wordWrap/>
        <w:overflowPunct/>
        <w:topLinePunct w:val="0"/>
        <w:autoSpaceDE w:val="0"/>
        <w:autoSpaceDN w:val="0"/>
        <w:bidi w:val="0"/>
        <w:adjustRightInd w:val="0"/>
        <w:snapToGrid w:val="0"/>
        <w:spacing w:line="420" w:lineRule="exact"/>
        <w:ind w:left="580"/>
        <w:textAlignment w:val="baseline"/>
        <w:rPr>
          <w:rFonts w:hint="eastAsia" w:ascii="宋体" w:hAnsi="宋体" w:eastAsia="宋体" w:cs="宋体"/>
          <w:sz w:val="24"/>
          <w:szCs w:val="24"/>
        </w:rPr>
      </w:pPr>
      <w:r>
        <w:rPr>
          <w:rFonts w:hint="eastAsia" w:ascii="宋体" w:hAnsi="宋体" w:eastAsia="宋体" w:cs="宋体"/>
          <w:spacing w:val="9"/>
          <w:sz w:val="24"/>
          <w:szCs w:val="24"/>
        </w:rPr>
        <w:t>4、本合同终止时，乙方必须向甲方移交全部管理用地。</w:t>
      </w:r>
    </w:p>
    <w:p w14:paraId="10C4764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129" w:firstLine="580"/>
        <w:textAlignment w:val="baseline"/>
        <w:rPr>
          <w:rFonts w:hint="eastAsia" w:ascii="宋体" w:hAnsi="宋体" w:eastAsia="宋体" w:cs="宋体"/>
          <w:sz w:val="24"/>
          <w:szCs w:val="24"/>
        </w:rPr>
      </w:pPr>
      <w:r>
        <w:rPr>
          <w:rFonts w:hint="eastAsia" w:ascii="宋体" w:hAnsi="宋体" w:eastAsia="宋体" w:cs="宋体"/>
          <w:spacing w:val="13"/>
          <w:sz w:val="24"/>
          <w:szCs w:val="24"/>
        </w:rPr>
        <w:t>5、合同期内，乙方负责本方工作人员的安全生产问题，在不</w:t>
      </w:r>
      <w:r>
        <w:rPr>
          <w:rFonts w:hint="eastAsia" w:ascii="宋体" w:hAnsi="宋体" w:eastAsia="宋体" w:cs="宋体"/>
          <w:spacing w:val="8"/>
          <w:sz w:val="24"/>
          <w:szCs w:val="24"/>
        </w:rPr>
        <w:t>可抗拒自然外力因素之外，所产生的一切安全问题由乙方负责，甲</w:t>
      </w:r>
      <w:r>
        <w:rPr>
          <w:rFonts w:hint="eastAsia" w:ascii="宋体" w:hAnsi="宋体" w:eastAsia="宋体" w:cs="宋体"/>
          <w:spacing w:val="6"/>
          <w:sz w:val="24"/>
          <w:szCs w:val="24"/>
        </w:rPr>
        <w:t>方不承担任何责任。</w:t>
      </w:r>
    </w:p>
    <w:p w14:paraId="36F0A732">
      <w:pPr>
        <w:keepNext w:val="0"/>
        <w:keepLines w:val="0"/>
        <w:pageBreakBefore w:val="0"/>
        <w:widowControl/>
        <w:kinsoku w:val="0"/>
        <w:wordWrap/>
        <w:overflowPunct/>
        <w:topLinePunct w:val="0"/>
        <w:autoSpaceDE w:val="0"/>
        <w:autoSpaceDN w:val="0"/>
        <w:bidi w:val="0"/>
        <w:adjustRightInd w:val="0"/>
        <w:snapToGrid w:val="0"/>
        <w:spacing w:line="420" w:lineRule="exact"/>
        <w:ind w:left="584"/>
        <w:textAlignment w:val="baseline"/>
        <w:outlineLvl w:val="2"/>
        <w:rPr>
          <w:rFonts w:hint="eastAsia" w:ascii="宋体" w:hAnsi="宋体" w:eastAsia="宋体" w:cs="宋体"/>
          <w:sz w:val="24"/>
          <w:szCs w:val="24"/>
        </w:rPr>
      </w:pPr>
      <w:r>
        <w:rPr>
          <w:rFonts w:hint="eastAsia" w:ascii="宋体" w:hAnsi="宋体" w:eastAsia="宋体" w:cs="宋体"/>
          <w:b/>
          <w:bCs/>
          <w:spacing w:val="17"/>
          <w:sz w:val="24"/>
          <w:szCs w:val="24"/>
        </w:rPr>
        <w:t>第五条委托管理期限：</w:t>
      </w:r>
    </w:p>
    <w:p w14:paraId="21285B2B">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129" w:firstLine="580"/>
        <w:jc w:val="both"/>
        <w:textAlignment w:val="baseline"/>
        <w:rPr>
          <w:rFonts w:hint="eastAsia" w:ascii="宋体" w:hAnsi="宋体" w:eastAsia="宋体" w:cs="宋体"/>
          <w:spacing w:val="8"/>
          <w:sz w:val="24"/>
          <w:szCs w:val="24"/>
        </w:rPr>
      </w:pPr>
      <w:r>
        <w:rPr>
          <w:rFonts w:hint="eastAsia" w:ascii="宋体" w:hAnsi="宋体" w:eastAsia="宋体" w:cs="宋体"/>
          <w:spacing w:val="15"/>
          <w:sz w:val="24"/>
          <w:szCs w:val="24"/>
        </w:rPr>
        <w:t>本次招标约定双方合作期限为三年。合同有效期自</w:t>
      </w:r>
      <w:r>
        <w:rPr>
          <w:rFonts w:hint="eastAsia" w:ascii="宋体" w:hAnsi="宋体" w:eastAsia="宋体" w:cs="宋体"/>
          <w:spacing w:val="15"/>
          <w:sz w:val="24"/>
          <w:szCs w:val="24"/>
          <w:lang w:val="en-US" w:eastAsia="zh-CN"/>
        </w:rPr>
        <w:t xml:space="preserve">   </w:t>
      </w:r>
      <w:r>
        <w:rPr>
          <w:rFonts w:hint="eastAsia" w:ascii="宋体" w:hAnsi="宋体" w:eastAsia="宋体" w:cs="宋体"/>
          <w:spacing w:val="15"/>
          <w:sz w:val="24"/>
          <w:szCs w:val="24"/>
        </w:rPr>
        <w:t>年</w:t>
      </w:r>
      <w:r>
        <w:rPr>
          <w:rFonts w:hint="eastAsia" w:ascii="宋体" w:hAnsi="宋体" w:eastAsia="宋体" w:cs="宋体"/>
          <w:spacing w:val="15"/>
          <w:sz w:val="24"/>
          <w:szCs w:val="24"/>
          <w:lang w:val="en-US" w:eastAsia="zh-CN"/>
        </w:rPr>
        <w:t xml:space="preserve">   </w:t>
      </w:r>
      <w:r>
        <w:rPr>
          <w:rFonts w:hint="eastAsia" w:ascii="宋体" w:hAnsi="宋体" w:eastAsia="宋体" w:cs="宋体"/>
          <w:spacing w:val="27"/>
          <w:sz w:val="24"/>
          <w:szCs w:val="24"/>
        </w:rPr>
        <w:t>月</w:t>
      </w:r>
      <w:r>
        <w:rPr>
          <w:rFonts w:hint="eastAsia" w:ascii="宋体" w:hAnsi="宋体" w:eastAsia="宋体" w:cs="宋体"/>
          <w:spacing w:val="27"/>
          <w:sz w:val="24"/>
          <w:szCs w:val="24"/>
          <w:lang w:val="en-US" w:eastAsia="zh-CN"/>
        </w:rPr>
        <w:t xml:space="preserve">   </w:t>
      </w:r>
      <w:r>
        <w:rPr>
          <w:rFonts w:hint="eastAsia" w:ascii="宋体" w:hAnsi="宋体" w:eastAsia="宋体" w:cs="宋体"/>
          <w:spacing w:val="27"/>
          <w:sz w:val="24"/>
          <w:szCs w:val="24"/>
        </w:rPr>
        <w:t>日至</w:t>
      </w:r>
      <w:r>
        <w:rPr>
          <w:rFonts w:hint="eastAsia" w:ascii="宋体" w:hAnsi="宋体" w:eastAsia="宋体" w:cs="宋体"/>
          <w:spacing w:val="27"/>
          <w:sz w:val="24"/>
          <w:szCs w:val="24"/>
          <w:lang w:val="en-US" w:eastAsia="zh-CN"/>
        </w:rPr>
        <w:t xml:space="preserve">   </w:t>
      </w:r>
      <w:r>
        <w:rPr>
          <w:rFonts w:hint="eastAsia" w:ascii="宋体" w:hAnsi="宋体" w:eastAsia="宋体" w:cs="宋体"/>
          <w:spacing w:val="27"/>
          <w:sz w:val="24"/>
          <w:szCs w:val="24"/>
        </w:rPr>
        <w:t>年</w:t>
      </w:r>
      <w:r>
        <w:rPr>
          <w:rFonts w:hint="eastAsia" w:ascii="宋体" w:hAnsi="宋体" w:eastAsia="宋体" w:cs="宋体"/>
          <w:spacing w:val="27"/>
          <w:sz w:val="24"/>
          <w:szCs w:val="24"/>
          <w:lang w:val="en-US" w:eastAsia="zh-CN"/>
        </w:rPr>
        <w:t xml:space="preserve">   </w:t>
      </w:r>
      <w:r>
        <w:rPr>
          <w:rFonts w:hint="eastAsia" w:ascii="宋体" w:hAnsi="宋体" w:eastAsia="宋体" w:cs="宋体"/>
          <w:spacing w:val="27"/>
          <w:sz w:val="24"/>
          <w:szCs w:val="24"/>
        </w:rPr>
        <w:t>月</w:t>
      </w:r>
      <w:r>
        <w:rPr>
          <w:rFonts w:hint="eastAsia" w:ascii="宋体" w:hAnsi="宋体" w:eastAsia="宋体" w:cs="宋体"/>
          <w:spacing w:val="27"/>
          <w:sz w:val="24"/>
          <w:szCs w:val="24"/>
          <w:lang w:val="en-US" w:eastAsia="zh-CN"/>
        </w:rPr>
        <w:t xml:space="preserve">   </w:t>
      </w:r>
      <w:r>
        <w:rPr>
          <w:rFonts w:hint="eastAsia" w:ascii="宋体" w:hAnsi="宋体" w:eastAsia="宋体" w:cs="宋体"/>
          <w:spacing w:val="27"/>
          <w:sz w:val="24"/>
          <w:szCs w:val="24"/>
        </w:rPr>
        <w:t>日；三年内合同期满时提前一个月由甲</w:t>
      </w:r>
      <w:r>
        <w:rPr>
          <w:rFonts w:hint="eastAsia" w:ascii="宋体" w:hAnsi="宋体" w:eastAsia="宋体" w:cs="宋体"/>
          <w:spacing w:val="8"/>
          <w:sz w:val="24"/>
          <w:szCs w:val="24"/>
        </w:rPr>
        <w:t>乙双方协商续签合同。未尽事宜，双方可协调增补条款或细则。</w:t>
      </w:r>
    </w:p>
    <w:p w14:paraId="61D53A05">
      <w:pPr>
        <w:keepNext w:val="0"/>
        <w:keepLines w:val="0"/>
        <w:pageBreakBefore w:val="0"/>
        <w:widowControl/>
        <w:kinsoku w:val="0"/>
        <w:wordWrap/>
        <w:overflowPunct/>
        <w:topLinePunct w:val="0"/>
        <w:autoSpaceDE w:val="0"/>
        <w:autoSpaceDN w:val="0"/>
        <w:bidi w:val="0"/>
        <w:adjustRightInd w:val="0"/>
        <w:snapToGrid w:val="0"/>
        <w:spacing w:line="420" w:lineRule="exact"/>
        <w:ind w:left="584"/>
        <w:textAlignment w:val="baseline"/>
        <w:outlineLvl w:val="2"/>
        <w:rPr>
          <w:rFonts w:hint="eastAsia" w:ascii="宋体" w:hAnsi="宋体" w:eastAsia="宋体" w:cs="宋体"/>
          <w:sz w:val="24"/>
          <w:szCs w:val="24"/>
        </w:rPr>
      </w:pPr>
      <w:r>
        <w:rPr>
          <w:rFonts w:hint="eastAsia" w:ascii="宋体" w:hAnsi="宋体" w:eastAsia="宋体" w:cs="宋体"/>
          <w:b/>
          <w:bCs/>
          <w:spacing w:val="23"/>
          <w:sz w:val="24"/>
          <w:szCs w:val="24"/>
        </w:rPr>
        <w:t>第六条费用及付款方式</w:t>
      </w:r>
    </w:p>
    <w:p w14:paraId="71AE1933">
      <w:pPr>
        <w:pStyle w:val="2"/>
        <w:keepNext w:val="0"/>
        <w:keepLines w:val="0"/>
        <w:pageBreakBefore w:val="0"/>
        <w:widowControl/>
        <w:kinsoku w:val="0"/>
        <w:wordWrap/>
        <w:overflowPunct/>
        <w:topLinePunct w:val="0"/>
        <w:autoSpaceDE w:val="0"/>
        <w:autoSpaceDN w:val="0"/>
        <w:bidi w:val="0"/>
        <w:adjustRightInd w:val="0"/>
        <w:snapToGrid w:val="0"/>
        <w:spacing w:line="420" w:lineRule="exact"/>
        <w:ind w:left="0" w:leftChars="0" w:right="0" w:firstLine="532" w:firstLineChars="200"/>
        <w:jc w:val="both"/>
        <w:textAlignment w:val="baseline"/>
        <w:rPr>
          <w:rFonts w:hint="eastAsia" w:ascii="宋体" w:hAnsi="宋体" w:eastAsia="宋体" w:cs="宋体"/>
          <w:sz w:val="24"/>
          <w:szCs w:val="24"/>
        </w:rPr>
      </w:pPr>
      <w:r>
        <w:rPr>
          <w:rFonts w:hint="eastAsia" w:ascii="宋体" w:hAnsi="宋体" w:eastAsia="宋体" w:cs="宋体"/>
          <w:spacing w:val="13"/>
          <w:sz w:val="24"/>
          <w:szCs w:val="24"/>
        </w:rPr>
        <w:t>根据甲乙双方协商，甲方3年支付给乙方物业服务费用</w:t>
      </w:r>
      <w:r>
        <w:rPr>
          <w:rFonts w:hint="eastAsia" w:ascii="宋体" w:hAnsi="宋体" w:eastAsia="宋体" w:cs="宋体"/>
          <w:spacing w:val="13"/>
          <w:sz w:val="24"/>
          <w:szCs w:val="24"/>
          <w:lang w:val="en-US" w:eastAsia="zh-CN"/>
        </w:rPr>
        <w:t xml:space="preserve">大写   </w:t>
      </w:r>
      <w:r>
        <w:rPr>
          <w:rFonts w:hint="eastAsia" w:ascii="宋体" w:hAnsi="宋体" w:eastAsia="宋体" w:cs="宋体"/>
          <w:spacing w:val="14"/>
          <w:sz w:val="24"/>
          <w:szCs w:val="24"/>
        </w:rPr>
        <w:t>(¥</w:t>
      </w:r>
      <w:r>
        <w:rPr>
          <w:rFonts w:hint="eastAsia" w:ascii="宋体" w:hAnsi="宋体" w:eastAsia="宋体" w:cs="宋体"/>
          <w:spacing w:val="13"/>
          <w:sz w:val="24"/>
          <w:szCs w:val="24"/>
        </w:rPr>
        <w:t>),每月由甲</w:t>
      </w:r>
      <w:r>
        <w:rPr>
          <w:rFonts w:hint="eastAsia" w:ascii="宋体" w:hAnsi="宋体" w:eastAsia="宋体" w:cs="宋体"/>
          <w:spacing w:val="14"/>
          <w:sz w:val="24"/>
          <w:szCs w:val="24"/>
        </w:rPr>
        <w:t>方支付</w:t>
      </w:r>
      <w:r>
        <w:rPr>
          <w:rFonts w:hint="eastAsia" w:ascii="宋体" w:hAnsi="宋体" w:eastAsia="宋体" w:cs="宋体"/>
          <w:spacing w:val="14"/>
          <w:sz w:val="24"/>
          <w:szCs w:val="24"/>
          <w:lang w:val="en-US" w:eastAsia="zh-CN"/>
        </w:rPr>
        <w:t xml:space="preserve">         </w:t>
      </w:r>
      <w:r>
        <w:rPr>
          <w:rFonts w:hint="eastAsia" w:ascii="宋体" w:hAnsi="宋体" w:eastAsia="宋体" w:cs="宋体"/>
          <w:spacing w:val="14"/>
          <w:sz w:val="24"/>
          <w:szCs w:val="24"/>
        </w:rPr>
        <w:t>(¥</w:t>
      </w:r>
      <w:r>
        <w:rPr>
          <w:rFonts w:hint="eastAsia" w:ascii="宋体" w:hAnsi="宋体" w:eastAsia="宋体" w:cs="宋体"/>
          <w:spacing w:val="14"/>
          <w:sz w:val="24"/>
          <w:szCs w:val="24"/>
          <w:lang w:val="en-US" w:eastAsia="zh-CN"/>
        </w:rPr>
        <w:t xml:space="preserve">      </w:t>
      </w:r>
      <w:r>
        <w:rPr>
          <w:rFonts w:hint="eastAsia" w:ascii="宋体" w:hAnsi="宋体" w:eastAsia="宋体" w:cs="宋体"/>
          <w:spacing w:val="14"/>
          <w:sz w:val="24"/>
          <w:szCs w:val="24"/>
        </w:rPr>
        <w:t>)给乙</w:t>
      </w:r>
      <w:r>
        <w:rPr>
          <w:rFonts w:hint="eastAsia" w:ascii="宋体" w:hAnsi="宋体" w:eastAsia="宋体" w:cs="宋体"/>
          <w:spacing w:val="27"/>
          <w:sz w:val="24"/>
          <w:szCs w:val="24"/>
        </w:rPr>
        <w:t>方，计费时间从202</w:t>
      </w:r>
      <w:r>
        <w:rPr>
          <w:rFonts w:hint="eastAsia" w:ascii="宋体" w:hAnsi="宋体" w:eastAsia="宋体" w:cs="宋体"/>
          <w:spacing w:val="27"/>
          <w:sz w:val="24"/>
          <w:szCs w:val="24"/>
          <w:lang w:val="en-US" w:eastAsia="zh-CN"/>
        </w:rPr>
        <w:t>5</w:t>
      </w:r>
      <w:r>
        <w:rPr>
          <w:rFonts w:hint="eastAsia" w:ascii="宋体" w:hAnsi="宋体" w:eastAsia="宋体" w:cs="宋体"/>
          <w:spacing w:val="27"/>
          <w:sz w:val="24"/>
          <w:szCs w:val="24"/>
        </w:rPr>
        <w:t>年</w:t>
      </w:r>
      <w:r>
        <w:rPr>
          <w:rFonts w:hint="eastAsia" w:ascii="宋体" w:hAnsi="宋体" w:eastAsia="宋体" w:cs="宋体"/>
          <w:spacing w:val="27"/>
          <w:sz w:val="24"/>
          <w:szCs w:val="24"/>
          <w:lang w:val="en-US" w:eastAsia="zh-CN"/>
        </w:rPr>
        <w:t xml:space="preserve">   </w:t>
      </w:r>
      <w:r>
        <w:rPr>
          <w:rFonts w:hint="eastAsia" w:ascii="宋体" w:hAnsi="宋体" w:eastAsia="宋体" w:cs="宋体"/>
          <w:spacing w:val="27"/>
          <w:sz w:val="24"/>
          <w:szCs w:val="24"/>
        </w:rPr>
        <w:t>月</w:t>
      </w:r>
      <w:r>
        <w:rPr>
          <w:rFonts w:hint="eastAsia" w:ascii="宋体" w:hAnsi="宋体" w:eastAsia="宋体" w:cs="宋体"/>
          <w:spacing w:val="27"/>
          <w:sz w:val="24"/>
          <w:szCs w:val="24"/>
          <w:lang w:val="en-US" w:eastAsia="zh-CN"/>
        </w:rPr>
        <w:t xml:space="preserve">   </w:t>
      </w:r>
      <w:r>
        <w:rPr>
          <w:rFonts w:hint="eastAsia" w:ascii="宋体" w:hAnsi="宋体" w:eastAsia="宋体" w:cs="宋体"/>
          <w:spacing w:val="27"/>
          <w:sz w:val="24"/>
          <w:szCs w:val="24"/>
        </w:rPr>
        <w:t>日开始。</w:t>
      </w:r>
    </w:p>
    <w:p w14:paraId="6D1EB660">
      <w:pPr>
        <w:keepNext w:val="0"/>
        <w:keepLines w:val="0"/>
        <w:pageBreakBefore w:val="0"/>
        <w:widowControl/>
        <w:kinsoku w:val="0"/>
        <w:wordWrap/>
        <w:overflowPunct/>
        <w:topLinePunct w:val="0"/>
        <w:autoSpaceDE w:val="0"/>
        <w:autoSpaceDN w:val="0"/>
        <w:bidi w:val="0"/>
        <w:adjustRightInd w:val="0"/>
        <w:snapToGrid w:val="0"/>
        <w:spacing w:line="420" w:lineRule="exact"/>
        <w:ind w:left="584"/>
        <w:textAlignment w:val="baseline"/>
        <w:outlineLvl w:val="2"/>
        <w:rPr>
          <w:rFonts w:hint="eastAsia" w:ascii="宋体" w:hAnsi="宋体" w:eastAsia="宋体" w:cs="宋体"/>
          <w:sz w:val="24"/>
          <w:szCs w:val="24"/>
        </w:rPr>
      </w:pPr>
      <w:r>
        <w:rPr>
          <w:rFonts w:hint="eastAsia" w:ascii="宋体" w:hAnsi="宋体" w:eastAsia="宋体" w:cs="宋体"/>
          <w:b/>
          <w:bCs/>
          <w:spacing w:val="30"/>
          <w:sz w:val="24"/>
          <w:szCs w:val="24"/>
        </w:rPr>
        <w:t>第七条违约责任</w:t>
      </w:r>
    </w:p>
    <w:p w14:paraId="1C58264E">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145" w:firstLine="580"/>
        <w:textAlignment w:val="baseline"/>
        <w:rPr>
          <w:rFonts w:hint="eastAsia" w:ascii="宋体" w:hAnsi="宋体" w:eastAsia="宋体" w:cs="宋体"/>
          <w:sz w:val="24"/>
          <w:szCs w:val="24"/>
        </w:rPr>
      </w:pPr>
      <w:r>
        <w:rPr>
          <w:rFonts w:hint="eastAsia" w:ascii="宋体" w:hAnsi="宋体" w:eastAsia="宋体" w:cs="宋体"/>
          <w:spacing w:val="10"/>
          <w:sz w:val="24"/>
          <w:szCs w:val="24"/>
        </w:rPr>
        <w:t>1、甲方违反合同的约定，使乙方未完成规定管理目标，乙方</w:t>
      </w:r>
      <w:r>
        <w:rPr>
          <w:rFonts w:hint="eastAsia" w:ascii="宋体" w:hAnsi="宋体" w:eastAsia="宋体" w:cs="宋体"/>
          <w:spacing w:val="7"/>
          <w:sz w:val="24"/>
          <w:szCs w:val="24"/>
        </w:rPr>
        <w:t>有权要求甲方在一定期限内解决；逾期未解决的，乙方有权终止合同，合同中止前所产生的费用由甲方如数支付。</w:t>
      </w:r>
    </w:p>
    <w:p w14:paraId="21B2CE39">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128" w:firstLine="580"/>
        <w:textAlignment w:val="baseline"/>
        <w:rPr>
          <w:rFonts w:hint="eastAsia" w:ascii="宋体" w:hAnsi="宋体" w:eastAsia="宋体" w:cs="宋体"/>
          <w:sz w:val="24"/>
          <w:szCs w:val="24"/>
        </w:rPr>
      </w:pPr>
      <w:r>
        <w:rPr>
          <w:rFonts w:hint="eastAsia" w:ascii="宋体" w:hAnsi="宋体" w:eastAsia="宋体" w:cs="宋体"/>
          <w:spacing w:val="11"/>
          <w:sz w:val="24"/>
          <w:szCs w:val="24"/>
        </w:rPr>
        <w:t>2、乙方违反本合同的约定，未能达到约定的管理目标，甲方</w:t>
      </w:r>
      <w:r>
        <w:rPr>
          <w:rFonts w:hint="eastAsia" w:ascii="宋体" w:hAnsi="宋体" w:eastAsia="宋体" w:cs="宋体"/>
          <w:spacing w:val="8"/>
          <w:sz w:val="24"/>
          <w:szCs w:val="24"/>
        </w:rPr>
        <w:t>有权要求乙方限期整改，逾期未整改的，甲方有权从支付乙方的费</w:t>
      </w:r>
      <w:r>
        <w:rPr>
          <w:rFonts w:hint="eastAsia" w:ascii="宋体" w:hAnsi="宋体" w:eastAsia="宋体" w:cs="宋体"/>
          <w:spacing w:val="19"/>
          <w:sz w:val="24"/>
          <w:szCs w:val="24"/>
        </w:rPr>
        <w:t>用中每次扣除200元，逾5次后甲方有权终止合同。</w:t>
      </w:r>
    </w:p>
    <w:p w14:paraId="0283B244">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142" w:firstLine="580"/>
        <w:textAlignment w:val="baseline"/>
        <w:rPr>
          <w:rFonts w:hint="eastAsia" w:ascii="宋体" w:hAnsi="宋体" w:eastAsia="宋体" w:cs="宋体"/>
          <w:sz w:val="24"/>
          <w:szCs w:val="24"/>
        </w:rPr>
      </w:pPr>
      <w:r>
        <w:rPr>
          <w:rFonts w:hint="eastAsia" w:ascii="宋体" w:hAnsi="宋体" w:eastAsia="宋体" w:cs="宋体"/>
          <w:spacing w:val="13"/>
          <w:sz w:val="24"/>
          <w:szCs w:val="24"/>
        </w:rPr>
        <w:t>3、甲、乙任一方无正当理由提前终止合同的，另一方有权通</w:t>
      </w:r>
      <w:r>
        <w:rPr>
          <w:rFonts w:hint="eastAsia" w:ascii="宋体" w:hAnsi="宋体" w:eastAsia="宋体" w:cs="宋体"/>
          <w:spacing w:val="6"/>
          <w:sz w:val="24"/>
          <w:szCs w:val="24"/>
        </w:rPr>
        <w:t>过法律渠道解决。</w:t>
      </w:r>
    </w:p>
    <w:p w14:paraId="57EFC3D2">
      <w:pPr>
        <w:keepNext w:val="0"/>
        <w:keepLines w:val="0"/>
        <w:pageBreakBefore w:val="0"/>
        <w:widowControl/>
        <w:kinsoku w:val="0"/>
        <w:wordWrap/>
        <w:overflowPunct/>
        <w:topLinePunct w:val="0"/>
        <w:autoSpaceDE w:val="0"/>
        <w:autoSpaceDN w:val="0"/>
        <w:bidi w:val="0"/>
        <w:adjustRightInd w:val="0"/>
        <w:snapToGrid w:val="0"/>
        <w:spacing w:line="420" w:lineRule="exact"/>
        <w:ind w:left="584"/>
        <w:textAlignment w:val="baseline"/>
        <w:outlineLvl w:val="2"/>
        <w:rPr>
          <w:rFonts w:hint="eastAsia" w:ascii="宋体" w:hAnsi="宋体" w:eastAsia="宋体" w:cs="宋体"/>
          <w:sz w:val="24"/>
          <w:szCs w:val="24"/>
        </w:rPr>
      </w:pPr>
      <w:r>
        <w:rPr>
          <w:rFonts w:hint="eastAsia" w:ascii="宋体" w:hAnsi="宋体" w:eastAsia="宋体" w:cs="宋体"/>
          <w:b/>
          <w:bCs/>
          <w:spacing w:val="31"/>
          <w:sz w:val="24"/>
          <w:szCs w:val="24"/>
        </w:rPr>
        <w:t>第八条其他事项</w:t>
      </w:r>
    </w:p>
    <w:p w14:paraId="636B300C">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132" w:firstLine="580"/>
        <w:textAlignment w:val="baseline"/>
        <w:rPr>
          <w:rFonts w:hint="eastAsia" w:ascii="宋体" w:hAnsi="宋体" w:eastAsia="宋体" w:cs="宋体"/>
          <w:sz w:val="24"/>
          <w:szCs w:val="24"/>
        </w:rPr>
      </w:pPr>
      <w:r>
        <w:rPr>
          <w:rFonts w:hint="eastAsia" w:ascii="宋体" w:hAnsi="宋体" w:eastAsia="宋体" w:cs="宋体"/>
          <w:spacing w:val="11"/>
          <w:sz w:val="24"/>
          <w:szCs w:val="24"/>
        </w:rPr>
        <w:t>1、本合同一式四份：甲乙双方各执一份，一份由甲方报</w:t>
      </w:r>
      <w:r>
        <w:rPr>
          <w:rFonts w:hint="eastAsia" w:ascii="宋体" w:hAnsi="宋体" w:eastAsia="宋体" w:cs="宋体"/>
          <w:spacing w:val="11"/>
          <w:sz w:val="24"/>
          <w:szCs w:val="24"/>
          <w:lang w:val="en-US" w:eastAsia="zh-CN"/>
        </w:rPr>
        <w:t>河南省</w:t>
      </w:r>
      <w:r>
        <w:rPr>
          <w:rFonts w:hint="eastAsia" w:ascii="宋体" w:hAnsi="宋体" w:eastAsia="宋体" w:cs="宋体"/>
          <w:spacing w:val="4"/>
          <w:sz w:val="24"/>
          <w:szCs w:val="24"/>
        </w:rPr>
        <w:t>政府采购监督管理办公室，一份由甲方按相关规定</w:t>
      </w:r>
      <w:r>
        <w:rPr>
          <w:rFonts w:hint="eastAsia" w:ascii="宋体" w:hAnsi="宋体" w:eastAsia="宋体" w:cs="宋体"/>
          <w:spacing w:val="3"/>
          <w:sz w:val="24"/>
          <w:szCs w:val="24"/>
        </w:rPr>
        <w:t>报</w:t>
      </w:r>
      <w:r>
        <w:rPr>
          <w:rFonts w:hint="eastAsia" w:ascii="宋体" w:hAnsi="宋体" w:eastAsia="宋体" w:cs="宋体"/>
          <w:spacing w:val="3"/>
          <w:sz w:val="24"/>
          <w:szCs w:val="24"/>
          <w:lang w:val="en-US" w:eastAsia="zh-CN"/>
        </w:rPr>
        <w:t>南阳市公共资源交易中心</w:t>
      </w:r>
      <w:r>
        <w:rPr>
          <w:rFonts w:hint="eastAsia" w:ascii="宋体" w:hAnsi="宋体" w:eastAsia="宋体" w:cs="宋体"/>
          <w:spacing w:val="2"/>
          <w:sz w:val="24"/>
          <w:szCs w:val="24"/>
        </w:rPr>
        <w:t>。</w:t>
      </w:r>
    </w:p>
    <w:p w14:paraId="6E9EA9FF">
      <w:pPr>
        <w:pStyle w:val="2"/>
        <w:keepNext w:val="0"/>
        <w:keepLines w:val="0"/>
        <w:pageBreakBefore w:val="0"/>
        <w:widowControl/>
        <w:kinsoku w:val="0"/>
        <w:wordWrap/>
        <w:overflowPunct/>
        <w:topLinePunct w:val="0"/>
        <w:autoSpaceDE w:val="0"/>
        <w:autoSpaceDN w:val="0"/>
        <w:bidi w:val="0"/>
        <w:adjustRightInd w:val="0"/>
        <w:snapToGrid w:val="0"/>
        <w:spacing w:line="420" w:lineRule="exact"/>
        <w:ind w:firstLine="580"/>
        <w:textAlignment w:val="baseline"/>
        <w:rPr>
          <w:rFonts w:hint="eastAsia" w:ascii="宋体" w:hAnsi="宋体" w:eastAsia="宋体" w:cs="宋体"/>
          <w:sz w:val="24"/>
          <w:szCs w:val="24"/>
        </w:rPr>
      </w:pPr>
      <w:r>
        <w:rPr>
          <w:rFonts w:hint="eastAsia" w:ascii="宋体" w:hAnsi="宋体" w:eastAsia="宋体" w:cs="宋体"/>
          <w:spacing w:val="14"/>
          <w:sz w:val="24"/>
          <w:szCs w:val="24"/>
        </w:rPr>
        <w:t>2、本合同在履行中如发生争议，双方应协商解决或报请物业</w:t>
      </w:r>
      <w:r>
        <w:rPr>
          <w:rFonts w:hint="eastAsia" w:ascii="宋体" w:hAnsi="宋体" w:eastAsia="宋体" w:cs="宋体"/>
          <w:spacing w:val="2"/>
          <w:sz w:val="24"/>
          <w:szCs w:val="24"/>
        </w:rPr>
        <w:t>服务行政主管部门进行调解，协商或调解不成的，可以向法院起诉。</w:t>
      </w:r>
    </w:p>
    <w:p w14:paraId="3A3C3626">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141" w:firstLine="580"/>
        <w:textAlignment w:val="baseline"/>
        <w:rPr>
          <w:rFonts w:hint="eastAsia" w:ascii="宋体" w:hAnsi="宋体" w:eastAsia="宋体" w:cs="宋体"/>
          <w:spacing w:val="8"/>
          <w:sz w:val="24"/>
          <w:szCs w:val="24"/>
        </w:rPr>
      </w:pPr>
      <w:r>
        <w:rPr>
          <w:rFonts w:hint="eastAsia" w:ascii="宋体" w:hAnsi="宋体" w:eastAsia="宋体" w:cs="宋体"/>
          <w:spacing w:val="11"/>
          <w:sz w:val="24"/>
          <w:szCs w:val="24"/>
        </w:rPr>
        <w:t>3、</w:t>
      </w:r>
      <w:r>
        <w:rPr>
          <w:rFonts w:hint="eastAsia" w:ascii="宋体" w:hAnsi="宋体" w:eastAsia="宋体" w:cs="宋体"/>
          <w:spacing w:val="-75"/>
          <w:sz w:val="24"/>
          <w:szCs w:val="24"/>
        </w:rPr>
        <w:t xml:space="preserve"> </w:t>
      </w:r>
      <w:r>
        <w:rPr>
          <w:rFonts w:hint="eastAsia" w:ascii="宋体" w:hAnsi="宋体" w:eastAsia="宋体" w:cs="宋体"/>
          <w:spacing w:val="11"/>
          <w:sz w:val="24"/>
          <w:szCs w:val="24"/>
        </w:rPr>
        <w:t>经双方同意可对本合同的条款进行补充，经书面形式签订</w:t>
      </w:r>
      <w:r>
        <w:rPr>
          <w:rFonts w:hint="eastAsia" w:ascii="宋体" w:hAnsi="宋体" w:eastAsia="宋体" w:cs="宋体"/>
          <w:sz w:val="24"/>
          <w:szCs w:val="24"/>
        </w:rPr>
        <w:t xml:space="preserve"> </w:t>
      </w:r>
      <w:r>
        <w:rPr>
          <w:rFonts w:hint="eastAsia" w:ascii="宋体" w:hAnsi="宋体" w:eastAsia="宋体" w:cs="宋体"/>
          <w:spacing w:val="8"/>
          <w:sz w:val="24"/>
          <w:szCs w:val="24"/>
        </w:rPr>
        <w:t>不成协议，补充协议与本合同具有同等效力。</w:t>
      </w:r>
    </w:p>
    <w:p w14:paraId="380E45C0">
      <w:pPr>
        <w:pStyle w:val="2"/>
        <w:keepNext w:val="0"/>
        <w:keepLines w:val="0"/>
        <w:pageBreakBefore w:val="0"/>
        <w:widowControl/>
        <w:kinsoku w:val="0"/>
        <w:wordWrap/>
        <w:overflowPunct/>
        <w:topLinePunct w:val="0"/>
        <w:autoSpaceDE w:val="0"/>
        <w:autoSpaceDN w:val="0"/>
        <w:bidi w:val="0"/>
        <w:adjustRightInd w:val="0"/>
        <w:snapToGrid w:val="0"/>
        <w:spacing w:line="420" w:lineRule="exact"/>
        <w:ind w:right="141" w:firstLine="580"/>
        <w:textAlignment w:val="baseline"/>
        <w:rPr>
          <w:rFonts w:hint="eastAsia" w:ascii="宋体" w:hAnsi="宋体" w:eastAsia="宋体" w:cs="宋体"/>
          <w:spacing w:val="7"/>
          <w:sz w:val="24"/>
          <w:szCs w:val="24"/>
        </w:rPr>
      </w:pPr>
      <w:r>
        <w:rPr>
          <w:rFonts w:hint="eastAsia" w:ascii="宋体" w:hAnsi="宋体" w:eastAsia="宋体" w:cs="宋体"/>
          <w:spacing w:val="7"/>
          <w:sz w:val="24"/>
          <w:szCs w:val="24"/>
        </w:rPr>
        <w:t>4、本合同经甲乙双方法人代表或授权代理人签字盖章后生效。</w:t>
      </w:r>
    </w:p>
    <w:p w14:paraId="3C24736A">
      <w:pPr>
        <w:keepNext w:val="0"/>
        <w:keepLines w:val="0"/>
        <w:pageBreakBefore w:val="0"/>
        <w:widowControl/>
        <w:kinsoku w:val="0"/>
        <w:wordWrap/>
        <w:overflowPunct/>
        <w:topLinePunct w:val="0"/>
        <w:autoSpaceDE w:val="0"/>
        <w:autoSpaceDN w:val="0"/>
        <w:bidi w:val="0"/>
        <w:adjustRightInd w:val="0"/>
        <w:snapToGrid w:val="0"/>
        <w:spacing w:line="420" w:lineRule="exact"/>
        <w:textAlignment w:val="baseline"/>
        <w:rPr>
          <w:rFonts w:hint="eastAsia" w:ascii="宋体" w:hAnsi="宋体" w:eastAsia="宋体" w:cs="宋体"/>
          <w:sz w:val="24"/>
          <w:szCs w:val="24"/>
        </w:rPr>
      </w:pPr>
    </w:p>
    <w:p w14:paraId="7F1B4E5C">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pacing w:val="25"/>
          <w:sz w:val="24"/>
          <w:szCs w:val="24"/>
          <w:lang w:val="en-US" w:eastAsia="zh-CN"/>
        </w:rPr>
      </w:pPr>
      <w:r>
        <w:rPr>
          <w:rFonts w:hint="eastAsia" w:ascii="宋体" w:hAnsi="宋体" w:eastAsia="宋体" w:cs="宋体"/>
          <w:spacing w:val="25"/>
          <w:sz w:val="24"/>
          <w:szCs w:val="24"/>
        </w:rPr>
        <w:t>甲方(公章)</w:t>
      </w:r>
      <w:r>
        <w:rPr>
          <w:rFonts w:hint="eastAsia" w:ascii="宋体" w:hAnsi="宋体" w:eastAsia="宋体" w:cs="宋体"/>
          <w:spacing w:val="25"/>
          <w:sz w:val="24"/>
          <w:szCs w:val="24"/>
          <w:lang w:eastAsia="zh-CN"/>
        </w:rPr>
        <w:t>：</w:t>
      </w:r>
      <w:r>
        <w:rPr>
          <w:rFonts w:hint="eastAsia" w:ascii="宋体" w:hAnsi="宋体" w:eastAsia="宋体" w:cs="宋体"/>
          <w:spacing w:val="25"/>
          <w:sz w:val="24"/>
          <w:szCs w:val="24"/>
          <w:lang w:val="en-US" w:eastAsia="zh-CN"/>
        </w:rPr>
        <w:t>河南省南阳市人民检察院</w:t>
      </w:r>
    </w:p>
    <w:p w14:paraId="0603D081">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pacing w:val="1"/>
          <w:sz w:val="24"/>
          <w:szCs w:val="24"/>
        </w:rPr>
      </w:pPr>
      <w:r>
        <w:rPr>
          <w:rFonts w:hint="eastAsia" w:ascii="宋体" w:hAnsi="宋体" w:eastAsia="宋体" w:cs="宋体"/>
          <w:spacing w:val="1"/>
          <w:sz w:val="24"/>
          <w:szCs w:val="24"/>
        </w:rPr>
        <w:t>统一社会信用代码：</w:t>
      </w:r>
    </w:p>
    <w:p w14:paraId="152CE219">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r>
        <w:rPr>
          <w:rFonts w:hint="eastAsia" w:ascii="宋体" w:hAnsi="宋体" w:eastAsia="宋体" w:cs="宋体"/>
          <w:spacing w:val="18"/>
          <w:sz w:val="24"/>
          <w:szCs w:val="24"/>
        </w:rPr>
        <w:t>地址：南阳市信臣东路1866号</w:t>
      </w:r>
    </w:p>
    <w:p w14:paraId="6CBC8028">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pacing w:val="23"/>
          <w:sz w:val="24"/>
          <w:szCs w:val="24"/>
        </w:rPr>
      </w:pPr>
      <w:r>
        <w:rPr>
          <w:rFonts w:hint="eastAsia" w:ascii="宋体" w:hAnsi="宋体" w:eastAsia="宋体" w:cs="宋体"/>
          <w:spacing w:val="23"/>
          <w:sz w:val="24"/>
          <w:szCs w:val="24"/>
        </w:rPr>
        <w:t>法定代表人(负责人)或委托代理人：</w:t>
      </w:r>
    </w:p>
    <w:p w14:paraId="475A17C9">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pacing w:val="-18"/>
          <w:sz w:val="24"/>
          <w:szCs w:val="24"/>
        </w:rPr>
      </w:pPr>
      <w:r>
        <w:rPr>
          <w:rFonts w:hint="eastAsia" w:ascii="宋体" w:hAnsi="宋体" w:eastAsia="宋体" w:cs="宋体"/>
          <w:spacing w:val="-18"/>
          <w:sz w:val="24"/>
          <w:szCs w:val="24"/>
        </w:rPr>
        <w:t>电</w:t>
      </w:r>
      <w:r>
        <w:rPr>
          <w:rFonts w:hint="eastAsia" w:ascii="宋体" w:hAnsi="宋体" w:eastAsia="宋体" w:cs="宋体"/>
          <w:spacing w:val="-2"/>
          <w:sz w:val="24"/>
          <w:szCs w:val="24"/>
        </w:rPr>
        <w:t xml:space="preserve"> </w:t>
      </w:r>
      <w:r>
        <w:rPr>
          <w:rFonts w:hint="eastAsia" w:ascii="宋体" w:hAnsi="宋体" w:eastAsia="宋体" w:cs="宋体"/>
          <w:spacing w:val="-18"/>
          <w:sz w:val="24"/>
          <w:szCs w:val="24"/>
        </w:rPr>
        <w:t>话</w:t>
      </w:r>
      <w:r>
        <w:rPr>
          <w:rFonts w:hint="eastAsia" w:ascii="宋体" w:hAnsi="宋体" w:eastAsia="宋体" w:cs="宋体"/>
          <w:spacing w:val="-16"/>
          <w:sz w:val="24"/>
          <w:szCs w:val="24"/>
        </w:rPr>
        <w:t xml:space="preserve"> </w:t>
      </w:r>
      <w:r>
        <w:rPr>
          <w:rFonts w:hint="eastAsia" w:ascii="宋体" w:hAnsi="宋体" w:eastAsia="宋体" w:cs="宋体"/>
          <w:spacing w:val="-18"/>
          <w:sz w:val="24"/>
          <w:szCs w:val="24"/>
        </w:rPr>
        <w:t>：</w:t>
      </w:r>
    </w:p>
    <w:p w14:paraId="0D63F047">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r>
        <w:rPr>
          <w:rFonts w:hint="eastAsia" w:ascii="宋体" w:hAnsi="宋体" w:eastAsia="宋体" w:cs="宋体"/>
          <w:spacing w:val="-1"/>
          <w:sz w:val="24"/>
          <w:szCs w:val="24"/>
        </w:rPr>
        <w:t>开户银行：</w:t>
      </w:r>
    </w:p>
    <w:p w14:paraId="47FDEAAC">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r>
        <w:rPr>
          <w:rFonts w:hint="eastAsia" w:ascii="宋体" w:hAnsi="宋体" w:eastAsia="宋体" w:cs="宋体"/>
          <w:sz w:val="24"/>
          <w:szCs w:val="24"/>
        </w:rPr>
        <w:t>开户行账号名称：</w:t>
      </w:r>
    </w:p>
    <w:p w14:paraId="7CDAD86B">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r>
        <w:rPr>
          <w:rFonts w:hint="eastAsia" w:ascii="宋体" w:hAnsi="宋体" w:eastAsia="宋体" w:cs="宋体"/>
          <w:spacing w:val="-3"/>
          <w:sz w:val="24"/>
          <w:szCs w:val="24"/>
        </w:rPr>
        <w:t>开户行账号：</w:t>
      </w:r>
    </w:p>
    <w:p w14:paraId="22C4E7E6">
      <w:pPr>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p>
    <w:p w14:paraId="3F0381CB">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r>
        <w:rPr>
          <w:rFonts w:hint="eastAsia" w:ascii="宋体" w:hAnsi="宋体" w:eastAsia="宋体" w:cs="宋体"/>
          <w:spacing w:val="26"/>
          <w:sz w:val="24"/>
          <w:szCs w:val="24"/>
        </w:rPr>
        <w:t>乙方(公章):</w:t>
      </w:r>
    </w:p>
    <w:p w14:paraId="127EE83B">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r>
        <w:rPr>
          <w:rFonts w:hint="eastAsia" w:ascii="宋体" w:hAnsi="宋体" w:eastAsia="宋体" w:cs="宋体"/>
          <w:spacing w:val="6"/>
          <w:sz w:val="24"/>
          <w:szCs w:val="24"/>
        </w:rPr>
        <w:t>统一社会信用代码：</w:t>
      </w:r>
    </w:p>
    <w:p w14:paraId="6D984A45">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jc w:val="both"/>
        <w:textAlignment w:val="baseline"/>
        <w:rPr>
          <w:rFonts w:hint="eastAsia" w:ascii="宋体" w:hAnsi="宋体" w:eastAsia="宋体" w:cs="宋体"/>
          <w:sz w:val="24"/>
          <w:szCs w:val="24"/>
        </w:rPr>
      </w:pPr>
      <w:r>
        <w:rPr>
          <w:rFonts w:hint="eastAsia" w:ascii="宋体" w:hAnsi="宋体" w:eastAsia="宋体" w:cs="宋体"/>
          <w:spacing w:val="21"/>
          <w:sz w:val="24"/>
          <w:szCs w:val="24"/>
        </w:rPr>
        <w:t>地址：</w:t>
      </w:r>
    </w:p>
    <w:p w14:paraId="0D51887F">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r>
        <w:rPr>
          <w:rFonts w:hint="eastAsia" w:ascii="宋体" w:hAnsi="宋体" w:eastAsia="宋体" w:cs="宋体"/>
          <w:spacing w:val="21"/>
          <w:sz w:val="24"/>
          <w:szCs w:val="24"/>
        </w:rPr>
        <w:t>法定代表人(负责人)或委托代理人：</w:t>
      </w:r>
    </w:p>
    <w:p w14:paraId="7BFF8F9F">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r>
        <w:rPr>
          <w:rFonts w:hint="eastAsia" w:ascii="宋体" w:hAnsi="宋体" w:eastAsia="宋体" w:cs="宋体"/>
          <w:spacing w:val="4"/>
          <w:sz w:val="24"/>
          <w:szCs w:val="24"/>
        </w:rPr>
        <w:t>电话：</w:t>
      </w:r>
    </w:p>
    <w:p w14:paraId="2B20A3A7">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r>
        <w:rPr>
          <w:rFonts w:hint="eastAsia" w:ascii="宋体" w:hAnsi="宋体" w:eastAsia="宋体" w:cs="宋体"/>
          <w:spacing w:val="5"/>
          <w:sz w:val="24"/>
          <w:szCs w:val="24"/>
        </w:rPr>
        <w:t>开户银行：</w:t>
      </w:r>
    </w:p>
    <w:p w14:paraId="0365B1BF">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z w:val="24"/>
          <w:szCs w:val="24"/>
        </w:rPr>
      </w:pPr>
      <w:r>
        <w:rPr>
          <w:rFonts w:hint="eastAsia" w:ascii="宋体" w:hAnsi="宋体" w:eastAsia="宋体" w:cs="宋体"/>
          <w:spacing w:val="6"/>
          <w:sz w:val="24"/>
          <w:szCs w:val="24"/>
        </w:rPr>
        <w:t>开户行账号名称：</w:t>
      </w:r>
    </w:p>
    <w:p w14:paraId="6EA60B14">
      <w:pPr>
        <w:pStyle w:val="2"/>
        <w:keepNext w:val="0"/>
        <w:keepLines w:val="0"/>
        <w:pageBreakBefore w:val="0"/>
        <w:widowControl/>
        <w:kinsoku w:val="0"/>
        <w:wordWrap/>
        <w:overflowPunct/>
        <w:topLinePunct w:val="0"/>
        <w:autoSpaceDE w:val="0"/>
        <w:autoSpaceDN w:val="0"/>
        <w:bidi w:val="0"/>
        <w:adjustRightInd w:val="0"/>
        <w:snapToGrid w:val="0"/>
        <w:spacing w:line="460" w:lineRule="exact"/>
        <w:ind w:firstLine="0" w:firstLineChars="0"/>
        <w:textAlignment w:val="baseline"/>
        <w:rPr>
          <w:rFonts w:hint="eastAsia" w:ascii="宋体" w:hAnsi="宋体" w:eastAsia="宋体" w:cs="宋体"/>
          <w:spacing w:val="6"/>
          <w:sz w:val="24"/>
          <w:szCs w:val="24"/>
        </w:rPr>
      </w:pPr>
      <w:r>
        <w:rPr>
          <w:rFonts w:hint="eastAsia" w:ascii="宋体" w:hAnsi="宋体" w:eastAsia="宋体" w:cs="宋体"/>
          <w:spacing w:val="6"/>
          <w:sz w:val="24"/>
          <w:szCs w:val="24"/>
        </w:rPr>
        <w:t>开户行账号：</w:t>
      </w:r>
    </w:p>
    <w:p w14:paraId="6F3FD474">
      <w:pPr>
        <w:pStyle w:val="2"/>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宋体" w:hAnsi="宋体" w:eastAsia="宋体" w:cs="宋体"/>
          <w:spacing w:val="6"/>
          <w:sz w:val="24"/>
          <w:szCs w:val="24"/>
        </w:rPr>
      </w:pPr>
    </w:p>
    <w:p w14:paraId="32E3E667">
      <w:pPr>
        <w:pStyle w:val="2"/>
        <w:keepNext w:val="0"/>
        <w:keepLines w:val="0"/>
        <w:pageBreakBefore w:val="0"/>
        <w:widowControl/>
        <w:kinsoku w:val="0"/>
        <w:wordWrap/>
        <w:overflowPunct/>
        <w:topLinePunct w:val="0"/>
        <w:autoSpaceDE w:val="0"/>
        <w:autoSpaceDN w:val="0"/>
        <w:bidi w:val="0"/>
        <w:adjustRightInd w:val="0"/>
        <w:snapToGrid w:val="0"/>
        <w:spacing w:line="360" w:lineRule="auto"/>
        <w:jc w:val="right"/>
        <w:textAlignment w:val="baseline"/>
        <w:rPr>
          <w:rFonts w:hint="eastAsia"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合同签订日期：2025年   月    日</w:t>
      </w:r>
    </w:p>
    <w:p w14:paraId="7DD32B51"/>
    <w:p w14:paraId="4D964A7D">
      <w:pPr>
        <w:keepNext w:val="0"/>
        <w:keepLines w:val="0"/>
        <w:pageBreakBefore w:val="0"/>
        <w:kinsoku/>
        <w:wordWrap w:val="0"/>
        <w:overflowPunct/>
        <w:topLinePunct w:val="0"/>
        <w:bidi w:val="0"/>
        <w:spacing w:line="220" w:lineRule="auto"/>
        <w:jc w:val="both"/>
        <w:rPr>
          <w:rFonts w:hint="eastAsia" w:asciiTheme="minorEastAsia" w:hAnsiTheme="minorEastAsia" w:eastAsiaTheme="minorEastAsia" w:cstheme="minorEastAsia"/>
          <w:sz w:val="24"/>
          <w:szCs w:val="24"/>
        </w:rPr>
        <w:sectPr>
          <w:headerReference r:id="rId8" w:type="default"/>
          <w:footerReference r:id="rId9" w:type="default"/>
          <w:pgSz w:w="11907" w:h="16840"/>
          <w:pgMar w:top="1440" w:right="1800" w:bottom="1440" w:left="1800" w:header="878" w:footer="886" w:gutter="0"/>
          <w:pgNumType w:fmt="decimal"/>
          <w:cols w:space="720" w:num="1"/>
        </w:sectPr>
      </w:pPr>
    </w:p>
    <w:p w14:paraId="39661171">
      <w:pPr>
        <w:pStyle w:val="2"/>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投标文件格式</w:t>
      </w:r>
    </w:p>
    <w:p w14:paraId="0ABA1F70">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4FB6C7F4">
      <w:pPr>
        <w:pStyle w:val="2"/>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投标人编制文件须知</w:t>
      </w:r>
    </w:p>
    <w:p w14:paraId="45407C6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rPr>
        <w:t>投标人按照本部分的顺序编制投标文件（资格证明文件）、投标</w:t>
      </w:r>
      <w:r>
        <w:rPr>
          <w:rFonts w:hint="eastAsia" w:asciiTheme="minorEastAsia" w:hAnsiTheme="minorEastAsia" w:eastAsiaTheme="minorEastAsia" w:cstheme="minorEastAsia"/>
          <w:spacing w:val="-4"/>
          <w:sz w:val="24"/>
          <w:szCs w:val="24"/>
        </w:rPr>
        <w:t>文件（商务技术文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p>
    <w:p w14:paraId="282336EE">
      <w:pPr>
        <w:keepNext w:val="0"/>
        <w:keepLines w:val="0"/>
        <w:pageBreakBefore w:val="0"/>
        <w:widowControl/>
        <w:kinsoku/>
        <w:wordWrap w:val="0"/>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049149C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365E9A97">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10" w:type="default"/>
          <w:footerReference r:id="rId11" w:type="default"/>
          <w:pgSz w:w="11907" w:h="16840"/>
          <w:pgMar w:top="1440" w:right="1800" w:bottom="1440" w:left="1800" w:header="878" w:footer="886" w:gutter="0"/>
          <w:pgNumType w:fmt="decimal"/>
          <w:cols w:space="720" w:num="1"/>
        </w:sectPr>
      </w:pPr>
    </w:p>
    <w:p w14:paraId="29C810C9">
      <w:pPr>
        <w:pStyle w:val="2"/>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0ABD90AF">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1.开标一览表（如有包号自行添加行）</w:t>
      </w:r>
    </w:p>
    <w:p w14:paraId="647AF98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5A869B9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003D3DC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20"/>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14:paraId="7C5F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F394E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40C9D3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473A4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2238DE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14356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F59B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0C17D60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11F1D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1BD12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233050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02EE5D8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大写：（￥：）</w:t>
            </w:r>
          </w:p>
        </w:tc>
      </w:tr>
      <w:tr w14:paraId="6AEB1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58A9C9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7579E6C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5DAB1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CA301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693FA8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5E7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14:paraId="6381D9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7236" w:type="dxa"/>
            <w:tcBorders>
              <w:top w:val="single" w:color="auto" w:sz="4" w:space="0"/>
              <w:left w:val="single" w:color="auto" w:sz="4" w:space="0"/>
              <w:bottom w:val="single" w:color="auto" w:sz="4" w:space="0"/>
              <w:right w:val="single" w:color="auto" w:sz="4" w:space="0"/>
            </w:tcBorders>
            <w:noWrap w:val="0"/>
            <w:vAlign w:val="center"/>
          </w:tcPr>
          <w:p w14:paraId="5C1A0AD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1E7940E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6D11D45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注：“开标一览表”报总价。</w:t>
      </w:r>
    </w:p>
    <w:p w14:paraId="0B0D79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投标人（公章）：法定代表人（负责人）或授权代表（签字）：</w:t>
      </w:r>
    </w:p>
    <w:p w14:paraId="5494091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4323AA6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71350E2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66BB1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29EAF2C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14:paraId="3A12C8C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7BA3C02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7F23A15C">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3FB69A6A">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6AF3560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6E3C289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71281D3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7FF7A113">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59BC2A7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47BE426C">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088B574">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3CFFED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711F395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2、签订与中标事宜有关的合同。</w:t>
      </w:r>
    </w:p>
    <w:p w14:paraId="4E9C1B4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491EB3A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42F88A5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197DA12A">
      <w:pPr>
        <w:pStyle w:val="19"/>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68BDF4C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0B69D96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2B59921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20BAF8D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08DCA7E">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3F64429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35A78AC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469ECE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B9F44F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64D7AEC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439A44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C89E3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E65178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C2AC27F">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36471C83">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23499982">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48D21C01">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5A62D2B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007A050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6A120EE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40277B7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7EF3FEDC">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2060976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1AA627F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769E4A2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65D9E82D">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5F3C3C5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33862B90">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5184AB6">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投标人（公章）：法定代表人（负责人）或授权代表（签字）：</w:t>
      </w:r>
    </w:p>
    <w:p w14:paraId="1FFB247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33B7544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74E67A6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351B893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2" w:type="default"/>
          <w:footerReference r:id="rId13"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10795"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9"/>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22FD009E">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088340D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00A3A467">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6012BA5">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投</w:t>
      </w:r>
      <w:r>
        <w:rPr>
          <w:rFonts w:hint="eastAsia" w:asciiTheme="minorEastAsia" w:hAnsiTheme="minorEastAsia" w:eastAsiaTheme="minorEastAsia" w:cstheme="minorEastAsia"/>
          <w:b/>
          <w:bCs/>
          <w:sz w:val="24"/>
          <w:szCs w:val="24"/>
          <w:lang w:eastAsia="zh-CN"/>
        </w:rPr>
        <w:t>标人承诺函</w:t>
      </w:r>
    </w:p>
    <w:p w14:paraId="435B1C7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1F59BE13">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采购人或代理机构名称</w:t>
      </w:r>
      <w:r>
        <w:rPr>
          <w:rFonts w:hint="eastAsia" w:asciiTheme="minorEastAsia" w:hAnsiTheme="minorEastAsia" w:eastAsiaTheme="minorEastAsia" w:cstheme="minorEastAsia"/>
          <w:spacing w:val="-3"/>
          <w:sz w:val="24"/>
          <w:szCs w:val="24"/>
          <w:lang w:eastAsia="zh-CN"/>
        </w:rPr>
        <w:t>：</w:t>
      </w:r>
    </w:p>
    <w:p w14:paraId="39F5E81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28DCEB0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我代表（投标人名称），在此作如下承诺：</w:t>
      </w:r>
    </w:p>
    <w:p w14:paraId="7573D2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1、完全理解和接受本项目招标文件的一切规定和要求；</w:t>
      </w:r>
    </w:p>
    <w:p w14:paraId="6E4D9AA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2、我方递交的投标文件中所有的资料均为真实的、准确的，无任何虚假内容。若存在有虚假内容，我方愿意承担法律责任。</w:t>
      </w:r>
    </w:p>
    <w:p w14:paraId="4A2E893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3、若中标，我方将按照招标文件的具体规定与采购人签订供货安装调试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质量符合招标文件要求，并提供优质服务。如果在合同执行过程中，发现问题，我方一定尽快对其进行调整，并承担相应的经济责任；</w:t>
      </w:r>
    </w:p>
    <w:p w14:paraId="13B1573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396373A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5、我方同意招标文件所附的合同文本作为与采购方签约的合同文本，非经双方一致同意，不得改变原合同文本的条款。</w:t>
      </w:r>
    </w:p>
    <w:p w14:paraId="6C38463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575D612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7086F39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投标人（公章）：法定代表人（负责人）或授权代表（签字）：</w:t>
      </w:r>
    </w:p>
    <w:p w14:paraId="749CD308">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89068BD">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3CBE57D3">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17233004">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03B4DFE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F82D1A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6CCDD49">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198B94C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42D775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依法缴纳税收和社会保障资金的缴费凭证(提供近半年</w:t>
      </w:r>
      <w:r>
        <w:rPr>
          <w:rFonts w:hint="eastAsia" w:asciiTheme="minorEastAsia" w:hAnsiTheme="minorEastAsia" w:eastAsiaTheme="minorEastAsia" w:cstheme="minorEastAsia"/>
          <w:b/>
          <w:bCs/>
          <w:sz w:val="24"/>
          <w:szCs w:val="24"/>
          <w:lang w:val="en-US" w:eastAsia="zh-CN"/>
        </w:rPr>
        <w:t>内</w:t>
      </w:r>
      <w:r>
        <w:rPr>
          <w:rFonts w:hint="eastAsia" w:asciiTheme="minorEastAsia" w:hAnsiTheme="minorEastAsia" w:eastAsiaTheme="minorEastAsia" w:cstheme="minorEastAsia"/>
          <w:b/>
          <w:bCs/>
          <w:sz w:val="24"/>
          <w:szCs w:val="24"/>
          <w:lang w:eastAsia="zh-CN"/>
        </w:rPr>
        <w:t>任意三个月的有效凭证)</w:t>
      </w:r>
    </w:p>
    <w:p w14:paraId="67E4AE7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181223C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提供本单位上年度经会计师事务所出具的审计报告或本公司出具的财务报表或提供银行出具的证明文件。银行出具的证明文件应能说明该投标人与银行之间业务往来正常，企业信誉良好等。（</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）投标人提供企业有关财务会计制度。</w:t>
      </w:r>
    </w:p>
    <w:p w14:paraId="01F75BE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投标人出具参加政府采购活动前三年内，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7F48678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5B674B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428A96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F92F08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60BBEF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E6A205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D4D69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A4EE36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F63610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EA251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A77544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33EC97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8A23FE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8826C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C6F944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93BEF2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9B1B5C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CBF8E8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7B7CE8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371F3D6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投标人诚信承诺书</w:t>
      </w:r>
    </w:p>
    <w:p w14:paraId="7F307F0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7A9AEA28">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252F57C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1BC0C63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05363F4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投标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A20E5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28B7E20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2788B78C">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5D23310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4166A63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3A288FF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56EF9431">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87F65DC">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FF15818">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20E182E0">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11.</w:t>
      </w:r>
      <w:r>
        <w:rPr>
          <w:rFonts w:hint="eastAsia" w:asciiTheme="minorEastAsia" w:hAnsiTheme="minorEastAsia" w:eastAsiaTheme="minorEastAsia" w:cstheme="minorEastAsia"/>
          <w:b/>
          <w:bCs/>
          <w:sz w:val="24"/>
          <w:szCs w:val="24"/>
          <w:lang w:eastAsia="zh-CN"/>
        </w:rPr>
        <w:t>投标人出具信用记录查询结果网页截图</w:t>
      </w:r>
    </w:p>
    <w:p w14:paraId="681CCCF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12.其他资格证明</w:t>
      </w:r>
    </w:p>
    <w:p w14:paraId="2E2F9A5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3A168CC">
      <w:pPr>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br w:type="page"/>
      </w:r>
    </w:p>
    <w:p w14:paraId="728841CC">
      <w:pPr>
        <w:pStyle w:val="13"/>
        <w:numPr>
          <w:ilvl w:val="0"/>
          <w:numId w:val="0"/>
        </w:numPr>
        <w:kinsoku w:val="0"/>
        <w:autoSpaceDE w:val="0"/>
        <w:autoSpaceDN w:val="0"/>
        <w:adjustRightInd w:val="0"/>
        <w:snapToGrid w:val="0"/>
        <w:spacing w:line="240" w:lineRule="auto"/>
        <w:jc w:val="left"/>
        <w:textAlignment w:val="baseline"/>
        <w:rPr>
          <w:rFonts w:hint="eastAsia"/>
          <w:lang w:val="zh-CN" w:eastAsia="zh-CN"/>
        </w:rPr>
        <w:sectPr>
          <w:headerReference r:id="rId14" w:type="default"/>
          <w:footerReference r:id="rId15" w:type="default"/>
          <w:pgSz w:w="11907" w:h="16840"/>
          <w:pgMar w:top="1440" w:right="1800" w:bottom="1440" w:left="1800" w:header="878" w:footer="886" w:gutter="0"/>
          <w:pgNumType w:fmt="decimal"/>
          <w:cols w:space="720" w:num="1"/>
        </w:sectPr>
      </w:pPr>
    </w:p>
    <w:p w14:paraId="0B85B524">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val="0"/>
          <w:sz w:val="28"/>
          <w:szCs w:val="28"/>
          <w:lang w:val="en-US" w:eastAsia="zh-CN"/>
        </w:rPr>
      </w:pPr>
      <w:r>
        <w:rPr>
          <w:rFonts w:hint="eastAsia" w:asciiTheme="minorEastAsia" w:hAnsiTheme="minorEastAsia" w:eastAsiaTheme="minorEastAsia" w:cstheme="minorEastAsia"/>
          <w:b/>
          <w:bCs w:val="0"/>
          <w:sz w:val="28"/>
          <w:szCs w:val="28"/>
          <w:lang w:val="en-US" w:eastAsia="zh-CN"/>
        </w:rPr>
        <w:t>二、技术文件</w:t>
      </w:r>
    </w:p>
    <w:p w14:paraId="5FD40023">
      <w:pPr>
        <w:pStyle w:val="13"/>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pPr>
      <w:r>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t>1、安保服务方案</w:t>
      </w:r>
    </w:p>
    <w:p w14:paraId="05D4FF6F">
      <w:pPr>
        <w:pStyle w:val="13"/>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pPr>
      <w:r>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t>2、保洁服务方案</w:t>
      </w:r>
    </w:p>
    <w:p w14:paraId="00ABFB83">
      <w:pPr>
        <w:pStyle w:val="13"/>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pPr>
      <w:r>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t>3、水电维修方案</w:t>
      </w:r>
    </w:p>
    <w:p w14:paraId="72022E6A">
      <w:pPr>
        <w:pStyle w:val="13"/>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pPr>
      <w:r>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t>4、绿地管护方案</w:t>
      </w:r>
    </w:p>
    <w:p w14:paraId="05879964">
      <w:pPr>
        <w:pStyle w:val="13"/>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pPr>
      <w:r>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t>5、会议及办案区住宿房间服务方案</w:t>
      </w:r>
    </w:p>
    <w:p w14:paraId="7C5DD169">
      <w:pPr>
        <w:pStyle w:val="13"/>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pPr>
      <w:r>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t>6、电梯维护方案</w:t>
      </w:r>
    </w:p>
    <w:p w14:paraId="41CD71A4">
      <w:pPr>
        <w:pStyle w:val="13"/>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pPr>
      <w:r>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t>7、人员配备</w:t>
      </w:r>
    </w:p>
    <w:p w14:paraId="58896C69">
      <w:pPr>
        <w:pStyle w:val="13"/>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pPr>
      <w:r>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t>8、拟投入的设备</w:t>
      </w:r>
    </w:p>
    <w:p w14:paraId="6DF183A7">
      <w:pPr>
        <w:pStyle w:val="13"/>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pPr>
      <w:r>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t>9、管理制度</w:t>
      </w:r>
    </w:p>
    <w:p w14:paraId="7F11EA9B">
      <w:pPr>
        <w:pStyle w:val="13"/>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pPr>
      <w:r>
        <w:rPr>
          <w:rFonts w:hint="eastAsia" w:ascii="方正仿宋_GB18030" w:hAnsi="方正仿宋_GB18030" w:eastAsia="方正仿宋_GB18030" w:cs="方正仿宋_GB18030"/>
          <w:b w:val="0"/>
          <w:bCs w:val="0"/>
          <w:spacing w:val="24"/>
          <w:sz w:val="28"/>
          <w:szCs w:val="28"/>
          <w:lang w:val="en-US" w:eastAsia="zh-CN"/>
          <w14:textOutline w14:w="1537" w14:cap="flat" w14:cmpd="sng">
            <w14:solidFill>
              <w14:srgbClr w14:val="000000"/>
            </w14:solidFill>
            <w14:prstDash w14:val="solid"/>
            <w14:miter w14:val="0"/>
          </w14:textOutline>
        </w:rPr>
        <w:t>10、应急预案</w:t>
      </w:r>
    </w:p>
    <w:p w14:paraId="2DFDE425">
      <w:pPr>
        <w:pStyle w:val="13"/>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83A3A6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FE3CAD7">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CE89DBA">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FA02BFE">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9D194CB">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BA57F63">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C9A0DC2">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AF48C6E">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DA7D562">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1E41F8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2166E11">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43AA1B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70BE94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B9C74C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15976AA">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1AEBFEB">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C131D96">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E1C820">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76CEF48">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074C47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A3A19BD">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985BC6F">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60810A5">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E26996C">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0B75DE6">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C8A3BDA">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4BD29CE">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B43D031">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3D5A9FE">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1F46F5A">
      <w:pPr>
        <w:pStyle w:val="13"/>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32C2DC6">
      <w:pPr>
        <w:pStyle w:val="13"/>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三、商务文件格式</w:t>
      </w:r>
    </w:p>
    <w:p w14:paraId="3451922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1.投标书格式</w:t>
      </w:r>
    </w:p>
    <w:p w14:paraId="39020A11">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投标书</w:t>
      </w:r>
    </w:p>
    <w:p w14:paraId="4C295B42">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4209DDC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致：采购人或采购代理机构</w:t>
      </w:r>
    </w:p>
    <w:p w14:paraId="00DEAF0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根据贵方招标编号为（）的公开招标公告，签字代表（全名、职务）经正式授权并代表投标人（投标人名称、地址）提交电子投标文件一份，并对之负法律责任。</w:t>
      </w:r>
    </w:p>
    <w:p w14:paraId="54A0772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技术文件第1至</w:t>
      </w:r>
      <w:r>
        <w:rPr>
          <w:rFonts w:hint="eastAsia" w:asciiTheme="minorEastAsia" w:hAnsiTheme="minorEastAsia" w:eastAsiaTheme="minorEastAsia" w:cstheme="minorEastAsia"/>
          <w:b w:val="0"/>
          <w:bCs w:val="0"/>
          <w:sz w:val="24"/>
          <w:szCs w:val="24"/>
          <w:u w:val="single"/>
          <w:lang w:val="en-US" w:eastAsia="zh-CN"/>
        </w:rPr>
        <w:t xml:space="preserve">   项</w:t>
      </w:r>
      <w:r>
        <w:rPr>
          <w:rFonts w:hint="eastAsia" w:asciiTheme="minorEastAsia" w:hAnsiTheme="minorEastAsia" w:eastAsiaTheme="minorEastAsia" w:cstheme="minorEastAsia"/>
          <w:b w:val="0"/>
          <w:bCs w:val="0"/>
          <w:sz w:val="24"/>
          <w:szCs w:val="24"/>
          <w:u w:val="none"/>
          <w:lang w:val="en-US" w:eastAsia="zh-CN"/>
        </w:rPr>
        <w:t>，</w:t>
      </w:r>
      <w:r>
        <w:rPr>
          <w:rFonts w:hint="eastAsia" w:asciiTheme="minorEastAsia" w:hAnsiTheme="minorEastAsia" w:eastAsiaTheme="minorEastAsia" w:cstheme="minorEastAsia"/>
          <w:b w:val="0"/>
          <w:bCs w:val="0"/>
          <w:sz w:val="24"/>
          <w:szCs w:val="24"/>
          <w:lang w:eastAsia="zh-CN"/>
        </w:rPr>
        <w:t>商务文件第1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3A88138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3C102D1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65E510C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2、如果我们的投标书被接受，我们将履行招标文件中规定的每一项要求，按期、按质、按量履行合同。</w:t>
      </w:r>
    </w:p>
    <w:p w14:paraId="6792F32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30FB498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4、我方已详细审查全部招标文件，包括修改文件以及全部参考资料和有关附件。我们完全理解并同意放弃对这方面有不明白及误解的权力。</w:t>
      </w:r>
    </w:p>
    <w:p w14:paraId="28D6E0B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5、本投标自开标之日起有效期为60天。</w:t>
      </w:r>
    </w:p>
    <w:p w14:paraId="784FB72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2083ACE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290732D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318DB9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投标人名称（公章）：</w:t>
      </w:r>
    </w:p>
    <w:p w14:paraId="289E48E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sectPr>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p>
    <w:p w14:paraId="0C94770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商务偏差表格式</w:t>
      </w:r>
    </w:p>
    <w:p w14:paraId="413504E3">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1EC26AB9">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5C0B9FD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2FD943F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项目编号：</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26A1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599F228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148427A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招标文件</w:t>
            </w:r>
          </w:p>
          <w:p w14:paraId="3A0C95F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1A9B32C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投标文件商务条款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68DFBD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3482142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56A8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BACFD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125A2E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A74731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C2C863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ED5FCC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6A07E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4F26A1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38BED6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470438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FAC7C5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6DF617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52C3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64F85F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EA8AC2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256BCD6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510FF3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3F5CC2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9530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781CAB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72A148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C3553C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9A0721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597764B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7BD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034D20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CF8CF5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492F38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135DD9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33C0CA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426A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A4134E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A86DB1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3EC8FE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0141F8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01BD58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9135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40CE27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34CCB31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6498DE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C258A0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18AE76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07E0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3EFCBC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EDBBC0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5F3BA5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18BA6E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10DD4E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1B8E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58980D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616691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095BA8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4FFC252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700155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285F6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C91A25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760F432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1C60491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019C2A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E4EA11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76C8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7A29E9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7832B3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96B8A6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9F587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AD4CEA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035DEE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投标人（公章）：法定代表人（负责人）或授权代表（签字）：</w:t>
      </w:r>
    </w:p>
    <w:p w14:paraId="15EE80A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70AA84CD">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25F0ED25">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525E1932">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3.</w:t>
      </w:r>
      <w:r>
        <w:rPr>
          <w:rFonts w:hint="eastAsia" w:asciiTheme="minorEastAsia" w:hAnsiTheme="minorEastAsia" w:eastAsiaTheme="minorEastAsia" w:cstheme="minorEastAsia"/>
          <w:b/>
          <w:sz w:val="24"/>
          <w:szCs w:val="24"/>
          <w:lang w:val="en-US" w:eastAsia="zh-CN"/>
        </w:rPr>
        <w:t>体系认证证书</w:t>
      </w:r>
    </w:p>
    <w:p w14:paraId="18999B68">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4.</w:t>
      </w:r>
      <w:r>
        <w:rPr>
          <w:rFonts w:hint="eastAsia" w:asciiTheme="minorEastAsia" w:hAnsiTheme="minorEastAsia" w:eastAsiaTheme="minorEastAsia" w:cstheme="minorEastAsia"/>
          <w:b/>
          <w:sz w:val="24"/>
          <w:szCs w:val="24"/>
          <w:lang w:eastAsia="zh-CN"/>
        </w:rPr>
        <w:t>投标人业绩</w:t>
      </w:r>
    </w:p>
    <w:p w14:paraId="2F530A0E">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5.</w:t>
      </w:r>
      <w:r>
        <w:rPr>
          <w:rFonts w:hint="eastAsia" w:asciiTheme="minorEastAsia" w:hAnsiTheme="minorEastAsia" w:eastAsiaTheme="minorEastAsia" w:cstheme="minorEastAsia"/>
          <w:b/>
          <w:sz w:val="24"/>
          <w:szCs w:val="24"/>
          <w:lang w:val="en-US" w:eastAsia="zh-CN"/>
        </w:rPr>
        <w:t>服务质量保证承诺</w:t>
      </w:r>
    </w:p>
    <w:p w14:paraId="27306C19">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napToGrid w:val="0"/>
          <w:color w:val="000000"/>
          <w:kern w:val="0"/>
          <w:sz w:val="24"/>
          <w:szCs w:val="24"/>
          <w:lang w:val="en-US" w:eastAsia="zh-CN" w:bidi="ar-SA"/>
        </w:rPr>
        <w:t>6.</w:t>
      </w:r>
      <w:r>
        <w:rPr>
          <w:rFonts w:hint="eastAsia" w:asciiTheme="minorEastAsia" w:hAnsiTheme="minorEastAsia" w:eastAsiaTheme="minorEastAsia" w:cstheme="minorEastAsia"/>
          <w:b/>
          <w:sz w:val="24"/>
          <w:szCs w:val="24"/>
          <w:lang w:val="en-US" w:eastAsia="zh-CN"/>
        </w:rPr>
        <w:t>人员配置</w:t>
      </w:r>
    </w:p>
    <w:p w14:paraId="777BACAD">
      <w:pPr>
        <w:keepNext w:val="0"/>
        <w:keepLines w:val="0"/>
        <w:pageBreakBefore w:val="0"/>
        <w:kinsoku/>
        <w:wordWrap w:val="0"/>
        <w:overflowPunct/>
        <w:topLinePunct w:val="0"/>
        <w:bidi w:val="0"/>
        <w:spacing w:after="120" w:line="360" w:lineRule="auto"/>
        <w:jc w:val="both"/>
        <w:rPr>
          <w:rFonts w:hint="eastAsia" w:asciiTheme="minorEastAsia" w:hAnsiTheme="minorEastAsia" w:eastAsiaTheme="minorEastAsia" w:cstheme="minorEastAsia"/>
          <w:b/>
          <w:sz w:val="24"/>
          <w:szCs w:val="24"/>
          <w:lang w:val="en-US" w:eastAsia="zh-CN"/>
        </w:rPr>
      </w:pPr>
    </w:p>
    <w:p w14:paraId="3A822E7D">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0" w:firstLineChars="0"/>
        <w:jc w:val="both"/>
        <w:textAlignment w:val="baseline"/>
        <w:rPr>
          <w:rFonts w:hint="eastAsia" w:eastAsia="Arial" w:cs="Arial"/>
          <w:b/>
          <w:snapToGrid w:val="0"/>
          <w:color w:val="000000"/>
          <w:kern w:val="0"/>
          <w:sz w:val="24"/>
          <w:szCs w:val="24"/>
          <w:lang w:val="en-US" w:eastAsia="zh-CN" w:bidi="ar-SA"/>
        </w:rPr>
      </w:pPr>
      <w:r>
        <w:rPr>
          <w:rFonts w:hint="eastAsia" w:ascii="宋体" w:hAnsi="宋体" w:eastAsia="Arial" w:cs="Arial"/>
          <w:b/>
          <w:snapToGrid w:val="0"/>
          <w:color w:val="000000"/>
          <w:kern w:val="0"/>
          <w:sz w:val="24"/>
          <w:szCs w:val="24"/>
          <w:lang w:val="en-US" w:eastAsia="zh-CN" w:bidi="ar-SA"/>
        </w:rPr>
        <w:t>7.中小企业、监狱企业或残疾人福利性单位声明函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04B84529">
      <w:pPr>
        <w:pStyle w:val="2"/>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Chars="0" w:right="0" w:rightChars="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47310C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8998FE9">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0460621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7650FC4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6006C4F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2AAD7CA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41281A5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597266A5">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31807FD4">
      <w:pPr>
        <w:pStyle w:val="2"/>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2E9D24A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DEBF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24905B4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2ED7D555">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D54C45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4E3108AA">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27B2928F">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231894F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74F2E1D8">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6E24305B">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5164DE3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7C5A2C31">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11820CA4">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0C769CA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723EAA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884AB73">
      <w:pPr>
        <w:pStyle w:val="2"/>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4B877DD0">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D74753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19819D2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614B710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1E778D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37B1A2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0A290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61DA38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71A393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F42CA3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916FBF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7C179D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2A12C9F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7701A0E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0B4F0D9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06FBB5B4">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0688DB87">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02B1B9A7">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7282DD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8.招标文件要求的其它材料及投标人认为有必要提供的材料</w:t>
      </w:r>
    </w:p>
    <w:p w14:paraId="32A64C9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p>
    <w:sectPr>
      <w:headerReference r:id="rId16" w:type="default"/>
      <w:footerReference r:id="rId17"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0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18030">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AED413">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64A8C">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626C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C4626CE">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9B740">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E61F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6EE61F0">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96ED9">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3A3F5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683A3F57">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A23B3">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8A12C5">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678A12C5">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EBE7D">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03816F">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5803816F">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E7584">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4031DD">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4031DD">
                    <w:pPr>
                      <w:pStyle w:val="10"/>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07317C">
    <w:pPr>
      <w:pStyle w:val="1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707C7B">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BEAC7">
    <w:pPr>
      <w:pStyle w:val="12"/>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C6F4D">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B590F">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81195">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MWVlZWVkY2UzNDQwNDJlMDFiNjgyOGQxYmM0ZWZkYWEifQ=="/>
  </w:docVars>
  <w:rsids>
    <w:rsidRoot w:val="00000000"/>
    <w:rsid w:val="00063B25"/>
    <w:rsid w:val="0096273C"/>
    <w:rsid w:val="00D24FF0"/>
    <w:rsid w:val="014E35A1"/>
    <w:rsid w:val="01C02D71"/>
    <w:rsid w:val="023E759B"/>
    <w:rsid w:val="027730B6"/>
    <w:rsid w:val="02FA03F5"/>
    <w:rsid w:val="03217B69"/>
    <w:rsid w:val="03C26B83"/>
    <w:rsid w:val="03CC315E"/>
    <w:rsid w:val="03DF5A69"/>
    <w:rsid w:val="042F62B6"/>
    <w:rsid w:val="044921B6"/>
    <w:rsid w:val="046E59EF"/>
    <w:rsid w:val="050D556D"/>
    <w:rsid w:val="05234F67"/>
    <w:rsid w:val="05545C1C"/>
    <w:rsid w:val="055748A3"/>
    <w:rsid w:val="059A3EA8"/>
    <w:rsid w:val="06593C39"/>
    <w:rsid w:val="06787E06"/>
    <w:rsid w:val="06AF4861"/>
    <w:rsid w:val="06B0495B"/>
    <w:rsid w:val="06C93A28"/>
    <w:rsid w:val="06E37C8B"/>
    <w:rsid w:val="076721B4"/>
    <w:rsid w:val="07B92F69"/>
    <w:rsid w:val="08CB596A"/>
    <w:rsid w:val="08ED307D"/>
    <w:rsid w:val="08F24EA3"/>
    <w:rsid w:val="091F6FCA"/>
    <w:rsid w:val="092D385C"/>
    <w:rsid w:val="09684744"/>
    <w:rsid w:val="09A129E2"/>
    <w:rsid w:val="09CC6764"/>
    <w:rsid w:val="09E3271C"/>
    <w:rsid w:val="09FB21F2"/>
    <w:rsid w:val="0A29644D"/>
    <w:rsid w:val="0A437032"/>
    <w:rsid w:val="0A486323"/>
    <w:rsid w:val="0A633B33"/>
    <w:rsid w:val="0AB46C2A"/>
    <w:rsid w:val="0ABC7CF1"/>
    <w:rsid w:val="0ABE6FC5"/>
    <w:rsid w:val="0AD86A92"/>
    <w:rsid w:val="0B3B7AF5"/>
    <w:rsid w:val="0B3C24F6"/>
    <w:rsid w:val="0BC76E66"/>
    <w:rsid w:val="0BF0521B"/>
    <w:rsid w:val="0CB101B0"/>
    <w:rsid w:val="0CBD4DA7"/>
    <w:rsid w:val="0CF900A3"/>
    <w:rsid w:val="0D9A718E"/>
    <w:rsid w:val="0DA859D3"/>
    <w:rsid w:val="0DD30B7C"/>
    <w:rsid w:val="0E307EEE"/>
    <w:rsid w:val="0EE83F9D"/>
    <w:rsid w:val="0F0D035A"/>
    <w:rsid w:val="0FB87AA7"/>
    <w:rsid w:val="0FE34B24"/>
    <w:rsid w:val="102C0845"/>
    <w:rsid w:val="104F3F68"/>
    <w:rsid w:val="108E3EFD"/>
    <w:rsid w:val="10B145AD"/>
    <w:rsid w:val="115A7068"/>
    <w:rsid w:val="11620280"/>
    <w:rsid w:val="117D2D56"/>
    <w:rsid w:val="11B43A6A"/>
    <w:rsid w:val="11B5429E"/>
    <w:rsid w:val="122675E2"/>
    <w:rsid w:val="122C58BA"/>
    <w:rsid w:val="12417927"/>
    <w:rsid w:val="126E021D"/>
    <w:rsid w:val="12C549DA"/>
    <w:rsid w:val="12D9220E"/>
    <w:rsid w:val="12FD5FFB"/>
    <w:rsid w:val="1380268A"/>
    <w:rsid w:val="13C5707D"/>
    <w:rsid w:val="13F07810"/>
    <w:rsid w:val="1446371A"/>
    <w:rsid w:val="146A5814"/>
    <w:rsid w:val="14EC3DCF"/>
    <w:rsid w:val="15037E2D"/>
    <w:rsid w:val="156B2323"/>
    <w:rsid w:val="158F12AA"/>
    <w:rsid w:val="15AC3C0A"/>
    <w:rsid w:val="15B05882"/>
    <w:rsid w:val="15E04F64"/>
    <w:rsid w:val="164719A8"/>
    <w:rsid w:val="164A7458"/>
    <w:rsid w:val="167331AE"/>
    <w:rsid w:val="16F45CE8"/>
    <w:rsid w:val="16FC049F"/>
    <w:rsid w:val="174C193E"/>
    <w:rsid w:val="179B0D80"/>
    <w:rsid w:val="17B27393"/>
    <w:rsid w:val="17CE654F"/>
    <w:rsid w:val="17E20058"/>
    <w:rsid w:val="183D23CB"/>
    <w:rsid w:val="18510AEB"/>
    <w:rsid w:val="18610CDC"/>
    <w:rsid w:val="18D56FD4"/>
    <w:rsid w:val="19161B44"/>
    <w:rsid w:val="19D46BD3"/>
    <w:rsid w:val="19E260C0"/>
    <w:rsid w:val="1A0933D9"/>
    <w:rsid w:val="1A464AA0"/>
    <w:rsid w:val="1A6B22E0"/>
    <w:rsid w:val="1A994811"/>
    <w:rsid w:val="1AAC0209"/>
    <w:rsid w:val="1AC47924"/>
    <w:rsid w:val="1AF57E02"/>
    <w:rsid w:val="1B4F168F"/>
    <w:rsid w:val="1B6F0841"/>
    <w:rsid w:val="1CC7132A"/>
    <w:rsid w:val="1D391455"/>
    <w:rsid w:val="1D72498F"/>
    <w:rsid w:val="1D9D7C75"/>
    <w:rsid w:val="1E0754FF"/>
    <w:rsid w:val="1E2712E1"/>
    <w:rsid w:val="1E7249AF"/>
    <w:rsid w:val="1EFB350D"/>
    <w:rsid w:val="1F2D0CD5"/>
    <w:rsid w:val="1F8737CC"/>
    <w:rsid w:val="1FE61854"/>
    <w:rsid w:val="1FF31541"/>
    <w:rsid w:val="20F10837"/>
    <w:rsid w:val="210939CE"/>
    <w:rsid w:val="212D6A29"/>
    <w:rsid w:val="217E2260"/>
    <w:rsid w:val="21DC7625"/>
    <w:rsid w:val="21E33D7D"/>
    <w:rsid w:val="22545716"/>
    <w:rsid w:val="22937C80"/>
    <w:rsid w:val="22E737AC"/>
    <w:rsid w:val="23C6058D"/>
    <w:rsid w:val="23D34A58"/>
    <w:rsid w:val="24955BBA"/>
    <w:rsid w:val="24C8734D"/>
    <w:rsid w:val="24E94D19"/>
    <w:rsid w:val="25052271"/>
    <w:rsid w:val="255045B2"/>
    <w:rsid w:val="256253DA"/>
    <w:rsid w:val="25722260"/>
    <w:rsid w:val="257A4289"/>
    <w:rsid w:val="25A83616"/>
    <w:rsid w:val="25D07317"/>
    <w:rsid w:val="260373D2"/>
    <w:rsid w:val="263A5FE5"/>
    <w:rsid w:val="265713EE"/>
    <w:rsid w:val="266177F8"/>
    <w:rsid w:val="26734FA1"/>
    <w:rsid w:val="267811A0"/>
    <w:rsid w:val="275639D6"/>
    <w:rsid w:val="27EF7E63"/>
    <w:rsid w:val="27F6032D"/>
    <w:rsid w:val="290A1914"/>
    <w:rsid w:val="291476A5"/>
    <w:rsid w:val="2944096C"/>
    <w:rsid w:val="29462E99"/>
    <w:rsid w:val="29C94933"/>
    <w:rsid w:val="29EF5E58"/>
    <w:rsid w:val="2A5E573D"/>
    <w:rsid w:val="2A870159"/>
    <w:rsid w:val="2ABA04F6"/>
    <w:rsid w:val="2AD7512C"/>
    <w:rsid w:val="2B296C36"/>
    <w:rsid w:val="2B32017A"/>
    <w:rsid w:val="2B4C1378"/>
    <w:rsid w:val="2BD35370"/>
    <w:rsid w:val="2C4C3D72"/>
    <w:rsid w:val="2CA1464D"/>
    <w:rsid w:val="2CB368C6"/>
    <w:rsid w:val="2CE542E8"/>
    <w:rsid w:val="2D4C797B"/>
    <w:rsid w:val="2D854259"/>
    <w:rsid w:val="2D86518D"/>
    <w:rsid w:val="2DC25921"/>
    <w:rsid w:val="2DD5743D"/>
    <w:rsid w:val="2DF6291A"/>
    <w:rsid w:val="2DFB1083"/>
    <w:rsid w:val="2E037ECE"/>
    <w:rsid w:val="2E123636"/>
    <w:rsid w:val="2EDE4089"/>
    <w:rsid w:val="2F795793"/>
    <w:rsid w:val="2F7E5B21"/>
    <w:rsid w:val="2FAF3423"/>
    <w:rsid w:val="305F18E8"/>
    <w:rsid w:val="30825757"/>
    <w:rsid w:val="311741D6"/>
    <w:rsid w:val="3119309A"/>
    <w:rsid w:val="312A5594"/>
    <w:rsid w:val="312C625F"/>
    <w:rsid w:val="31C81974"/>
    <w:rsid w:val="32230959"/>
    <w:rsid w:val="328B08A3"/>
    <w:rsid w:val="3322495F"/>
    <w:rsid w:val="337450B5"/>
    <w:rsid w:val="344C700B"/>
    <w:rsid w:val="34C22FEC"/>
    <w:rsid w:val="34EB0670"/>
    <w:rsid w:val="34F86C33"/>
    <w:rsid w:val="34F92D27"/>
    <w:rsid w:val="357D65D2"/>
    <w:rsid w:val="359A096B"/>
    <w:rsid w:val="35D901A4"/>
    <w:rsid w:val="36266C69"/>
    <w:rsid w:val="36B765C5"/>
    <w:rsid w:val="374E72FE"/>
    <w:rsid w:val="37512649"/>
    <w:rsid w:val="37C036A0"/>
    <w:rsid w:val="37D664EB"/>
    <w:rsid w:val="37E776C2"/>
    <w:rsid w:val="383C09C6"/>
    <w:rsid w:val="38704382"/>
    <w:rsid w:val="388B2F38"/>
    <w:rsid w:val="399D1B1E"/>
    <w:rsid w:val="3A046503"/>
    <w:rsid w:val="3B023F65"/>
    <w:rsid w:val="3B35724B"/>
    <w:rsid w:val="3B6E05FF"/>
    <w:rsid w:val="3BB63ADA"/>
    <w:rsid w:val="3BDC4EDA"/>
    <w:rsid w:val="3C37498E"/>
    <w:rsid w:val="3C860462"/>
    <w:rsid w:val="3C94450B"/>
    <w:rsid w:val="3CD83A9C"/>
    <w:rsid w:val="3D051AB3"/>
    <w:rsid w:val="3D13022E"/>
    <w:rsid w:val="3D9C0E9C"/>
    <w:rsid w:val="3DAE7C70"/>
    <w:rsid w:val="3DDE7B24"/>
    <w:rsid w:val="3E353902"/>
    <w:rsid w:val="3E491EE2"/>
    <w:rsid w:val="3E60285C"/>
    <w:rsid w:val="3E7A6E5F"/>
    <w:rsid w:val="3E807399"/>
    <w:rsid w:val="3E923BF9"/>
    <w:rsid w:val="3EB42347"/>
    <w:rsid w:val="3ED454B4"/>
    <w:rsid w:val="3F0A4EA1"/>
    <w:rsid w:val="3F487C50"/>
    <w:rsid w:val="3F814E1B"/>
    <w:rsid w:val="3FC65745"/>
    <w:rsid w:val="3FCE3BC4"/>
    <w:rsid w:val="40274071"/>
    <w:rsid w:val="402F3746"/>
    <w:rsid w:val="405D1A2A"/>
    <w:rsid w:val="407F405E"/>
    <w:rsid w:val="409370B0"/>
    <w:rsid w:val="40D41902"/>
    <w:rsid w:val="41884B35"/>
    <w:rsid w:val="42044303"/>
    <w:rsid w:val="42100EF9"/>
    <w:rsid w:val="42360234"/>
    <w:rsid w:val="423849B8"/>
    <w:rsid w:val="435F746A"/>
    <w:rsid w:val="4372309F"/>
    <w:rsid w:val="44093E52"/>
    <w:rsid w:val="444E5D13"/>
    <w:rsid w:val="446F3136"/>
    <w:rsid w:val="44790C24"/>
    <w:rsid w:val="45100B70"/>
    <w:rsid w:val="453A628D"/>
    <w:rsid w:val="45CF0C25"/>
    <w:rsid w:val="45D92790"/>
    <w:rsid w:val="45DD7715"/>
    <w:rsid w:val="46300235"/>
    <w:rsid w:val="46794807"/>
    <w:rsid w:val="47503B46"/>
    <w:rsid w:val="4770652A"/>
    <w:rsid w:val="47C562E2"/>
    <w:rsid w:val="47C81344"/>
    <w:rsid w:val="47EC5038"/>
    <w:rsid w:val="483B0352"/>
    <w:rsid w:val="488A3088"/>
    <w:rsid w:val="48DF1625"/>
    <w:rsid w:val="48F078C5"/>
    <w:rsid w:val="49320965"/>
    <w:rsid w:val="49AC2E6D"/>
    <w:rsid w:val="4A3F3154"/>
    <w:rsid w:val="4A4562D3"/>
    <w:rsid w:val="4A52328E"/>
    <w:rsid w:val="4B050440"/>
    <w:rsid w:val="4B227F62"/>
    <w:rsid w:val="4B6545C2"/>
    <w:rsid w:val="4BBC369E"/>
    <w:rsid w:val="4CEC4659"/>
    <w:rsid w:val="4D493511"/>
    <w:rsid w:val="4DF21FC2"/>
    <w:rsid w:val="4DF932EA"/>
    <w:rsid w:val="4E201C1D"/>
    <w:rsid w:val="4E453CD9"/>
    <w:rsid w:val="4E7A34EC"/>
    <w:rsid w:val="4E861641"/>
    <w:rsid w:val="4FAB04B3"/>
    <w:rsid w:val="4FB426AD"/>
    <w:rsid w:val="4FEE2DC9"/>
    <w:rsid w:val="50067E95"/>
    <w:rsid w:val="51346287"/>
    <w:rsid w:val="51850890"/>
    <w:rsid w:val="519F1DA4"/>
    <w:rsid w:val="525210BA"/>
    <w:rsid w:val="52A90328"/>
    <w:rsid w:val="52DC3333"/>
    <w:rsid w:val="53036690"/>
    <w:rsid w:val="53376A7B"/>
    <w:rsid w:val="537441A1"/>
    <w:rsid w:val="53B1020C"/>
    <w:rsid w:val="54065481"/>
    <w:rsid w:val="54574766"/>
    <w:rsid w:val="554C3B9F"/>
    <w:rsid w:val="557169CF"/>
    <w:rsid w:val="557D5D2A"/>
    <w:rsid w:val="55A41C2D"/>
    <w:rsid w:val="55B21CF7"/>
    <w:rsid w:val="56682D63"/>
    <w:rsid w:val="56905D0D"/>
    <w:rsid w:val="56FB4C08"/>
    <w:rsid w:val="574153BB"/>
    <w:rsid w:val="589A668A"/>
    <w:rsid w:val="58AC00F0"/>
    <w:rsid w:val="58C46E3D"/>
    <w:rsid w:val="58D971B2"/>
    <w:rsid w:val="59042C0B"/>
    <w:rsid w:val="59272568"/>
    <w:rsid w:val="59576FB6"/>
    <w:rsid w:val="59BC1D1A"/>
    <w:rsid w:val="59C142A0"/>
    <w:rsid w:val="59C641E6"/>
    <w:rsid w:val="59C97B25"/>
    <w:rsid w:val="59D65347"/>
    <w:rsid w:val="5A2E3043"/>
    <w:rsid w:val="5A9763C3"/>
    <w:rsid w:val="5A9920D7"/>
    <w:rsid w:val="5AEA63E6"/>
    <w:rsid w:val="5B2C7B17"/>
    <w:rsid w:val="5BCB0AF4"/>
    <w:rsid w:val="5C2D5181"/>
    <w:rsid w:val="5C9B1B86"/>
    <w:rsid w:val="5CA02E79"/>
    <w:rsid w:val="5CEA5B79"/>
    <w:rsid w:val="5D150553"/>
    <w:rsid w:val="5D3550FB"/>
    <w:rsid w:val="5D902A97"/>
    <w:rsid w:val="5E3606EF"/>
    <w:rsid w:val="5EDA32DC"/>
    <w:rsid w:val="5F3164D3"/>
    <w:rsid w:val="5F321771"/>
    <w:rsid w:val="5F3A0F0C"/>
    <w:rsid w:val="5F412CC2"/>
    <w:rsid w:val="5FE2771E"/>
    <w:rsid w:val="600E6D7C"/>
    <w:rsid w:val="605024FC"/>
    <w:rsid w:val="607F1E09"/>
    <w:rsid w:val="60BD2923"/>
    <w:rsid w:val="618C2692"/>
    <w:rsid w:val="622D31D4"/>
    <w:rsid w:val="62A74B0A"/>
    <w:rsid w:val="62E015B0"/>
    <w:rsid w:val="63510510"/>
    <w:rsid w:val="639D4CC6"/>
    <w:rsid w:val="642053CC"/>
    <w:rsid w:val="646A5DEF"/>
    <w:rsid w:val="646F5EF6"/>
    <w:rsid w:val="64BD2DCC"/>
    <w:rsid w:val="65785E0F"/>
    <w:rsid w:val="658A75F4"/>
    <w:rsid w:val="65CF7A95"/>
    <w:rsid w:val="65D8136B"/>
    <w:rsid w:val="66A23F66"/>
    <w:rsid w:val="66DA2BC6"/>
    <w:rsid w:val="672526A7"/>
    <w:rsid w:val="680D3662"/>
    <w:rsid w:val="68222C97"/>
    <w:rsid w:val="68333F9A"/>
    <w:rsid w:val="683858D3"/>
    <w:rsid w:val="68645FE7"/>
    <w:rsid w:val="688651C2"/>
    <w:rsid w:val="69413090"/>
    <w:rsid w:val="69855FCD"/>
    <w:rsid w:val="69941325"/>
    <w:rsid w:val="69BC17E8"/>
    <w:rsid w:val="69DD77FF"/>
    <w:rsid w:val="6A0360EE"/>
    <w:rsid w:val="6A517C50"/>
    <w:rsid w:val="6AE37CE3"/>
    <w:rsid w:val="6B0625EA"/>
    <w:rsid w:val="6B5442BA"/>
    <w:rsid w:val="6C593408"/>
    <w:rsid w:val="6C68544B"/>
    <w:rsid w:val="6C785167"/>
    <w:rsid w:val="6CF5719B"/>
    <w:rsid w:val="6D0715D4"/>
    <w:rsid w:val="6DDB2C74"/>
    <w:rsid w:val="6DE35014"/>
    <w:rsid w:val="6E0E0C0F"/>
    <w:rsid w:val="6E8E7670"/>
    <w:rsid w:val="6EEB0447"/>
    <w:rsid w:val="6F400426"/>
    <w:rsid w:val="6F846E05"/>
    <w:rsid w:val="6F8E65E9"/>
    <w:rsid w:val="6FAF3250"/>
    <w:rsid w:val="6FC71762"/>
    <w:rsid w:val="70312E6C"/>
    <w:rsid w:val="703F6560"/>
    <w:rsid w:val="70725ED5"/>
    <w:rsid w:val="70B362F9"/>
    <w:rsid w:val="71653340"/>
    <w:rsid w:val="71F347D3"/>
    <w:rsid w:val="71FC098F"/>
    <w:rsid w:val="72415D05"/>
    <w:rsid w:val="7296241B"/>
    <w:rsid w:val="732A300A"/>
    <w:rsid w:val="73803FEB"/>
    <w:rsid w:val="73CE2CA8"/>
    <w:rsid w:val="743A4414"/>
    <w:rsid w:val="747F7695"/>
    <w:rsid w:val="748C5DD6"/>
    <w:rsid w:val="75481E8A"/>
    <w:rsid w:val="754A398B"/>
    <w:rsid w:val="75857AA3"/>
    <w:rsid w:val="758D5DE2"/>
    <w:rsid w:val="75943299"/>
    <w:rsid w:val="76017BAF"/>
    <w:rsid w:val="760D48E0"/>
    <w:rsid w:val="767A5F36"/>
    <w:rsid w:val="76837B47"/>
    <w:rsid w:val="76B64EC4"/>
    <w:rsid w:val="76B97261"/>
    <w:rsid w:val="772D4414"/>
    <w:rsid w:val="7744228A"/>
    <w:rsid w:val="781E668F"/>
    <w:rsid w:val="788C166D"/>
    <w:rsid w:val="78AC0934"/>
    <w:rsid w:val="78BD4DDD"/>
    <w:rsid w:val="78E700F4"/>
    <w:rsid w:val="78EE7B24"/>
    <w:rsid w:val="7907377A"/>
    <w:rsid w:val="792E7F96"/>
    <w:rsid w:val="793B1352"/>
    <w:rsid w:val="79AB21E7"/>
    <w:rsid w:val="79CC501C"/>
    <w:rsid w:val="79F12DE4"/>
    <w:rsid w:val="7B0E17E2"/>
    <w:rsid w:val="7B3E48AE"/>
    <w:rsid w:val="7C4F16F8"/>
    <w:rsid w:val="7C6203C7"/>
    <w:rsid w:val="7CB47DAA"/>
    <w:rsid w:val="7D076A17"/>
    <w:rsid w:val="7D462131"/>
    <w:rsid w:val="7DBE6A52"/>
    <w:rsid w:val="7DC974CD"/>
    <w:rsid w:val="7E4B00B1"/>
    <w:rsid w:val="7EA62275"/>
    <w:rsid w:val="7F034C8E"/>
    <w:rsid w:val="7F235328"/>
    <w:rsid w:val="7F2421C0"/>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4">
    <w:name w:val="heading 2"/>
    <w:basedOn w:val="1"/>
    <w:next w:val="1"/>
    <w:autoRedefine/>
    <w:qFormat/>
    <w:uiPriority w:val="0"/>
    <w:pPr>
      <w:keepNext/>
      <w:keepLines/>
      <w:spacing w:line="360" w:lineRule="auto"/>
      <w:outlineLvl w:val="1"/>
    </w:pPr>
    <w:rPr>
      <w:rFonts w:ascii="Arial" w:hAnsi="Arial"/>
      <w:b/>
      <w:bCs/>
      <w:sz w:val="24"/>
      <w:szCs w:val="32"/>
    </w:rPr>
  </w:style>
  <w:style w:type="paragraph" w:styleId="5">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0"/>
    <w:rPr>
      <w:rFonts w:ascii="宋体" w:hAnsi="宋体" w:eastAsia="宋体" w:cs="宋体"/>
      <w:sz w:val="31"/>
      <w:szCs w:val="31"/>
      <w:lang w:val="en-US" w:eastAsia="en-US" w:bidi="ar-SA"/>
    </w:rPr>
  </w:style>
  <w:style w:type="paragraph" w:styleId="6">
    <w:name w:val="annotation text"/>
    <w:basedOn w:val="1"/>
    <w:autoRedefine/>
    <w:qFormat/>
    <w:uiPriority w:val="0"/>
    <w:pPr>
      <w:jc w:val="left"/>
    </w:pPr>
  </w:style>
  <w:style w:type="paragraph" w:styleId="7">
    <w:name w:val="Body Text Indent"/>
    <w:basedOn w:val="1"/>
    <w:autoRedefine/>
    <w:qFormat/>
    <w:uiPriority w:val="99"/>
    <w:pPr>
      <w:spacing w:after="120" w:afterLines="0"/>
      <w:ind w:left="420" w:leftChars="200"/>
    </w:pPr>
    <w:rPr>
      <w:kern w:val="2"/>
      <w:sz w:val="21"/>
      <w:lang w:eastAsia="zh-CN" w:bidi="ar-SA"/>
    </w:rPr>
  </w:style>
  <w:style w:type="paragraph" w:styleId="8">
    <w:name w:val="Plain Text"/>
    <w:basedOn w:val="1"/>
    <w:autoRedefine/>
    <w:qFormat/>
    <w:uiPriority w:val="0"/>
    <w:rPr>
      <w:rFonts w:ascii="宋体" w:hAnsi="Courier New" w:cs="Courier New"/>
      <w:szCs w:val="21"/>
    </w:rPr>
  </w:style>
  <w:style w:type="paragraph" w:styleId="9">
    <w:name w:val="Date"/>
    <w:basedOn w:val="1"/>
    <w:next w:val="1"/>
    <w:autoRedefine/>
    <w:qFormat/>
    <w:uiPriority w:val="0"/>
    <w:rPr>
      <w:kern w:val="2"/>
      <w:sz w:val="21"/>
      <w:lang w:eastAsia="zh-CN" w:bidi="ar-SA"/>
    </w:r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envelope return"/>
    <w:basedOn w:val="1"/>
    <w:autoRedefine/>
    <w:qFormat/>
    <w:uiPriority w:val="0"/>
    <w:pPr>
      <w:snapToGrid w:val="0"/>
    </w:pPr>
    <w:rPr>
      <w:rFonts w:ascii="Arial" w:hAnsi="Arial"/>
    </w:rPr>
  </w:style>
  <w:style w:type="paragraph" w:styleId="12">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footnote text"/>
    <w:basedOn w:val="1"/>
    <w:qFormat/>
    <w:uiPriority w:val="0"/>
    <w:pPr>
      <w:snapToGrid w:val="0"/>
      <w:jc w:val="left"/>
    </w:pPr>
    <w:rPr>
      <w:sz w:val="18"/>
      <w:szCs w:val="18"/>
    </w:rPr>
  </w:style>
  <w:style w:type="paragraph" w:styleId="14">
    <w:name w:val="Body Text 2"/>
    <w:basedOn w:val="1"/>
    <w:next w:val="2"/>
    <w:autoRedefine/>
    <w:qFormat/>
    <w:uiPriority w:val="0"/>
    <w:pPr>
      <w:spacing w:after="120" w:line="480" w:lineRule="auto"/>
    </w:pPr>
    <w:rPr>
      <w:rFonts w:ascii="Tahoma" w:hAnsi="Tahoma"/>
    </w:rPr>
  </w:style>
  <w:style w:type="paragraph" w:styleId="15">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Title"/>
    <w:basedOn w:val="1"/>
    <w:qFormat/>
    <w:uiPriority w:val="0"/>
    <w:pPr>
      <w:spacing w:before="240" w:after="60"/>
      <w:jc w:val="center"/>
      <w:outlineLvl w:val="0"/>
    </w:pPr>
    <w:rPr>
      <w:rFonts w:ascii="Arial" w:hAnsi="Arial"/>
      <w:b/>
      <w:sz w:val="32"/>
    </w:rPr>
  </w:style>
  <w:style w:type="paragraph" w:styleId="18">
    <w:name w:val="Body Text First Indent"/>
    <w:basedOn w:val="2"/>
    <w:next w:val="1"/>
    <w:qFormat/>
    <w:uiPriority w:val="99"/>
    <w:pPr>
      <w:spacing w:after="120" w:afterLines="0"/>
      <w:ind w:firstLine="420" w:firstLineChars="100"/>
    </w:pPr>
    <w:rPr>
      <w:rFonts w:ascii="Times New Roman" w:eastAsia="宋体"/>
      <w:sz w:val="21"/>
    </w:rPr>
  </w:style>
  <w:style w:type="paragraph" w:styleId="19">
    <w:name w:val="Body Text First Indent 2"/>
    <w:basedOn w:val="7"/>
    <w:next w:val="1"/>
    <w:autoRedefine/>
    <w:qFormat/>
    <w:uiPriority w:val="0"/>
    <w:pPr>
      <w:ind w:firstLine="200" w:firstLineChars="200"/>
    </w:pPr>
    <w:rPr>
      <w:kern w:val="2"/>
      <w:sz w:val="28"/>
      <w:lang w:eastAsia="zh-CN" w:bidi="ar-SA"/>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FollowedHyperlink"/>
    <w:basedOn w:val="22"/>
    <w:autoRedefine/>
    <w:qFormat/>
    <w:uiPriority w:val="0"/>
    <w:rPr>
      <w:color w:val="444444"/>
      <w:sz w:val="16"/>
      <w:szCs w:val="16"/>
      <w:u w:val="none"/>
    </w:rPr>
  </w:style>
  <w:style w:type="character" w:styleId="24">
    <w:name w:val="Hyperlink"/>
    <w:basedOn w:val="22"/>
    <w:autoRedefine/>
    <w:qFormat/>
    <w:uiPriority w:val="0"/>
    <w:rPr>
      <w:color w:val="0000FF"/>
      <w:u w:val="single"/>
    </w:rPr>
  </w:style>
  <w:style w:type="paragraph" w:customStyle="1" w:styleId="25">
    <w:name w:val="Default"/>
    <w:next w:val="1"/>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6">
    <w:name w:val="Char Char10 Char Char Char Char"/>
    <w:basedOn w:val="1"/>
    <w:next w:val="27"/>
    <w:autoRedefine/>
    <w:qFormat/>
    <w:uiPriority w:val="99"/>
    <w:pPr>
      <w:autoSpaceDE w:val="0"/>
      <w:autoSpaceDN w:val="0"/>
      <w:jc w:val="left"/>
    </w:pPr>
    <w:rPr>
      <w:rFonts w:ascii="宋体" w:hAnsi="宋体" w:cs="宋体"/>
      <w:lang w:val="zh-CN" w:bidi="zh-CN"/>
    </w:rPr>
  </w:style>
  <w:style w:type="paragraph" w:customStyle="1" w:styleId="27">
    <w:name w:val="xl87"/>
    <w:basedOn w:val="1"/>
    <w:next w:val="28"/>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8">
    <w:name w:val="xl72"/>
    <w:basedOn w:val="1"/>
    <w:next w:val="29"/>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29">
    <w:name w:val="Date1"/>
    <w:basedOn w:val="1"/>
    <w:next w:val="1"/>
    <w:qFormat/>
    <w:uiPriority w:val="0"/>
    <w:rPr>
      <w:kern w:val="2"/>
      <w:lang w:eastAsia="zh-CN"/>
    </w:rPr>
  </w:style>
  <w:style w:type="paragraph" w:customStyle="1" w:styleId="30">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31">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32">
    <w:name w:val="Table Normal"/>
    <w:autoRedefine/>
    <w:semiHidden/>
    <w:unhideWhenUsed/>
    <w:qFormat/>
    <w:uiPriority w:val="0"/>
    <w:tblPr>
      <w:tblCellMar>
        <w:top w:w="0" w:type="dxa"/>
        <w:left w:w="0" w:type="dxa"/>
        <w:bottom w:w="0" w:type="dxa"/>
        <w:right w:w="0" w:type="dxa"/>
      </w:tblCellMar>
    </w:tblPr>
  </w:style>
  <w:style w:type="paragraph" w:customStyle="1" w:styleId="33">
    <w:name w:val="Table Text"/>
    <w:basedOn w:val="1"/>
    <w:autoRedefine/>
    <w:semiHidden/>
    <w:qFormat/>
    <w:uiPriority w:val="0"/>
    <w:rPr>
      <w:rFonts w:ascii="Arial" w:hAnsi="Arial" w:eastAsia="Arial" w:cs="Arial"/>
      <w:sz w:val="21"/>
      <w:szCs w:val="21"/>
      <w:lang w:val="en-US" w:eastAsia="en-US" w:bidi="ar-SA"/>
    </w:rPr>
  </w:style>
  <w:style w:type="paragraph" w:customStyle="1" w:styleId="34">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35">
    <w:name w:val="hover18"/>
    <w:basedOn w:val="22"/>
    <w:autoRedefine/>
    <w:qFormat/>
    <w:uiPriority w:val="0"/>
  </w:style>
  <w:style w:type="paragraph" w:customStyle="1" w:styleId="36">
    <w:name w:val="列出段落1"/>
    <w:basedOn w:val="1"/>
    <w:autoRedefine/>
    <w:qFormat/>
    <w:uiPriority w:val="0"/>
    <w:pPr>
      <w:ind w:firstLine="420" w:firstLineChars="200"/>
    </w:pPr>
    <w:rPr>
      <w:szCs w:val="21"/>
    </w:rPr>
  </w:style>
  <w:style w:type="paragraph" w:styleId="37">
    <w:name w:val="List Paragraph"/>
    <w:basedOn w:val="1"/>
    <w:qFormat/>
    <w:uiPriority w:val="34"/>
    <w:pPr>
      <w:widowControl/>
      <w:spacing w:line="500" w:lineRule="exact"/>
      <w:ind w:left="720" w:firstLine="200" w:firstLineChars="200"/>
      <w:contextualSpacing/>
      <w:jc w:val="left"/>
    </w:pPr>
    <w:rPr>
      <w:rFonts w:hint="eastAsia" w:ascii="Arial Unicode MS" w:hAnsi="Arial Unicode MS" w:eastAsia="宋体" w:cs="Times New Roman"/>
      <w:szCs w:val="22"/>
      <w:lang w:val="zh-TW" w:eastAsia="zh-TW"/>
    </w:rPr>
  </w:style>
  <w:style w:type="character" w:customStyle="1" w:styleId="38">
    <w:name w:val="fontstyle01"/>
    <w:basedOn w:val="22"/>
    <w:qFormat/>
    <w:uiPriority w:val="0"/>
    <w:rPr>
      <w:rFonts w:hint="eastAsia" w:ascii="宋体" w:hAnsi="宋体" w:eastAsia="宋体" w:cs="宋体"/>
      <w:color w:val="000000"/>
      <w:sz w:val="24"/>
      <w:szCs w:val="24"/>
    </w:rPr>
  </w:style>
  <w:style w:type="character" w:customStyle="1" w:styleId="39">
    <w:name w:val="fontstyle21"/>
    <w:basedOn w:val="22"/>
    <w:qFormat/>
    <w:uiPriority w:val="0"/>
    <w:rPr>
      <w:rFonts w:hint="default" w:ascii="Times New Roman" w:hAnsi="Times New Roman" w:cs="Times New Roman"/>
      <w:color w:val="000000"/>
      <w:sz w:val="22"/>
      <w:szCs w:val="22"/>
    </w:rPr>
  </w:style>
  <w:style w:type="paragraph" w:customStyle="1" w:styleId="40">
    <w:name w:val="Table Paragraph"/>
    <w:basedOn w:val="1"/>
    <w:qFormat/>
    <w:uiPriority w:val="0"/>
    <w:rPr>
      <w:rFonts w:ascii="宋体" w:hAnsi="宋体" w:eastAsia="宋体" w:cs="宋体"/>
      <w:szCs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69</Pages>
  <Words>15930</Words>
  <Characters>16782</Characters>
  <TotalTime>0</TotalTime>
  <ScaleCrop>false</ScaleCrop>
  <LinksUpToDate>false</LinksUpToDate>
  <CharactersWithSpaces>17079</CharactersWithSpaces>
  <Application>WPS Office_12.1.0.18608_F1E327BC-269C-435d-A152-05C5408002CA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WPS_1468317985</cp:lastModifiedBy>
  <cp:lastPrinted>2024-04-07T03:01:00Z</cp:lastPrinted>
  <dcterms:modified xsi:type="dcterms:W3CDTF">2025-10-29T01:09:31Z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2052-12.1.0.18608</vt:lpwstr>
  </property>
  <property fmtid="{D5CDD505-2E9C-101B-9397-08002B2CF9AE}" pid="5" name="ICV">
    <vt:lpwstr>6DE3314A26CA47779A2FCFE2CB3BB098_13</vt:lpwstr>
  </property>
  <property fmtid="{D5CDD505-2E9C-101B-9397-08002B2CF9AE}" pid="6" name="KSOTemplateDocerSaveRecord">
    <vt:lpwstr>eyJoZGlkIjoiNTRhZmI2YjI3MzQwYzY4YjFhODMwMWViZDQyYjJjNjkiLCJ1c2VySWQiOiI1NTA3MjEzNTcifQ==</vt:lpwstr>
  </property>
</Properties>
</file>