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21DA6">
      <w:pPr>
        <w:spacing w:line="360" w:lineRule="auto"/>
        <w:jc w:val="center"/>
        <w:rPr>
          <w:rFonts w:hint="eastAsia" w:ascii="宋体" w:hAnsi="宋体" w:cs="宋体"/>
          <w:b/>
          <w:sz w:val="24"/>
          <w:szCs w:val="24"/>
          <w:lang w:val="en-US" w:eastAsia="zh-CN"/>
        </w:rPr>
      </w:pPr>
      <w:r>
        <w:rPr>
          <w:rFonts w:hint="eastAsia" w:ascii="宋体" w:hAnsi="宋体" w:cs="宋体"/>
          <w:b/>
          <w:sz w:val="24"/>
          <w:szCs w:val="24"/>
          <w:lang w:val="en-US" w:eastAsia="zh-CN"/>
        </w:rPr>
        <w:t xml:space="preserve"> </w:t>
      </w:r>
    </w:p>
    <w:p w14:paraId="0F9AA4A5">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 xml:space="preserve"> </w:t>
      </w:r>
    </w:p>
    <w:p w14:paraId="44DA85DA">
      <w:pPr>
        <w:pStyle w:val="17"/>
        <w:spacing w:line="360" w:lineRule="auto"/>
        <w:jc w:val="center"/>
        <w:rPr>
          <w:rFonts w:hint="default" w:ascii="仿宋" w:hAnsi="仿宋" w:eastAsia="仿宋" w:cs="仿宋"/>
          <w:b/>
          <w:spacing w:val="14"/>
          <w:sz w:val="84"/>
          <w:szCs w:val="84"/>
          <w:lang w:val="en-US"/>
        </w:rPr>
      </w:pPr>
      <w:r>
        <w:rPr>
          <w:rFonts w:hint="eastAsia" w:ascii="仿宋" w:hAnsi="仿宋" w:eastAsia="仿宋" w:cs="仿宋"/>
          <w:b/>
          <w:spacing w:val="14"/>
          <w:sz w:val="44"/>
          <w:szCs w:val="44"/>
          <w:lang w:eastAsia="zh-CN"/>
        </w:rPr>
        <w:t>中牟县职业中等专业学校改扩建二期监理项目</w:t>
      </w:r>
    </w:p>
    <w:p w14:paraId="4E9D5C5D">
      <w:pPr>
        <w:pStyle w:val="37"/>
        <w:jc w:val="center"/>
        <w:rPr>
          <w:rFonts w:hint="eastAsia" w:ascii="仿宋" w:hAnsi="仿宋" w:eastAsia="仿宋" w:cs="仿宋"/>
          <w:b/>
          <w:spacing w:val="14"/>
          <w:sz w:val="84"/>
          <w:szCs w:val="84"/>
        </w:rPr>
      </w:pPr>
    </w:p>
    <w:p w14:paraId="4F3A233E">
      <w:pPr>
        <w:pStyle w:val="37"/>
        <w:jc w:val="center"/>
        <w:rPr>
          <w:rFonts w:hint="eastAsia" w:ascii="仿宋" w:hAnsi="仿宋" w:eastAsia="仿宋" w:cs="仿宋"/>
          <w:b/>
          <w:spacing w:val="14"/>
          <w:sz w:val="84"/>
          <w:szCs w:val="84"/>
          <w:lang w:val="en-US" w:eastAsia="zh-CN"/>
        </w:rPr>
      </w:pPr>
      <w:r>
        <w:rPr>
          <w:rFonts w:hint="eastAsia" w:ascii="仿宋" w:hAnsi="仿宋" w:eastAsia="仿宋" w:cs="仿宋"/>
          <w:b/>
          <w:spacing w:val="14"/>
          <w:sz w:val="84"/>
          <w:szCs w:val="84"/>
        </w:rPr>
        <w:t>竞争性磋商文件</w:t>
      </w:r>
    </w:p>
    <w:p w14:paraId="084F076E">
      <w:pPr>
        <w:rPr>
          <w:rFonts w:hint="default"/>
          <w:lang w:val="en-US" w:eastAsia="zh-CN"/>
        </w:rPr>
      </w:pPr>
    </w:p>
    <w:p w14:paraId="4299FF50">
      <w:pPr>
        <w:ind w:firstLine="2156" w:firstLineChars="700"/>
        <w:jc w:val="both"/>
        <w:rPr>
          <w:rFonts w:hint="default" w:ascii="仿宋" w:hAnsi="仿宋" w:eastAsia="仿宋" w:cs="仿宋"/>
          <w:b/>
          <w:color w:val="auto"/>
          <w:spacing w:val="14"/>
          <w:sz w:val="28"/>
          <w:szCs w:val="32"/>
          <w:highlight w:val="yellow"/>
          <w:lang w:val="en-US" w:eastAsia="zh-CN"/>
        </w:rPr>
      </w:pPr>
      <w:r>
        <w:rPr>
          <w:rFonts w:hint="eastAsia" w:ascii="仿宋" w:hAnsi="仿宋" w:eastAsia="仿宋" w:cs="仿宋"/>
          <w:b/>
          <w:color w:val="auto"/>
          <w:spacing w:val="14"/>
          <w:sz w:val="28"/>
          <w:szCs w:val="32"/>
          <w:highlight w:val="none"/>
          <w:lang w:eastAsia="zh-CN"/>
        </w:rPr>
        <w:t>项目编号：</w:t>
      </w:r>
      <w:r>
        <w:rPr>
          <w:rFonts w:hint="eastAsia" w:ascii="仿宋" w:hAnsi="仿宋" w:eastAsia="仿宋" w:cs="仿宋"/>
          <w:b/>
          <w:color w:val="auto"/>
          <w:spacing w:val="14"/>
          <w:sz w:val="28"/>
          <w:szCs w:val="32"/>
          <w:highlight w:val="none"/>
          <w:lang w:val="en-US" w:eastAsia="zh-CN"/>
        </w:rPr>
        <w:t>中牟磋商采购-2026-10</w:t>
      </w:r>
    </w:p>
    <w:p w14:paraId="1D8CF96A">
      <w:pPr>
        <w:spacing w:line="360" w:lineRule="auto"/>
        <w:jc w:val="both"/>
        <w:rPr>
          <w:rFonts w:hint="eastAsia" w:ascii="仿宋" w:hAnsi="仿宋" w:eastAsia="仿宋" w:cs="仿宋"/>
          <w:sz w:val="32"/>
          <w:szCs w:val="20"/>
        </w:rPr>
      </w:pPr>
    </w:p>
    <w:p w14:paraId="1CC035EE">
      <w:pPr>
        <w:spacing w:line="360" w:lineRule="auto"/>
        <w:jc w:val="both"/>
        <w:rPr>
          <w:rFonts w:hint="eastAsia" w:ascii="仿宋" w:hAnsi="仿宋" w:eastAsia="仿宋" w:cs="仿宋"/>
          <w:sz w:val="32"/>
          <w:szCs w:val="20"/>
        </w:rPr>
      </w:pPr>
    </w:p>
    <w:p w14:paraId="13AF018D">
      <w:pPr>
        <w:spacing w:line="360" w:lineRule="auto"/>
        <w:jc w:val="both"/>
        <w:rPr>
          <w:rFonts w:hint="eastAsia" w:ascii="仿宋" w:hAnsi="仿宋" w:eastAsia="仿宋" w:cs="仿宋"/>
          <w:sz w:val="32"/>
          <w:szCs w:val="20"/>
        </w:rPr>
      </w:pPr>
    </w:p>
    <w:p w14:paraId="7C2CC41B">
      <w:pPr>
        <w:spacing w:line="360" w:lineRule="auto"/>
        <w:jc w:val="both"/>
        <w:rPr>
          <w:rFonts w:hint="eastAsia" w:ascii="仿宋" w:hAnsi="仿宋" w:eastAsia="仿宋" w:cs="仿宋"/>
          <w:sz w:val="32"/>
          <w:szCs w:val="20"/>
        </w:rPr>
      </w:pPr>
    </w:p>
    <w:p w14:paraId="2384E6FD">
      <w:pPr>
        <w:spacing w:line="360" w:lineRule="auto"/>
        <w:jc w:val="both"/>
        <w:rPr>
          <w:rFonts w:hint="eastAsia" w:ascii="仿宋" w:hAnsi="仿宋" w:eastAsia="仿宋" w:cs="仿宋"/>
          <w:sz w:val="32"/>
          <w:szCs w:val="20"/>
        </w:rPr>
      </w:pPr>
    </w:p>
    <w:p w14:paraId="05AF1A0D">
      <w:pPr>
        <w:spacing w:line="360" w:lineRule="auto"/>
        <w:jc w:val="both"/>
        <w:rPr>
          <w:rFonts w:hint="eastAsia" w:ascii="仿宋" w:hAnsi="仿宋" w:eastAsia="仿宋" w:cs="仿宋"/>
          <w:sz w:val="32"/>
          <w:szCs w:val="20"/>
        </w:rPr>
      </w:pPr>
    </w:p>
    <w:p w14:paraId="114F9EA7">
      <w:pPr>
        <w:spacing w:line="360" w:lineRule="auto"/>
        <w:jc w:val="both"/>
        <w:rPr>
          <w:rFonts w:hint="eastAsia" w:ascii="仿宋" w:hAnsi="仿宋" w:eastAsia="仿宋" w:cs="仿宋"/>
          <w:sz w:val="32"/>
          <w:szCs w:val="20"/>
        </w:rPr>
      </w:pPr>
    </w:p>
    <w:p w14:paraId="41DA72B4">
      <w:pPr>
        <w:spacing w:line="360" w:lineRule="auto"/>
        <w:jc w:val="both"/>
        <w:rPr>
          <w:rFonts w:hint="eastAsia" w:ascii="仿宋" w:hAnsi="仿宋" w:eastAsia="仿宋" w:cs="仿宋"/>
          <w:sz w:val="32"/>
          <w:szCs w:val="20"/>
        </w:rPr>
      </w:pPr>
    </w:p>
    <w:p w14:paraId="0F4403D9">
      <w:pPr>
        <w:spacing w:line="360" w:lineRule="auto"/>
        <w:ind w:firstLine="1472" w:firstLineChars="460"/>
        <w:rPr>
          <w:rFonts w:hint="eastAsia" w:ascii="仿宋" w:hAnsi="仿宋" w:eastAsia="仿宋" w:cs="仿宋"/>
          <w:sz w:val="32"/>
          <w:szCs w:val="20"/>
        </w:rPr>
      </w:pPr>
    </w:p>
    <w:p w14:paraId="229CAFDC">
      <w:pPr>
        <w:spacing w:line="360" w:lineRule="auto"/>
        <w:ind w:firstLine="1800" w:firstLineChars="6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采</w:t>
      </w: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购</w:t>
      </w:r>
      <w:r>
        <w:rPr>
          <w:rFonts w:hint="eastAsia" w:ascii="仿宋" w:hAnsi="仿宋" w:eastAsia="仿宋" w:cs="仿宋"/>
          <w:b/>
          <w:bCs/>
          <w:sz w:val="30"/>
          <w:szCs w:val="30"/>
        </w:rPr>
        <w:t xml:space="preserve"> 人：</w:t>
      </w:r>
      <w:r>
        <w:rPr>
          <w:rFonts w:hint="eastAsia" w:ascii="仿宋" w:hAnsi="仿宋" w:eastAsia="仿宋" w:cs="仿宋"/>
          <w:b/>
          <w:bCs/>
          <w:sz w:val="30"/>
          <w:szCs w:val="30"/>
          <w:lang w:val="en-US" w:eastAsia="zh-CN"/>
        </w:rPr>
        <w:t>中牟县职业中等专业学校</w:t>
      </w:r>
    </w:p>
    <w:p w14:paraId="094575CC">
      <w:pPr>
        <w:spacing w:line="360" w:lineRule="auto"/>
        <w:ind w:firstLine="1800" w:firstLineChars="600"/>
        <w:rPr>
          <w:rFonts w:hint="eastAsia" w:ascii="仿宋" w:hAnsi="仿宋" w:eastAsia="仿宋" w:cs="仿宋"/>
          <w:b/>
          <w:bCs/>
          <w:sz w:val="30"/>
          <w:szCs w:val="30"/>
          <w:lang w:eastAsia="zh-CN"/>
        </w:rPr>
      </w:pPr>
      <w:r>
        <w:rPr>
          <w:rFonts w:hint="eastAsia" w:ascii="仿宋" w:hAnsi="仿宋" w:eastAsia="仿宋" w:cs="仿宋"/>
          <w:b/>
          <w:bCs/>
          <w:sz w:val="30"/>
          <w:szCs w:val="30"/>
        </w:rPr>
        <w:t>代理机构：</w:t>
      </w:r>
      <w:r>
        <w:rPr>
          <w:rFonts w:hint="eastAsia" w:ascii="仿宋" w:hAnsi="仿宋" w:eastAsia="仿宋" w:cs="仿宋"/>
          <w:b/>
          <w:bCs/>
          <w:sz w:val="30"/>
          <w:szCs w:val="30"/>
          <w:lang w:eastAsia="zh-CN"/>
        </w:rPr>
        <w:t>河南睿鹏工程咨询有限公司</w:t>
      </w:r>
    </w:p>
    <w:p w14:paraId="61E40987">
      <w:pPr>
        <w:spacing w:line="360" w:lineRule="auto"/>
        <w:ind w:firstLine="1380" w:firstLineChars="460"/>
        <w:rPr>
          <w:rFonts w:hint="eastAsia" w:ascii="宋体" w:hAnsi="宋体" w:eastAsia="宋体" w:cs="宋体"/>
          <w:sz w:val="24"/>
          <w:szCs w:val="24"/>
        </w:rPr>
      </w:pPr>
      <w:r>
        <w:rPr>
          <w:rFonts w:hint="eastAsia" w:ascii="仿宋" w:hAnsi="仿宋" w:eastAsia="仿宋" w:cs="仿宋"/>
          <w:b/>
          <w:bCs/>
          <w:sz w:val="30"/>
          <w:szCs w:val="30"/>
        </w:rPr>
        <w:t xml:space="preserve">   日    期：二</w:t>
      </w:r>
      <w:r>
        <w:rPr>
          <w:rFonts w:hint="eastAsia" w:ascii="仿宋" w:hAnsi="仿宋" w:eastAsia="仿宋" w:cs="仿宋"/>
          <w:b/>
          <w:bCs/>
          <w:sz w:val="30"/>
          <w:szCs w:val="30"/>
          <w:lang w:val="en-US" w:eastAsia="zh-CN"/>
        </w:rPr>
        <w:t>零二六</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 xml:space="preserve">月 </w:t>
      </w:r>
      <w:r>
        <w:rPr>
          <w:rFonts w:hint="eastAsia" w:ascii="宋体" w:hAnsi="宋体" w:eastAsia="宋体" w:cs="宋体"/>
          <w:b/>
          <w:bCs/>
          <w:sz w:val="24"/>
          <w:szCs w:val="24"/>
        </w:rPr>
        <w:t xml:space="preserve">  </w:t>
      </w:r>
    </w:p>
    <w:p w14:paraId="7A494FBF">
      <w:pPr>
        <w:pStyle w:val="8"/>
        <w:spacing w:line="360" w:lineRule="auto"/>
        <w:jc w:val="both"/>
        <w:rPr>
          <w:rFonts w:hint="eastAsia" w:ascii="宋体" w:hAnsi="宋体" w:eastAsia="宋体" w:cs="宋体"/>
          <w:b/>
          <w:sz w:val="24"/>
          <w:szCs w:val="24"/>
        </w:rPr>
        <w:sectPr>
          <w:headerReference r:id="rId4" w:type="first"/>
          <w:headerReference r:id="rId3" w:type="default"/>
          <w:footerReference r:id="rId5" w:type="default"/>
          <w:pgSz w:w="11906" w:h="16838"/>
          <w:pgMar w:top="1440" w:right="1797" w:bottom="1440" w:left="1797" w:header="851" w:footer="992" w:gutter="0"/>
          <w:cols w:space="720" w:num="1"/>
          <w:docGrid w:type="linesAndChars" w:linePitch="312" w:charSpace="0"/>
        </w:sectPr>
      </w:pPr>
    </w:p>
    <w:p w14:paraId="511B77CC">
      <w:pPr>
        <w:pStyle w:val="8"/>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目  录</w:t>
      </w:r>
    </w:p>
    <w:p w14:paraId="7402717F">
      <w:pPr>
        <w:pStyle w:val="8"/>
        <w:spacing w:line="360" w:lineRule="auto"/>
        <w:jc w:val="center"/>
        <w:rPr>
          <w:rFonts w:hint="eastAsia" w:ascii="宋体" w:hAnsi="宋体" w:eastAsia="宋体" w:cs="宋体"/>
          <w:b/>
          <w:sz w:val="24"/>
          <w:szCs w:val="24"/>
        </w:rPr>
      </w:pPr>
    </w:p>
    <w:p w14:paraId="1A82C7BF">
      <w:pPr>
        <w:pStyle w:val="15"/>
        <w:tabs>
          <w:tab w:val="right" w:leader="dot" w:pos="862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_Toc23318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第一章 </w:t>
      </w:r>
      <w:r>
        <w:rPr>
          <w:rFonts w:hint="eastAsia" w:ascii="宋体" w:hAnsi="宋体" w:cs="宋体"/>
          <w:bCs/>
          <w:sz w:val="24"/>
          <w:szCs w:val="24"/>
          <w:lang w:val="en-US" w:eastAsia="zh-CN"/>
        </w:rPr>
        <w:t xml:space="preserve"> </w:t>
      </w:r>
      <w:r>
        <w:rPr>
          <w:rFonts w:hint="eastAsia" w:ascii="宋体" w:hAnsi="宋体" w:eastAsia="宋体" w:cs="宋体"/>
          <w:bCs/>
          <w:sz w:val="24"/>
          <w:szCs w:val="24"/>
        </w:rPr>
        <w:t>竞争性磋商公告</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p>
    <w:p w14:paraId="0B78B01C">
      <w:pPr>
        <w:pStyle w:val="15"/>
        <w:tabs>
          <w:tab w:val="right" w:leader="dot" w:pos="8620"/>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_Toc23215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第二章 </w:t>
      </w:r>
      <w:r>
        <w:rPr>
          <w:rFonts w:hint="eastAsia" w:ascii="宋体" w:hAnsi="宋体" w:cs="宋体"/>
          <w:bCs/>
          <w:sz w:val="24"/>
          <w:szCs w:val="24"/>
          <w:lang w:val="en-US" w:eastAsia="zh-CN"/>
        </w:rPr>
        <w:t xml:space="preserve"> </w:t>
      </w:r>
      <w:r>
        <w:rPr>
          <w:rFonts w:hint="eastAsia" w:ascii="宋体" w:hAnsi="宋体" w:eastAsia="宋体" w:cs="宋体"/>
          <w:bCs/>
          <w:sz w:val="24"/>
          <w:szCs w:val="24"/>
          <w:lang w:eastAsia="zh-CN"/>
        </w:rPr>
        <w:t>供应商</w:t>
      </w:r>
      <w:r>
        <w:rPr>
          <w:rFonts w:hint="eastAsia" w:ascii="宋体" w:hAnsi="宋体" w:eastAsia="宋体" w:cs="宋体"/>
          <w:bCs/>
          <w:sz w:val="24"/>
          <w:szCs w:val="24"/>
        </w:rPr>
        <w:t>须知</w:t>
      </w:r>
      <w:r>
        <w:rPr>
          <w:rFonts w:hint="eastAsia" w:ascii="宋体" w:hAnsi="宋体" w:eastAsia="宋体" w:cs="宋体"/>
          <w:sz w:val="24"/>
          <w:szCs w:val="24"/>
        </w:rPr>
        <w:tab/>
      </w:r>
      <w:r>
        <w:rPr>
          <w:rFonts w:hint="eastAsia" w:ascii="宋体" w:hAnsi="宋体" w:cs="宋体"/>
          <w:sz w:val="24"/>
          <w:szCs w:val="24"/>
          <w:lang w:val="en-US" w:eastAsia="zh-CN"/>
        </w:rPr>
        <w:t>6</w:t>
      </w:r>
      <w:r>
        <w:rPr>
          <w:rFonts w:hint="eastAsia" w:ascii="宋体" w:hAnsi="宋体" w:eastAsia="宋体" w:cs="宋体"/>
          <w:sz w:val="24"/>
          <w:szCs w:val="24"/>
        </w:rPr>
        <w:fldChar w:fldCharType="end"/>
      </w:r>
    </w:p>
    <w:p w14:paraId="08363F1A">
      <w:pPr>
        <w:pStyle w:val="15"/>
        <w:tabs>
          <w:tab w:val="right" w:leader="dot" w:pos="8620"/>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_Toc2253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第三章  评</w:t>
      </w:r>
      <w:r>
        <w:rPr>
          <w:rFonts w:hint="eastAsia" w:ascii="宋体" w:hAnsi="宋体" w:cs="宋体"/>
          <w:bCs/>
          <w:sz w:val="24"/>
          <w:szCs w:val="24"/>
          <w:highlight w:val="none"/>
          <w:lang w:val="en-US" w:eastAsia="zh-CN"/>
        </w:rPr>
        <w:t>审</w:t>
      </w:r>
      <w:r>
        <w:rPr>
          <w:rFonts w:hint="eastAsia" w:ascii="宋体" w:hAnsi="宋体" w:eastAsia="宋体" w:cs="宋体"/>
          <w:bCs/>
          <w:sz w:val="24"/>
          <w:szCs w:val="24"/>
          <w:highlight w:val="none"/>
        </w:rPr>
        <w:t>办法（综合评分法）</w:t>
      </w:r>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251DB2F0">
      <w:pPr>
        <w:pStyle w:val="15"/>
        <w:tabs>
          <w:tab w:val="right" w:leader="dot" w:pos="8620"/>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_Toc28377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第四章  合同文本</w:t>
      </w:r>
      <w:r>
        <w:rPr>
          <w:rFonts w:hint="eastAsia" w:ascii="宋体" w:hAnsi="宋体" w:eastAsia="宋体" w:cs="宋体"/>
          <w:sz w:val="24"/>
          <w:szCs w:val="24"/>
        </w:rPr>
        <w:tab/>
      </w:r>
      <w:r>
        <w:rPr>
          <w:rFonts w:hint="eastAsia" w:ascii="宋体" w:hAnsi="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cs="宋体"/>
          <w:sz w:val="24"/>
          <w:szCs w:val="24"/>
          <w:lang w:val="en-US" w:eastAsia="zh-CN"/>
        </w:rPr>
        <w:t>4</w:t>
      </w:r>
    </w:p>
    <w:p w14:paraId="464905B4">
      <w:pPr>
        <w:pStyle w:val="15"/>
        <w:tabs>
          <w:tab w:val="right" w:leader="dot" w:pos="8620"/>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_Toc29292 </w:instrText>
      </w:r>
      <w:r>
        <w:rPr>
          <w:rFonts w:hint="eastAsia" w:ascii="宋体" w:hAnsi="宋体" w:eastAsia="宋体" w:cs="宋体"/>
          <w:sz w:val="24"/>
          <w:szCs w:val="24"/>
        </w:rPr>
        <w:fldChar w:fldCharType="separate"/>
      </w:r>
      <w:r>
        <w:rPr>
          <w:rFonts w:hint="eastAsia" w:ascii="宋体" w:hAnsi="宋体" w:eastAsia="宋体" w:cs="宋体"/>
          <w:bCs/>
          <w:sz w:val="24"/>
          <w:szCs w:val="24"/>
        </w:rPr>
        <w:t xml:space="preserve">第五章  </w:t>
      </w:r>
      <w:r>
        <w:rPr>
          <w:rFonts w:hint="eastAsia" w:ascii="宋体" w:hAnsi="宋体" w:cs="宋体"/>
          <w:bCs/>
          <w:sz w:val="24"/>
          <w:szCs w:val="24"/>
          <w:lang w:val="en-US" w:eastAsia="zh-CN"/>
        </w:rPr>
        <w:t>采购需求</w:t>
      </w:r>
      <w:r>
        <w:rPr>
          <w:rFonts w:hint="eastAsia" w:ascii="宋体" w:hAnsi="宋体" w:eastAsia="宋体" w:cs="宋体"/>
          <w:sz w:val="24"/>
          <w:szCs w:val="24"/>
        </w:rPr>
        <w:tab/>
      </w:r>
      <w:r>
        <w:rPr>
          <w:rFonts w:hint="eastAsia" w:ascii="宋体" w:hAnsi="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cs="宋体"/>
          <w:sz w:val="24"/>
          <w:szCs w:val="24"/>
          <w:lang w:val="en-US" w:eastAsia="zh-CN"/>
        </w:rPr>
        <w:t>9</w:t>
      </w:r>
    </w:p>
    <w:p w14:paraId="6DB02318">
      <w:pPr>
        <w:pStyle w:val="15"/>
        <w:tabs>
          <w:tab w:val="right" w:leader="dot" w:pos="8620"/>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_Toc508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rPr>
        <w:t>第六章  竞争性磋商响应文件格式</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cs="宋体"/>
          <w:sz w:val="24"/>
          <w:szCs w:val="24"/>
          <w:lang w:val="en-US" w:eastAsia="zh-CN"/>
        </w:rPr>
        <w:t>0</w:t>
      </w:r>
    </w:p>
    <w:p w14:paraId="33BAE470">
      <w:pPr>
        <w:pStyle w:val="16"/>
        <w:tabs>
          <w:tab w:val="right" w:leader="underscore" w:pos="8296"/>
        </w:tabs>
        <w:spacing w:line="360" w:lineRule="auto"/>
        <w:ind w:left="0"/>
        <w:rPr>
          <w:rFonts w:hint="eastAsia" w:ascii="宋体" w:hAnsi="宋体" w:eastAsia="宋体" w:cs="宋体"/>
          <w:sz w:val="24"/>
          <w:szCs w:val="24"/>
        </w:rPr>
      </w:pPr>
      <w:r>
        <w:rPr>
          <w:rFonts w:hint="eastAsia" w:ascii="宋体" w:hAnsi="宋体" w:eastAsia="宋体" w:cs="宋体"/>
          <w:sz w:val="24"/>
          <w:szCs w:val="24"/>
        </w:rPr>
        <w:fldChar w:fldCharType="end"/>
      </w:r>
      <w:bookmarkStart w:id="0" w:name="_Toc152045511"/>
      <w:bookmarkStart w:id="1" w:name="_Toc152042287"/>
      <w:bookmarkStart w:id="2" w:name="_Toc144974479"/>
    </w:p>
    <w:p w14:paraId="4E882C4F">
      <w:pPr>
        <w:rPr>
          <w:rFonts w:hint="eastAsia" w:ascii="宋体" w:hAnsi="宋体" w:eastAsia="宋体" w:cs="宋体"/>
          <w:sz w:val="24"/>
          <w:szCs w:val="24"/>
        </w:rPr>
      </w:pPr>
    </w:p>
    <w:p w14:paraId="2E17301A">
      <w:pPr>
        <w:rPr>
          <w:rFonts w:hint="eastAsia" w:ascii="宋体" w:hAnsi="宋体" w:eastAsia="宋体" w:cs="宋体"/>
          <w:sz w:val="24"/>
          <w:szCs w:val="24"/>
        </w:rPr>
      </w:pPr>
    </w:p>
    <w:p w14:paraId="106696E2">
      <w:pPr>
        <w:rPr>
          <w:rFonts w:hint="eastAsia" w:ascii="宋体" w:hAnsi="宋体" w:eastAsia="宋体" w:cs="宋体"/>
          <w:sz w:val="24"/>
          <w:szCs w:val="24"/>
        </w:rPr>
      </w:pPr>
    </w:p>
    <w:p w14:paraId="405AB7B7">
      <w:pPr>
        <w:rPr>
          <w:rFonts w:hint="eastAsia" w:ascii="宋体" w:hAnsi="宋体" w:eastAsia="宋体" w:cs="宋体"/>
          <w:sz w:val="24"/>
          <w:szCs w:val="24"/>
        </w:rPr>
      </w:pPr>
    </w:p>
    <w:p w14:paraId="62E7F268">
      <w:pPr>
        <w:rPr>
          <w:rFonts w:hint="eastAsia" w:ascii="宋体" w:hAnsi="宋体" w:eastAsia="宋体" w:cs="宋体"/>
          <w:sz w:val="24"/>
          <w:szCs w:val="24"/>
        </w:rPr>
      </w:pPr>
    </w:p>
    <w:p w14:paraId="24ED9B00">
      <w:pPr>
        <w:rPr>
          <w:rFonts w:hint="eastAsia" w:ascii="宋体" w:hAnsi="宋体" w:eastAsia="宋体" w:cs="宋体"/>
          <w:sz w:val="24"/>
          <w:szCs w:val="24"/>
        </w:rPr>
      </w:pPr>
    </w:p>
    <w:p w14:paraId="31960E1E">
      <w:pPr>
        <w:rPr>
          <w:rFonts w:hint="eastAsia" w:ascii="宋体" w:hAnsi="宋体" w:eastAsia="宋体" w:cs="宋体"/>
          <w:sz w:val="24"/>
          <w:szCs w:val="24"/>
        </w:rPr>
      </w:pPr>
    </w:p>
    <w:p w14:paraId="0DB967E6">
      <w:pPr>
        <w:rPr>
          <w:rFonts w:hint="eastAsia" w:ascii="宋体" w:hAnsi="宋体" w:eastAsia="宋体" w:cs="宋体"/>
          <w:sz w:val="24"/>
          <w:szCs w:val="24"/>
        </w:rPr>
      </w:pPr>
    </w:p>
    <w:p w14:paraId="0CAA9F6B">
      <w:pPr>
        <w:rPr>
          <w:rFonts w:hint="eastAsia" w:ascii="宋体" w:hAnsi="宋体" w:eastAsia="宋体" w:cs="宋体"/>
          <w:sz w:val="24"/>
          <w:szCs w:val="24"/>
        </w:rPr>
      </w:pPr>
    </w:p>
    <w:p w14:paraId="2D0FEFFD">
      <w:pPr>
        <w:rPr>
          <w:rFonts w:hint="eastAsia" w:ascii="宋体" w:hAnsi="宋体" w:eastAsia="宋体" w:cs="宋体"/>
          <w:sz w:val="24"/>
          <w:szCs w:val="24"/>
        </w:rPr>
      </w:pPr>
    </w:p>
    <w:p w14:paraId="0D56A855">
      <w:pPr>
        <w:rPr>
          <w:rFonts w:hint="eastAsia" w:ascii="宋体" w:hAnsi="宋体" w:eastAsia="宋体" w:cs="宋体"/>
          <w:sz w:val="24"/>
          <w:szCs w:val="24"/>
        </w:rPr>
      </w:pPr>
    </w:p>
    <w:p w14:paraId="2F881405">
      <w:pPr>
        <w:rPr>
          <w:rFonts w:hint="eastAsia" w:ascii="宋体" w:hAnsi="宋体" w:eastAsia="宋体" w:cs="宋体"/>
          <w:sz w:val="24"/>
          <w:szCs w:val="24"/>
        </w:rPr>
      </w:pPr>
    </w:p>
    <w:p w14:paraId="0FFAD9D7">
      <w:pPr>
        <w:rPr>
          <w:rFonts w:hint="eastAsia" w:ascii="宋体" w:hAnsi="宋体" w:eastAsia="宋体" w:cs="宋体"/>
          <w:sz w:val="24"/>
          <w:szCs w:val="24"/>
        </w:rPr>
      </w:pPr>
    </w:p>
    <w:p w14:paraId="0E65D37F">
      <w:pPr>
        <w:rPr>
          <w:rFonts w:hint="eastAsia" w:ascii="宋体" w:hAnsi="宋体" w:eastAsia="宋体" w:cs="宋体"/>
          <w:sz w:val="24"/>
          <w:szCs w:val="24"/>
        </w:rPr>
      </w:pPr>
    </w:p>
    <w:p w14:paraId="0B5D2C16">
      <w:pPr>
        <w:rPr>
          <w:rFonts w:hint="eastAsia" w:ascii="宋体" w:hAnsi="宋体" w:eastAsia="宋体" w:cs="宋体"/>
          <w:sz w:val="24"/>
          <w:szCs w:val="24"/>
        </w:rPr>
      </w:pPr>
    </w:p>
    <w:p w14:paraId="5DF4D3A3">
      <w:pPr>
        <w:rPr>
          <w:rFonts w:hint="eastAsia" w:ascii="宋体" w:hAnsi="宋体" w:eastAsia="宋体" w:cs="宋体"/>
          <w:sz w:val="24"/>
          <w:szCs w:val="24"/>
        </w:rPr>
      </w:pPr>
    </w:p>
    <w:p w14:paraId="30B0E1C0">
      <w:pPr>
        <w:rPr>
          <w:rFonts w:hint="eastAsia" w:ascii="宋体" w:hAnsi="宋体" w:eastAsia="宋体" w:cs="宋体"/>
          <w:sz w:val="24"/>
          <w:szCs w:val="24"/>
        </w:rPr>
      </w:pPr>
    </w:p>
    <w:p w14:paraId="27DD1329">
      <w:pPr>
        <w:rPr>
          <w:rFonts w:hint="eastAsia" w:ascii="宋体" w:hAnsi="宋体" w:eastAsia="宋体" w:cs="宋体"/>
          <w:sz w:val="24"/>
          <w:szCs w:val="24"/>
        </w:rPr>
      </w:pPr>
    </w:p>
    <w:p w14:paraId="2EF1D10F">
      <w:pPr>
        <w:spacing w:line="360" w:lineRule="auto"/>
        <w:rPr>
          <w:rFonts w:hint="eastAsia" w:ascii="宋体" w:hAnsi="宋体" w:eastAsia="宋体" w:cs="宋体"/>
          <w:sz w:val="24"/>
          <w:szCs w:val="24"/>
        </w:rPr>
      </w:pPr>
    </w:p>
    <w:p w14:paraId="62EBFEFA">
      <w:pPr>
        <w:rPr>
          <w:rFonts w:hint="eastAsia" w:ascii="宋体" w:hAnsi="宋体" w:eastAsia="宋体" w:cs="宋体"/>
          <w:sz w:val="24"/>
          <w:szCs w:val="24"/>
        </w:rPr>
      </w:pPr>
    </w:p>
    <w:p w14:paraId="14010FB1">
      <w:pPr>
        <w:rPr>
          <w:rFonts w:hint="eastAsia" w:ascii="宋体" w:hAnsi="宋体" w:eastAsia="宋体" w:cs="宋体"/>
          <w:sz w:val="24"/>
          <w:szCs w:val="24"/>
        </w:rPr>
      </w:pPr>
    </w:p>
    <w:p w14:paraId="2AE90FB6">
      <w:pPr>
        <w:rPr>
          <w:rFonts w:hint="eastAsia" w:ascii="宋体" w:hAnsi="宋体" w:eastAsia="宋体" w:cs="宋体"/>
          <w:sz w:val="24"/>
          <w:szCs w:val="24"/>
        </w:rPr>
      </w:pPr>
    </w:p>
    <w:p w14:paraId="519D3F17">
      <w:pPr>
        <w:rPr>
          <w:rFonts w:hint="eastAsia" w:ascii="宋体" w:hAnsi="宋体" w:eastAsia="宋体" w:cs="宋体"/>
          <w:sz w:val="24"/>
          <w:szCs w:val="24"/>
        </w:rPr>
      </w:pPr>
    </w:p>
    <w:p w14:paraId="5FC852C6">
      <w:pPr>
        <w:rPr>
          <w:rFonts w:hint="eastAsia" w:ascii="宋体" w:hAnsi="宋体" w:eastAsia="宋体" w:cs="宋体"/>
          <w:sz w:val="24"/>
          <w:szCs w:val="24"/>
        </w:rPr>
      </w:pPr>
    </w:p>
    <w:p w14:paraId="46577FC6">
      <w:pPr>
        <w:rPr>
          <w:rFonts w:hint="eastAsia" w:ascii="宋体" w:hAnsi="宋体" w:eastAsia="宋体" w:cs="宋体"/>
          <w:sz w:val="24"/>
          <w:szCs w:val="24"/>
        </w:rPr>
      </w:pPr>
    </w:p>
    <w:p w14:paraId="428097C5">
      <w:pPr>
        <w:rPr>
          <w:rFonts w:hint="eastAsia" w:ascii="宋体" w:hAnsi="宋体" w:eastAsia="宋体" w:cs="宋体"/>
          <w:sz w:val="24"/>
          <w:szCs w:val="24"/>
        </w:rPr>
      </w:pPr>
    </w:p>
    <w:p w14:paraId="012050C2">
      <w:pPr>
        <w:rPr>
          <w:rFonts w:hint="eastAsia" w:ascii="宋体" w:hAnsi="宋体" w:eastAsia="宋体" w:cs="宋体"/>
          <w:sz w:val="24"/>
          <w:szCs w:val="24"/>
        </w:rPr>
      </w:pPr>
    </w:p>
    <w:p w14:paraId="54F894F0">
      <w:pPr>
        <w:pStyle w:val="2"/>
        <w:spacing w:before="120" w:after="120" w:line="360" w:lineRule="auto"/>
        <w:jc w:val="center"/>
        <w:rPr>
          <w:rFonts w:hint="eastAsia" w:ascii="宋体" w:hAnsi="宋体" w:eastAsia="宋体" w:cs="宋体"/>
          <w:bCs w:val="0"/>
          <w:sz w:val="32"/>
          <w:szCs w:val="32"/>
        </w:rPr>
        <w:sectPr>
          <w:footerReference r:id="rId8" w:type="first"/>
          <w:headerReference r:id="rId6" w:type="default"/>
          <w:footerReference r:id="rId7" w:type="default"/>
          <w:pgSz w:w="11906" w:h="16838"/>
          <w:pgMar w:top="1418" w:right="1555" w:bottom="1418" w:left="1531"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3" w:name="_Toc23318"/>
    </w:p>
    <w:p w14:paraId="60B95779">
      <w:pPr>
        <w:pStyle w:val="2"/>
        <w:spacing w:before="120" w:after="120" w:line="360" w:lineRule="auto"/>
        <w:jc w:val="center"/>
        <w:rPr>
          <w:rFonts w:hint="eastAsia" w:ascii="宋体" w:hAnsi="宋体" w:eastAsia="宋体" w:cs="宋体"/>
          <w:bCs w:val="0"/>
          <w:sz w:val="24"/>
          <w:szCs w:val="24"/>
        </w:rPr>
      </w:pPr>
      <w:r>
        <w:rPr>
          <w:rFonts w:hint="eastAsia" w:ascii="宋体" w:hAnsi="宋体" w:eastAsia="宋体" w:cs="宋体"/>
          <w:bCs w:val="0"/>
          <w:sz w:val="32"/>
          <w:szCs w:val="32"/>
        </w:rPr>
        <w:t>第一章 竞争性磋商公告</w:t>
      </w:r>
      <w:bookmarkEnd w:id="0"/>
      <w:bookmarkEnd w:id="1"/>
      <w:bookmarkEnd w:id="2"/>
      <w:bookmarkEnd w:id="3"/>
    </w:p>
    <w:p w14:paraId="2AD2277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bookmarkStart w:id="4" w:name="_Toc24303"/>
      <w:bookmarkStart w:id="5" w:name="_Toc144974495"/>
      <w:bookmarkStart w:id="6" w:name="_Toc152045527"/>
      <w:bookmarkStart w:id="7" w:name="_Toc152042303"/>
      <w:r>
        <w:rPr>
          <w:rFonts w:hint="eastAsia" w:ascii="宋体" w:hAnsi="宋体" w:eastAsia="宋体" w:cs="宋体"/>
          <w:color w:val="auto"/>
          <w:sz w:val="24"/>
          <w:szCs w:val="24"/>
          <w:highlight w:val="none"/>
          <w:lang w:val="en-US" w:eastAsia="zh-CN"/>
        </w:rPr>
        <w:t>项目概况</w:t>
      </w:r>
    </w:p>
    <w:p w14:paraId="120DB73F">
      <w:pPr>
        <w:pStyle w:val="17"/>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中牟县职业中等专业学校改扩建二期监理项目的潜在供应商应在郑州市公共资源交易中心中牟分中心（http://zzggzy.zhengzhou.gov.cn/zhongmou/）获取采购文件，并于2026</w:t>
      </w:r>
      <w:r>
        <w:rPr>
          <w:rFonts w:hint="eastAsia" w:ascii="宋体" w:hAnsi="宋体" w:eastAsia="宋体" w:cs="宋体"/>
          <w:color w:val="auto"/>
          <w:sz w:val="24"/>
          <w:szCs w:val="24"/>
          <w:highlight w:val="none"/>
          <w:lang w:val="en-US" w:eastAsia="zh-CN"/>
        </w:rPr>
        <w:t>年7月9日上午09时30分（北京时间）前递交响应文件。</w:t>
      </w:r>
    </w:p>
    <w:p w14:paraId="4375D816">
      <w:pPr>
        <w:pStyle w:val="3"/>
        <w:pageBreakBefore w:val="0"/>
        <w:kinsoku/>
        <w:wordWrap/>
        <w:overflowPunct/>
        <w:topLinePunct w:val="0"/>
        <w:autoSpaceDE/>
        <w:autoSpaceDN/>
        <w:bidi w:val="0"/>
        <w:adjustRightInd/>
        <w:snapToGrid/>
        <w:spacing w:before="0" w:beforeLines="0" w:after="0" w:afterLines="0" w:line="360" w:lineRule="auto"/>
        <w:ind w:left="0" w:left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一、项目基本情况</w:t>
      </w:r>
      <w:bookmarkEnd w:id="4"/>
    </w:p>
    <w:p w14:paraId="3D425C6D">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val="en-US" w:eastAsia="zh-CN"/>
        </w:rPr>
        <w:t>中牟磋商采购-202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10 </w:t>
      </w:r>
      <w:r>
        <w:rPr>
          <w:rFonts w:hint="eastAsia" w:ascii="宋体" w:hAnsi="宋体" w:cs="宋体"/>
          <w:color w:val="FF0000"/>
          <w:sz w:val="24"/>
          <w:szCs w:val="24"/>
          <w:highlight w:val="none"/>
          <w:lang w:val="en-US" w:eastAsia="zh-CN"/>
        </w:rPr>
        <w:t xml:space="preserve"> </w:t>
      </w:r>
    </w:p>
    <w:p w14:paraId="3CCF6F4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cs="宋体"/>
          <w:color w:val="auto"/>
          <w:kern w:val="2"/>
          <w:sz w:val="24"/>
          <w:szCs w:val="24"/>
          <w:highlight w:val="none"/>
          <w:lang w:val="en-US" w:eastAsia="zh-CN" w:bidi="ar-SA"/>
        </w:rPr>
        <w:t>中牟县职业中等专业学校改扩建二期监理项目</w:t>
      </w:r>
    </w:p>
    <w:p w14:paraId="347C846C">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采购方式：竞争性磋商</w:t>
      </w:r>
    </w:p>
    <w:p w14:paraId="4EDE37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400</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 xml:space="preserve">元 </w:t>
      </w:r>
      <w:r>
        <w:rPr>
          <w:rFonts w:hint="eastAsia" w:ascii="宋体" w:hAnsi="宋体" w:eastAsia="宋体" w:cs="宋体"/>
          <w:color w:val="auto"/>
          <w:sz w:val="24"/>
          <w:szCs w:val="24"/>
          <w:highlight w:val="none"/>
          <w:lang w:val="en-US" w:eastAsia="zh-CN"/>
        </w:rPr>
        <w:t xml:space="preserve">   </w:t>
      </w:r>
    </w:p>
    <w:p w14:paraId="1F0D31E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30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400</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 xml:space="preserve">元 </w:t>
      </w:r>
    </w:p>
    <w:tbl>
      <w:tblPr>
        <w:tblStyle w:val="21"/>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53"/>
        <w:gridCol w:w="1590"/>
        <w:gridCol w:w="1680"/>
        <w:gridCol w:w="1425"/>
        <w:gridCol w:w="1260"/>
      </w:tblGrid>
      <w:tr w14:paraId="48487604">
        <w:tblPrEx>
          <w:tblCellMar>
            <w:top w:w="0" w:type="dxa"/>
            <w:left w:w="108" w:type="dxa"/>
            <w:bottom w:w="0" w:type="dxa"/>
            <w:right w:w="108" w:type="dxa"/>
          </w:tblCellMar>
        </w:tblPrEx>
        <w:tc>
          <w:tcPr>
            <w:tcW w:w="750" w:type="dxa"/>
          </w:tcPr>
          <w:p w14:paraId="0EB551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包号</w:t>
            </w:r>
          </w:p>
        </w:tc>
        <w:tc>
          <w:tcPr>
            <w:tcW w:w="2753" w:type="dxa"/>
          </w:tcPr>
          <w:p w14:paraId="5A9699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包名称</w:t>
            </w:r>
          </w:p>
        </w:tc>
        <w:tc>
          <w:tcPr>
            <w:tcW w:w="1590" w:type="dxa"/>
          </w:tcPr>
          <w:p w14:paraId="3D5F2B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包预算（元）</w:t>
            </w:r>
          </w:p>
        </w:tc>
        <w:tc>
          <w:tcPr>
            <w:tcW w:w="1680" w:type="dxa"/>
          </w:tcPr>
          <w:p w14:paraId="60E48C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包最高限价（元）</w:t>
            </w:r>
          </w:p>
        </w:tc>
        <w:tc>
          <w:tcPr>
            <w:tcW w:w="1425" w:type="dxa"/>
          </w:tcPr>
          <w:p w14:paraId="09DB18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是否专门面向中小企业</w:t>
            </w:r>
          </w:p>
        </w:tc>
        <w:tc>
          <w:tcPr>
            <w:tcW w:w="1260" w:type="dxa"/>
          </w:tcPr>
          <w:p w14:paraId="489B84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采购预留金额（元）</w:t>
            </w:r>
          </w:p>
        </w:tc>
      </w:tr>
      <w:tr w14:paraId="2C98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5E19A8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753" w:type="dxa"/>
          </w:tcPr>
          <w:p w14:paraId="06B43A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cs="宋体"/>
                <w:color w:val="auto"/>
                <w:kern w:val="2"/>
                <w:sz w:val="24"/>
                <w:szCs w:val="24"/>
                <w:highlight w:val="none"/>
                <w:lang w:val="en-US" w:eastAsia="zh-CN" w:bidi="ar-SA"/>
              </w:rPr>
              <w:t>中牟县职业中等专业学校改扩建二期监理项目</w:t>
            </w:r>
          </w:p>
        </w:tc>
        <w:tc>
          <w:tcPr>
            <w:tcW w:w="1590" w:type="dxa"/>
          </w:tcPr>
          <w:p w14:paraId="5BAB8D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400000</w:t>
            </w:r>
          </w:p>
        </w:tc>
        <w:tc>
          <w:tcPr>
            <w:tcW w:w="1680" w:type="dxa"/>
          </w:tcPr>
          <w:p w14:paraId="516B1F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cs="宋体"/>
                <w:color w:val="auto"/>
                <w:sz w:val="24"/>
                <w:szCs w:val="24"/>
                <w:highlight w:val="none"/>
                <w:vertAlign w:val="baseline"/>
                <w:lang w:val="en-US" w:eastAsia="zh-CN"/>
              </w:rPr>
              <w:t>400000</w:t>
            </w:r>
          </w:p>
        </w:tc>
        <w:tc>
          <w:tcPr>
            <w:tcW w:w="1425" w:type="dxa"/>
          </w:tcPr>
          <w:p w14:paraId="51CF2D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是</w:t>
            </w:r>
          </w:p>
        </w:tc>
        <w:tc>
          <w:tcPr>
            <w:tcW w:w="1260" w:type="dxa"/>
          </w:tcPr>
          <w:p w14:paraId="06EB00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400000</w:t>
            </w:r>
          </w:p>
        </w:tc>
      </w:tr>
    </w:tbl>
    <w:p w14:paraId="6FC8A0C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采购需求（包括但不限于标的的名称、数量、简要技术需求或服务要求等） ：</w:t>
      </w:r>
    </w:p>
    <w:p w14:paraId="1CB5AAC2">
      <w:pPr>
        <w:keepNext w:val="0"/>
        <w:keepLines w:val="0"/>
        <w:pageBreakBefore w:val="0"/>
        <w:widowControl/>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5.1</w:t>
      </w:r>
      <w:r>
        <w:rPr>
          <w:rFonts w:hint="eastAsia" w:ascii="宋体" w:hAnsi="宋体" w:cs="宋体"/>
          <w:color w:val="333333"/>
          <w:sz w:val="24"/>
          <w:szCs w:val="24"/>
          <w:highlight w:val="none"/>
          <w:lang w:val="en-US" w:eastAsia="zh-CN"/>
        </w:rPr>
        <w:t>项目概况：</w:t>
      </w:r>
      <w:r>
        <w:rPr>
          <w:rFonts w:hint="eastAsia" w:ascii="宋体" w:hAnsi="宋体" w:cs="宋体"/>
          <w:color w:val="auto"/>
          <w:kern w:val="2"/>
          <w:sz w:val="24"/>
          <w:szCs w:val="24"/>
          <w:highlight w:val="none"/>
          <w:lang w:val="en-US" w:eastAsia="zh-CN" w:bidi="ar-SA"/>
        </w:rPr>
        <w:t>中牟县职业中等专业学校改扩建二期监理项目,主要包括风雨操场、教学楼、实训楼等。</w:t>
      </w:r>
    </w:p>
    <w:p w14:paraId="5107F6D3">
      <w:pPr>
        <w:keepNext w:val="0"/>
        <w:keepLines w:val="0"/>
        <w:pageBreakBefore w:val="0"/>
        <w:widowControl/>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333333"/>
          <w:sz w:val="24"/>
          <w:szCs w:val="24"/>
          <w:highlight w:val="none"/>
          <w:lang w:val="en-US" w:eastAsia="zh-CN"/>
        </w:rPr>
        <w:t>5.2</w:t>
      </w:r>
      <w:r>
        <w:rPr>
          <w:rFonts w:hint="eastAsia" w:ascii="宋体" w:hAnsi="宋体" w:cs="宋体"/>
          <w:color w:val="auto"/>
          <w:kern w:val="2"/>
          <w:sz w:val="24"/>
          <w:szCs w:val="24"/>
          <w:highlight w:val="none"/>
          <w:lang w:val="en-US" w:eastAsia="zh-CN" w:bidi="ar-SA"/>
        </w:rPr>
        <w:t>服务范围</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该项目施工全过程及保修期（含缺陷责任期）的全过程监理服务,并配合采购人的结算审计工作；</w:t>
      </w:r>
    </w:p>
    <w:p w14:paraId="118A61F5">
      <w:pPr>
        <w:keepNext w:val="0"/>
        <w:keepLines w:val="0"/>
        <w:pageBreakBefore w:val="0"/>
        <w:widowControl/>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5.</w:t>
      </w:r>
      <w:r>
        <w:rPr>
          <w:rFonts w:hint="eastAsia" w:ascii="宋体" w:hAnsi="宋体" w:cs="宋体"/>
          <w:color w:val="333333"/>
          <w:sz w:val="24"/>
          <w:szCs w:val="24"/>
          <w:highlight w:val="none"/>
          <w:lang w:val="en-US" w:eastAsia="zh-CN"/>
        </w:rPr>
        <w:t>3质量要求：符合国家及行业现行相关规范和标准，满足采购人需求；</w:t>
      </w:r>
    </w:p>
    <w:p w14:paraId="65A36DB9">
      <w:pPr>
        <w:keepNext w:val="0"/>
        <w:keepLines w:val="0"/>
        <w:pageBreakBefore w:val="0"/>
        <w:widowControl/>
        <w:kinsoku/>
        <w:wordWrap/>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b/>
          <w:bCs/>
          <w:color w:val="FF0000"/>
          <w:sz w:val="24"/>
          <w:szCs w:val="24"/>
          <w:highlight w:val="none"/>
          <w:lang w:val="en-US" w:eastAsia="zh-CN"/>
        </w:rPr>
      </w:pPr>
      <w:r>
        <w:rPr>
          <w:rFonts w:hint="eastAsia" w:ascii="宋体" w:hAnsi="宋体" w:cs="宋体"/>
          <w:color w:val="333333"/>
          <w:sz w:val="24"/>
          <w:szCs w:val="24"/>
          <w:highlight w:val="none"/>
          <w:lang w:val="en-US" w:eastAsia="zh-CN"/>
        </w:rPr>
        <w:t>5.4监理服务期限</w:t>
      </w:r>
      <w:r>
        <w:rPr>
          <w:rFonts w:hint="eastAsia" w:ascii="宋体" w:hAnsi="宋体" w:eastAsia="宋体" w:cs="宋体"/>
          <w:color w:val="333333"/>
          <w:sz w:val="24"/>
          <w:szCs w:val="24"/>
          <w:highlight w:val="none"/>
          <w:lang w:val="en-US" w:eastAsia="zh-CN"/>
        </w:rPr>
        <w:t>：施工全过程及保修期（含缺陷责任期）</w:t>
      </w:r>
      <w:r>
        <w:rPr>
          <w:rFonts w:hint="eastAsia" w:ascii="宋体" w:hAnsi="宋体" w:cs="宋体"/>
          <w:color w:val="333333"/>
          <w:sz w:val="24"/>
          <w:szCs w:val="24"/>
          <w:highlight w:val="none"/>
          <w:lang w:val="en-US" w:eastAsia="zh-CN"/>
        </w:rPr>
        <w:t>；</w:t>
      </w:r>
    </w:p>
    <w:p w14:paraId="47DA0631">
      <w:pPr>
        <w:keepNext w:val="0"/>
        <w:keepLines w:val="0"/>
        <w:pageBreakBefore w:val="0"/>
        <w:widowControl/>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5.</w:t>
      </w:r>
      <w:r>
        <w:rPr>
          <w:rFonts w:hint="eastAsia" w:ascii="宋体" w:hAnsi="宋体" w:cs="宋体"/>
          <w:color w:val="333333"/>
          <w:sz w:val="24"/>
          <w:szCs w:val="24"/>
          <w:highlight w:val="none"/>
          <w:lang w:val="en-US" w:eastAsia="zh-CN"/>
        </w:rPr>
        <w:t>5服务地点：采购人指定地点；</w:t>
      </w:r>
    </w:p>
    <w:p w14:paraId="0C3DDFD7">
      <w:pPr>
        <w:keepNext w:val="0"/>
        <w:keepLines w:val="0"/>
        <w:pageBreakBefore w:val="0"/>
        <w:widowControl/>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eastAsia="宋体" w:cs="宋体"/>
          <w:b/>
          <w:bCs/>
          <w:color w:val="FF0000"/>
          <w:sz w:val="24"/>
          <w:szCs w:val="24"/>
          <w:highlight w:val="none"/>
          <w:lang w:val="en-US" w:eastAsia="zh-CN"/>
        </w:rPr>
      </w:pPr>
      <w:r>
        <w:rPr>
          <w:rFonts w:hint="eastAsia" w:ascii="宋体" w:hAnsi="宋体" w:cs="宋体"/>
          <w:color w:val="333333"/>
          <w:sz w:val="24"/>
          <w:szCs w:val="24"/>
          <w:highlight w:val="none"/>
          <w:lang w:val="en-US" w:eastAsia="zh-CN"/>
        </w:rPr>
        <w:t>5.6标段划分：一个包段。</w:t>
      </w:r>
    </w:p>
    <w:p w14:paraId="7D6CBA44">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textAlignment w:val="auto"/>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6、</w:t>
      </w:r>
      <w:r>
        <w:rPr>
          <w:rFonts w:hint="eastAsia" w:ascii="宋体" w:hAnsi="宋体" w:eastAsia="宋体" w:cs="宋体"/>
          <w:color w:val="333333"/>
          <w:sz w:val="24"/>
          <w:szCs w:val="24"/>
        </w:rPr>
        <w:t>合同履行期限：</w:t>
      </w:r>
      <w:r>
        <w:rPr>
          <w:rFonts w:hint="eastAsia" w:ascii="宋体" w:hAnsi="宋体" w:cs="宋体"/>
          <w:color w:val="333333"/>
          <w:sz w:val="24"/>
          <w:szCs w:val="24"/>
          <w:lang w:val="en-US" w:eastAsia="zh-CN"/>
        </w:rPr>
        <w:t>同监理服务期限</w:t>
      </w:r>
    </w:p>
    <w:p w14:paraId="7A2A7DE4">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7</w:t>
      </w:r>
      <w:r>
        <w:rPr>
          <w:rFonts w:hint="eastAsia" w:ascii="宋体" w:hAnsi="宋体" w:eastAsia="宋体" w:cs="宋体"/>
          <w:color w:val="333333"/>
          <w:sz w:val="24"/>
          <w:szCs w:val="24"/>
        </w:rPr>
        <w:t>、本项目是否接受联合体投标：否</w:t>
      </w:r>
    </w:p>
    <w:p w14:paraId="0889C709">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8</w:t>
      </w:r>
      <w:r>
        <w:rPr>
          <w:rFonts w:hint="eastAsia" w:ascii="宋体" w:hAnsi="宋体" w:eastAsia="宋体" w:cs="宋体"/>
          <w:color w:val="333333"/>
          <w:sz w:val="24"/>
          <w:szCs w:val="24"/>
        </w:rPr>
        <w:t>、是否接受进口产品：否</w:t>
      </w:r>
    </w:p>
    <w:p w14:paraId="75743414">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300"/>
        <w:textAlignment w:val="auto"/>
        <w:rPr>
          <w:rFonts w:hint="default" w:ascii="宋体" w:hAnsi="宋体" w:eastAsia="宋体" w:cs="宋体"/>
          <w:b w:val="0"/>
          <w:color w:val="auto"/>
          <w:sz w:val="24"/>
          <w:szCs w:val="24"/>
          <w:highlight w:val="none"/>
          <w:lang w:val="en-US" w:eastAsia="zh-CN"/>
        </w:rPr>
      </w:pPr>
      <w:r>
        <w:rPr>
          <w:rFonts w:hint="eastAsia" w:ascii="宋体" w:hAnsi="宋体" w:cs="宋体"/>
          <w:color w:val="333333"/>
          <w:sz w:val="24"/>
          <w:szCs w:val="24"/>
          <w:lang w:val="en-US" w:eastAsia="zh-CN"/>
        </w:rPr>
        <w:t>9</w:t>
      </w:r>
      <w:r>
        <w:rPr>
          <w:rFonts w:hint="eastAsia" w:ascii="宋体" w:hAnsi="宋体" w:cs="宋体"/>
          <w:color w:val="333333"/>
          <w:sz w:val="24"/>
          <w:szCs w:val="24"/>
          <w:highlight w:val="none"/>
          <w:lang w:val="en-US" w:eastAsia="zh-CN"/>
        </w:rPr>
        <w:t>、</w:t>
      </w:r>
      <w:bookmarkStart w:id="8" w:name="_Toc10322"/>
      <w:r>
        <w:rPr>
          <w:rFonts w:hint="eastAsia" w:ascii="宋体" w:hAnsi="宋体" w:cs="宋体"/>
          <w:color w:val="333333"/>
          <w:sz w:val="24"/>
          <w:szCs w:val="24"/>
          <w:highlight w:val="none"/>
          <w:lang w:val="en-US" w:eastAsia="zh-CN"/>
        </w:rPr>
        <w:t>是否专门面向中小企业：是</w:t>
      </w:r>
    </w:p>
    <w:p w14:paraId="2D8E3279">
      <w:pPr>
        <w:pStyle w:val="3"/>
        <w:pageBreakBefore w:val="0"/>
        <w:kinsoku/>
        <w:wordWrap/>
        <w:overflowPunct/>
        <w:topLinePunct w:val="0"/>
        <w:autoSpaceDE/>
        <w:autoSpaceDN/>
        <w:bidi w:val="0"/>
        <w:adjustRightInd/>
        <w:snapToGrid/>
        <w:spacing w:before="0" w:beforeLines="0" w:after="0" w:afterLines="0" w:line="360" w:lineRule="auto"/>
        <w:ind w:left="0" w:left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二、申请人资格要求</w:t>
      </w:r>
      <w:bookmarkEnd w:id="8"/>
    </w:p>
    <w:p w14:paraId="7A46C6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1、满足《中华人民共和国政府采购法》第二十二条规定；</w:t>
      </w:r>
    </w:p>
    <w:p w14:paraId="66C9B2C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2、落实政府采购政策满足的资格</w:t>
      </w:r>
      <w:r>
        <w:rPr>
          <w:rFonts w:hint="eastAsia" w:ascii="宋体" w:hAnsi="宋体" w:eastAsia="宋体" w:cs="宋体"/>
          <w:color w:val="333333"/>
          <w:sz w:val="24"/>
          <w:szCs w:val="24"/>
          <w:highlight w:val="none"/>
        </w:rPr>
        <w:t>要求：</w:t>
      </w:r>
      <w:r>
        <w:rPr>
          <w:rFonts w:hint="eastAsia" w:ascii="宋体" w:hAnsi="宋体" w:eastAsia="宋体" w:cs="宋体"/>
          <w:color w:val="333333"/>
          <w:sz w:val="24"/>
          <w:szCs w:val="24"/>
          <w:highlight w:val="none"/>
          <w:lang w:val="en-US" w:eastAsia="zh-CN"/>
        </w:rPr>
        <w:t>本项目为专门面向中小企业采购（监狱企业、残疾人福利性企业视同小微企业），根据《政府采购促进中小企业发展管理办法》（财库【2020】46号）的规定，执行促进中小微（监狱、残疾人福利）企业发展等相关政策</w:t>
      </w:r>
      <w:r>
        <w:rPr>
          <w:rFonts w:hint="eastAsia" w:ascii="宋体" w:hAnsi="宋体" w:cs="宋体"/>
          <w:color w:val="333333"/>
          <w:sz w:val="24"/>
          <w:szCs w:val="24"/>
          <w:highlight w:val="none"/>
          <w:lang w:val="en-US" w:eastAsia="zh-CN"/>
        </w:rPr>
        <w:t>。</w:t>
      </w:r>
    </w:p>
    <w:p w14:paraId="15C5D7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3、本项目的特定资格要求：</w:t>
      </w:r>
    </w:p>
    <w:p w14:paraId="07EA49C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lang w:val="en-US" w:eastAsia="zh-CN"/>
        </w:rPr>
      </w:pPr>
      <w:r>
        <w:rPr>
          <w:rFonts w:hint="eastAsia" w:ascii="宋体" w:hAnsi="宋体" w:eastAsia="宋体" w:cs="宋体"/>
          <w:b w:val="0"/>
          <w:bCs w:val="0"/>
          <w:color w:val="333333"/>
          <w:sz w:val="24"/>
          <w:szCs w:val="24"/>
          <w:lang w:val="en-US" w:eastAsia="zh-CN"/>
        </w:rPr>
        <w:t>3.1满足《中华人民共和国政府采购法》第二十二条规定；</w:t>
      </w:r>
    </w:p>
    <w:p w14:paraId="5F30D7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color w:val="333333"/>
          <w:sz w:val="24"/>
          <w:szCs w:val="24"/>
          <w:lang w:val="en-US" w:eastAsia="zh-CN"/>
        </w:rPr>
      </w:pPr>
      <w:r>
        <w:rPr>
          <w:rFonts w:hint="eastAsia" w:ascii="宋体" w:hAnsi="宋体" w:eastAsia="宋体" w:cs="宋体"/>
          <w:b w:val="0"/>
          <w:bCs w:val="0"/>
          <w:color w:val="333333"/>
          <w:sz w:val="24"/>
          <w:szCs w:val="24"/>
          <w:lang w:val="en-US" w:eastAsia="zh-CN"/>
        </w:rPr>
        <w:t>3.</w:t>
      </w:r>
      <w:r>
        <w:rPr>
          <w:rFonts w:hint="eastAsia" w:ascii="宋体" w:hAnsi="宋体" w:cs="宋体"/>
          <w:b w:val="0"/>
          <w:bCs w:val="0"/>
          <w:color w:val="333333"/>
          <w:sz w:val="24"/>
          <w:szCs w:val="24"/>
          <w:lang w:val="en-US" w:eastAsia="zh-CN"/>
        </w:rPr>
        <w:t xml:space="preserve">2 供应商具有行政主管部门颁发的工程监理综合资质或房屋建筑工程监理乙级及以上资质证书；  </w:t>
      </w:r>
    </w:p>
    <w:p w14:paraId="0174E9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333333"/>
          <w:sz w:val="24"/>
          <w:szCs w:val="24"/>
          <w:lang w:val="en-US" w:eastAsia="zh-CN"/>
        </w:rPr>
      </w:pPr>
      <w:r>
        <w:rPr>
          <w:rFonts w:hint="eastAsia" w:ascii="宋体" w:hAnsi="宋体" w:cs="宋体"/>
          <w:b w:val="0"/>
          <w:bCs w:val="0"/>
          <w:color w:val="333333"/>
          <w:sz w:val="24"/>
          <w:szCs w:val="24"/>
          <w:lang w:val="en-US" w:eastAsia="zh-CN"/>
        </w:rPr>
        <w:t>3.3 项目总监要求：拟派项目总监理工程师具有房屋建筑工程专业注册监理工程师证书，同时具有相关专业中级及以上技术职称及劳动合同；</w:t>
      </w:r>
    </w:p>
    <w:p w14:paraId="76B14E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333333"/>
          <w:sz w:val="24"/>
          <w:szCs w:val="24"/>
          <w:lang w:val="en-US" w:eastAsia="zh-CN"/>
        </w:rPr>
      </w:pPr>
      <w:r>
        <w:rPr>
          <w:rFonts w:hint="eastAsia" w:ascii="宋体" w:hAnsi="宋体" w:cs="宋体"/>
          <w:b w:val="0"/>
          <w:bCs w:val="0"/>
          <w:color w:val="333333"/>
          <w:sz w:val="24"/>
          <w:szCs w:val="24"/>
          <w:lang w:val="en-US" w:eastAsia="zh-CN"/>
        </w:rPr>
        <w:t>3.4</w:t>
      </w:r>
      <w:r>
        <w:rPr>
          <w:rFonts w:hint="eastAsia" w:ascii="宋体" w:hAnsi="宋体" w:eastAsia="宋体" w:cs="宋体"/>
          <w:b w:val="0"/>
          <w:bCs w:val="0"/>
          <w:color w:val="333333"/>
          <w:sz w:val="24"/>
          <w:szCs w:val="24"/>
          <w:lang w:val="en-US" w:eastAsia="zh-CN"/>
        </w:rPr>
        <w:t>信誉要求：</w:t>
      </w:r>
    </w:p>
    <w:p w14:paraId="762062C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333333"/>
          <w:sz w:val="24"/>
          <w:szCs w:val="24"/>
        </w:rPr>
      </w:pPr>
      <w:r>
        <w:rPr>
          <w:rFonts w:hint="eastAsia" w:ascii="宋体" w:hAnsi="宋体" w:eastAsia="宋体" w:cs="宋体"/>
          <w:b w:val="0"/>
          <w:bCs w:val="0"/>
          <w:color w:val="333333"/>
          <w:sz w:val="24"/>
          <w:szCs w:val="24"/>
        </w:rPr>
        <w:t>①</w:t>
      </w:r>
      <w:r>
        <w:rPr>
          <w:rFonts w:hint="eastAsia" w:ascii="宋体" w:hAnsi="宋体" w:eastAsia="宋体" w:cs="宋体"/>
          <w:b w:val="0"/>
          <w:bCs w:val="0"/>
          <w:color w:val="333333"/>
          <w:sz w:val="24"/>
          <w:szCs w:val="24"/>
          <w:lang w:eastAsia="zh-CN"/>
        </w:rPr>
        <w:t>供应商</w:t>
      </w:r>
      <w:r>
        <w:rPr>
          <w:rFonts w:hint="eastAsia" w:ascii="宋体" w:hAnsi="宋体" w:eastAsia="宋体" w:cs="宋体"/>
          <w:b w:val="0"/>
          <w:bCs w:val="0"/>
          <w:color w:val="333333"/>
          <w:sz w:val="24"/>
          <w:szCs w:val="24"/>
        </w:rPr>
        <w:t>须未处于被责令停业、投标资格被取消或者财产被接管、冻结和破产状态；企业没有因骗取中标或者严重违约等问题，</w:t>
      </w:r>
      <w:r>
        <w:rPr>
          <w:rFonts w:hint="eastAsia" w:ascii="宋体" w:hAnsi="宋体" w:eastAsia="宋体" w:cs="宋体"/>
          <w:b w:val="0"/>
          <w:bCs w:val="0"/>
          <w:color w:val="333333"/>
          <w:sz w:val="24"/>
          <w:szCs w:val="24"/>
          <w:lang w:eastAsia="zh-CN"/>
        </w:rPr>
        <w:t>未</w:t>
      </w:r>
      <w:r>
        <w:rPr>
          <w:rFonts w:hint="eastAsia" w:ascii="宋体" w:hAnsi="宋体" w:eastAsia="宋体" w:cs="宋体"/>
          <w:b w:val="0"/>
          <w:bCs w:val="0"/>
          <w:color w:val="333333"/>
          <w:sz w:val="24"/>
          <w:szCs w:val="24"/>
        </w:rPr>
        <w:t>被有关部门暂停投标资格并在暂停期内的（</w:t>
      </w:r>
      <w:r>
        <w:rPr>
          <w:rFonts w:hint="eastAsia" w:ascii="宋体" w:hAnsi="宋体" w:eastAsia="宋体" w:cs="宋体"/>
          <w:b w:val="0"/>
          <w:bCs w:val="0"/>
          <w:color w:val="333333"/>
          <w:sz w:val="24"/>
          <w:szCs w:val="24"/>
          <w:lang w:val="en-US" w:eastAsia="zh-CN"/>
        </w:rPr>
        <w:t>提供书面承诺，格式自拟</w:t>
      </w:r>
      <w:r>
        <w:rPr>
          <w:rFonts w:hint="eastAsia" w:ascii="宋体" w:hAnsi="宋体" w:eastAsia="宋体" w:cs="宋体"/>
          <w:b w:val="0"/>
          <w:bCs w:val="0"/>
          <w:color w:val="333333"/>
          <w:sz w:val="24"/>
          <w:szCs w:val="24"/>
        </w:rPr>
        <w:t>）；</w:t>
      </w:r>
    </w:p>
    <w:p w14:paraId="05AF2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default" w:ascii="宋体" w:hAnsi="宋体" w:eastAsia="宋体" w:cs="宋体"/>
          <w:b w:val="0"/>
          <w:bCs w:val="0"/>
          <w:color w:val="333333"/>
          <w:kern w:val="2"/>
          <w:sz w:val="24"/>
          <w:szCs w:val="24"/>
          <w:highlight w:val="none"/>
          <w:lang w:val="en-US" w:eastAsia="zh-CN" w:bidi="ar-SA"/>
        </w:rPr>
      </w:pPr>
      <w:r>
        <w:rPr>
          <w:rFonts w:hint="eastAsia" w:ascii="宋体" w:hAnsi="宋体" w:eastAsia="宋体" w:cs="宋体"/>
          <w:b w:val="0"/>
          <w:bCs w:val="0"/>
          <w:color w:val="333333"/>
          <w:sz w:val="24"/>
          <w:szCs w:val="24"/>
        </w:rPr>
        <w:t>②</w:t>
      </w:r>
      <w:r>
        <w:rPr>
          <w:rFonts w:hint="eastAsia" w:ascii="宋体" w:hAnsi="宋体" w:eastAsia="宋体" w:cs="宋体"/>
          <w:b w:val="0"/>
          <w:bCs w:val="0"/>
          <w:color w:val="333333"/>
          <w:kern w:val="2"/>
          <w:sz w:val="24"/>
          <w:szCs w:val="24"/>
          <w:highlight w:val="none"/>
          <w:lang w:val="en-US" w:eastAsia="zh-CN" w:bidi="ar-SA"/>
        </w:rPr>
        <w:t>根据《关于在政府采购活动中查询及使用信用记录有关问题的通知》(财库[2016]125号)和豫财购【2016】15号的规定，通过“信用中国”网和“中国政府采购网”查询相关企业信用记录，列入“信用中国”网站的“失信被执行人”（跳转至“中国执行信息公开网”）和“重大税收违法失信主体”、“中国政府采购”网站的“政府采购严重违法失信行为记录名单”的供应商，拒绝参与本项目投标活动。【采购人或采购代理机构在开标当天将对所有参与本项目投标的供应商信用情况进行查询（失信被执行人、重大税收违法失信主体、政府采购严重违法失信行为记录名单）、查询记录打印留存】</w:t>
      </w:r>
      <w:r>
        <w:rPr>
          <w:rFonts w:hint="eastAsia" w:ascii="宋体" w:hAnsi="宋体" w:cs="宋体"/>
          <w:b w:val="0"/>
          <w:bCs w:val="0"/>
          <w:color w:val="333333"/>
          <w:kern w:val="2"/>
          <w:sz w:val="24"/>
          <w:szCs w:val="24"/>
          <w:highlight w:val="none"/>
          <w:lang w:val="en-US" w:eastAsia="zh-CN" w:bidi="ar-SA"/>
        </w:rPr>
        <w:t>。</w:t>
      </w:r>
    </w:p>
    <w:p w14:paraId="41E39E1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333333"/>
          <w:sz w:val="24"/>
          <w:szCs w:val="24"/>
          <w:lang w:val="en-US" w:eastAsia="zh-CN"/>
        </w:rPr>
      </w:pPr>
      <w:r>
        <w:rPr>
          <w:rFonts w:hint="eastAsia" w:ascii="宋体" w:hAnsi="宋体" w:cs="宋体"/>
          <w:b w:val="0"/>
          <w:bCs w:val="0"/>
          <w:color w:val="333333"/>
          <w:sz w:val="24"/>
          <w:szCs w:val="24"/>
          <w:lang w:val="en-US" w:eastAsia="zh-CN"/>
        </w:rPr>
        <w:t>③</w:t>
      </w:r>
      <w:r>
        <w:rPr>
          <w:rFonts w:hint="eastAsia" w:ascii="宋体" w:hAnsi="宋体" w:eastAsia="宋体" w:cs="宋体"/>
          <w:b w:val="0"/>
          <w:bCs w:val="0"/>
          <w:color w:val="333333"/>
          <w:sz w:val="24"/>
          <w:szCs w:val="24"/>
          <w:lang w:val="en-US" w:eastAsia="zh-CN"/>
        </w:rPr>
        <w:t>单位负责人为同一人或者存在直接控股、管理关系的不同供应商，不得参加同一合同项下的政府采购活动</w:t>
      </w:r>
      <w:r>
        <w:rPr>
          <w:rFonts w:hint="eastAsia" w:ascii="宋体" w:hAnsi="宋体" w:cs="宋体"/>
          <w:b w:val="0"/>
          <w:bCs w:val="0"/>
          <w:color w:val="333333"/>
          <w:sz w:val="24"/>
          <w:szCs w:val="24"/>
          <w:lang w:val="en-US" w:eastAsia="zh-CN"/>
        </w:rPr>
        <w:t>（提供承诺书</w:t>
      </w:r>
      <w:r>
        <w:rPr>
          <w:rFonts w:hint="eastAsia" w:ascii="宋体" w:hAnsi="宋体" w:eastAsia="宋体" w:cs="宋体"/>
          <w:b w:val="0"/>
          <w:bCs w:val="0"/>
          <w:color w:val="333333"/>
          <w:sz w:val="24"/>
          <w:szCs w:val="24"/>
          <w:lang w:val="en-US" w:eastAsia="zh-CN"/>
        </w:rPr>
        <w:t>）</w:t>
      </w:r>
      <w:r>
        <w:rPr>
          <w:rFonts w:hint="eastAsia" w:ascii="宋体" w:hAnsi="宋体" w:cs="宋体"/>
          <w:b w:val="0"/>
          <w:bCs w:val="0"/>
          <w:color w:val="333333"/>
          <w:sz w:val="24"/>
          <w:szCs w:val="24"/>
          <w:lang w:val="en-US" w:eastAsia="zh-CN"/>
        </w:rPr>
        <w:t>。</w:t>
      </w:r>
      <w:bookmarkStart w:id="9" w:name="_Toc7378"/>
    </w:p>
    <w:p w14:paraId="4700F8D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80" w:firstLineChars="200"/>
        <w:jc w:val="left"/>
        <w:rPr>
          <w:rFonts w:hint="default" w:ascii="宋体" w:hAnsi="宋体" w:eastAsia="宋体" w:cs="宋体"/>
          <w:sz w:val="24"/>
          <w:szCs w:val="24"/>
          <w:lang w:val="en-US" w:eastAsia="zh-CN"/>
        </w:rPr>
      </w:pPr>
      <w:r>
        <w:rPr>
          <w:rFonts w:hint="eastAsia" w:ascii="宋体" w:hAnsi="宋体" w:eastAsia="宋体" w:cs="宋体"/>
          <w:b w:val="0"/>
          <w:bCs w:val="0"/>
          <w:color w:val="333333"/>
          <w:sz w:val="24"/>
          <w:szCs w:val="24"/>
          <w:lang w:val="en-US" w:eastAsia="zh-CN"/>
        </w:rPr>
        <w:t>4、本项目为资格后审，不允许分包、转包</w:t>
      </w:r>
      <w:r>
        <w:rPr>
          <w:rFonts w:hint="eastAsia" w:ascii="宋体" w:hAnsi="宋体" w:cs="宋体"/>
          <w:b w:val="0"/>
          <w:bCs w:val="0"/>
          <w:color w:val="333333"/>
          <w:sz w:val="24"/>
          <w:szCs w:val="24"/>
          <w:lang w:val="en-US" w:eastAsia="zh-CN"/>
        </w:rPr>
        <w:t>。</w:t>
      </w:r>
    </w:p>
    <w:p w14:paraId="02E731A3">
      <w:pPr>
        <w:pStyle w:val="3"/>
        <w:pageBreakBefore w:val="0"/>
        <w:kinsoku/>
        <w:wordWrap/>
        <w:overflowPunct/>
        <w:topLinePunct w:val="0"/>
        <w:autoSpaceDE/>
        <w:autoSpaceDN/>
        <w:bidi w:val="0"/>
        <w:adjustRightInd/>
        <w:snapToGrid/>
        <w:spacing w:before="0" w:beforeLines="0" w:after="0" w:afterLines="0" w:line="360" w:lineRule="auto"/>
        <w:ind w:left="0" w:left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三、获取采购文件</w:t>
      </w:r>
      <w:bookmarkEnd w:id="9"/>
    </w:p>
    <w:p w14:paraId="24425D86">
      <w:pPr>
        <w:pageBreakBefore w:val="0"/>
        <w:widowControl/>
        <w:kinsoku/>
        <w:wordWrap/>
        <w:overflowPunct/>
        <w:topLinePunct w:val="0"/>
        <w:autoSpaceDE/>
        <w:autoSpaceDN/>
        <w:bidi w:val="0"/>
        <w:adjustRightInd/>
        <w:snapToGrid/>
        <w:spacing w:line="360" w:lineRule="auto"/>
        <w:ind w:left="0" w:leftChars="0"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00:00</w:t>
      </w:r>
      <w:r>
        <w:rPr>
          <w:rFonts w:hint="eastAsia" w:ascii="宋体" w:hAnsi="宋体" w:eastAsia="宋体" w:cs="宋体"/>
          <w:color w:val="auto"/>
          <w:sz w:val="24"/>
          <w:szCs w:val="24"/>
          <w:highlight w:val="none"/>
        </w:rPr>
        <w:t>至12:00，下午12:00至</w:t>
      </w:r>
      <w:r>
        <w:rPr>
          <w:rFonts w:hint="eastAsia" w:ascii="宋体" w:hAnsi="宋体" w:eastAsia="宋体" w:cs="宋体"/>
          <w:color w:val="auto"/>
          <w:sz w:val="24"/>
          <w:szCs w:val="24"/>
          <w:highlight w:val="none"/>
          <w:lang w:val="en-US" w:eastAsia="zh-CN"/>
        </w:rPr>
        <w:t>23：59</w:t>
      </w:r>
      <w:r>
        <w:rPr>
          <w:rFonts w:hint="eastAsia" w:ascii="宋体" w:hAnsi="宋体" w:eastAsia="宋体" w:cs="宋体"/>
          <w:color w:val="auto"/>
          <w:sz w:val="24"/>
          <w:szCs w:val="24"/>
          <w:highlight w:val="none"/>
        </w:rPr>
        <w:t xml:space="preserve">（北京时间，法定节假日除外。） </w:t>
      </w:r>
    </w:p>
    <w:p w14:paraId="1854992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cs="宋体"/>
          <w:color w:val="auto"/>
          <w:sz w:val="24"/>
          <w:szCs w:val="24"/>
          <w:highlight w:val="none"/>
          <w:lang w:val="en-US" w:eastAsia="zh-CN"/>
        </w:rPr>
        <w:t>供应商凭企业身份认证锁（CA密钥）进行网上下载采购文件。</w:t>
      </w:r>
    </w:p>
    <w:p w14:paraId="2C57F08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进入郑州市公共资源交易中心中牟分中心网站（http://zzggzy.zhengzhou.gov.cn/zhongmou/），凭企业CA锁直接下载</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尚未办理企业CA数字证书的，请登录郑州市公共资源交易中心网站（http://zzggzy.zhengzhou.gov.cn/），查阅网站首页“通知公告”或“CA及签章办理流程”中《关于数字证书（CA）互认功能上线试运行的通知》（http://zzggzy.zhengzhou.gov.cn//tzgg/20200612/9db87633-2aec-4d6f-b692-a167ec8c11d6.html），及时办理CA数字证书及电子签章并完成市场主体库相关信息</w:t>
      </w:r>
      <w:r>
        <w:rPr>
          <w:rFonts w:hint="eastAsia" w:ascii="宋体" w:hAnsi="宋体" w:cs="宋体"/>
          <w:color w:val="auto"/>
          <w:sz w:val="24"/>
          <w:szCs w:val="24"/>
          <w:highlight w:val="none"/>
          <w:lang w:val="en-US" w:eastAsia="zh-CN"/>
        </w:rPr>
        <w:t>。</w:t>
      </w:r>
    </w:p>
    <w:p w14:paraId="53CF152E">
      <w:pPr>
        <w:pageBreakBefore w:val="0"/>
        <w:widowControl/>
        <w:kinsoku/>
        <w:wordWrap/>
        <w:overflowPunct/>
        <w:topLinePunct w:val="0"/>
        <w:autoSpaceDE/>
        <w:autoSpaceDN/>
        <w:bidi w:val="0"/>
        <w:adjustRightInd/>
        <w:snapToGrid/>
        <w:spacing w:line="360" w:lineRule="auto"/>
        <w:ind w:left="0" w:leftChars="0" w:firstLine="56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rPr>
        <w:t>4.售价：0元</w:t>
      </w:r>
      <w:r>
        <w:rPr>
          <w:rFonts w:hint="eastAsia" w:ascii="宋体" w:hAnsi="宋体" w:eastAsia="宋体" w:cs="宋体"/>
          <w:color w:val="333333"/>
          <w:sz w:val="24"/>
          <w:szCs w:val="24"/>
          <w:highlight w:val="none"/>
          <w:lang w:eastAsia="zh-CN"/>
        </w:rPr>
        <w:t>。</w:t>
      </w:r>
    </w:p>
    <w:p w14:paraId="66B37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1"/>
        <w:rPr>
          <w:rFonts w:hint="default" w:ascii="宋体" w:hAnsi="宋体" w:eastAsia="宋体" w:cs="宋体"/>
          <w:b w:val="0"/>
          <w:color w:val="auto"/>
          <w:sz w:val="24"/>
          <w:szCs w:val="24"/>
          <w:lang w:val="en-US"/>
        </w:rPr>
      </w:pPr>
      <w:bookmarkStart w:id="10" w:name="_Toc35393793"/>
      <w:bookmarkStart w:id="11" w:name="_Toc28359082"/>
      <w:bookmarkStart w:id="12" w:name="_Toc7944"/>
      <w:bookmarkStart w:id="13" w:name="_Toc35393624"/>
      <w:bookmarkStart w:id="14" w:name="_Toc28359005"/>
      <w:bookmarkStart w:id="15" w:name="_Toc924"/>
      <w:r>
        <w:rPr>
          <w:rFonts w:hint="eastAsia" w:ascii="宋体" w:hAnsi="宋体" w:eastAsia="宋体" w:cs="宋体"/>
          <w:b w:val="0"/>
          <w:color w:val="auto"/>
          <w:sz w:val="24"/>
          <w:szCs w:val="24"/>
        </w:rPr>
        <w:t>四、</w:t>
      </w:r>
      <w:bookmarkEnd w:id="10"/>
      <w:bookmarkEnd w:id="11"/>
      <w:bookmarkEnd w:id="12"/>
      <w:bookmarkEnd w:id="13"/>
      <w:bookmarkEnd w:id="14"/>
      <w:bookmarkEnd w:id="15"/>
      <w:r>
        <w:rPr>
          <w:rFonts w:hint="eastAsia" w:ascii="宋体" w:hAnsi="宋体" w:cs="宋体"/>
          <w:bCs/>
          <w:color w:val="auto"/>
          <w:sz w:val="24"/>
          <w:szCs w:val="24"/>
          <w:highlight w:val="none"/>
          <w:u w:val="none"/>
          <w:lang w:val="en-US" w:eastAsia="zh-CN"/>
        </w:rPr>
        <w:t>响应文件提交</w:t>
      </w:r>
    </w:p>
    <w:p w14:paraId="23FA8779">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FF0000"/>
          <w:sz w:val="24"/>
          <w:szCs w:val="24"/>
          <w:highlight w:val="none"/>
        </w:rPr>
      </w:pPr>
      <w:r>
        <w:rPr>
          <w:rFonts w:hint="eastAsia" w:ascii="宋体" w:hAnsi="宋体" w:cs="宋体"/>
          <w:bCs/>
          <w:color w:val="auto"/>
          <w:sz w:val="24"/>
          <w:szCs w:val="24"/>
          <w:highlight w:val="none"/>
          <w:u w:val="none"/>
          <w:lang w:val="en-US" w:eastAsia="zh-CN"/>
        </w:rPr>
        <w:t>1.截止</w:t>
      </w:r>
      <w:r>
        <w:rPr>
          <w:rFonts w:hint="eastAsia" w:ascii="宋体" w:hAnsi="宋体" w:eastAsia="宋体" w:cs="宋体"/>
          <w:bCs/>
          <w:color w:val="auto"/>
          <w:sz w:val="24"/>
          <w:szCs w:val="24"/>
          <w:highlight w:val="none"/>
          <w:u w:val="none"/>
          <w:lang w:val="en-US" w:eastAsia="zh-CN"/>
        </w:rPr>
        <w:t>时间：</w:t>
      </w:r>
      <w:r>
        <w:rPr>
          <w:rFonts w:hint="eastAsia" w:ascii="宋体" w:hAnsi="宋体" w:cs="宋体"/>
          <w:bCs/>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09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0B412A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u w:val="none"/>
          <w:lang w:val="en-US" w:eastAsia="zh-CN"/>
        </w:rPr>
        <w:t>2.</w:t>
      </w:r>
      <w:r>
        <w:rPr>
          <w:rFonts w:hint="eastAsia" w:ascii="宋体" w:hAnsi="宋体" w:eastAsia="宋体" w:cs="宋体"/>
          <w:bCs/>
          <w:color w:val="auto"/>
          <w:sz w:val="24"/>
          <w:szCs w:val="24"/>
          <w:highlight w:val="none"/>
          <w:u w:val="none"/>
          <w:lang w:val="en-US" w:eastAsia="zh-CN"/>
        </w:rPr>
        <w:t>地点：</w:t>
      </w:r>
      <w:r>
        <w:rPr>
          <w:rFonts w:hint="eastAsia" w:ascii="宋体" w:hAnsi="宋体" w:cs="宋体"/>
          <w:bCs/>
          <w:color w:val="auto"/>
          <w:sz w:val="24"/>
          <w:szCs w:val="24"/>
          <w:highlight w:val="none"/>
          <w:u w:val="none"/>
          <w:lang w:val="en-US" w:eastAsia="zh-CN"/>
        </w:rPr>
        <w:t>郑州市公共资源交易中心中牟分中心（http://zzggzy.zhengzhou.gov.cn/zhongmou/）。</w:t>
      </w:r>
    </w:p>
    <w:p w14:paraId="2FB5E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outlineLvl w:val="1"/>
        <w:rPr>
          <w:rFonts w:hint="eastAsia" w:ascii="宋体" w:hAnsi="宋体" w:eastAsia="宋体" w:cs="宋体"/>
          <w:b w:val="0"/>
          <w:bCs/>
          <w:color w:val="auto"/>
          <w:sz w:val="24"/>
          <w:szCs w:val="24"/>
          <w:highlight w:val="none"/>
        </w:rPr>
      </w:pPr>
      <w:bookmarkStart w:id="16" w:name="_Toc17461"/>
      <w:bookmarkStart w:id="17" w:name="_Toc28408"/>
      <w:bookmarkStart w:id="18" w:name="_Toc28359084"/>
      <w:bookmarkStart w:id="19" w:name="_Toc35393625"/>
      <w:bookmarkStart w:id="20" w:name="_Toc35393794"/>
      <w:bookmarkStart w:id="21" w:name="_Toc28359007"/>
      <w:r>
        <w:rPr>
          <w:rFonts w:hint="eastAsia" w:ascii="宋体" w:hAnsi="宋体" w:eastAsia="宋体" w:cs="宋体"/>
          <w:b w:val="0"/>
          <w:bCs/>
          <w:color w:val="auto"/>
          <w:sz w:val="24"/>
          <w:szCs w:val="24"/>
          <w:highlight w:val="none"/>
        </w:rPr>
        <w:t>五、</w:t>
      </w:r>
      <w:bookmarkEnd w:id="16"/>
      <w:bookmarkEnd w:id="17"/>
      <w:r>
        <w:rPr>
          <w:rFonts w:hint="eastAsia" w:ascii="宋体" w:hAnsi="宋体" w:cs="宋体"/>
          <w:bCs/>
          <w:color w:val="auto"/>
          <w:sz w:val="24"/>
          <w:szCs w:val="24"/>
          <w:highlight w:val="none"/>
          <w:u w:val="none"/>
          <w:lang w:val="en-US" w:eastAsia="zh-CN"/>
        </w:rPr>
        <w:t>响应文件开启</w:t>
      </w:r>
      <w:r>
        <w:rPr>
          <w:rFonts w:hint="eastAsia" w:ascii="宋体" w:hAnsi="宋体" w:eastAsia="宋体" w:cs="宋体"/>
          <w:bCs/>
          <w:color w:val="auto"/>
          <w:sz w:val="24"/>
          <w:szCs w:val="24"/>
          <w:highlight w:val="none"/>
          <w:u w:val="none"/>
          <w:lang w:val="en-US" w:eastAsia="zh-CN"/>
        </w:rPr>
        <w:t> </w:t>
      </w:r>
    </w:p>
    <w:p w14:paraId="167AF699">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lang w:val="en-US" w:eastAsia="zh-CN"/>
        </w:rPr>
        <w:t>时间：</w:t>
      </w:r>
      <w:r>
        <w:rPr>
          <w:rFonts w:hint="eastAsia" w:ascii="宋体" w:hAnsi="宋体" w:cs="宋体"/>
          <w:bCs/>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none"/>
          <w:lang w:val="en-US" w:eastAsia="zh-CN"/>
        </w:rPr>
        <w:t>09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1708D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outlineLvl w:val="1"/>
        <w:rPr>
          <w:rFonts w:hint="eastAsia" w:ascii="宋体" w:hAnsi="宋体" w:eastAsia="宋体" w:cs="宋体"/>
          <w:bCs/>
          <w:color w:val="auto"/>
          <w:sz w:val="24"/>
          <w:szCs w:val="24"/>
          <w:highlight w:val="yellow"/>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郑州市公共资源交易中心中牟分中心(中牟县政务服务中心2楼)第一开标室</w:t>
      </w:r>
      <w:r>
        <w:rPr>
          <w:rFonts w:hint="eastAsia" w:ascii="宋体" w:hAnsi="宋体" w:eastAsia="宋体" w:cs="宋体"/>
          <w:color w:val="auto"/>
          <w:sz w:val="24"/>
          <w:szCs w:val="24"/>
          <w:highlight w:val="none"/>
          <w:lang w:val="en-US" w:eastAsia="zh-CN"/>
        </w:rPr>
        <w:t>。</w:t>
      </w:r>
    </w:p>
    <w:bookmarkEnd w:id="18"/>
    <w:bookmarkEnd w:id="19"/>
    <w:bookmarkEnd w:id="20"/>
    <w:bookmarkEnd w:id="21"/>
    <w:p w14:paraId="5B1A2ADD">
      <w:pPr>
        <w:pStyle w:val="3"/>
        <w:pageBreakBefore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bCs/>
          <w:color w:val="auto"/>
          <w:sz w:val="24"/>
          <w:szCs w:val="24"/>
          <w:lang w:val="en-US" w:eastAsia="zh-CN"/>
        </w:rPr>
      </w:pPr>
      <w:bookmarkStart w:id="22" w:name="_Toc31446"/>
      <w:bookmarkStart w:id="23" w:name="_Toc13244"/>
      <w:bookmarkStart w:id="24" w:name="_Toc35393795"/>
      <w:bookmarkStart w:id="25" w:name="_Toc35393626"/>
      <w:r>
        <w:rPr>
          <w:rFonts w:hint="eastAsia" w:ascii="宋体" w:hAnsi="宋体" w:eastAsia="宋体" w:cs="宋体"/>
          <w:b w:val="0"/>
          <w:bCs/>
          <w:color w:val="auto"/>
          <w:sz w:val="24"/>
          <w:szCs w:val="24"/>
          <w:lang w:val="en-US" w:eastAsia="zh-CN"/>
        </w:rPr>
        <w:t>六、发布公告的媒介</w:t>
      </w:r>
      <w:bookmarkEnd w:id="22"/>
      <w:bookmarkEnd w:id="23"/>
      <w:r>
        <w:rPr>
          <w:rFonts w:hint="eastAsia" w:ascii="宋体" w:hAnsi="宋体" w:eastAsia="宋体" w:cs="宋体"/>
          <w:b w:val="0"/>
          <w:bCs/>
          <w:color w:val="auto"/>
          <w:sz w:val="24"/>
          <w:szCs w:val="24"/>
          <w:lang w:val="en-US" w:eastAsia="zh-CN"/>
        </w:rPr>
        <w:t>及招标公告期限</w:t>
      </w:r>
    </w:p>
    <w:p w14:paraId="098E1BD9">
      <w:pPr>
        <w:pStyle w:val="3"/>
        <w:pageBreakBefore w:val="0"/>
        <w:kinsoku/>
        <w:wordWrap/>
        <w:overflowPunct/>
        <w:topLinePunct w:val="0"/>
        <w:autoSpaceDE/>
        <w:autoSpaceDN/>
        <w:bidi w:val="0"/>
        <w:adjustRightInd/>
        <w:snapToGrid/>
        <w:spacing w:before="0" w:beforeLines="0" w:after="0" w:afterLines="0" w:line="360" w:lineRule="auto"/>
        <w:ind w:left="0" w:leftChars="0" w:firstLine="480" w:firstLineChars="200"/>
        <w:textAlignment w:val="auto"/>
        <w:rPr>
          <w:rFonts w:hint="eastAsia" w:ascii="宋体" w:hAnsi="宋体" w:eastAsia="宋体" w:cs="宋体"/>
          <w:b w:val="0"/>
          <w:bCs/>
          <w:color w:val="auto"/>
          <w:sz w:val="24"/>
          <w:szCs w:val="24"/>
          <w:lang w:val="en-US" w:eastAsia="zh-CN"/>
        </w:rPr>
      </w:pPr>
      <w:bookmarkStart w:id="26" w:name="_Toc32542"/>
      <w:bookmarkStart w:id="27" w:name="_Toc18178"/>
      <w:r>
        <w:rPr>
          <w:rFonts w:hint="eastAsia" w:ascii="宋体" w:hAnsi="宋体" w:eastAsia="宋体" w:cs="宋体"/>
          <w:b w:val="0"/>
          <w:bCs/>
          <w:color w:val="auto"/>
          <w:sz w:val="24"/>
          <w:szCs w:val="24"/>
          <w:lang w:val="en-US" w:eastAsia="zh-CN"/>
        </w:rPr>
        <w:t>本次招标公告在《河南省政府采购网》、《中国采购与招标网》、《郑州市公共资源交易中心中牟分中心》上发布，招标公告期限为三个工作日。</w:t>
      </w:r>
      <w:bookmarkEnd w:id="26"/>
      <w:bookmarkEnd w:id="27"/>
    </w:p>
    <w:p w14:paraId="1AB4F726">
      <w:pPr>
        <w:pStyle w:val="3"/>
        <w:pageBreakBefore w:val="0"/>
        <w:kinsoku/>
        <w:wordWrap/>
        <w:overflowPunct/>
        <w:topLinePunct w:val="0"/>
        <w:autoSpaceDE/>
        <w:autoSpaceDN/>
        <w:bidi w:val="0"/>
        <w:adjustRightInd/>
        <w:snapToGrid/>
        <w:spacing w:before="0" w:beforeLines="0" w:after="0" w:afterLines="0" w:line="360" w:lineRule="auto"/>
        <w:ind w:left="0" w:leftChars="0"/>
        <w:textAlignment w:val="auto"/>
        <w:rPr>
          <w:rFonts w:hint="eastAsia" w:ascii="宋体" w:hAnsi="宋体" w:eastAsia="宋体" w:cs="宋体"/>
          <w:b w:val="0"/>
          <w:color w:val="auto"/>
          <w:sz w:val="24"/>
          <w:szCs w:val="24"/>
        </w:rPr>
      </w:pPr>
      <w:bookmarkStart w:id="28" w:name="_Toc5744"/>
      <w:bookmarkStart w:id="29" w:name="_Toc1371"/>
      <w:r>
        <w:rPr>
          <w:rFonts w:hint="eastAsia" w:ascii="宋体" w:hAnsi="宋体" w:eastAsia="宋体" w:cs="宋体"/>
          <w:b w:val="0"/>
          <w:color w:val="auto"/>
          <w:sz w:val="24"/>
          <w:szCs w:val="24"/>
          <w:lang w:val="en-US" w:eastAsia="zh-CN"/>
        </w:rPr>
        <w:t>七</w:t>
      </w:r>
      <w:r>
        <w:rPr>
          <w:rFonts w:hint="eastAsia" w:ascii="宋体" w:hAnsi="宋体" w:eastAsia="宋体" w:cs="宋体"/>
          <w:b w:val="0"/>
          <w:color w:val="auto"/>
          <w:sz w:val="24"/>
          <w:szCs w:val="24"/>
        </w:rPr>
        <w:t>、其他补充事宜</w:t>
      </w:r>
      <w:bookmarkEnd w:id="24"/>
      <w:bookmarkEnd w:id="25"/>
      <w:bookmarkEnd w:id="28"/>
      <w:bookmarkEnd w:id="29"/>
    </w:p>
    <w:p w14:paraId="58AE60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b w:val="0"/>
          <w:bCs/>
          <w:color w:val="auto"/>
          <w:kern w:val="0"/>
          <w:sz w:val="24"/>
          <w:szCs w:val="24"/>
          <w:lang w:val="en-US" w:eastAsia="zh-CN" w:bidi="ar-SA"/>
        </w:rPr>
      </w:pPr>
      <w:bookmarkStart w:id="30" w:name="_Toc28359008"/>
      <w:bookmarkStart w:id="31" w:name="_Toc28359085"/>
      <w:bookmarkStart w:id="32" w:name="_Toc35393627"/>
      <w:bookmarkStart w:id="33" w:name="_Toc19633"/>
      <w:bookmarkStart w:id="34" w:name="_Toc35393796"/>
      <w:bookmarkStart w:id="35" w:name="_Toc22825"/>
      <w:r>
        <w:rPr>
          <w:rFonts w:hint="eastAsia" w:ascii="宋体" w:hAnsi="宋体" w:eastAsia="宋体" w:cs="宋体"/>
          <w:b w:val="0"/>
          <w:bCs/>
          <w:color w:val="auto"/>
          <w:kern w:val="0"/>
          <w:sz w:val="24"/>
          <w:szCs w:val="24"/>
          <w:lang w:val="en-US" w:eastAsia="zh-CN" w:bidi="ar-SA"/>
        </w:rPr>
        <w:t>1、</w:t>
      </w:r>
      <w:r>
        <w:rPr>
          <w:rFonts w:hint="eastAsia" w:ascii="宋体" w:hAnsi="宋体" w:cs="宋体"/>
          <w:b w:val="0"/>
          <w:bCs/>
          <w:color w:val="auto"/>
          <w:kern w:val="0"/>
          <w:sz w:val="24"/>
          <w:szCs w:val="24"/>
          <w:lang w:val="en-US" w:eastAsia="zh-CN" w:bidi="ar-SA"/>
        </w:rPr>
        <w:t xml:space="preserve">本项目同时落实但不重复享受以下相关政府采购政策： </w:t>
      </w:r>
    </w:p>
    <w:p w14:paraId="4C2EF1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 xml:space="preserve">（1）执行财政部（财库[2022]19号）《财政部关于进一步加大政府采购支持中小企业力度的通知》。（注：本项目属于专门面向中小企业采购项目，不再享受评审优惠，对投标价格不予扣除。） </w:t>
      </w:r>
    </w:p>
    <w:p w14:paraId="091F2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 xml:space="preserve">（2）执行财政部、司法部《关于政府采购支持监狱企业发展有关问题的通知》（财库〔2014〕68号）。 </w:t>
      </w:r>
    </w:p>
    <w:p w14:paraId="2C41C5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（3）执行财政部、民政部、中国残疾人联合会《关于促进残疾人就业政府采购政策的通知》（财库〔2017〕141号）。</w:t>
      </w:r>
    </w:p>
    <w:p w14:paraId="6A460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2</w:t>
      </w:r>
      <w:r>
        <w:rPr>
          <w:rFonts w:hint="eastAsia" w:ascii="宋体" w:hAnsi="宋体" w:eastAsia="宋体" w:cs="宋体"/>
          <w:b w:val="0"/>
          <w:bCs/>
          <w:color w:val="auto"/>
          <w:kern w:val="0"/>
          <w:sz w:val="24"/>
          <w:szCs w:val="24"/>
          <w:lang w:val="en-US" w:eastAsia="zh-CN" w:bidi="ar-SA"/>
        </w:rPr>
        <w:t>、磋商响应文件的上传：加密</w:t>
      </w:r>
      <w:r>
        <w:rPr>
          <w:rFonts w:hint="eastAsia" w:ascii="宋体" w:hAnsi="宋体" w:cs="宋体"/>
          <w:b w:val="0"/>
          <w:bCs/>
          <w:color w:val="auto"/>
          <w:kern w:val="0"/>
          <w:sz w:val="24"/>
          <w:szCs w:val="24"/>
          <w:lang w:val="en-US" w:eastAsia="zh-CN" w:bidi="ar-SA"/>
        </w:rPr>
        <w:t>响应</w:t>
      </w:r>
      <w:r>
        <w:rPr>
          <w:rFonts w:hint="eastAsia" w:ascii="宋体" w:hAnsi="宋体" w:eastAsia="宋体" w:cs="宋体"/>
          <w:b w:val="0"/>
          <w:bCs/>
          <w:color w:val="auto"/>
          <w:kern w:val="0"/>
          <w:sz w:val="24"/>
          <w:szCs w:val="24"/>
          <w:lang w:val="en-US" w:eastAsia="zh-CN" w:bidi="ar-SA"/>
        </w:rPr>
        <w:t>文件（.ZZTF格式）应于</w:t>
      </w:r>
      <w:r>
        <w:rPr>
          <w:rFonts w:hint="eastAsia" w:ascii="宋体" w:hAnsi="宋体" w:cs="宋体"/>
          <w:b w:val="0"/>
          <w:bCs/>
          <w:color w:val="auto"/>
          <w:kern w:val="0"/>
          <w:sz w:val="24"/>
          <w:szCs w:val="24"/>
          <w:lang w:val="en-US" w:eastAsia="zh-CN" w:bidi="ar-SA"/>
        </w:rPr>
        <w:t>响应文件</w:t>
      </w:r>
      <w:r>
        <w:rPr>
          <w:rFonts w:hint="eastAsia" w:ascii="宋体" w:hAnsi="宋体" w:eastAsia="宋体" w:cs="宋体"/>
          <w:b w:val="0"/>
          <w:bCs/>
          <w:color w:val="auto"/>
          <w:kern w:val="0"/>
          <w:sz w:val="24"/>
          <w:szCs w:val="24"/>
          <w:lang w:val="en-US" w:eastAsia="zh-CN" w:bidi="ar-SA"/>
        </w:rPr>
        <w:t>提交截止时间前上传到郑州市公共资源交易中心中牟分中心（http://zzggzy.zhengzhou.gov.cn/zhongmou/）电子交易平台上传</w:t>
      </w:r>
      <w:r>
        <w:rPr>
          <w:rFonts w:hint="eastAsia" w:ascii="宋体" w:hAnsi="宋体" w:cs="宋体"/>
          <w:b w:val="0"/>
          <w:bCs/>
          <w:color w:val="auto"/>
          <w:kern w:val="0"/>
          <w:sz w:val="24"/>
          <w:szCs w:val="24"/>
          <w:lang w:val="en-US" w:eastAsia="zh-CN" w:bidi="ar-SA"/>
        </w:rPr>
        <w:t>响应文件</w:t>
      </w:r>
      <w:r>
        <w:rPr>
          <w:rFonts w:hint="eastAsia" w:ascii="宋体" w:hAnsi="宋体" w:eastAsia="宋体" w:cs="宋体"/>
          <w:b w:val="0"/>
          <w:bCs/>
          <w:color w:val="auto"/>
          <w:kern w:val="0"/>
          <w:sz w:val="24"/>
          <w:szCs w:val="24"/>
          <w:lang w:val="en-US" w:eastAsia="zh-CN" w:bidi="ar-SA"/>
        </w:rPr>
        <w:t xml:space="preserve">菜单。 </w:t>
      </w:r>
    </w:p>
    <w:p w14:paraId="0E43D8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480" w:firstLineChars="200"/>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3</w:t>
      </w:r>
      <w:r>
        <w:rPr>
          <w:rFonts w:hint="eastAsia" w:ascii="宋体" w:hAnsi="宋体" w:eastAsia="宋体" w:cs="宋体"/>
          <w:b w:val="0"/>
          <w:bCs/>
          <w:color w:val="auto"/>
          <w:kern w:val="0"/>
          <w:sz w:val="24"/>
          <w:szCs w:val="24"/>
          <w:lang w:val="en-US" w:eastAsia="zh-CN" w:bidi="ar-SA"/>
        </w:rPr>
        <w:t>、本项目采用远程开标，</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应登陆远程开标大厅远程解密，无需到开标现场。请</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务必按照《不见面开标大厅操作手册》及《郑州市公共资源交易中心中牟分中心关于不见面开标大厅系统升级的通知》（网址：http://zzggzy.zhengzhou.gov.cn/BidOpening/bidhall/default/login.html）的要求设置参与不见面开标的电脑环境，否则由此可能引起的签到失败、解密失败或无法解密等问题由</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自行承担；</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可在开标时间之后系统内观看开标过程，并进行文件解密，答疑澄清；</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应在解密时间内插入CA锁，输入密码进行解密；如果在解密时间内解密失败，可再次解密。</w:t>
      </w:r>
    </w:p>
    <w:p w14:paraId="0EEDE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360" w:lineRule="auto"/>
        <w:ind w:right="0" w:firstLine="480" w:firstLineChars="200"/>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szCs w:val="24"/>
          <w:highlight w:val="none"/>
          <w:lang w:val="en-US" w:eastAsia="zh-CN" w:bidi="ar-SA"/>
        </w:rPr>
        <w:t>4</w:t>
      </w:r>
      <w:r>
        <w:rPr>
          <w:rFonts w:hint="eastAsia" w:ascii="宋体" w:hAnsi="宋体" w:eastAsia="宋体" w:cs="宋体"/>
          <w:b w:val="0"/>
          <w:bCs/>
          <w:color w:val="auto"/>
          <w:kern w:val="0"/>
          <w:sz w:val="24"/>
          <w:szCs w:val="24"/>
          <w:highlight w:val="none"/>
          <w:lang w:val="en-US" w:eastAsia="zh-CN" w:bidi="ar-SA"/>
        </w:rPr>
        <w:t>、</w:t>
      </w:r>
      <w:r>
        <w:rPr>
          <w:rFonts w:hint="eastAsia" w:ascii="宋体" w:hAnsi="宋体" w:eastAsia="宋体" w:cs="宋体"/>
          <w:sz w:val="24"/>
          <w:szCs w:val="24"/>
          <w:highlight w:val="none"/>
          <w:lang w:val="en-US" w:eastAsia="zh-CN"/>
        </w:rPr>
        <w:t>供应商应在开标当天及时关注本项目的情况，如遇问题，请拨打技术服务单位（国泰新点）电话：4009980000。</w:t>
      </w:r>
    </w:p>
    <w:p w14:paraId="1D97C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eastAsia" w:ascii="宋体" w:hAnsi="宋体" w:eastAsia="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5</w:t>
      </w:r>
      <w:r>
        <w:rPr>
          <w:rFonts w:hint="eastAsia" w:ascii="宋体" w:hAnsi="宋体" w:eastAsia="宋体" w:cs="宋体"/>
          <w:b w:val="0"/>
          <w:bCs/>
          <w:color w:val="auto"/>
          <w:kern w:val="0"/>
          <w:sz w:val="24"/>
          <w:szCs w:val="24"/>
          <w:lang w:val="en-US" w:eastAsia="zh-CN" w:bidi="ar-SA"/>
        </w:rPr>
        <w:t>、所有</w:t>
      </w:r>
      <w:r>
        <w:rPr>
          <w:rFonts w:hint="eastAsia" w:ascii="宋体" w:hAnsi="宋体" w:cs="宋体"/>
          <w:b w:val="0"/>
          <w:bCs/>
          <w:color w:val="auto"/>
          <w:kern w:val="0"/>
          <w:sz w:val="24"/>
          <w:szCs w:val="24"/>
          <w:lang w:val="en-US" w:eastAsia="zh-CN" w:bidi="ar-SA"/>
        </w:rPr>
        <w:t>供应商</w:t>
      </w:r>
      <w:r>
        <w:rPr>
          <w:rFonts w:hint="eastAsia" w:ascii="宋体" w:hAnsi="宋体" w:eastAsia="宋体" w:cs="宋体"/>
          <w:b w:val="0"/>
          <w:bCs/>
          <w:color w:val="auto"/>
          <w:kern w:val="0"/>
          <w:sz w:val="24"/>
          <w:szCs w:val="24"/>
          <w:lang w:val="en-US" w:eastAsia="zh-CN" w:bidi="ar-SA"/>
        </w:rPr>
        <w:t>登录“郑州市公共资源交易中心中牟分中心网站远程开标大厅”后，须先进行签到，其后应一直保持在线状态，保证能准时参加开标大会、</w:t>
      </w:r>
      <w:r>
        <w:rPr>
          <w:rFonts w:hint="eastAsia" w:ascii="宋体" w:hAnsi="宋体" w:cs="宋体"/>
          <w:b w:val="0"/>
          <w:bCs/>
          <w:color w:val="auto"/>
          <w:kern w:val="0"/>
          <w:sz w:val="24"/>
          <w:szCs w:val="24"/>
          <w:lang w:val="en-US" w:eastAsia="zh-CN" w:bidi="ar-SA"/>
        </w:rPr>
        <w:t>响应</w:t>
      </w:r>
      <w:r>
        <w:rPr>
          <w:rFonts w:hint="eastAsia" w:ascii="宋体" w:hAnsi="宋体" w:eastAsia="宋体" w:cs="宋体"/>
          <w:b w:val="0"/>
          <w:bCs/>
          <w:color w:val="auto"/>
          <w:kern w:val="0"/>
          <w:sz w:val="24"/>
          <w:szCs w:val="24"/>
          <w:lang w:val="en-US" w:eastAsia="zh-CN" w:bidi="ar-SA"/>
        </w:rPr>
        <w:t xml:space="preserve">文件的解密、现场答疑澄清等活动。 </w:t>
      </w:r>
    </w:p>
    <w:p w14:paraId="7463C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default"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6、异议投诉渠道:各供应商如有异议，按照《河南省公共资源交易异议和投诉处理暂行办法》（豫公管办〔2017〕24号）文件有关规定向采购人提出异议。投诉部门：</w:t>
      </w:r>
      <w:r>
        <w:rPr>
          <w:rFonts w:hint="eastAsia" w:ascii="宋体" w:hAnsi="宋体" w:cs="宋体"/>
          <w:color w:val="auto"/>
          <w:sz w:val="24"/>
          <w:szCs w:val="24"/>
          <w:lang w:val="en-US" w:eastAsia="zh-CN"/>
        </w:rPr>
        <w:t>中牟县职业中等专业学校，地址：河南省郑州市中牟县解放路北段63号，联系人：侯先生，联系方式：0371-62192390。</w:t>
      </w:r>
    </w:p>
    <w:p w14:paraId="09F80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rPr>
          <w:rFonts w:hint="default" w:ascii="宋体" w:hAnsi="宋体" w:cs="宋体"/>
          <w:b w:val="0"/>
          <w:bCs/>
          <w:color w:val="auto"/>
          <w:kern w:val="0"/>
          <w:sz w:val="24"/>
          <w:szCs w:val="24"/>
          <w:lang w:val="en-US" w:eastAsia="zh-CN" w:bidi="ar-SA"/>
        </w:rPr>
      </w:pPr>
      <w:r>
        <w:rPr>
          <w:rFonts w:hint="eastAsia" w:ascii="宋体" w:hAnsi="宋体" w:cs="宋体"/>
          <w:b w:val="0"/>
          <w:bCs/>
          <w:color w:val="auto"/>
          <w:kern w:val="0"/>
          <w:sz w:val="24"/>
          <w:szCs w:val="24"/>
          <w:lang w:val="en-US" w:eastAsia="zh-CN" w:bidi="ar-SA"/>
        </w:rPr>
        <w:t>7、本项目监督单位：</w:t>
      </w:r>
      <w:r>
        <w:rPr>
          <w:rFonts w:hint="eastAsia" w:ascii="宋体" w:hAnsi="宋体" w:cs="宋体"/>
          <w:color w:val="auto"/>
          <w:sz w:val="24"/>
          <w:szCs w:val="24"/>
          <w:highlight w:val="none"/>
          <w:lang w:val="en-US" w:eastAsia="zh-CN"/>
        </w:rPr>
        <w:t>中牟县财政局</w:t>
      </w:r>
    </w:p>
    <w:p w14:paraId="6C47DBC5">
      <w:pPr>
        <w:pStyle w:val="3"/>
        <w:pageBreakBefore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凡</w:t>
      </w:r>
      <w:r>
        <w:rPr>
          <w:rFonts w:hint="eastAsia" w:ascii="宋体" w:hAnsi="宋体" w:eastAsia="宋体" w:cs="宋体"/>
          <w:b w:val="0"/>
          <w:color w:val="auto"/>
          <w:sz w:val="24"/>
          <w:szCs w:val="24"/>
          <w:highlight w:val="none"/>
        </w:rPr>
        <w:t>对本次招标提出询问，请</w:t>
      </w:r>
      <w:r>
        <w:rPr>
          <w:rFonts w:hint="eastAsia" w:ascii="宋体" w:hAnsi="宋体" w:eastAsia="宋体" w:cs="宋体"/>
          <w:b w:val="0"/>
          <w:color w:val="auto"/>
          <w:sz w:val="24"/>
          <w:szCs w:val="24"/>
          <w:highlight w:val="none"/>
          <w:lang w:val="en-US" w:eastAsia="zh-CN"/>
        </w:rPr>
        <w:t>按照</w:t>
      </w:r>
      <w:r>
        <w:rPr>
          <w:rFonts w:hint="eastAsia" w:ascii="宋体" w:hAnsi="宋体" w:eastAsia="宋体" w:cs="宋体"/>
          <w:b w:val="0"/>
          <w:color w:val="auto"/>
          <w:sz w:val="24"/>
          <w:szCs w:val="24"/>
          <w:highlight w:val="none"/>
        </w:rPr>
        <w:t>以下</w:t>
      </w:r>
      <w:r>
        <w:rPr>
          <w:rFonts w:hint="eastAsia" w:ascii="宋体" w:hAnsi="宋体" w:eastAsia="宋体" w:cs="宋体"/>
          <w:b w:val="0"/>
          <w:color w:val="auto"/>
          <w:sz w:val="24"/>
          <w:szCs w:val="24"/>
        </w:rPr>
        <w:t>方式联系。</w:t>
      </w:r>
      <w:bookmarkEnd w:id="30"/>
      <w:bookmarkEnd w:id="31"/>
      <w:bookmarkEnd w:id="32"/>
      <w:bookmarkEnd w:id="33"/>
      <w:bookmarkEnd w:id="34"/>
      <w:bookmarkEnd w:id="35"/>
    </w:p>
    <w:p w14:paraId="3318DBC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6A94CA6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lang w:val="en-US" w:eastAsia="zh-CN"/>
        </w:rPr>
        <w:t>中牟县职业中等专业学校</w:t>
      </w:r>
      <w:r>
        <w:rPr>
          <w:rFonts w:hint="eastAsia" w:ascii="宋体" w:hAnsi="宋体" w:eastAsia="宋体" w:cs="宋体"/>
          <w:color w:val="auto"/>
          <w:sz w:val="24"/>
          <w:szCs w:val="24"/>
          <w:highlight w:val="none"/>
          <w:lang w:val="en-US" w:eastAsia="zh-CN"/>
        </w:rPr>
        <w:t xml:space="preserve"> </w:t>
      </w:r>
    </w:p>
    <w:p w14:paraId="114BCB0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河南省郑州市中牟县解放路北段63号</w:t>
      </w:r>
    </w:p>
    <w:p w14:paraId="7361670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联系人</w:t>
      </w:r>
      <w:bookmarkStart w:id="36" w:name="_Toc28359086"/>
      <w:bookmarkStart w:id="37" w:name="_Toc28359009"/>
      <w:r>
        <w:rPr>
          <w:rFonts w:hint="eastAsia" w:ascii="宋体" w:hAnsi="宋体" w:cs="宋体"/>
          <w:color w:val="auto"/>
          <w:sz w:val="24"/>
          <w:szCs w:val="24"/>
          <w:highlight w:val="none"/>
          <w:lang w:val="en-US" w:eastAsia="zh-CN"/>
        </w:rPr>
        <w:t>：刘先生</w:t>
      </w:r>
    </w:p>
    <w:p w14:paraId="0908007A">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w:t>
      </w:r>
      <w:r>
        <w:rPr>
          <w:rFonts w:hint="eastAsia" w:ascii="宋体" w:hAnsi="宋体" w:cs="宋体"/>
          <w:color w:val="auto"/>
          <w:sz w:val="24"/>
          <w:szCs w:val="24"/>
          <w:highlight w:val="none"/>
          <w:lang w:val="en-US" w:eastAsia="zh-CN"/>
        </w:rPr>
        <w:t>方式：0371-62192390</w:t>
      </w:r>
    </w:p>
    <w:p w14:paraId="6C5FC114">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2.采购代理机构信息</w:t>
      </w:r>
      <w:bookmarkEnd w:id="36"/>
      <w:bookmarkEnd w:id="37"/>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p>
    <w:p w14:paraId="4707E0F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名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cs="宋体"/>
          <w:color w:val="auto"/>
          <w:sz w:val="24"/>
          <w:szCs w:val="24"/>
          <w:lang w:val="en-US" w:eastAsia="zh-CN"/>
        </w:rPr>
        <w:t>河南睿鹏工程咨询有限公司</w:t>
      </w:r>
    </w:p>
    <w:p w14:paraId="1516B7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rPr>
        <w:t>地　址：</w:t>
      </w:r>
      <w:bookmarkStart w:id="38" w:name="_Toc28359087"/>
      <w:bookmarkStart w:id="39" w:name="_Toc28359010"/>
      <w:r>
        <w:rPr>
          <w:rFonts w:hint="eastAsia" w:ascii="宋体" w:hAnsi="宋体" w:cs="宋体"/>
          <w:color w:val="auto"/>
          <w:sz w:val="24"/>
          <w:szCs w:val="24"/>
          <w:lang w:val="en-US" w:eastAsia="zh-CN"/>
        </w:rPr>
        <w:t>郑州市中原区瑞达路与科学大道交叉口正弘云玺中心11楼1115</w:t>
      </w:r>
    </w:p>
    <w:p w14:paraId="1602F2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：李女士</w:t>
      </w:r>
    </w:p>
    <w:p w14:paraId="66AF8F8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18738126704</w:t>
      </w:r>
      <w:r>
        <w:rPr>
          <w:rFonts w:hint="eastAsia" w:ascii="宋体" w:hAnsi="宋体" w:eastAsia="宋体" w:cs="宋体"/>
          <w:color w:val="auto"/>
          <w:sz w:val="24"/>
          <w:szCs w:val="24"/>
          <w:highlight w:val="none"/>
          <w:lang w:val="en-US" w:eastAsia="zh-CN"/>
        </w:rPr>
        <w:t xml:space="preserve"> </w:t>
      </w:r>
    </w:p>
    <w:p w14:paraId="7402C87D">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项目联系方式</w:t>
      </w:r>
    </w:p>
    <w:p w14:paraId="3FF5513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联系人</w:t>
      </w:r>
      <w:r>
        <w:rPr>
          <w:rFonts w:hint="eastAsia" w:ascii="宋体" w:hAnsi="宋体" w:cs="宋体"/>
          <w:color w:val="auto"/>
          <w:sz w:val="24"/>
          <w:szCs w:val="24"/>
          <w:lang w:val="en-US" w:eastAsia="zh-CN"/>
        </w:rPr>
        <w:t>：李女士</w:t>
      </w:r>
    </w:p>
    <w:p w14:paraId="33FEAEB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18738126704</w:t>
      </w:r>
      <w:r>
        <w:rPr>
          <w:rFonts w:hint="eastAsia" w:ascii="宋体" w:hAnsi="宋体" w:eastAsia="宋体" w:cs="宋体"/>
          <w:color w:val="auto"/>
          <w:sz w:val="24"/>
          <w:szCs w:val="24"/>
          <w:highlight w:val="none"/>
          <w:lang w:val="en-US" w:eastAsia="zh-CN"/>
        </w:rPr>
        <w:t xml:space="preserve"> </w:t>
      </w:r>
    </w:p>
    <w:p w14:paraId="0DC2A5B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color w:val="auto"/>
          <w:sz w:val="24"/>
          <w:szCs w:val="24"/>
          <w:highlight w:val="none"/>
          <w:lang w:val="en-US" w:eastAsia="zh-CN"/>
        </w:rPr>
      </w:pPr>
    </w:p>
    <w:bookmarkEnd w:id="38"/>
    <w:bookmarkEnd w:id="39"/>
    <w:p w14:paraId="67C9AC3A">
      <w:pPr>
        <w:spacing w:line="360" w:lineRule="auto"/>
        <w:ind w:firstLine="240" w:firstLineChars="1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发布人：</w:t>
      </w:r>
      <w:r>
        <w:rPr>
          <w:rFonts w:hint="eastAsia" w:ascii="宋体" w:hAnsi="宋体" w:cs="宋体"/>
          <w:sz w:val="24"/>
          <w:szCs w:val="24"/>
          <w:lang w:val="en-US" w:eastAsia="zh-CN"/>
        </w:rPr>
        <w:t>河南睿鹏工程咨询有限公司</w:t>
      </w:r>
    </w:p>
    <w:p w14:paraId="348ABA26">
      <w:pPr>
        <w:spacing w:line="360" w:lineRule="auto"/>
        <w:ind w:firstLine="240" w:firstLineChars="100"/>
        <w:jc w:val="right"/>
        <w:rPr>
          <w:rFonts w:hint="eastAsia" w:ascii="宋体" w:hAnsi="宋体" w:eastAsia="宋体" w:cs="宋体"/>
          <w:color w:val="auto"/>
          <w:sz w:val="24"/>
          <w:szCs w:val="24"/>
          <w:highlight w:val="none"/>
          <w:lang w:val="en-US" w:eastAsia="zh-CN"/>
        </w:rPr>
        <w:sectPr>
          <w:footerReference r:id="rId10" w:type="first"/>
          <w:footerReference r:id="rId9" w:type="default"/>
          <w:pgSz w:w="11906" w:h="16838"/>
          <w:pgMar w:top="1418" w:right="1555" w:bottom="1418" w:left="1531"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宋体" w:hAnsi="宋体" w:cs="宋体"/>
          <w:color w:val="auto"/>
          <w:sz w:val="24"/>
          <w:szCs w:val="24"/>
          <w:highlight w:val="none"/>
          <w:lang w:val="en-US" w:eastAsia="zh-CN"/>
        </w:rPr>
        <w:t xml:space="preserve">                      发布时间：</w:t>
      </w:r>
      <w:r>
        <w:rPr>
          <w:rFonts w:hint="eastAsia" w:ascii="宋体" w:hAnsi="宋体" w:eastAsia="宋体" w:cs="宋体"/>
          <w:color w:val="auto"/>
          <w:sz w:val="24"/>
          <w:szCs w:val="24"/>
          <w:highlight w:val="none"/>
          <w:lang w:val="en-US" w:eastAsia="zh-CN"/>
        </w:rPr>
        <w:t xml:space="preserve">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日</w:t>
      </w:r>
    </w:p>
    <w:p w14:paraId="32FE5928">
      <w:pPr>
        <w:pStyle w:val="2"/>
        <w:spacing w:before="120" w:after="120" w:line="360" w:lineRule="auto"/>
        <w:jc w:val="center"/>
        <w:rPr>
          <w:rFonts w:hint="eastAsia" w:ascii="宋体" w:hAnsi="宋体" w:eastAsia="宋体" w:cs="宋体"/>
          <w:sz w:val="32"/>
          <w:szCs w:val="32"/>
        </w:rPr>
      </w:pPr>
      <w:bookmarkStart w:id="40" w:name="_Toc23215"/>
      <w:r>
        <w:rPr>
          <w:rFonts w:hint="eastAsia" w:ascii="宋体" w:hAnsi="宋体" w:eastAsia="宋体" w:cs="宋体"/>
          <w:bCs w:val="0"/>
          <w:sz w:val="32"/>
          <w:szCs w:val="32"/>
        </w:rPr>
        <w:t xml:space="preserve">第二章 </w:t>
      </w:r>
      <w:r>
        <w:rPr>
          <w:rFonts w:hint="eastAsia" w:ascii="宋体" w:hAnsi="宋体" w:eastAsia="宋体" w:cs="宋体"/>
          <w:bCs w:val="0"/>
          <w:sz w:val="32"/>
          <w:szCs w:val="32"/>
          <w:lang w:eastAsia="zh-CN"/>
        </w:rPr>
        <w:t>供应商</w:t>
      </w:r>
      <w:r>
        <w:rPr>
          <w:rFonts w:hint="eastAsia" w:ascii="宋体" w:hAnsi="宋体" w:eastAsia="宋体" w:cs="宋体"/>
          <w:bCs w:val="0"/>
          <w:sz w:val="32"/>
          <w:szCs w:val="32"/>
        </w:rPr>
        <w:t>须知</w:t>
      </w:r>
      <w:bookmarkEnd w:id="5"/>
      <w:bookmarkEnd w:id="6"/>
      <w:bookmarkEnd w:id="7"/>
      <w:bookmarkEnd w:id="40"/>
    </w:p>
    <w:p w14:paraId="3DC19F36">
      <w:pPr>
        <w:adjustRightInd w:val="0"/>
        <w:spacing w:line="360" w:lineRule="auto"/>
        <w:jc w:val="center"/>
        <w:textAlignment w:val="baseline"/>
        <w:rPr>
          <w:rFonts w:hint="eastAsia" w:ascii="宋体" w:hAnsi="宋体" w:eastAsia="宋体" w:cs="宋体"/>
          <w:b/>
          <w:sz w:val="24"/>
          <w:szCs w:val="24"/>
          <w:lang w:eastAsia="zh-CN"/>
        </w:rPr>
      </w:pPr>
      <w:r>
        <w:rPr>
          <w:rFonts w:hint="eastAsia" w:ascii="宋体" w:hAnsi="宋体" w:eastAsia="宋体" w:cs="宋体"/>
          <w:b/>
          <w:sz w:val="24"/>
          <w:szCs w:val="24"/>
          <w:lang w:eastAsia="zh-CN"/>
        </w:rPr>
        <w:t>供应商须知前附表</w:t>
      </w:r>
    </w:p>
    <w:tbl>
      <w:tblPr>
        <w:tblStyle w:val="20"/>
        <w:tblW w:w="9377" w:type="dxa"/>
        <w:tblInd w:w="-34" w:type="dxa"/>
        <w:tblLayout w:type="fixed"/>
        <w:tblCellMar>
          <w:top w:w="0" w:type="dxa"/>
          <w:left w:w="108" w:type="dxa"/>
          <w:bottom w:w="0" w:type="dxa"/>
          <w:right w:w="108" w:type="dxa"/>
        </w:tblCellMar>
      </w:tblPr>
      <w:tblGrid>
        <w:gridCol w:w="1135"/>
        <w:gridCol w:w="1663"/>
        <w:gridCol w:w="6579"/>
      </w:tblGrid>
      <w:tr w14:paraId="18038F4D">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E3166D2">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条款号</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6292DE5">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条款名称</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4F1D35A1">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编  列  内  容</w:t>
            </w:r>
          </w:p>
        </w:tc>
      </w:tr>
      <w:tr w14:paraId="1944F6BC">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AB8583C">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D39067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采购人</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3F2089B7">
            <w:pPr>
              <w:keepNext w:val="0"/>
              <w:keepLines w:val="0"/>
              <w:pageBreakBefore w:val="0"/>
              <w:kinsoku/>
              <w:wordWrap/>
              <w:overflowPunct/>
              <w:topLinePunct w:val="0"/>
              <w:bidi w:val="0"/>
              <w:adjustRightInd w:val="0"/>
              <w:snapToGrid/>
              <w:spacing w:line="360" w:lineRule="exac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采购人名称：</w:t>
            </w:r>
            <w:r>
              <w:rPr>
                <w:rFonts w:hint="eastAsia" w:ascii="宋体" w:hAnsi="宋体" w:cs="宋体"/>
                <w:sz w:val="21"/>
                <w:szCs w:val="21"/>
                <w:lang w:val="en-US" w:eastAsia="zh-CN"/>
              </w:rPr>
              <w:t>中牟县职业中等专业学校</w:t>
            </w:r>
          </w:p>
          <w:p w14:paraId="0B9F1056">
            <w:pPr>
              <w:keepNext w:val="0"/>
              <w:keepLines w:val="0"/>
              <w:pageBreakBefore w:val="0"/>
              <w:kinsoku/>
              <w:wordWrap/>
              <w:overflowPunct/>
              <w:topLinePunct w:val="0"/>
              <w:bidi w:val="0"/>
              <w:adjustRightInd w:val="0"/>
              <w:snapToGrid/>
              <w:spacing w:line="360" w:lineRule="exac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w:t>
            </w:r>
            <w:r>
              <w:rPr>
                <w:rFonts w:hint="eastAsia" w:ascii="宋体" w:hAnsi="宋体" w:cs="宋体"/>
                <w:sz w:val="21"/>
                <w:szCs w:val="21"/>
                <w:lang w:val="en-US" w:eastAsia="zh-CN"/>
              </w:rPr>
              <w:t>河南省郑州市中牟县解放路北段63号</w:t>
            </w:r>
          </w:p>
          <w:p w14:paraId="43D6A774">
            <w:pPr>
              <w:keepNext w:val="0"/>
              <w:keepLines w:val="0"/>
              <w:pageBreakBefore w:val="0"/>
              <w:kinsoku/>
              <w:wordWrap/>
              <w:overflowPunct/>
              <w:topLinePunct w:val="0"/>
              <w:bidi w:val="0"/>
              <w:adjustRightInd w:val="0"/>
              <w:snapToGrid/>
              <w:spacing w:line="360" w:lineRule="exact"/>
              <w:jc w:val="left"/>
              <w:textAlignment w:val="baseline"/>
              <w:rPr>
                <w:rFonts w:hint="default"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cs="宋体"/>
                <w:sz w:val="21"/>
                <w:szCs w:val="21"/>
                <w:lang w:val="en-US" w:eastAsia="zh-CN"/>
              </w:rPr>
              <w:t>刘先生</w:t>
            </w:r>
          </w:p>
          <w:p w14:paraId="5435FDFA">
            <w:pPr>
              <w:keepNext w:val="0"/>
              <w:keepLines w:val="0"/>
              <w:pageBreakBefore w:val="0"/>
              <w:kinsoku/>
              <w:wordWrap/>
              <w:overflowPunct/>
              <w:topLinePunct w:val="0"/>
              <w:bidi w:val="0"/>
              <w:adjustRightInd w:val="0"/>
              <w:snapToGrid/>
              <w:spacing w:line="360" w:lineRule="exact"/>
              <w:jc w:val="left"/>
              <w:textAlignment w:val="baseline"/>
              <w:rPr>
                <w:rFonts w:hint="eastAsia" w:ascii="宋体" w:hAnsi="宋体" w:eastAsia="宋体" w:cs="宋体"/>
                <w:sz w:val="21"/>
                <w:szCs w:val="21"/>
                <w:lang w:val="en-US"/>
              </w:rPr>
            </w:pPr>
            <w:r>
              <w:rPr>
                <w:rFonts w:hint="eastAsia" w:ascii="宋体" w:hAnsi="宋体" w:eastAsia="宋体" w:cs="宋体"/>
                <w:sz w:val="21"/>
                <w:szCs w:val="21"/>
              </w:rPr>
              <w:t>电</w:t>
            </w:r>
            <w:r>
              <w:rPr>
                <w:rFonts w:hint="eastAsia" w:ascii="宋体" w:hAnsi="宋体" w:eastAsia="宋体" w:cs="宋体"/>
                <w:sz w:val="21"/>
                <w:szCs w:val="21"/>
                <w:highlight w:val="none"/>
              </w:rPr>
              <w:t>话：0371-62192390</w:t>
            </w:r>
          </w:p>
        </w:tc>
      </w:tr>
      <w:tr w14:paraId="5EB2E287">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300187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3</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3A93500">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代理机构</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B0680D0">
            <w:pPr>
              <w:keepNext w:val="0"/>
              <w:keepLines w:val="0"/>
              <w:pageBreakBefore w:val="0"/>
              <w:kinsoku/>
              <w:wordWrap/>
              <w:overflowPunct/>
              <w:topLinePunct w:val="0"/>
              <w:bidi w:val="0"/>
              <w:snapToGrid/>
              <w:spacing w:line="360" w:lineRule="exact"/>
              <w:rPr>
                <w:rFonts w:hint="eastAsia" w:ascii="宋体" w:hAnsi="宋体" w:eastAsia="宋体" w:cs="宋体"/>
                <w:sz w:val="21"/>
                <w:szCs w:val="21"/>
                <w:lang w:eastAsia="zh-CN"/>
              </w:rPr>
            </w:pPr>
            <w:r>
              <w:rPr>
                <w:rFonts w:hint="eastAsia" w:ascii="宋体" w:hAnsi="宋体" w:eastAsia="宋体" w:cs="宋体"/>
                <w:sz w:val="21"/>
                <w:szCs w:val="21"/>
              </w:rPr>
              <w:t>代理</w:t>
            </w:r>
            <w:r>
              <w:rPr>
                <w:rFonts w:hint="eastAsia" w:ascii="宋体" w:hAnsi="宋体" w:eastAsia="宋体" w:cs="宋体"/>
                <w:sz w:val="21"/>
                <w:szCs w:val="21"/>
                <w:lang w:val="en-US" w:eastAsia="zh-CN"/>
              </w:rPr>
              <w:t>机构名称</w:t>
            </w:r>
            <w:r>
              <w:rPr>
                <w:rFonts w:hint="eastAsia" w:ascii="宋体" w:hAnsi="宋体" w:eastAsia="宋体" w:cs="宋体"/>
                <w:sz w:val="21"/>
                <w:szCs w:val="21"/>
              </w:rPr>
              <w:t>：</w:t>
            </w:r>
            <w:r>
              <w:rPr>
                <w:rFonts w:hint="eastAsia" w:ascii="宋体" w:hAnsi="宋体" w:cs="宋体"/>
                <w:sz w:val="21"/>
                <w:szCs w:val="21"/>
                <w:lang w:eastAsia="zh-CN"/>
              </w:rPr>
              <w:t>河南睿鹏工程咨询有限公司</w:t>
            </w:r>
          </w:p>
          <w:p w14:paraId="5E48D96B">
            <w:pPr>
              <w:keepNext w:val="0"/>
              <w:keepLines w:val="0"/>
              <w:pageBreakBefore w:val="0"/>
              <w:kinsoku/>
              <w:wordWrap/>
              <w:overflowPunct/>
              <w:topLinePunct w:val="0"/>
              <w:bidi w:val="0"/>
              <w:snapToGrid/>
              <w:spacing w:line="360" w:lineRule="exact"/>
              <w:rPr>
                <w:rFonts w:hint="eastAsia" w:ascii="宋体" w:hAnsi="宋体" w:eastAsia="宋体" w:cs="宋体"/>
                <w:color w:val="auto"/>
                <w:sz w:val="21"/>
                <w:szCs w:val="21"/>
                <w:lang w:val="en-US" w:eastAsia="zh-CN"/>
              </w:rPr>
            </w:pPr>
            <w:r>
              <w:rPr>
                <w:rFonts w:hint="eastAsia" w:ascii="宋体" w:hAnsi="宋体" w:eastAsia="宋体" w:cs="宋体"/>
                <w:sz w:val="21"/>
                <w:szCs w:val="21"/>
              </w:rPr>
              <w:t>地 址</w:t>
            </w:r>
            <w:r>
              <w:rPr>
                <w:rFonts w:hint="eastAsia" w:ascii="宋体" w:hAnsi="宋体" w:eastAsia="宋体" w:cs="宋体"/>
                <w:sz w:val="21"/>
                <w:szCs w:val="21"/>
                <w:lang w:eastAsia="zh-CN"/>
              </w:rPr>
              <w:t>：</w:t>
            </w:r>
            <w:r>
              <w:rPr>
                <w:rFonts w:hint="eastAsia" w:ascii="宋体" w:hAnsi="宋体" w:cs="宋体"/>
                <w:color w:val="auto"/>
                <w:sz w:val="21"/>
                <w:szCs w:val="21"/>
                <w:lang w:val="en-US" w:eastAsia="zh-CN"/>
              </w:rPr>
              <w:t>郑州市中原区瑞达路与科学大道交叉口正弘云玺中心11楼1115</w:t>
            </w:r>
          </w:p>
          <w:p w14:paraId="694B6CC5">
            <w:pPr>
              <w:keepNext w:val="0"/>
              <w:keepLines w:val="0"/>
              <w:pageBreakBefore w:val="0"/>
              <w:kinsoku/>
              <w:wordWrap/>
              <w:overflowPunct/>
              <w:topLinePunct w:val="0"/>
              <w:bidi w:val="0"/>
              <w:snapToGrid/>
              <w:spacing w:line="360" w:lineRule="exact"/>
              <w:rPr>
                <w:rFonts w:hint="eastAsia" w:ascii="宋体" w:hAnsi="宋体" w:eastAsia="宋体" w:cs="宋体"/>
                <w:sz w:val="21"/>
                <w:szCs w:val="21"/>
                <w:highlight w:val="none"/>
                <w:lang w:val="en-US"/>
              </w:rPr>
            </w:pPr>
            <w:r>
              <w:rPr>
                <w:rFonts w:hint="eastAsia" w:ascii="宋体" w:hAnsi="宋体" w:eastAsia="宋体" w:cs="宋体"/>
                <w:sz w:val="21"/>
                <w:szCs w:val="21"/>
              </w:rPr>
              <w:t xml:space="preserve">联 系 </w:t>
            </w:r>
            <w:r>
              <w:rPr>
                <w:rFonts w:hint="eastAsia" w:ascii="宋体" w:hAnsi="宋体" w:eastAsia="宋体" w:cs="宋体"/>
                <w:sz w:val="21"/>
                <w:szCs w:val="21"/>
                <w:highlight w:val="none"/>
              </w:rPr>
              <w:t>人：</w:t>
            </w:r>
            <w:r>
              <w:rPr>
                <w:rFonts w:hint="eastAsia" w:ascii="宋体" w:hAnsi="宋体" w:cs="宋体"/>
                <w:sz w:val="21"/>
                <w:szCs w:val="21"/>
                <w:highlight w:val="none"/>
                <w:lang w:val="en-US" w:eastAsia="zh-CN"/>
              </w:rPr>
              <w:t>李女士</w:t>
            </w:r>
          </w:p>
          <w:p w14:paraId="363F8428">
            <w:pPr>
              <w:keepNext w:val="0"/>
              <w:keepLines w:val="0"/>
              <w:pageBreakBefore w:val="0"/>
              <w:kinsoku/>
              <w:wordWrap/>
              <w:overflowPunct/>
              <w:topLinePunct w:val="0"/>
              <w:bidi w:val="0"/>
              <w:snapToGrid/>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：18738126704</w:t>
            </w:r>
          </w:p>
        </w:tc>
      </w:tr>
      <w:tr w14:paraId="14D40D62">
        <w:tblPrEx>
          <w:tblCellMar>
            <w:top w:w="0" w:type="dxa"/>
            <w:left w:w="108" w:type="dxa"/>
            <w:bottom w:w="0" w:type="dxa"/>
            <w:right w:w="108" w:type="dxa"/>
          </w:tblCellMar>
        </w:tblPrEx>
        <w:trPr>
          <w:trHeight w:val="88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14464F0">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90A74BD">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4EBDC3F">
            <w:pPr>
              <w:keepNext w:val="0"/>
              <w:keepLines w:val="0"/>
              <w:pageBreakBefore w:val="0"/>
              <w:kinsoku/>
              <w:wordWrap/>
              <w:overflowPunct/>
              <w:topLinePunct w:val="0"/>
              <w:bidi w:val="0"/>
              <w:snapToGrid/>
              <w:spacing w:line="360" w:lineRule="exact"/>
              <w:rPr>
                <w:rFonts w:hint="eastAsia" w:ascii="宋体" w:hAnsi="宋体" w:eastAsia="宋体" w:cs="宋体"/>
                <w:sz w:val="21"/>
                <w:szCs w:val="21"/>
                <w:highlight w:val="green"/>
              </w:rPr>
            </w:pPr>
            <w:r>
              <w:rPr>
                <w:rFonts w:hint="eastAsia" w:ascii="宋体" w:hAnsi="宋体" w:cs="宋体"/>
                <w:sz w:val="21"/>
                <w:szCs w:val="21"/>
                <w:highlight w:val="none"/>
                <w:lang w:val="en-US" w:eastAsia="zh-CN"/>
              </w:rPr>
              <w:t>中牟县职业中等专业学校改扩建二期监理项目</w:t>
            </w:r>
          </w:p>
        </w:tc>
      </w:tr>
      <w:tr w14:paraId="2B062253">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B6ABA01">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1.1.5</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5BA0EAB">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highlight w:val="green"/>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地点</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2B1EA3E">
            <w:pPr>
              <w:keepNext w:val="0"/>
              <w:keepLines w:val="0"/>
              <w:pageBreakBefore w:val="0"/>
              <w:kinsoku/>
              <w:wordWrap/>
              <w:overflowPunct/>
              <w:topLinePunct w:val="0"/>
              <w:bidi w:val="0"/>
              <w:snapToGrid/>
              <w:spacing w:line="360" w:lineRule="exact"/>
              <w:rPr>
                <w:rFonts w:hint="eastAsia" w:ascii="宋体" w:hAnsi="宋体" w:eastAsia="宋体" w:cs="宋体"/>
                <w:sz w:val="21"/>
                <w:szCs w:val="21"/>
                <w:highlight w:val="green"/>
                <w:u w:val="single"/>
              </w:rPr>
            </w:pPr>
            <w:r>
              <w:rPr>
                <w:rFonts w:hint="eastAsia" w:ascii="宋体" w:hAnsi="宋体" w:cs="宋体"/>
                <w:sz w:val="21"/>
                <w:szCs w:val="21"/>
                <w:highlight w:val="none"/>
                <w:lang w:val="en-US" w:eastAsia="zh-CN"/>
              </w:rPr>
              <w:t>中牟县职业中等专业学校</w:t>
            </w:r>
          </w:p>
        </w:tc>
      </w:tr>
      <w:tr w14:paraId="3BED922E">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E9DC7F8">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1.2.1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5CFA5BE">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资金来源</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35C5682D">
            <w:pPr>
              <w:keepNext w:val="0"/>
              <w:keepLines w:val="0"/>
              <w:pageBreakBefore w:val="0"/>
              <w:kinsoku/>
              <w:wordWrap/>
              <w:overflowPunct/>
              <w:topLinePunct w:val="0"/>
              <w:bidi w:val="0"/>
              <w:adjustRightInd w:val="0"/>
              <w:snapToGrid/>
              <w:spacing w:line="360" w:lineRule="exact"/>
              <w:rPr>
                <w:rFonts w:hint="eastAsia" w:ascii="宋体" w:hAnsi="宋体" w:eastAsia="宋体" w:cs="宋体"/>
                <w:kern w:val="0"/>
                <w:sz w:val="21"/>
                <w:szCs w:val="21"/>
                <w:lang w:eastAsia="zh-CN"/>
              </w:rPr>
            </w:pPr>
            <w:r>
              <w:rPr>
                <w:rFonts w:hint="eastAsia" w:ascii="宋体" w:hAnsi="宋体" w:cs="宋体"/>
                <w:snapToGrid w:val="0"/>
                <w:kern w:val="0"/>
                <w:sz w:val="21"/>
                <w:szCs w:val="21"/>
                <w:lang w:val="en-US" w:eastAsia="zh-CN"/>
              </w:rPr>
              <w:t>财政</w:t>
            </w:r>
            <w:r>
              <w:rPr>
                <w:rFonts w:hint="eastAsia" w:ascii="宋体" w:hAnsi="宋体" w:cs="宋体"/>
                <w:snapToGrid w:val="0"/>
                <w:kern w:val="0"/>
                <w:sz w:val="21"/>
                <w:szCs w:val="21"/>
                <w:lang w:eastAsia="zh-CN"/>
              </w:rPr>
              <w:t>资金</w:t>
            </w:r>
          </w:p>
        </w:tc>
      </w:tr>
      <w:tr w14:paraId="22E35E82">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2CFCDE7">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1.2.2</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D621B2C">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出资比例</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56F0AE3">
            <w:pPr>
              <w:keepNext w:val="0"/>
              <w:keepLines w:val="0"/>
              <w:pageBreakBefore w:val="0"/>
              <w:kinsoku/>
              <w:wordWrap/>
              <w:overflowPunct/>
              <w:topLinePunct w:val="0"/>
              <w:bidi w:val="0"/>
              <w:snapToGrid/>
              <w:spacing w:line="360" w:lineRule="exact"/>
              <w:rPr>
                <w:rFonts w:hint="eastAsia" w:ascii="宋体" w:hAnsi="宋体" w:eastAsia="宋体" w:cs="宋体"/>
                <w:sz w:val="21"/>
                <w:szCs w:val="21"/>
              </w:rPr>
            </w:pPr>
            <w:r>
              <w:rPr>
                <w:rFonts w:hint="eastAsia" w:ascii="宋体" w:hAnsi="宋体" w:eastAsia="宋体" w:cs="宋体"/>
                <w:kern w:val="0"/>
                <w:sz w:val="21"/>
                <w:szCs w:val="21"/>
              </w:rPr>
              <w:t>100%</w:t>
            </w:r>
          </w:p>
        </w:tc>
      </w:tr>
      <w:tr w14:paraId="3FC95211">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5C021E42">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1.2.3</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BB44C0C">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资金落实情况</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06B8C90F">
            <w:pPr>
              <w:keepNext w:val="0"/>
              <w:keepLines w:val="0"/>
              <w:pageBreakBefore w:val="0"/>
              <w:kinsoku/>
              <w:wordWrap/>
              <w:overflowPunct/>
              <w:topLinePunct w:val="0"/>
              <w:bidi w:val="0"/>
              <w:snapToGrid/>
              <w:spacing w:line="360" w:lineRule="exact"/>
              <w:rPr>
                <w:rFonts w:hint="eastAsia" w:ascii="宋体" w:hAnsi="宋体" w:eastAsia="宋体" w:cs="宋体"/>
                <w:sz w:val="21"/>
                <w:szCs w:val="21"/>
              </w:rPr>
            </w:pPr>
            <w:r>
              <w:rPr>
                <w:rFonts w:hint="eastAsia" w:ascii="宋体" w:hAnsi="宋体" w:eastAsia="宋体" w:cs="宋体"/>
                <w:sz w:val="21"/>
                <w:szCs w:val="21"/>
              </w:rPr>
              <w:t>已落实</w:t>
            </w:r>
          </w:p>
        </w:tc>
      </w:tr>
      <w:tr w14:paraId="1C3D8C7D">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655F3D0">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1.3.1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BF5ED17">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highlight w:val="yellow"/>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范围</w:t>
            </w:r>
          </w:p>
        </w:tc>
        <w:tc>
          <w:tcPr>
            <w:tcW w:w="65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7DF19">
            <w:pPr>
              <w:keepNext w:val="0"/>
              <w:keepLines w:val="0"/>
              <w:pageBreakBefore w:val="0"/>
              <w:kinsoku/>
              <w:wordWrap/>
              <w:overflowPunct/>
              <w:topLinePunct w:val="0"/>
              <w:bidi w:val="0"/>
              <w:adjustRightInd w:val="0"/>
              <w:snapToGrid/>
              <w:spacing w:line="36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z w:val="21"/>
                <w:szCs w:val="21"/>
                <w:lang w:val="en-US" w:eastAsia="zh-CN"/>
              </w:rPr>
              <w:t>该项目施工全过程及保修期（含缺陷责任期）的全过程监理服务,并配合采购人的结算审计工作</w:t>
            </w:r>
            <w:r>
              <w:rPr>
                <w:rFonts w:hint="eastAsia" w:ascii="宋体" w:hAnsi="宋体" w:cs="宋体"/>
                <w:sz w:val="21"/>
                <w:szCs w:val="21"/>
                <w:lang w:val="en-US" w:eastAsia="zh-CN"/>
              </w:rPr>
              <w:t>。</w:t>
            </w:r>
          </w:p>
        </w:tc>
      </w:tr>
      <w:tr w14:paraId="226BCE26">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ADFC9D">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CEBCF">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highlight w:val="none"/>
                <w:lang w:eastAsia="zh-CN"/>
              </w:rPr>
            </w:pPr>
            <w:r>
              <w:rPr>
                <w:rFonts w:hint="eastAsia" w:ascii="宋体" w:hAnsi="宋体" w:cs="宋体"/>
                <w:color w:val="333333"/>
                <w:sz w:val="24"/>
                <w:szCs w:val="24"/>
                <w:highlight w:val="none"/>
                <w:lang w:val="en-US" w:eastAsia="zh-CN"/>
              </w:rPr>
              <w:t>监理服务期限</w:t>
            </w:r>
          </w:p>
        </w:tc>
        <w:tc>
          <w:tcPr>
            <w:tcW w:w="65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84AFA">
            <w:pPr>
              <w:keepNext w:val="0"/>
              <w:keepLines w:val="0"/>
              <w:pageBreakBefore w:val="0"/>
              <w:kinsoku/>
              <w:wordWrap/>
              <w:overflowPunct/>
              <w:topLinePunct w:val="0"/>
              <w:bidi w:val="0"/>
              <w:snapToGrid/>
              <w:spacing w:line="360" w:lineRule="exact"/>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施工全过程及保修期（含缺陷责任期）</w:t>
            </w:r>
          </w:p>
        </w:tc>
      </w:tr>
      <w:tr w14:paraId="59CA1511">
        <w:tblPrEx>
          <w:tblCellMar>
            <w:top w:w="0" w:type="dxa"/>
            <w:left w:w="108" w:type="dxa"/>
            <w:bottom w:w="0" w:type="dxa"/>
            <w:right w:w="108" w:type="dxa"/>
          </w:tblCellMar>
        </w:tblPrEx>
        <w:trPr>
          <w:trHeight w:val="513"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5C6EF993">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1.3.3</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142ABEF">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质量要求</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C6A3E3D">
            <w:pPr>
              <w:keepNext w:val="0"/>
              <w:keepLines w:val="0"/>
              <w:pageBreakBefore w:val="0"/>
              <w:kinsoku/>
              <w:wordWrap/>
              <w:overflowPunct/>
              <w:topLinePunct w:val="0"/>
              <w:bidi w:val="0"/>
              <w:snapToGrid/>
              <w:spacing w:line="360" w:lineRule="exact"/>
              <w:rPr>
                <w:rFonts w:hint="eastAsia" w:ascii="宋体" w:hAnsi="宋体" w:eastAsia="宋体" w:cs="宋体"/>
                <w:snapToGrid w:val="0"/>
                <w:kern w:val="0"/>
                <w:sz w:val="21"/>
                <w:szCs w:val="21"/>
                <w:lang w:eastAsia="zh-CN"/>
              </w:rPr>
            </w:pPr>
            <w:r>
              <w:rPr>
                <w:rFonts w:hint="eastAsia" w:ascii="宋体" w:hAnsi="宋体" w:eastAsia="宋体" w:cs="宋体"/>
                <w:snapToGrid w:val="0"/>
                <w:kern w:val="0"/>
                <w:sz w:val="21"/>
                <w:szCs w:val="21"/>
                <w:lang w:val="en-US" w:eastAsia="zh-CN"/>
              </w:rPr>
              <w:t>符合国家及行业现行相关规范和标准，满足采购人需求</w:t>
            </w:r>
          </w:p>
        </w:tc>
      </w:tr>
      <w:tr w14:paraId="264AE3E3">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72C459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1.4.1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E969E6B">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shd w:val="clear"/>
                <w:lang w:eastAsia="zh-CN"/>
              </w:rPr>
              <w:t>供应商</w:t>
            </w:r>
            <w:r>
              <w:rPr>
                <w:rFonts w:hint="eastAsia" w:ascii="宋体" w:hAnsi="宋体" w:eastAsia="宋体" w:cs="宋体"/>
                <w:kern w:val="0"/>
                <w:sz w:val="21"/>
                <w:szCs w:val="21"/>
                <w:highlight w:val="none"/>
                <w:shd w:val="clear"/>
              </w:rPr>
              <w:t>资质条件</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0118EA6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1、满足《中华人民共和国政府采购法》第二十二条规定；</w:t>
            </w:r>
          </w:p>
          <w:p w14:paraId="74AB2BB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2、落实政府采购政策满足的资格要求：本项目为专门面向中小企业采购（监狱企业、残疾人福利性企业视同小微企业），根据《政府采购促进中小企业发展管理办法》（财库【2020】46号）的规定，执行促进中小微（监狱、残疾人福利）企业发展等相关政策。</w:t>
            </w:r>
          </w:p>
          <w:p w14:paraId="222B8BF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3、本项目的特定资格要求：</w:t>
            </w:r>
          </w:p>
          <w:p w14:paraId="379E685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3.1满足《中华人民共和国政府采购法》第二十二条规定；</w:t>
            </w:r>
          </w:p>
          <w:p w14:paraId="4009744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 xml:space="preserve">3.2 供应商具有行政主管部门颁发的工程监理综合资质或房屋建筑工程监理乙级及以上资质证书；  </w:t>
            </w:r>
          </w:p>
          <w:p w14:paraId="5B0AA0A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3.3 项目总监要求：拟派项目总监理工程师具有房屋建筑工程专业注册监理工程师证书，同时具有相关专业中级及以上技术职称及劳动合同；</w:t>
            </w:r>
          </w:p>
          <w:p w14:paraId="5D58436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3.4信誉要求：</w:t>
            </w:r>
          </w:p>
          <w:p w14:paraId="7853574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①供应商须未处于被责令停业、投标资格被取消或者财产被接管、冻结和破产状态；企业没有因骗取中标或者严重违约等问题，未被有关部门暂停投标资格并在暂停期内的（提供书面承诺，格式自拟）；</w:t>
            </w:r>
          </w:p>
          <w:p w14:paraId="5796A60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②根据《关于在政府采购活动中查询及使用信用记录有关问题的通知》(财库[2016]125号)和豫财购【2016】15号的规定，通过“信用中国”网和“中国政府采购网”查询相关企业信用记录，列入“信用中国”网站的“失信被执行人”（跳转至“中国执行信息公开网”）和“重大税收违法失信主体”、“中国政府采购”网站的“政府采购严重违法失信行为记录名单”的供应商，拒绝参与本项目投标活动。【采购人或采购代理机构在开标当天将对所有参与本项目投标的供应商信用情况进行查询（失信被执行人、重大税收违法失信主体、政府采购严重违法失信行为记录名单）、查询记录打印留存】。</w:t>
            </w:r>
          </w:p>
          <w:p w14:paraId="502D32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③单位负责人为同一人或者存在直接控股、管理关系的不同供应商，不得参加同一合同项下的政府采购活动（提供承诺书）。</w:t>
            </w:r>
          </w:p>
          <w:p w14:paraId="7813948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333333"/>
                <w:sz w:val="21"/>
                <w:szCs w:val="21"/>
                <w:lang w:val="en-US" w:eastAsia="zh-CN"/>
              </w:rPr>
            </w:pPr>
            <w:r>
              <w:rPr>
                <w:rFonts w:hint="eastAsia" w:ascii="宋体" w:hAnsi="宋体" w:cs="宋体"/>
                <w:b w:val="0"/>
                <w:bCs w:val="0"/>
                <w:color w:val="333333"/>
                <w:sz w:val="21"/>
                <w:szCs w:val="21"/>
                <w:lang w:val="en-US" w:eastAsia="zh-CN"/>
              </w:rPr>
              <w:t>4、本项目为资格后审，不允许分包、转包。</w:t>
            </w:r>
          </w:p>
        </w:tc>
      </w:tr>
      <w:tr w14:paraId="2993894B">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543CD16">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.2</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1D842BD">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04D5A81E">
            <w:pPr>
              <w:pStyle w:val="9"/>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不接受</w:t>
            </w:r>
          </w:p>
        </w:tc>
      </w:tr>
      <w:tr w14:paraId="5DAB5117">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67B5E5E">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1.10.1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E9729C7">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highlight w:val="none"/>
                <w:lang w:eastAsia="zh-CN"/>
              </w:rPr>
              <w:t>投标预备会</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2517057">
            <w:pPr>
              <w:pStyle w:val="9"/>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不召开</w:t>
            </w:r>
          </w:p>
        </w:tc>
      </w:tr>
      <w:tr w14:paraId="450E435C">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34AE26A">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1.10.2</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A06B1BC">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eastAsia="zh-CN"/>
              </w:rPr>
              <w:t>供应商</w:t>
            </w:r>
            <w:r>
              <w:rPr>
                <w:rFonts w:hint="eastAsia" w:ascii="宋体" w:hAnsi="宋体" w:eastAsia="宋体" w:cs="宋体"/>
                <w:sz w:val="21"/>
                <w:szCs w:val="21"/>
                <w:highlight w:val="none"/>
              </w:rPr>
              <w:t>提出问题的截止时间</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3F8D92A3">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rPr>
              <w:t>递交响应文件的截止之日5日前</w:t>
            </w:r>
          </w:p>
        </w:tc>
      </w:tr>
      <w:tr w14:paraId="5CD029F1">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612FA0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1.10.3</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DA93167">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采购人书面澄清的时间</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709ABA18">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rPr>
            </w:pPr>
            <w:r>
              <w:rPr>
                <w:rFonts w:hint="eastAsia" w:ascii="宋体" w:hAnsi="宋体" w:eastAsia="宋体" w:cs="宋体"/>
                <w:sz w:val="21"/>
                <w:szCs w:val="21"/>
              </w:rPr>
              <w:t>递交响应文件的截止之日5日前</w:t>
            </w:r>
          </w:p>
        </w:tc>
      </w:tr>
      <w:tr w14:paraId="4D2B2A16">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F629BC2">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1.11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A7BED8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分包</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80A86BF">
            <w:pPr>
              <w:pStyle w:val="9"/>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不允许</w:t>
            </w:r>
          </w:p>
        </w:tc>
      </w:tr>
      <w:tr w14:paraId="3C468F1B">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81862C6">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2.1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6AC4BFB">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构成磋商文件的其他材料</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79F58E99">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rPr>
            </w:pPr>
            <w:r>
              <w:rPr>
                <w:rFonts w:hint="eastAsia" w:ascii="宋体" w:hAnsi="宋体" w:eastAsia="宋体" w:cs="宋体"/>
                <w:sz w:val="21"/>
                <w:szCs w:val="21"/>
              </w:rPr>
              <w:t>除磋商文件外，采购人在磋商期间发出的澄清、修改、补充、补遗和其他有效正式函件等内容均是磋商文件的组成部分</w:t>
            </w:r>
          </w:p>
        </w:tc>
      </w:tr>
      <w:tr w14:paraId="2E7AC730">
        <w:tblPrEx>
          <w:tblCellMar>
            <w:top w:w="0" w:type="dxa"/>
            <w:left w:w="108" w:type="dxa"/>
            <w:bottom w:w="0" w:type="dxa"/>
            <w:right w:w="108" w:type="dxa"/>
          </w:tblCellMar>
        </w:tblPrEx>
        <w:trPr>
          <w:trHeight w:val="9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0235AD0">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2.2.1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F0BE76E">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要求澄清磋商文件的截止时间</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477EE90">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rPr>
            </w:pPr>
            <w:r>
              <w:rPr>
                <w:rFonts w:hint="eastAsia" w:ascii="宋体" w:hAnsi="宋体" w:eastAsia="宋体" w:cs="宋体"/>
                <w:sz w:val="21"/>
                <w:szCs w:val="21"/>
              </w:rPr>
              <w:t>递交响应文件的截止之日5日前</w:t>
            </w:r>
          </w:p>
        </w:tc>
      </w:tr>
      <w:tr w14:paraId="4E26AF5A">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2157F25">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DCADF7A">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color w:val="FF0000"/>
                <w:sz w:val="21"/>
                <w:szCs w:val="21"/>
                <w:highlight w:val="none"/>
              </w:rPr>
            </w:pPr>
            <w:r>
              <w:rPr>
                <w:rFonts w:hint="eastAsia" w:ascii="宋体" w:hAnsi="宋体" w:eastAsia="宋体" w:cs="宋体"/>
                <w:color w:val="auto"/>
                <w:sz w:val="21"/>
                <w:szCs w:val="21"/>
                <w:highlight w:val="none"/>
              </w:rPr>
              <w:t>提交响应文件截止时间</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722BEE51">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color w:val="FF0000"/>
                <w:sz w:val="21"/>
                <w:szCs w:val="21"/>
                <w:highlight w:val="none"/>
              </w:rPr>
            </w:pPr>
            <w:r>
              <w:rPr>
                <w:rFonts w:hint="eastAsia" w:ascii="宋体" w:hAnsi="宋体" w:cs="宋体"/>
                <w:color w:val="auto"/>
                <w:sz w:val="21"/>
                <w:szCs w:val="21"/>
                <w:highlight w:val="none"/>
                <w:shd w:val="clear"/>
                <w:lang w:val="en-US" w:eastAsia="zh-CN"/>
              </w:rPr>
              <w:t>2026</w:t>
            </w:r>
            <w:r>
              <w:rPr>
                <w:rFonts w:hint="eastAsia" w:ascii="宋体" w:hAnsi="宋体" w:eastAsia="宋体" w:cs="宋体"/>
                <w:color w:val="auto"/>
                <w:sz w:val="21"/>
                <w:szCs w:val="21"/>
                <w:highlight w:val="none"/>
                <w:shd w:val="clear"/>
              </w:rPr>
              <w:t>年</w:t>
            </w:r>
            <w:r>
              <w:rPr>
                <w:rFonts w:hint="eastAsia" w:ascii="宋体" w:hAnsi="宋体" w:cs="宋体"/>
                <w:color w:val="auto"/>
                <w:sz w:val="21"/>
                <w:szCs w:val="21"/>
                <w:highlight w:val="none"/>
                <w:shd w:val="clear"/>
                <w:lang w:val="en-US" w:eastAsia="zh-CN"/>
              </w:rPr>
              <w:t>7</w:t>
            </w:r>
            <w:r>
              <w:rPr>
                <w:rFonts w:hint="eastAsia" w:ascii="宋体" w:hAnsi="宋体" w:eastAsia="宋体" w:cs="宋体"/>
                <w:color w:val="auto"/>
                <w:sz w:val="21"/>
                <w:szCs w:val="21"/>
                <w:highlight w:val="none"/>
                <w:shd w:val="clear"/>
              </w:rPr>
              <w:t>月</w:t>
            </w:r>
            <w:r>
              <w:rPr>
                <w:rFonts w:hint="eastAsia" w:ascii="宋体" w:hAnsi="宋体" w:cs="宋体"/>
                <w:color w:val="auto"/>
                <w:sz w:val="21"/>
                <w:szCs w:val="21"/>
                <w:highlight w:val="none"/>
                <w:shd w:val="clear"/>
                <w:lang w:val="en-US" w:eastAsia="zh-CN"/>
              </w:rPr>
              <w:t>9</w:t>
            </w:r>
            <w:r>
              <w:rPr>
                <w:rFonts w:hint="eastAsia" w:ascii="宋体" w:hAnsi="宋体" w:eastAsia="宋体" w:cs="宋体"/>
                <w:color w:val="auto"/>
                <w:sz w:val="21"/>
                <w:szCs w:val="21"/>
                <w:highlight w:val="none"/>
                <w:shd w:val="clear"/>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点</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1D0A28EE">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6CEA5E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3.1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B93C006">
            <w:pPr>
              <w:keepNext w:val="0"/>
              <w:keepLines w:val="0"/>
              <w:pageBreakBefore w:val="0"/>
              <w:kinsoku/>
              <w:wordWrap/>
              <w:overflowPunct/>
              <w:topLinePunct w:val="0"/>
              <w:bidi w:val="0"/>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构成响应文件的其他材料</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78B4C1D7">
            <w:pPr>
              <w:keepNext w:val="0"/>
              <w:keepLines w:val="0"/>
              <w:pageBreakBefore w:val="0"/>
              <w:kinsoku/>
              <w:wordWrap/>
              <w:overflowPunct/>
              <w:topLinePunct w:val="0"/>
              <w:bidi w:val="0"/>
              <w:snapToGrid/>
              <w:spacing w:line="360" w:lineRule="exact"/>
              <w:jc w:val="left"/>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认为需要提交的其他证明材料</w:t>
            </w:r>
          </w:p>
        </w:tc>
      </w:tr>
      <w:tr w14:paraId="733EC1F7">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88DABB1">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3.3.1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79D6073">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磋商有效期</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7662681">
            <w:pPr>
              <w:keepNext w:val="0"/>
              <w:keepLines w:val="0"/>
              <w:pageBreakBefore w:val="0"/>
              <w:kinsoku/>
              <w:wordWrap/>
              <w:overflowPunct/>
              <w:topLinePunct w:val="0"/>
              <w:bidi w:val="0"/>
              <w:snapToGrid/>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60日历天（响应文件截止之日起）</w:t>
            </w:r>
          </w:p>
        </w:tc>
      </w:tr>
      <w:tr w14:paraId="7017011A">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533897BA">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3.4.1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86ECEE3">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磋商保证金</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408BA68">
            <w:pPr>
              <w:pStyle w:val="39"/>
              <w:keepNext w:val="0"/>
              <w:keepLines w:val="0"/>
              <w:pageBreakBefore w:val="0"/>
              <w:kinsoku/>
              <w:wordWrap/>
              <w:overflowPunct/>
              <w:topLinePunct w:val="0"/>
              <w:autoSpaceDE/>
              <w:autoSpaceDN/>
              <w:bidi w:val="0"/>
              <w:snapToGrid/>
              <w:spacing w:line="360" w:lineRule="exact"/>
              <w:rPr>
                <w:rFonts w:hint="eastAsia" w:ascii="宋体" w:hAnsi="宋体" w:eastAsia="宋体" w:cs="宋体"/>
                <w:snapToGrid w:val="0"/>
                <w:sz w:val="21"/>
                <w:szCs w:val="21"/>
              </w:rPr>
            </w:pPr>
            <w:r>
              <w:rPr>
                <w:rFonts w:hint="eastAsia" w:ascii="宋体" w:hAnsi="宋体" w:eastAsia="宋体" w:cs="宋体"/>
                <w:kern w:val="2"/>
                <w:sz w:val="21"/>
                <w:szCs w:val="21"/>
              </w:rPr>
              <w:t>不收取</w:t>
            </w:r>
          </w:p>
        </w:tc>
      </w:tr>
      <w:tr w14:paraId="5167DE95">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29C1BD7">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3.5.3</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38CA38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签字盖章要求</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4E180A6">
            <w:pPr>
              <w:keepNext w:val="0"/>
              <w:keepLines w:val="0"/>
              <w:pageBreakBefore w:val="0"/>
              <w:kinsoku/>
              <w:wordWrap/>
              <w:overflowPunct/>
              <w:topLinePunct w:val="0"/>
              <w:bidi w:val="0"/>
              <w:snapToGrid/>
              <w:spacing w:line="360" w:lineRule="exact"/>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响应</w:t>
            </w:r>
            <w:r>
              <w:rPr>
                <w:rFonts w:hint="eastAsia" w:ascii="宋体" w:hAnsi="宋体" w:eastAsia="宋体" w:cs="宋体"/>
                <w:sz w:val="21"/>
                <w:szCs w:val="21"/>
                <w:lang w:eastAsia="zh-CN"/>
              </w:rPr>
              <w:t>文件格式要求中所有要求</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加盖公章</w:t>
            </w:r>
            <w:r>
              <w:rPr>
                <w:rFonts w:hint="eastAsia" w:ascii="宋体" w:hAnsi="宋体" w:eastAsia="宋体" w:cs="宋体"/>
                <w:sz w:val="21"/>
                <w:szCs w:val="21"/>
                <w:lang w:val="en-US" w:eastAsia="zh-CN"/>
              </w:rPr>
              <w:t>或签章</w:t>
            </w:r>
            <w:r>
              <w:rPr>
                <w:rFonts w:hint="eastAsia" w:ascii="宋体" w:hAnsi="宋体" w:eastAsia="宋体" w:cs="宋体"/>
                <w:sz w:val="21"/>
                <w:szCs w:val="21"/>
                <w:lang w:eastAsia="zh-CN"/>
              </w:rPr>
              <w:t>的地方都应</w:t>
            </w:r>
            <w:r>
              <w:rPr>
                <w:rFonts w:hint="eastAsia" w:ascii="宋体" w:hAnsi="宋体" w:eastAsia="宋体" w:cs="宋体"/>
                <w:sz w:val="21"/>
                <w:szCs w:val="21"/>
                <w:lang w:val="en-US" w:eastAsia="zh-CN"/>
              </w:rPr>
              <w:t>按要求加盖公章（供应商使用CA电子章或鲜章均予以认可）</w:t>
            </w:r>
            <w:r>
              <w:rPr>
                <w:rFonts w:hint="eastAsia" w:ascii="宋体" w:hAnsi="宋体" w:eastAsia="宋体" w:cs="宋体"/>
                <w:sz w:val="21"/>
                <w:szCs w:val="21"/>
                <w:lang w:eastAsia="zh-CN"/>
              </w:rPr>
              <w:t>。</w:t>
            </w:r>
          </w:p>
          <w:p w14:paraId="1AB5C2EA">
            <w:pPr>
              <w:keepNext w:val="0"/>
              <w:keepLines w:val="0"/>
              <w:pageBreakBefore w:val="0"/>
              <w:kinsoku/>
              <w:wordWrap/>
              <w:overflowPunct/>
              <w:topLinePunct w:val="0"/>
              <w:bidi w:val="0"/>
              <w:snapToGrid/>
              <w:spacing w:line="36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响应</w:t>
            </w:r>
            <w:r>
              <w:rPr>
                <w:rFonts w:hint="eastAsia" w:ascii="宋体" w:hAnsi="宋体" w:eastAsia="宋体" w:cs="宋体"/>
                <w:sz w:val="21"/>
                <w:szCs w:val="21"/>
                <w:lang w:eastAsia="zh-CN"/>
              </w:rPr>
              <w:t>文件格式要求中所有要求法定代表人签字或盖章或电子签章的地方都应用法定代表人的CA锁进行签章（法定代表人CA签字及法定代表人CA印章均予以认可）。若有要求委托代理人签字的地方，都应用委托代理人CA锁进行签章，若委托代理人没有CA锁，则</w:t>
            </w:r>
            <w:r>
              <w:rPr>
                <w:rFonts w:hint="eastAsia" w:ascii="宋体" w:hAnsi="宋体" w:eastAsia="宋体" w:cs="宋体"/>
                <w:sz w:val="21"/>
                <w:szCs w:val="21"/>
                <w:lang w:val="en-US" w:eastAsia="zh-CN"/>
              </w:rPr>
              <w:t>响应</w:t>
            </w:r>
            <w:r>
              <w:rPr>
                <w:rFonts w:hint="eastAsia" w:ascii="宋体" w:hAnsi="宋体" w:eastAsia="宋体" w:cs="宋体"/>
                <w:sz w:val="21"/>
                <w:szCs w:val="21"/>
                <w:lang w:eastAsia="zh-CN"/>
              </w:rPr>
              <w:t>文件需上传有手写签名后的扫描图片替换到相应格式中。</w:t>
            </w:r>
          </w:p>
        </w:tc>
      </w:tr>
      <w:tr w14:paraId="5B0E2183">
        <w:tblPrEx>
          <w:tblCellMar>
            <w:top w:w="0" w:type="dxa"/>
            <w:left w:w="108" w:type="dxa"/>
            <w:bottom w:w="0" w:type="dxa"/>
            <w:right w:w="108" w:type="dxa"/>
          </w:tblCellMar>
        </w:tblPrEx>
        <w:trPr>
          <w:trHeight w:val="9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58FA8AFF">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3.5.4</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E3FF69E">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green"/>
              </w:rPr>
            </w:pPr>
            <w:r>
              <w:rPr>
                <w:rFonts w:hint="eastAsia" w:ascii="宋体" w:hAnsi="宋体" w:eastAsia="宋体" w:cs="宋体"/>
                <w:sz w:val="21"/>
                <w:szCs w:val="21"/>
                <w:highlight w:val="none"/>
              </w:rPr>
              <w:t>响应文件份数</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7F9A82E4">
            <w:pPr>
              <w:pStyle w:val="37"/>
              <w:keepNext w:val="0"/>
              <w:keepLines w:val="0"/>
              <w:pageBreakBefore w:val="0"/>
              <w:widowControl/>
              <w:kinsoku/>
              <w:wordWrap/>
              <w:overflowPunct/>
              <w:topLinePunct w:val="0"/>
              <w:autoSpaceDE/>
              <w:autoSpaceDN/>
              <w:bidi w:val="0"/>
              <w:adjustRightInd/>
              <w:snapToGrid/>
              <w:spacing w:line="360" w:lineRule="exact"/>
              <w:ind w:firstLine="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①加密的电子磋商响应文件1份（.ZMTF格式）须在磋商响应文件递交截止时间前通过“郑州市公共资源交易中心中牟分中心（http://zzggzy.zhengzhou.gov.cn/zhongmou/）”电子交易平台加密上传；上传文件尽量在截止日前 1-2 日内完成，以避免网络拥堵或其他原因造成上传失败，由于响应文件未按时</w:t>
            </w:r>
            <w:r>
              <w:rPr>
                <w:rFonts w:hint="eastAsia" w:ascii="宋体" w:hAnsi="宋体" w:eastAsia="宋体" w:cs="宋体"/>
                <w:kern w:val="2"/>
                <w:sz w:val="21"/>
                <w:szCs w:val="21"/>
                <w:highlight w:val="none"/>
                <w:lang w:val="en-US" w:eastAsia="zh-CN" w:bidi="ar-SA"/>
              </w:rPr>
              <w:t>提交所造成的后果由供应商自行承担。</w:t>
            </w:r>
          </w:p>
          <w:p w14:paraId="6C3A30B3">
            <w:pPr>
              <w:rPr>
                <w:rFonts w:hint="eastAsia" w:ascii="宋体" w:hAnsi="宋体" w:eastAsia="宋体" w:cs="宋体"/>
                <w:sz w:val="21"/>
                <w:szCs w:val="21"/>
                <w:lang w:val="en-US"/>
              </w:rPr>
            </w:pPr>
            <w:r>
              <w:rPr>
                <w:rFonts w:hint="eastAsia" w:ascii="宋体" w:hAnsi="宋体" w:eastAsia="宋体" w:cs="宋体"/>
                <w:kern w:val="2"/>
                <w:sz w:val="21"/>
                <w:szCs w:val="21"/>
                <w:highlight w:val="none"/>
                <w:lang w:val="en-US" w:eastAsia="zh-CN" w:bidi="ar-SA"/>
              </w:rPr>
              <w:t>②成交单位领取成交通知书时，需提交纸质版响应文件3份（一正两副）。</w:t>
            </w:r>
          </w:p>
        </w:tc>
      </w:tr>
      <w:tr w14:paraId="65DC39B7">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801881F">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3.5.5</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9F8618B">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装订要求</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0EE05A74">
            <w:pPr>
              <w:keepNext w:val="0"/>
              <w:keepLines w:val="0"/>
              <w:pageBreakBefore w:val="0"/>
              <w:kinsoku/>
              <w:wordWrap/>
              <w:overflowPunct/>
              <w:topLinePunct w:val="0"/>
              <w:bidi w:val="0"/>
              <w:snapToGrid/>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lang w:val="en-US" w:eastAsia="zh-CN"/>
              </w:rPr>
              <w:t>供应商无需到交易中心现场参加开标会议，无需现场提交纸质版响应文件或原件。供应商须使用电子交易系统提供的响应文件制作工具进行电子响应文件的制作，并按要求上传经 CA 锁签章和加密的电子响应文件（.ZMTF 格式）。</w:t>
            </w:r>
          </w:p>
        </w:tc>
      </w:tr>
      <w:tr w14:paraId="6A37FD40">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F12468D">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.2</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147AD6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提交响应文件时间及地点</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6186290">
            <w:pPr>
              <w:keepNext w:val="0"/>
              <w:keepLines w:val="0"/>
              <w:pageBreakBefore w:val="0"/>
              <w:kinsoku/>
              <w:wordWrap/>
              <w:overflowPunct/>
              <w:topLinePunct w:val="0"/>
              <w:bidi w:val="0"/>
              <w:snapToGrid/>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截止</w:t>
            </w:r>
            <w:r>
              <w:rPr>
                <w:rFonts w:hint="eastAsia" w:ascii="宋体" w:hAnsi="宋体" w:eastAsia="宋体" w:cs="宋体"/>
                <w:sz w:val="21"/>
                <w:szCs w:val="21"/>
                <w:highlight w:val="none"/>
              </w:rPr>
              <w:t>时间：同</w:t>
            </w:r>
            <w:r>
              <w:rPr>
                <w:rFonts w:hint="eastAsia" w:ascii="宋体" w:hAnsi="宋体" w:eastAsia="宋体" w:cs="宋体"/>
                <w:sz w:val="21"/>
                <w:szCs w:val="21"/>
                <w:highlight w:val="none"/>
                <w:lang w:eastAsia="zh-CN"/>
              </w:rPr>
              <w:t>提交</w:t>
            </w:r>
            <w:r>
              <w:rPr>
                <w:rFonts w:hint="eastAsia" w:ascii="宋体" w:hAnsi="宋体" w:eastAsia="宋体" w:cs="宋体"/>
                <w:sz w:val="21"/>
                <w:szCs w:val="21"/>
                <w:highlight w:val="none"/>
              </w:rPr>
              <w:t>响应文件截止时间</w:t>
            </w:r>
          </w:p>
          <w:p w14:paraId="49E5B46C">
            <w:pPr>
              <w:keepNext w:val="0"/>
              <w:keepLines w:val="0"/>
              <w:pageBreakBefore w:val="0"/>
              <w:kinsoku/>
              <w:wordWrap/>
              <w:overflowPunct/>
              <w:topLinePunct w:val="0"/>
              <w:bidi w:val="0"/>
              <w:adjustRightInd w:val="0"/>
              <w:snapToGrid/>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地点：</w:t>
            </w:r>
            <w:r>
              <w:rPr>
                <w:rFonts w:hint="eastAsia" w:ascii="宋体" w:hAnsi="宋体" w:eastAsia="宋体" w:cs="宋体"/>
                <w:bCs/>
                <w:color w:val="auto"/>
                <w:sz w:val="21"/>
                <w:szCs w:val="21"/>
                <w:highlight w:val="none"/>
                <w:u w:val="none"/>
                <w:lang w:val="en-US" w:eastAsia="zh-CN"/>
              </w:rPr>
              <w:t>郑州市公共资源交易中心中牟分中心（http://zzggzy.zhengzhou.gov.cn/zhongmou/）电子交易平台；</w:t>
            </w:r>
          </w:p>
        </w:tc>
      </w:tr>
      <w:tr w14:paraId="1D0797B2">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4F0B6DE">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2</w:t>
            </w:r>
            <w:r>
              <w:rPr>
                <w:rFonts w:hint="eastAsia" w:ascii="宋体" w:hAnsi="宋体" w:eastAsia="宋体" w:cs="宋体"/>
                <w:sz w:val="21"/>
                <w:szCs w:val="21"/>
              </w:rPr>
              <w:t>.3</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55A35E6">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是否退还响应文件</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33E3D374">
            <w:pPr>
              <w:pStyle w:val="9"/>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否</w:t>
            </w:r>
          </w:p>
        </w:tc>
      </w:tr>
      <w:tr w14:paraId="0DBED4E1">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A0F709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5.1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D6B5752">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eastAsia="zh-CN"/>
              </w:rPr>
              <w:t>开标</w:t>
            </w:r>
            <w:r>
              <w:rPr>
                <w:rFonts w:hint="eastAsia" w:ascii="宋体" w:hAnsi="宋体" w:eastAsia="宋体" w:cs="宋体"/>
                <w:sz w:val="21"/>
                <w:szCs w:val="21"/>
              </w:rPr>
              <w:t>时间和地点</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7D5780E8">
            <w:pPr>
              <w:keepNext w:val="0"/>
              <w:keepLines w:val="0"/>
              <w:pageBreakBefore w:val="0"/>
              <w:kinsoku/>
              <w:wordWrap/>
              <w:overflowPunct/>
              <w:topLinePunct w:val="0"/>
              <w:bidi w:val="0"/>
              <w:adjustRightInd w:val="0"/>
              <w:snapToGrid/>
              <w:spacing w:line="360" w:lineRule="exact"/>
              <w:jc w:val="left"/>
              <w:rPr>
                <w:rFonts w:hint="eastAsia" w:ascii="宋体" w:hAnsi="宋体" w:eastAsia="宋体" w:cs="宋体"/>
                <w:kern w:val="0"/>
                <w:sz w:val="21"/>
                <w:szCs w:val="21"/>
              </w:rPr>
            </w:pPr>
            <w:r>
              <w:rPr>
                <w:rFonts w:hint="eastAsia" w:ascii="宋体" w:hAnsi="宋体" w:eastAsia="宋体" w:cs="宋体"/>
                <w:sz w:val="21"/>
                <w:szCs w:val="21"/>
              </w:rPr>
              <w:t>磋商</w:t>
            </w:r>
            <w:r>
              <w:rPr>
                <w:rFonts w:hint="eastAsia" w:ascii="宋体" w:hAnsi="宋体" w:eastAsia="宋体" w:cs="宋体"/>
                <w:kern w:val="0"/>
                <w:sz w:val="21"/>
                <w:szCs w:val="21"/>
              </w:rPr>
              <w:t>时间：同</w:t>
            </w:r>
            <w:r>
              <w:rPr>
                <w:rFonts w:hint="eastAsia" w:ascii="宋体" w:hAnsi="宋体" w:eastAsia="宋体" w:cs="宋体"/>
                <w:sz w:val="21"/>
                <w:szCs w:val="21"/>
              </w:rPr>
              <w:t>响应文件提交</w:t>
            </w:r>
            <w:r>
              <w:rPr>
                <w:rFonts w:hint="eastAsia" w:ascii="宋体" w:hAnsi="宋体" w:eastAsia="宋体" w:cs="宋体"/>
                <w:kern w:val="0"/>
                <w:sz w:val="21"/>
                <w:szCs w:val="21"/>
              </w:rPr>
              <w:t>截止时间</w:t>
            </w:r>
          </w:p>
          <w:p w14:paraId="16148BCF">
            <w:pPr>
              <w:keepNext w:val="0"/>
              <w:keepLines w:val="0"/>
              <w:pageBreakBefore w:val="0"/>
              <w:kinsoku/>
              <w:wordWrap/>
              <w:overflowPunct/>
              <w:topLinePunct w:val="0"/>
              <w:bidi w:val="0"/>
              <w:adjustRightInd w:val="0"/>
              <w:snapToGrid/>
              <w:spacing w:line="360" w:lineRule="exact"/>
              <w:jc w:val="left"/>
              <w:rPr>
                <w:rFonts w:hint="eastAsia" w:ascii="宋体" w:hAnsi="宋体" w:eastAsia="宋体" w:cs="宋体"/>
                <w:sz w:val="21"/>
                <w:szCs w:val="21"/>
                <w:lang w:val="en-US"/>
              </w:rPr>
            </w:pPr>
            <w:r>
              <w:rPr>
                <w:rFonts w:hint="eastAsia" w:ascii="宋体" w:hAnsi="宋体" w:eastAsia="宋体" w:cs="宋体"/>
                <w:sz w:val="21"/>
                <w:szCs w:val="21"/>
                <w:lang w:val="en-US" w:eastAsia="zh-CN"/>
              </w:rPr>
              <w:t>开标</w:t>
            </w:r>
            <w:r>
              <w:rPr>
                <w:rFonts w:hint="eastAsia" w:ascii="宋体" w:hAnsi="宋体" w:eastAsia="宋体" w:cs="宋体"/>
                <w:kern w:val="0"/>
                <w:sz w:val="21"/>
                <w:szCs w:val="21"/>
              </w:rPr>
              <w:t>地点：</w:t>
            </w:r>
            <w:r>
              <w:rPr>
                <w:rFonts w:hint="eastAsia" w:ascii="宋体" w:hAnsi="宋体" w:eastAsia="宋体" w:cs="宋体"/>
                <w:color w:val="auto"/>
                <w:sz w:val="21"/>
                <w:szCs w:val="21"/>
                <w:highlight w:val="none"/>
                <w:lang w:val="en-US" w:eastAsia="zh-CN"/>
              </w:rPr>
              <w:t>郑州市公共资源交易中心中牟分中心（http://zzggzy.zhengzhou.gov.cn/zhongmou/）电子交易平台</w:t>
            </w:r>
          </w:p>
        </w:tc>
      </w:tr>
      <w:tr w14:paraId="59593C8D">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DBFA1EA">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6.1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1536302">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green"/>
              </w:rPr>
            </w:pPr>
            <w:r>
              <w:rPr>
                <w:rFonts w:hint="eastAsia" w:ascii="宋体" w:hAnsi="宋体" w:eastAsia="宋体" w:cs="宋体"/>
                <w:sz w:val="21"/>
                <w:szCs w:val="21"/>
                <w:highlight w:val="none"/>
              </w:rPr>
              <w:t>磋商小组的组建</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1084E462">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磋商小组构成：3 人；</w:t>
            </w:r>
          </w:p>
          <w:p w14:paraId="206FAB27">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highlight w:val="green"/>
                <w:lang w:eastAsia="zh-CN"/>
              </w:rPr>
            </w:pPr>
            <w:r>
              <w:rPr>
                <w:rFonts w:hint="eastAsia" w:ascii="宋体" w:hAnsi="宋体" w:eastAsia="宋体" w:cs="宋体"/>
                <w:color w:val="auto"/>
                <w:sz w:val="21"/>
                <w:szCs w:val="21"/>
                <w:highlight w:val="none"/>
              </w:rPr>
              <w:t>采购代表1人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相关专业经济、技术专家 2 人。</w:t>
            </w:r>
          </w:p>
        </w:tc>
      </w:tr>
      <w:tr w14:paraId="65BE855F">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EF50E3A">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7.1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7DF3FF5">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是否授权磋商小组确定成交人</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4322F6E0">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rPr>
            </w:pPr>
            <w:r>
              <w:rPr>
                <w:rFonts w:hint="eastAsia" w:ascii="宋体" w:hAnsi="宋体" w:eastAsia="宋体" w:cs="宋体"/>
                <w:sz w:val="21"/>
                <w:szCs w:val="21"/>
              </w:rPr>
              <w:t>否；推荐的成交候选人数：3名</w:t>
            </w:r>
          </w:p>
        </w:tc>
      </w:tr>
      <w:tr w14:paraId="4D2A108C">
        <w:tblPrEx>
          <w:tblCellMar>
            <w:top w:w="0" w:type="dxa"/>
            <w:left w:w="108" w:type="dxa"/>
            <w:bottom w:w="0" w:type="dxa"/>
            <w:right w:w="108" w:type="dxa"/>
          </w:tblCellMar>
        </w:tblPrEx>
        <w:trPr>
          <w:trHeight w:val="510" w:hRule="atLeast"/>
        </w:trPr>
        <w:tc>
          <w:tcPr>
            <w:tcW w:w="9377" w:type="dxa"/>
            <w:gridSpan w:val="3"/>
            <w:tcBorders>
              <w:top w:val="single" w:color="auto" w:sz="4" w:space="0"/>
              <w:left w:val="single" w:color="auto" w:sz="4" w:space="0"/>
              <w:bottom w:val="single" w:color="auto" w:sz="4" w:space="0"/>
              <w:right w:val="single" w:color="auto" w:sz="4" w:space="0"/>
            </w:tcBorders>
            <w:noWrap w:val="0"/>
            <w:vAlign w:val="center"/>
          </w:tcPr>
          <w:p w14:paraId="6D84057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需要补充的其他内容</w:t>
            </w:r>
          </w:p>
        </w:tc>
      </w:tr>
      <w:tr w14:paraId="524E875C">
        <w:tblPrEx>
          <w:tblCellMar>
            <w:top w:w="0" w:type="dxa"/>
            <w:left w:w="108" w:type="dxa"/>
            <w:bottom w:w="0" w:type="dxa"/>
            <w:right w:w="108" w:type="dxa"/>
          </w:tblCellMar>
        </w:tblPrEx>
        <w:trPr>
          <w:trHeight w:val="96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445524E">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C2E6F8B">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color w:val="FF0000"/>
                <w:sz w:val="21"/>
                <w:szCs w:val="21"/>
                <w:highlight w:val="none"/>
              </w:rPr>
            </w:pP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控制价</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0E8AE2D4">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bCs/>
                <w:color w:val="FF0000"/>
                <w:sz w:val="21"/>
                <w:szCs w:val="21"/>
                <w:highlight w:val="none"/>
              </w:rPr>
            </w:pPr>
            <w:r>
              <w:rPr>
                <w:rFonts w:hint="eastAsia" w:ascii="宋体" w:hAnsi="宋体" w:eastAsia="宋体" w:cs="宋体"/>
                <w:color w:val="000000"/>
                <w:kern w:val="0"/>
                <w:sz w:val="21"/>
                <w:szCs w:val="21"/>
                <w:highlight w:val="none"/>
              </w:rPr>
              <w:t>本项目</w:t>
            </w:r>
            <w:r>
              <w:rPr>
                <w:rFonts w:hint="eastAsia" w:ascii="宋体" w:hAnsi="宋体" w:cs="宋体"/>
                <w:color w:val="000000"/>
                <w:kern w:val="0"/>
                <w:sz w:val="21"/>
                <w:szCs w:val="21"/>
                <w:highlight w:val="none"/>
                <w:lang w:val="en-US" w:eastAsia="zh-CN"/>
              </w:rPr>
              <w:t>采购</w:t>
            </w:r>
            <w:r>
              <w:rPr>
                <w:rFonts w:hint="eastAsia" w:ascii="宋体" w:hAnsi="宋体" w:eastAsia="宋体" w:cs="宋体"/>
                <w:color w:val="000000"/>
                <w:kern w:val="0"/>
                <w:sz w:val="21"/>
                <w:szCs w:val="21"/>
                <w:highlight w:val="none"/>
              </w:rPr>
              <w:t>控制价为：</w:t>
            </w:r>
            <w:r>
              <w:rPr>
                <w:rFonts w:hint="eastAsia" w:ascii="宋体" w:hAnsi="宋体" w:eastAsia="宋体" w:cs="宋体"/>
                <w:color w:val="auto"/>
                <w:kern w:val="0"/>
                <w:sz w:val="21"/>
                <w:szCs w:val="21"/>
                <w:highlight w:val="none"/>
              </w:rPr>
              <w:t>大写：</w:t>
            </w:r>
            <w:r>
              <w:rPr>
                <w:rFonts w:hint="eastAsia" w:ascii="宋体" w:hAnsi="宋体" w:cs="宋体"/>
                <w:color w:val="auto"/>
                <w:kern w:val="0"/>
                <w:sz w:val="21"/>
                <w:szCs w:val="21"/>
                <w:highlight w:val="none"/>
                <w:lang w:val="en-US" w:eastAsia="zh-CN"/>
              </w:rPr>
              <w:t>肆拾万元整</w:t>
            </w:r>
            <w:r>
              <w:rPr>
                <w:rFonts w:hint="eastAsia" w:ascii="宋体" w:hAnsi="宋体" w:eastAsia="宋体" w:cs="宋体"/>
                <w:color w:val="auto"/>
                <w:kern w:val="0"/>
                <w:sz w:val="21"/>
                <w:szCs w:val="21"/>
                <w:highlight w:val="none"/>
              </w:rPr>
              <w:t>，小写（¥</w:t>
            </w:r>
            <w:r>
              <w:rPr>
                <w:rFonts w:hint="eastAsia" w:ascii="宋体" w:hAnsi="宋体" w:cs="宋体"/>
                <w:color w:val="auto"/>
                <w:kern w:val="0"/>
                <w:sz w:val="21"/>
                <w:szCs w:val="21"/>
                <w:highlight w:val="none"/>
                <w:lang w:val="en-US" w:eastAsia="zh-CN"/>
              </w:rPr>
              <w:t>400000</w:t>
            </w:r>
            <w:r>
              <w:rPr>
                <w:rFonts w:hint="eastAsia" w:ascii="宋体" w:hAnsi="宋体" w:eastAsia="宋体" w:cs="宋体"/>
                <w:color w:val="auto"/>
                <w:kern w:val="0"/>
                <w:sz w:val="21"/>
                <w:szCs w:val="21"/>
                <w:highlight w:val="none"/>
              </w:rPr>
              <w:t>元），超过控制价的按废标处理</w:t>
            </w:r>
            <w:r>
              <w:rPr>
                <w:rFonts w:hint="eastAsia" w:ascii="宋体" w:hAnsi="宋体" w:eastAsia="宋体" w:cs="宋体"/>
                <w:color w:val="000000"/>
                <w:kern w:val="0"/>
                <w:sz w:val="21"/>
                <w:szCs w:val="21"/>
                <w:highlight w:val="none"/>
              </w:rPr>
              <w:t>。</w:t>
            </w:r>
          </w:p>
        </w:tc>
      </w:tr>
      <w:tr w14:paraId="6D966983">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711BCB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9A3A473">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highlight w:val="none"/>
              </w:rPr>
              <w:t>代理服务费</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4875E79">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本项目收费标准按照河南省招标投标协会制定的《河南省招标代理服务收费指导意见》（豫招协【2023】002号）规定取费标准收取代理服务费，由</w:t>
            </w:r>
            <w:r>
              <w:rPr>
                <w:rFonts w:hint="eastAsia" w:ascii="宋体" w:hAnsi="宋体" w:cs="宋体"/>
                <w:sz w:val="21"/>
                <w:szCs w:val="21"/>
                <w:lang w:val="en-US" w:eastAsia="zh-CN"/>
              </w:rPr>
              <w:t>成交</w:t>
            </w:r>
            <w:r>
              <w:rPr>
                <w:rFonts w:hint="eastAsia" w:ascii="宋体" w:hAnsi="宋体" w:eastAsia="宋体" w:cs="宋体"/>
                <w:sz w:val="21"/>
                <w:szCs w:val="21"/>
                <w:lang w:val="en-US" w:eastAsia="zh-CN"/>
              </w:rPr>
              <w:t>人支付。</w:t>
            </w:r>
          </w:p>
        </w:tc>
      </w:tr>
      <w:tr w14:paraId="501B0BB5">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516F1E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17288603">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政府采购政策</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ECC29F5">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政府采购相关政策：</w:t>
            </w:r>
          </w:p>
          <w:p w14:paraId="7038F549">
            <w:pPr>
              <w:keepNext w:val="0"/>
              <w:keepLines w:val="0"/>
              <w:pageBreakBefore w:val="0"/>
              <w:numPr>
                <w:ilvl w:val="0"/>
                <w:numId w:val="3"/>
              </w:numPr>
              <w:kinsoku/>
              <w:wordWrap/>
              <w:overflowPunct/>
              <w:topLinePunct w:val="0"/>
              <w:bidi w:val="0"/>
              <w:adjustRightInd w:val="0"/>
              <w:snapToGrid/>
              <w:spacing w:line="360" w:lineRule="exact"/>
              <w:textAlignment w:val="baseline"/>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执行财政部（财库[2022]19号）《财政部关于进一步加大政府采购支持中小企业力度的通知》。（注：本项目属于专门面向中小企业采购项目，不再享受评审优惠，对投标价格不予扣除。）</w:t>
            </w:r>
          </w:p>
          <w:p w14:paraId="54693E81">
            <w:pPr>
              <w:keepNext w:val="0"/>
              <w:keepLines w:val="0"/>
              <w:pageBreakBefore w:val="0"/>
              <w:numPr>
                <w:ilvl w:val="0"/>
                <w:numId w:val="0"/>
              </w:numPr>
              <w:kinsoku/>
              <w:wordWrap/>
              <w:overflowPunct/>
              <w:topLinePunct w:val="0"/>
              <w:bidi w:val="0"/>
              <w:adjustRightInd w:val="0"/>
              <w:snapToGrid/>
              <w:spacing w:line="360" w:lineRule="exact"/>
              <w:textAlignment w:val="baseline"/>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根据财政部司法部《关于政府采购支持监狱企业发展有关问题的通知》（财库〔2014〕68号）规定，监狱企业视同小型、微型企业。</w:t>
            </w:r>
          </w:p>
          <w:p w14:paraId="67E1A48C">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根据财政部民政部中国残疾人联合会《关于促进残疾人就业政府采购政策的通知》（财库〔2017〕141号）规定，残疾人福利性单位视同小型、微型企业。</w:t>
            </w:r>
          </w:p>
          <w:p w14:paraId="063FE4ED">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4.</w:t>
            </w:r>
            <w:r>
              <w:rPr>
                <w:rFonts w:hint="eastAsia" w:ascii="宋体" w:hAnsi="宋体" w:eastAsia="宋体" w:cs="宋体"/>
                <w:b/>
                <w:bCs/>
                <w:color w:val="auto"/>
                <w:kern w:val="0"/>
                <w:sz w:val="21"/>
                <w:szCs w:val="21"/>
                <w:highlight w:val="none"/>
                <w:lang w:val="en-US"/>
              </w:rPr>
              <w:t>供应商应按规定提供《中小企业声明函》</w:t>
            </w:r>
            <w:r>
              <w:rPr>
                <w:rFonts w:hint="eastAsia" w:ascii="宋体" w:hAnsi="宋体" w:cs="宋体"/>
                <w:b/>
                <w:bCs/>
                <w:color w:val="auto"/>
                <w:kern w:val="0"/>
                <w:sz w:val="21"/>
                <w:szCs w:val="21"/>
                <w:highlight w:val="none"/>
                <w:lang w:val="en-US" w:eastAsia="zh-CN"/>
              </w:rPr>
              <w:t>。</w:t>
            </w:r>
          </w:p>
          <w:p w14:paraId="459C7B75">
            <w:pPr>
              <w:keepNext w:val="0"/>
              <w:keepLines w:val="0"/>
              <w:pageBreakBefore w:val="0"/>
              <w:kinsoku/>
              <w:wordWrap/>
              <w:overflowPunct/>
              <w:topLinePunct w:val="0"/>
              <w:bidi w:val="0"/>
              <w:adjustRightInd w:val="0"/>
              <w:snapToGrid/>
              <w:spacing w:line="360" w:lineRule="exact"/>
              <w:textAlignment w:val="baseline"/>
              <w:rPr>
                <w:rFonts w:hint="eastAsia" w:ascii="宋体" w:hAnsi="宋体" w:eastAsia="宋体" w:cs="宋体"/>
                <w:sz w:val="21"/>
                <w:szCs w:val="21"/>
                <w:highlight w:val="none"/>
              </w:rPr>
            </w:pP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其它未尽事宜，按国家有关法律、法规执行。</w:t>
            </w:r>
          </w:p>
        </w:tc>
      </w:tr>
      <w:tr w14:paraId="019504E7">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2DE2C0C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10.4</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71BD3EF">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4C118F9">
            <w:pPr>
              <w:keepNext w:val="0"/>
              <w:keepLines w:val="0"/>
              <w:pageBreakBefore w:val="0"/>
              <w:kinsoku/>
              <w:wordWrap/>
              <w:overflowPunct/>
              <w:topLinePunct w:val="0"/>
              <w:bidi w:val="0"/>
              <w:adjustRightInd w:val="0"/>
              <w:snapToGrid/>
              <w:spacing w:line="360" w:lineRule="exact"/>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eastAsia="zh-CN"/>
              </w:rPr>
              <w:t>按合同约定</w:t>
            </w:r>
            <w:r>
              <w:rPr>
                <w:rFonts w:hint="eastAsia" w:ascii="宋体" w:hAnsi="宋体" w:eastAsia="宋体" w:cs="宋体"/>
                <w:color w:val="000000"/>
                <w:kern w:val="0"/>
                <w:sz w:val="21"/>
                <w:szCs w:val="21"/>
                <w:highlight w:val="none"/>
              </w:rPr>
              <w:t>执行</w:t>
            </w:r>
            <w:r>
              <w:rPr>
                <w:rFonts w:hint="eastAsia" w:ascii="宋体" w:hAnsi="宋体" w:eastAsia="宋体" w:cs="宋体"/>
                <w:color w:val="000000"/>
                <w:kern w:val="0"/>
                <w:sz w:val="21"/>
                <w:szCs w:val="21"/>
                <w:highlight w:val="none"/>
                <w:lang w:val="en-US" w:eastAsia="zh-CN"/>
              </w:rPr>
              <w:t>。</w:t>
            </w:r>
          </w:p>
        </w:tc>
      </w:tr>
      <w:tr w14:paraId="67090A7B">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9EF379E">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C7582CA">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履约保证金</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118010B">
            <w:pPr>
              <w:keepNext w:val="0"/>
              <w:keepLines w:val="0"/>
              <w:pageBreakBefore w:val="0"/>
              <w:kinsoku/>
              <w:wordWrap/>
              <w:overflowPunct/>
              <w:topLinePunct w:val="0"/>
              <w:bidi w:val="0"/>
              <w:adjustRightInd w:val="0"/>
              <w:snapToGrid/>
              <w:spacing w:line="360" w:lineRule="exact"/>
              <w:jc w:val="left"/>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kern w:val="0"/>
                <w:sz w:val="21"/>
                <w:szCs w:val="21"/>
                <w:highlight w:val="none"/>
                <w:lang w:val="en-US" w:eastAsia="zh-CN"/>
              </w:rPr>
              <w:t>本项目不要求</w:t>
            </w:r>
          </w:p>
        </w:tc>
      </w:tr>
      <w:tr w14:paraId="0A7A118E">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65FFC90">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6</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D66081E">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其他</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D960554">
            <w:pPr>
              <w:keepNext w:val="0"/>
              <w:keepLines w:val="0"/>
              <w:pageBreakBefore w:val="0"/>
              <w:kinsoku/>
              <w:wordWrap/>
              <w:overflowPunct/>
              <w:topLinePunct w:val="0"/>
              <w:bidi w:val="0"/>
              <w:adjustRightInd w:val="0"/>
              <w:snapToGrid/>
              <w:spacing w:line="36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、本文件解释权归采购人或</w:t>
            </w:r>
            <w:r>
              <w:rPr>
                <w:rFonts w:hint="eastAsia" w:ascii="宋体" w:hAnsi="宋体" w:cs="宋体"/>
                <w:sz w:val="21"/>
                <w:szCs w:val="21"/>
                <w:lang w:eastAsia="zh-CN"/>
              </w:rPr>
              <w:t>河南睿鹏工程咨询有限公司</w:t>
            </w:r>
            <w:r>
              <w:rPr>
                <w:rFonts w:hint="eastAsia" w:ascii="宋体" w:hAnsi="宋体" w:eastAsia="宋体" w:cs="宋体"/>
                <w:sz w:val="21"/>
                <w:szCs w:val="21"/>
              </w:rPr>
              <w:t>；</w:t>
            </w:r>
          </w:p>
          <w:p w14:paraId="02F4FBCC">
            <w:pPr>
              <w:keepNext w:val="0"/>
              <w:keepLines w:val="0"/>
              <w:pageBreakBefore w:val="0"/>
              <w:kinsoku/>
              <w:wordWrap/>
              <w:overflowPunct/>
              <w:topLinePunct w:val="0"/>
              <w:bidi w:val="0"/>
              <w:adjustRightInd w:val="0"/>
              <w:snapToGrid/>
              <w:spacing w:line="360" w:lineRule="exact"/>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、本文件未尽事宜，参照现行有关的法律、法规、规章、办法等执行；</w:t>
            </w:r>
          </w:p>
          <w:p w14:paraId="57741318">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ind w:left="0" w:leftChars="0" w:firstLine="0" w:firstLineChars="0"/>
              <w:textAlignment w:val="auto"/>
              <w:outlineLvl w:val="9"/>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3、本次采购如有变更、答疑或其他通知将在郑州市公共资源交易中心中牟分中心电子系统或竞争性磋商公告发布的相同网站上公布。</w:t>
            </w:r>
          </w:p>
          <w:p w14:paraId="01CA1917">
            <w:pPr>
              <w:keepNext w:val="0"/>
              <w:keepLines w:val="0"/>
              <w:pageBreakBefore w:val="0"/>
              <w:kinsoku/>
              <w:wordWrap/>
              <w:overflowPunct/>
              <w:topLinePunct w:val="0"/>
              <w:bidi w:val="0"/>
              <w:snapToGrid/>
              <w:spacing w:line="36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在</w:t>
            </w:r>
            <w:r>
              <w:rPr>
                <w:rFonts w:hint="eastAsia" w:ascii="宋体" w:hAnsi="宋体" w:eastAsia="宋体" w:cs="宋体"/>
                <w:b w:val="0"/>
                <w:bCs w:val="0"/>
                <w:sz w:val="21"/>
                <w:szCs w:val="21"/>
                <w:lang w:eastAsia="zh-CN"/>
              </w:rPr>
              <w:t>磋商响应文件</w:t>
            </w:r>
            <w:r>
              <w:rPr>
                <w:rFonts w:hint="eastAsia" w:ascii="宋体" w:hAnsi="宋体" w:eastAsia="宋体" w:cs="宋体"/>
                <w:b w:val="0"/>
                <w:bCs w:val="0"/>
                <w:sz w:val="21"/>
                <w:szCs w:val="21"/>
              </w:rPr>
              <w:t>递交截止时间前须自行查看项目进展、变更通知、澄清及回复，因</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未及时查看而造成的后果自负。</w:t>
            </w:r>
          </w:p>
        </w:tc>
      </w:tr>
      <w:tr w14:paraId="4EA4F8DF">
        <w:tblPrEx>
          <w:tblCellMar>
            <w:top w:w="0" w:type="dxa"/>
            <w:left w:w="108" w:type="dxa"/>
            <w:bottom w:w="0" w:type="dxa"/>
            <w:right w:w="108" w:type="dxa"/>
          </w:tblCellMar>
        </w:tblPrEx>
        <w:trPr>
          <w:trHeight w:val="51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E037616">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lang w:val="en-US" w:eastAsia="zh-CN"/>
              </w:rPr>
            </w:pPr>
            <w:bookmarkStart w:id="41" w:name="_Toc152045529"/>
            <w:bookmarkStart w:id="42" w:name="_Toc152042305"/>
            <w:bookmarkStart w:id="43" w:name="_Toc144974497"/>
            <w:r>
              <w:rPr>
                <w:rFonts w:hint="eastAsia" w:ascii="宋体" w:hAnsi="宋体" w:eastAsia="宋体" w:cs="宋体"/>
                <w:sz w:val="21"/>
                <w:szCs w:val="21"/>
                <w:lang w:val="en-US" w:eastAsia="zh-CN"/>
              </w:rPr>
              <w:t>10.7</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037CDA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采购标的所属行业</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5E39A9FE">
            <w:pPr>
              <w:keepNext w:val="0"/>
              <w:keepLines w:val="0"/>
              <w:widowControl/>
              <w:suppressLineNumbers w:val="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采购标的所属行业为：其他未列明行业</w:t>
            </w:r>
          </w:p>
          <w:p w14:paraId="16387D32">
            <w:pPr>
              <w:keepNext w:val="0"/>
              <w:keepLines w:val="0"/>
              <w:pageBreakBefore w:val="0"/>
              <w:kinsoku/>
              <w:wordWrap/>
              <w:overflowPunct/>
              <w:topLinePunct w:val="0"/>
              <w:autoSpaceDE/>
              <w:autoSpaceDN/>
              <w:bidi w:val="0"/>
              <w:adjustRightInd w:val="0"/>
              <w:snapToGrid/>
              <w:spacing w:line="460" w:lineRule="exact"/>
              <w:jc w:val="left"/>
              <w:textAlignment w:val="baseline"/>
              <w:rPr>
                <w:rFonts w:hint="eastAsia" w:ascii="宋体" w:hAnsi="宋体" w:eastAsia="宋体" w:cs="宋体"/>
                <w:b w:val="0"/>
                <w:bCs w:val="0"/>
                <w:sz w:val="21"/>
                <w:szCs w:val="21"/>
                <w:lang w:val="en-US" w:eastAsia="zh-CN"/>
              </w:rPr>
            </w:pPr>
            <w:r>
              <w:rPr>
                <w:rFonts w:hint="eastAsia" w:ascii="宋体" w:hAnsi="宋体" w:eastAsia="宋体" w:cs="宋体"/>
                <w:sz w:val="21"/>
                <w:szCs w:val="21"/>
                <w:highlight w:val="none"/>
                <w:lang w:val="en-US" w:eastAsia="zh-CN"/>
              </w:rPr>
              <w:t>划定标准为：</w:t>
            </w:r>
            <w:r>
              <w:rPr>
                <w:rFonts w:hint="eastAsia" w:ascii="宋体" w:hAnsi="宋体" w:eastAsia="宋体" w:cs="宋体"/>
                <w:sz w:val="21"/>
                <w:szCs w:val="21"/>
                <w:highlight w:val="none"/>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w:t>
            </w:r>
            <w:r>
              <w:rPr>
                <w:rFonts w:hint="eastAsia" w:ascii="宋体" w:hAnsi="宋体" w:eastAsia="宋体" w:cs="宋体"/>
                <w:sz w:val="21"/>
                <w:szCs w:val="21"/>
                <w:highlight w:val="none"/>
                <w:lang w:eastAsia="zh-CN"/>
              </w:rPr>
              <w:t>。</w:t>
            </w:r>
          </w:p>
        </w:tc>
      </w:tr>
    </w:tbl>
    <w:p w14:paraId="2D746991">
      <w:pPr>
        <w:keepNext w:val="0"/>
        <w:keepLines w:val="0"/>
        <w:widowControl/>
        <w:suppressLineNumbers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 xml:space="preserve">注：本磋商文件中内容与供应商须知前附表中内容不一致时以供应商须知前附表中内容为准。 </w:t>
      </w:r>
    </w:p>
    <w:p w14:paraId="1B907F27">
      <w:pPr>
        <w:spacing w:line="360" w:lineRule="auto"/>
        <w:rPr>
          <w:rFonts w:hint="eastAsia" w:ascii="宋体" w:hAnsi="宋体" w:eastAsia="宋体" w:cs="宋体"/>
          <w:b/>
          <w:sz w:val="21"/>
          <w:szCs w:val="21"/>
        </w:rPr>
      </w:pPr>
      <w:bookmarkStart w:id="44" w:name="_Toc455080108"/>
      <w:bookmarkStart w:id="45" w:name="_Toc466298091"/>
      <w:r>
        <w:rPr>
          <w:rFonts w:hint="eastAsia" w:ascii="宋体" w:hAnsi="宋体" w:eastAsia="宋体" w:cs="宋体"/>
          <w:b/>
          <w:sz w:val="21"/>
          <w:szCs w:val="21"/>
        </w:rPr>
        <w:t>1. 总则</w:t>
      </w:r>
      <w:bookmarkEnd w:id="41"/>
      <w:bookmarkEnd w:id="42"/>
      <w:bookmarkEnd w:id="43"/>
      <w:bookmarkEnd w:id="44"/>
      <w:bookmarkEnd w:id="45"/>
    </w:p>
    <w:p w14:paraId="571CC278">
      <w:pPr>
        <w:spacing w:line="360" w:lineRule="auto"/>
        <w:rPr>
          <w:rFonts w:hint="eastAsia" w:ascii="宋体" w:hAnsi="宋体" w:eastAsia="宋体" w:cs="宋体"/>
          <w:b/>
          <w:sz w:val="21"/>
          <w:szCs w:val="21"/>
        </w:rPr>
      </w:pPr>
      <w:bookmarkStart w:id="46" w:name="_Toc21458"/>
      <w:bookmarkStart w:id="47" w:name="_Toc485131155"/>
      <w:bookmarkStart w:id="48" w:name="_Toc31404"/>
      <w:bookmarkStart w:id="49" w:name="_Toc15709"/>
      <w:bookmarkStart w:id="50" w:name="_Toc281380952"/>
      <w:bookmarkStart w:id="51" w:name="_Toc2192"/>
      <w:bookmarkStart w:id="52" w:name="_Toc455080109"/>
      <w:bookmarkStart w:id="53" w:name="_Toc318450675"/>
      <w:bookmarkStart w:id="54" w:name="_Toc29023"/>
      <w:bookmarkStart w:id="55" w:name="_Toc466298092"/>
      <w:bookmarkStart w:id="56" w:name="_Toc1172"/>
      <w:bookmarkStart w:id="57" w:name="_Toc10273"/>
      <w:bookmarkStart w:id="58" w:name="_Toc455867769"/>
      <w:bookmarkStart w:id="59" w:name="_Toc274409866"/>
      <w:bookmarkStart w:id="60" w:name="_Toc152042307"/>
      <w:bookmarkStart w:id="61" w:name="_Toc144974499"/>
      <w:bookmarkStart w:id="62" w:name="_Toc152045531"/>
      <w:r>
        <w:rPr>
          <w:rFonts w:hint="eastAsia" w:ascii="宋体" w:hAnsi="宋体" w:eastAsia="宋体" w:cs="宋体"/>
          <w:b/>
          <w:sz w:val="21"/>
          <w:szCs w:val="21"/>
        </w:rPr>
        <w:t>1.1 适用范围</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62E5FB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1.1.1根据《中华人民共和国政府采购法》等有关法律、法规和规章的规定，编制本项目磋商文件。</w:t>
      </w:r>
    </w:p>
    <w:p w14:paraId="1CCE838F">
      <w:pPr>
        <w:pStyle w:val="35"/>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1.1.2 本项目采购人：</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4B8AAA3D">
      <w:pPr>
        <w:pStyle w:val="35"/>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1.1.3 本项目采购代理机构：</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08F0204C">
      <w:pPr>
        <w:pStyle w:val="35"/>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1.1.4本项目名称：</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43E8BDC7">
      <w:pPr>
        <w:pStyle w:val="35"/>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1.1.5本项目</w:t>
      </w:r>
      <w:r>
        <w:rPr>
          <w:rFonts w:hint="eastAsia" w:ascii="宋体" w:hAnsi="宋体" w:cs="宋体"/>
          <w:sz w:val="21"/>
          <w:szCs w:val="21"/>
          <w:lang w:val="en-US" w:eastAsia="zh-CN"/>
        </w:rPr>
        <w:t>服务</w:t>
      </w:r>
      <w:r>
        <w:rPr>
          <w:rFonts w:hint="eastAsia" w:ascii="宋体" w:hAnsi="宋体" w:eastAsia="宋体" w:cs="宋体"/>
          <w:sz w:val="21"/>
          <w:szCs w:val="21"/>
          <w:lang w:val="en-US" w:eastAsia="zh-CN"/>
        </w:rPr>
        <w:t>地点：</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1D560074">
      <w:pPr>
        <w:spacing w:line="360" w:lineRule="auto"/>
        <w:rPr>
          <w:rFonts w:hint="eastAsia" w:ascii="宋体" w:hAnsi="宋体" w:eastAsia="宋体" w:cs="宋体"/>
          <w:b/>
          <w:sz w:val="21"/>
          <w:szCs w:val="21"/>
        </w:rPr>
      </w:pPr>
      <w:bookmarkStart w:id="63" w:name="_Toc2929"/>
      <w:bookmarkStart w:id="64" w:name="_Toc466298093"/>
      <w:bookmarkStart w:id="65" w:name="_Toc485131156"/>
      <w:bookmarkStart w:id="66" w:name="_Toc281405468"/>
      <w:bookmarkStart w:id="67" w:name="_Toc274409867"/>
      <w:bookmarkStart w:id="68" w:name="_Toc30891"/>
      <w:bookmarkStart w:id="69" w:name="_Toc25773"/>
      <w:bookmarkStart w:id="70" w:name="_Toc455080110"/>
      <w:bookmarkStart w:id="71" w:name="_Toc10694"/>
      <w:bookmarkStart w:id="72" w:name="_Toc710"/>
      <w:bookmarkStart w:id="73" w:name="_Toc318450676"/>
      <w:bookmarkStart w:id="74" w:name="_Toc455867770"/>
      <w:bookmarkStart w:id="75" w:name="_Toc32619"/>
      <w:bookmarkStart w:id="76" w:name="_Toc3336"/>
      <w:r>
        <w:rPr>
          <w:rFonts w:hint="eastAsia" w:ascii="宋体" w:hAnsi="宋体" w:eastAsia="宋体" w:cs="宋体"/>
          <w:b/>
          <w:sz w:val="21"/>
          <w:szCs w:val="21"/>
        </w:rPr>
        <w:t>1.2资金来源和落实情况</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1ADE4D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1.2.1 本招标项目的资金来源：见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5CED67A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1.2.2 本招标项目的出资比例：见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0F1BA4F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1.2.3 本招标项目的资金落实情况：见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07EE89CF">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1.3</w:t>
      </w:r>
      <w:r>
        <w:rPr>
          <w:rFonts w:hint="eastAsia" w:ascii="宋体" w:hAnsi="宋体" w:cs="宋体"/>
          <w:b/>
          <w:sz w:val="21"/>
          <w:szCs w:val="21"/>
          <w:lang w:eastAsia="zh-CN"/>
        </w:rPr>
        <w:t>采购范围</w:t>
      </w:r>
      <w:r>
        <w:rPr>
          <w:rFonts w:hint="eastAsia" w:ascii="宋体" w:hAnsi="宋体" w:eastAsia="宋体" w:cs="宋体"/>
          <w:b/>
          <w:sz w:val="21"/>
          <w:szCs w:val="21"/>
        </w:rPr>
        <w:t>、</w:t>
      </w:r>
      <w:r>
        <w:rPr>
          <w:rFonts w:hint="eastAsia" w:ascii="宋体" w:hAnsi="宋体" w:cs="宋体"/>
          <w:b/>
          <w:sz w:val="21"/>
          <w:szCs w:val="21"/>
          <w:lang w:val="en-US" w:eastAsia="zh-CN"/>
        </w:rPr>
        <w:t>监理服务期限</w:t>
      </w:r>
      <w:r>
        <w:rPr>
          <w:rFonts w:hint="eastAsia" w:ascii="宋体" w:hAnsi="宋体" w:eastAsia="宋体" w:cs="宋体"/>
          <w:b/>
          <w:sz w:val="21"/>
          <w:szCs w:val="21"/>
        </w:rPr>
        <w:t>和质量</w:t>
      </w:r>
      <w:r>
        <w:rPr>
          <w:rFonts w:hint="eastAsia" w:ascii="宋体" w:hAnsi="宋体" w:cs="宋体"/>
          <w:b/>
          <w:sz w:val="21"/>
          <w:szCs w:val="21"/>
          <w:lang w:val="en-US" w:eastAsia="zh-CN"/>
        </w:rPr>
        <w:t>要求</w:t>
      </w:r>
    </w:p>
    <w:p w14:paraId="74B9A1B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 本次</w:t>
      </w:r>
      <w:r>
        <w:rPr>
          <w:rFonts w:hint="eastAsia" w:ascii="宋体" w:hAnsi="宋体" w:cs="宋体"/>
          <w:sz w:val="21"/>
          <w:szCs w:val="21"/>
          <w:lang w:eastAsia="zh-CN"/>
        </w:rPr>
        <w:t>采购范围</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243CFCE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1.3.2 本</w:t>
      </w:r>
      <w:r>
        <w:rPr>
          <w:rFonts w:hint="eastAsia" w:ascii="宋体" w:hAnsi="宋体" w:cs="宋体"/>
          <w:sz w:val="21"/>
          <w:szCs w:val="21"/>
          <w:lang w:val="en-US" w:eastAsia="zh-CN"/>
        </w:rPr>
        <w:t>项目</w:t>
      </w:r>
      <w:r>
        <w:rPr>
          <w:rFonts w:hint="eastAsia" w:ascii="宋体" w:hAnsi="宋体" w:eastAsia="宋体" w:cs="宋体"/>
          <w:sz w:val="21"/>
          <w:szCs w:val="21"/>
        </w:rPr>
        <w:t>的</w:t>
      </w:r>
      <w:r>
        <w:rPr>
          <w:rFonts w:hint="eastAsia" w:ascii="宋体" w:hAnsi="宋体" w:cs="宋体"/>
          <w:sz w:val="21"/>
          <w:szCs w:val="21"/>
          <w:lang w:val="en-US" w:eastAsia="zh-CN"/>
        </w:rPr>
        <w:t>监理服务期限</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513A9B2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1.3.3 </w:t>
      </w:r>
      <w:r>
        <w:rPr>
          <w:rFonts w:hint="eastAsia" w:ascii="宋体" w:hAnsi="宋体" w:cs="宋体"/>
          <w:sz w:val="21"/>
          <w:szCs w:val="21"/>
          <w:lang w:eastAsia="zh-CN"/>
        </w:rPr>
        <w:t>本项目</w:t>
      </w:r>
      <w:r>
        <w:rPr>
          <w:rFonts w:hint="eastAsia" w:ascii="宋体" w:hAnsi="宋体" w:eastAsia="宋体" w:cs="宋体"/>
          <w:sz w:val="21"/>
          <w:szCs w:val="21"/>
        </w:rPr>
        <w:t>的质量要求：见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403524C2">
      <w:pPr>
        <w:spacing w:line="360" w:lineRule="auto"/>
        <w:rPr>
          <w:rFonts w:hint="eastAsia" w:ascii="宋体" w:hAnsi="宋体" w:eastAsia="宋体" w:cs="宋体"/>
          <w:b/>
          <w:sz w:val="21"/>
          <w:szCs w:val="21"/>
        </w:rPr>
      </w:pPr>
      <w:bookmarkStart w:id="77" w:name="_Toc144974502"/>
      <w:bookmarkStart w:id="78" w:name="_Toc318450679"/>
      <w:bookmarkStart w:id="79" w:name="_Toc152042310"/>
      <w:bookmarkStart w:id="80" w:name="_Toc152045534"/>
      <w:bookmarkStart w:id="81" w:name="_Toc455080113"/>
      <w:bookmarkStart w:id="82" w:name="_Toc22643"/>
      <w:bookmarkStart w:id="83" w:name="_Toc30588"/>
      <w:bookmarkStart w:id="84" w:name="_Toc485131159"/>
      <w:bookmarkStart w:id="85" w:name="_Toc18689"/>
      <w:bookmarkStart w:id="86" w:name="_Toc11063"/>
      <w:bookmarkStart w:id="87" w:name="_Toc466298096"/>
      <w:bookmarkStart w:id="88" w:name="_Toc7209"/>
      <w:bookmarkStart w:id="89" w:name="_Toc455867773"/>
      <w:bookmarkStart w:id="90" w:name="_Toc4301"/>
      <w:bookmarkStart w:id="91" w:name="_Toc5019"/>
      <w:bookmarkStart w:id="92" w:name="_Toc4952"/>
      <w:bookmarkStart w:id="93" w:name="_Toc466298094"/>
      <w:bookmarkStart w:id="94" w:name="_Toc455867771"/>
      <w:bookmarkStart w:id="95" w:name="_Toc455080111"/>
      <w:bookmarkStart w:id="96" w:name="_Toc318450677"/>
      <w:bookmarkStart w:id="97" w:name="_Toc274409868"/>
      <w:bookmarkStart w:id="98" w:name="_Toc3477"/>
      <w:bookmarkStart w:id="99" w:name="_Toc485131157"/>
      <w:bookmarkStart w:id="100" w:name="_Toc17016"/>
      <w:bookmarkStart w:id="101" w:name="_Toc1373"/>
      <w:bookmarkStart w:id="102" w:name="_Toc16931"/>
      <w:bookmarkStart w:id="103" w:name="_Toc281405469"/>
      <w:bookmarkStart w:id="104" w:name="_Toc14006"/>
      <w:bookmarkStart w:id="105" w:name="_Toc18960"/>
      <w:r>
        <w:rPr>
          <w:rFonts w:hint="eastAsia" w:ascii="宋体" w:hAnsi="宋体" w:eastAsia="宋体" w:cs="宋体"/>
          <w:b/>
          <w:sz w:val="21"/>
          <w:szCs w:val="21"/>
        </w:rPr>
        <w:t xml:space="preserve">1.4 </w:t>
      </w:r>
      <w:bookmarkEnd w:id="77"/>
      <w:bookmarkEnd w:id="78"/>
      <w:bookmarkEnd w:id="79"/>
      <w:bookmarkEnd w:id="80"/>
      <w:r>
        <w:rPr>
          <w:rFonts w:hint="eastAsia" w:ascii="宋体" w:hAnsi="宋体" w:eastAsia="宋体" w:cs="宋体"/>
          <w:b/>
          <w:sz w:val="21"/>
          <w:szCs w:val="21"/>
          <w:lang w:eastAsia="zh-CN"/>
        </w:rPr>
        <w:t>供应商</w:t>
      </w:r>
      <w:r>
        <w:rPr>
          <w:rFonts w:hint="eastAsia" w:ascii="宋体" w:hAnsi="宋体" w:eastAsia="宋体" w:cs="宋体"/>
          <w:b/>
          <w:sz w:val="21"/>
          <w:szCs w:val="21"/>
        </w:rPr>
        <w:t>资质条件和能力</w:t>
      </w:r>
      <w:bookmarkEnd w:id="81"/>
      <w:bookmarkEnd w:id="82"/>
      <w:bookmarkEnd w:id="83"/>
      <w:bookmarkEnd w:id="84"/>
      <w:bookmarkEnd w:id="85"/>
      <w:bookmarkEnd w:id="86"/>
      <w:bookmarkEnd w:id="87"/>
      <w:bookmarkEnd w:id="88"/>
      <w:bookmarkEnd w:id="89"/>
      <w:bookmarkEnd w:id="90"/>
      <w:bookmarkEnd w:id="91"/>
    </w:p>
    <w:p w14:paraId="30B4DDE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1.4.1</w:t>
      </w:r>
      <w:r>
        <w:rPr>
          <w:rFonts w:hint="eastAsia" w:ascii="宋体" w:hAnsi="宋体" w:eastAsia="宋体" w:cs="宋体"/>
          <w:sz w:val="21"/>
          <w:szCs w:val="21"/>
          <w:lang w:eastAsia="zh-CN"/>
        </w:rPr>
        <w:t>供应商</w:t>
      </w:r>
      <w:r>
        <w:rPr>
          <w:rFonts w:hint="eastAsia" w:ascii="宋体" w:hAnsi="宋体" w:eastAsia="宋体" w:cs="宋体"/>
          <w:sz w:val="21"/>
          <w:szCs w:val="21"/>
        </w:rPr>
        <w:t>资质及能力要求：见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56C36BFC">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1.4.2是否接受联合体投标：见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010977E5">
      <w:pPr>
        <w:spacing w:line="360" w:lineRule="auto"/>
        <w:rPr>
          <w:rFonts w:hint="eastAsia" w:ascii="宋体" w:hAnsi="宋体" w:eastAsia="宋体" w:cs="宋体"/>
          <w:b/>
          <w:sz w:val="21"/>
          <w:szCs w:val="21"/>
        </w:rPr>
      </w:pPr>
      <w:r>
        <w:rPr>
          <w:rFonts w:hint="eastAsia" w:ascii="宋体" w:hAnsi="宋体" w:eastAsia="宋体" w:cs="宋体"/>
          <w:b/>
          <w:sz w:val="21"/>
          <w:szCs w:val="21"/>
        </w:rPr>
        <w:t>1.5 定义及解释</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2A1A6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1.5.1采购人：依法进行政府采购的国家机关、事业单位、团体组织。</w:t>
      </w:r>
    </w:p>
    <w:p w14:paraId="3D4B3EF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1.5.2采购代理机构：取得政府采购招标代理资质，受采购人委托组织招标活动的社会中介组织。</w:t>
      </w:r>
    </w:p>
    <w:p w14:paraId="3F71A68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1.5.3</w:t>
      </w:r>
      <w:r>
        <w:rPr>
          <w:rFonts w:hint="eastAsia" w:ascii="宋体" w:hAnsi="宋体" w:eastAsia="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sz w:val="21"/>
          <w:szCs w:val="21"/>
          <w:lang w:eastAsia="zh-CN"/>
        </w:rPr>
        <w:t>供应商</w:t>
      </w:r>
      <w:r>
        <w:rPr>
          <w:rFonts w:hint="eastAsia" w:ascii="宋体" w:hAnsi="宋体" w:eastAsia="宋体" w:cs="宋体"/>
          <w:sz w:val="21"/>
          <w:szCs w:val="21"/>
        </w:rPr>
        <w:t>是响应磋商文件、参加磋商竞争的中华人民共和国境内的法人、其他组织。</w:t>
      </w:r>
    </w:p>
    <w:p w14:paraId="2507760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1.5.4响应文件：指</w:t>
      </w:r>
      <w:r>
        <w:rPr>
          <w:rFonts w:hint="eastAsia" w:ascii="宋体" w:hAnsi="宋体" w:eastAsia="宋体" w:cs="宋体"/>
          <w:sz w:val="21"/>
          <w:szCs w:val="21"/>
          <w:lang w:eastAsia="zh-CN"/>
        </w:rPr>
        <w:t>供应商</w:t>
      </w:r>
      <w:r>
        <w:rPr>
          <w:rFonts w:hint="eastAsia" w:ascii="宋体" w:hAnsi="宋体" w:eastAsia="宋体" w:cs="宋体"/>
          <w:sz w:val="21"/>
          <w:szCs w:val="21"/>
        </w:rPr>
        <w:t>根据磋商文件提交的所有文件。</w:t>
      </w:r>
    </w:p>
    <w:p w14:paraId="1AF7921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1.5.5磋商小组：依据</w:t>
      </w:r>
      <w:r>
        <w:rPr>
          <w:rFonts w:hint="eastAsia" w:ascii="宋体" w:hAnsi="宋体" w:eastAsia="宋体" w:cs="宋体"/>
          <w:sz w:val="21"/>
          <w:szCs w:val="21"/>
          <w:lang w:bidi="en-US"/>
        </w:rPr>
        <w:t>《中华人民共和国政府采购法》及有关法律、法规的规定依法组建的专门负责本次</w:t>
      </w:r>
      <w:r>
        <w:rPr>
          <w:rFonts w:hint="eastAsia" w:ascii="宋体" w:hAnsi="宋体" w:cs="宋体"/>
          <w:sz w:val="21"/>
          <w:szCs w:val="21"/>
          <w:lang w:eastAsia="zh-CN" w:bidi="en-US"/>
        </w:rPr>
        <w:t>评审</w:t>
      </w:r>
      <w:r>
        <w:rPr>
          <w:rFonts w:hint="eastAsia" w:ascii="宋体" w:hAnsi="宋体" w:eastAsia="宋体" w:cs="宋体"/>
          <w:sz w:val="21"/>
          <w:szCs w:val="21"/>
          <w:lang w:bidi="en-US"/>
        </w:rPr>
        <w:t>工作的临时机构</w:t>
      </w:r>
      <w:r>
        <w:rPr>
          <w:rFonts w:hint="eastAsia" w:ascii="宋体" w:hAnsi="宋体" w:eastAsia="宋体" w:cs="宋体"/>
          <w:sz w:val="21"/>
          <w:szCs w:val="21"/>
        </w:rPr>
        <w:t>。</w:t>
      </w:r>
    </w:p>
    <w:p w14:paraId="5F9A6C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1.5.6“日期”或“天”：指日历天。</w:t>
      </w:r>
    </w:p>
    <w:p w14:paraId="0D38C77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1.5.7合同：指依据本次货物采购招标结果签订的协议或合约文件。</w:t>
      </w:r>
    </w:p>
    <w:p w14:paraId="63226E1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1.5.8磋商文件中的标题或题名仅起引导作用，而不应视为对磋商文件内容的理解和解释。</w:t>
      </w:r>
    </w:p>
    <w:bookmarkEnd w:id="60"/>
    <w:bookmarkEnd w:id="61"/>
    <w:bookmarkEnd w:id="62"/>
    <w:p w14:paraId="33A3DF0D">
      <w:pPr>
        <w:spacing w:line="360" w:lineRule="auto"/>
        <w:rPr>
          <w:rFonts w:hint="eastAsia" w:ascii="宋体" w:hAnsi="宋体" w:eastAsia="宋体" w:cs="宋体"/>
          <w:b/>
          <w:sz w:val="21"/>
          <w:szCs w:val="21"/>
        </w:rPr>
      </w:pPr>
      <w:bookmarkStart w:id="106" w:name="_Toc152042311"/>
      <w:bookmarkStart w:id="107" w:name="_Toc466298097"/>
      <w:bookmarkStart w:id="108" w:name="_Toc485131160"/>
      <w:bookmarkStart w:id="109" w:name="_Toc31854"/>
      <w:bookmarkStart w:id="110" w:name="_Toc16889"/>
      <w:bookmarkStart w:id="111" w:name="_Toc455867774"/>
      <w:bookmarkStart w:id="112" w:name="_Toc26780"/>
      <w:bookmarkStart w:id="113" w:name="_Toc5162"/>
      <w:bookmarkStart w:id="114" w:name="_Toc455080114"/>
      <w:bookmarkStart w:id="115" w:name="_Toc144974503"/>
      <w:bookmarkStart w:id="116" w:name="_Toc318450680"/>
      <w:bookmarkStart w:id="117" w:name="_Toc981"/>
      <w:bookmarkStart w:id="118" w:name="_Toc152045535"/>
      <w:bookmarkStart w:id="119" w:name="_Toc12403"/>
      <w:bookmarkStart w:id="120" w:name="_Toc651"/>
      <w:r>
        <w:rPr>
          <w:rFonts w:hint="eastAsia" w:ascii="宋体" w:hAnsi="宋体" w:eastAsia="宋体" w:cs="宋体"/>
          <w:b/>
          <w:sz w:val="21"/>
          <w:szCs w:val="21"/>
        </w:rPr>
        <w:t>1.6 费用承担</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062EF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准备和参加磋商活动发生的费用自理，不论磋商的结果如何，采购人和采购代理机构在任何情况下均无义务和责任承担这些费用。</w:t>
      </w:r>
    </w:p>
    <w:p w14:paraId="4EDB7E19">
      <w:pPr>
        <w:spacing w:line="360" w:lineRule="auto"/>
        <w:rPr>
          <w:rFonts w:hint="eastAsia" w:ascii="宋体" w:hAnsi="宋体" w:eastAsia="宋体" w:cs="宋体"/>
          <w:b/>
          <w:sz w:val="21"/>
          <w:szCs w:val="21"/>
        </w:rPr>
      </w:pPr>
      <w:bookmarkStart w:id="121" w:name="_Toc20145"/>
      <w:bookmarkStart w:id="122" w:name="_Toc144974504"/>
      <w:bookmarkStart w:id="123" w:name="_Toc152042312"/>
      <w:bookmarkStart w:id="124" w:name="_Toc152045536"/>
      <w:bookmarkStart w:id="125" w:name="_Toc318450681"/>
      <w:bookmarkStart w:id="126" w:name="_Toc22946"/>
      <w:bookmarkStart w:id="127" w:name="_Toc455080115"/>
      <w:bookmarkStart w:id="128" w:name="_Toc2622"/>
      <w:bookmarkStart w:id="129" w:name="_Toc32053"/>
      <w:bookmarkStart w:id="130" w:name="_Toc485131161"/>
      <w:bookmarkStart w:id="131" w:name="_Toc8055"/>
      <w:bookmarkStart w:id="132" w:name="_Toc466298098"/>
      <w:bookmarkStart w:id="133" w:name="_Toc6014"/>
      <w:bookmarkStart w:id="134" w:name="_Toc455867775"/>
      <w:bookmarkStart w:id="135" w:name="_Toc5402"/>
      <w:r>
        <w:rPr>
          <w:rFonts w:hint="eastAsia" w:ascii="宋体" w:hAnsi="宋体" w:eastAsia="宋体" w:cs="宋体"/>
          <w:b/>
          <w:sz w:val="21"/>
          <w:szCs w:val="21"/>
        </w:rPr>
        <w:t>1.7 保密</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DF9191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参与磋商活动的各方应对磋商文件和响应文件中的商业和技术等秘密保密，违者应对由此造成的后果承担法律责任。 </w:t>
      </w:r>
    </w:p>
    <w:p w14:paraId="1DC42D0B">
      <w:pPr>
        <w:spacing w:line="360" w:lineRule="auto"/>
        <w:rPr>
          <w:rFonts w:hint="eastAsia" w:ascii="宋体" w:hAnsi="宋体" w:eastAsia="宋体" w:cs="宋体"/>
          <w:b/>
          <w:sz w:val="21"/>
          <w:szCs w:val="21"/>
        </w:rPr>
      </w:pPr>
      <w:bookmarkStart w:id="136" w:name="_Toc144974505"/>
      <w:bookmarkStart w:id="137" w:name="_Toc152042313"/>
      <w:bookmarkStart w:id="138" w:name="_Toc455867776"/>
      <w:bookmarkStart w:id="139" w:name="_Toc152045537"/>
      <w:bookmarkStart w:id="140" w:name="_Toc25517"/>
      <w:bookmarkStart w:id="141" w:name="_Toc3628"/>
      <w:bookmarkStart w:id="142" w:name="_Toc30747"/>
      <w:bookmarkStart w:id="143" w:name="_Toc466298099"/>
      <w:bookmarkStart w:id="144" w:name="_Toc7440"/>
      <w:bookmarkStart w:id="145" w:name="_Toc455080116"/>
      <w:bookmarkStart w:id="146" w:name="_Toc485131162"/>
      <w:bookmarkStart w:id="147" w:name="_Toc14775"/>
      <w:bookmarkStart w:id="148" w:name="_Toc21089"/>
      <w:bookmarkStart w:id="149" w:name="_Toc318450682"/>
      <w:bookmarkStart w:id="150" w:name="_Toc30583"/>
      <w:r>
        <w:rPr>
          <w:rFonts w:hint="eastAsia" w:ascii="宋体" w:hAnsi="宋体" w:eastAsia="宋体" w:cs="宋体"/>
          <w:b/>
          <w:sz w:val="21"/>
          <w:szCs w:val="21"/>
        </w:rPr>
        <w:t>1.8 语言</w:t>
      </w:r>
      <w:bookmarkEnd w:id="136"/>
      <w:r>
        <w:rPr>
          <w:rFonts w:hint="eastAsia" w:ascii="宋体" w:hAnsi="宋体" w:eastAsia="宋体" w:cs="宋体"/>
          <w:b/>
          <w:sz w:val="21"/>
          <w:szCs w:val="21"/>
        </w:rPr>
        <w:t>文字</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CF4B57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除专用术语外，与磋商有关的语言均使用中文。必要时专用术语应附有中文注释，</w:t>
      </w:r>
      <w:r>
        <w:rPr>
          <w:rFonts w:hint="eastAsia" w:ascii="宋体" w:hAnsi="宋体" w:eastAsia="宋体" w:cs="宋体"/>
          <w:sz w:val="21"/>
          <w:szCs w:val="21"/>
          <w:lang w:bidi="en-US"/>
        </w:rPr>
        <w:t>对不同文字文本响应文件的解释发生异议的，以中文文本为准。</w:t>
      </w:r>
    </w:p>
    <w:p w14:paraId="524435DA">
      <w:pPr>
        <w:spacing w:line="360" w:lineRule="auto"/>
        <w:rPr>
          <w:rFonts w:hint="eastAsia" w:ascii="宋体" w:hAnsi="宋体" w:eastAsia="宋体" w:cs="宋体"/>
          <w:b/>
          <w:sz w:val="21"/>
          <w:szCs w:val="21"/>
        </w:rPr>
      </w:pPr>
      <w:bookmarkStart w:id="151" w:name="_Toc144974506"/>
      <w:bookmarkStart w:id="152" w:name="_Toc24337"/>
      <w:bookmarkStart w:id="153" w:name="_Toc9446"/>
      <w:bookmarkStart w:id="154" w:name="_Toc318450683"/>
      <w:bookmarkStart w:id="155" w:name="_Toc2702"/>
      <w:bookmarkStart w:id="156" w:name="_Toc32507"/>
      <w:bookmarkStart w:id="157" w:name="_Toc485131163"/>
      <w:bookmarkStart w:id="158" w:name="_Toc455080117"/>
      <w:bookmarkStart w:id="159" w:name="_Toc152045538"/>
      <w:bookmarkStart w:id="160" w:name="_Toc9270"/>
      <w:bookmarkStart w:id="161" w:name="_Toc466298100"/>
      <w:bookmarkStart w:id="162" w:name="_Toc4237"/>
      <w:bookmarkStart w:id="163" w:name="_Toc152042314"/>
      <w:bookmarkStart w:id="164" w:name="_Toc455867777"/>
      <w:bookmarkStart w:id="165" w:name="_Toc22378"/>
      <w:r>
        <w:rPr>
          <w:rFonts w:hint="eastAsia" w:ascii="宋体" w:hAnsi="宋体" w:eastAsia="宋体" w:cs="宋体"/>
          <w:b/>
          <w:sz w:val="21"/>
          <w:szCs w:val="21"/>
        </w:rPr>
        <w:t>1.9 计量单位</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90880C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所有计量均采用中华人民共和国法定计量单位。</w:t>
      </w:r>
    </w:p>
    <w:p w14:paraId="77D0584B">
      <w:pPr>
        <w:spacing w:line="360" w:lineRule="auto"/>
        <w:rPr>
          <w:rFonts w:hint="eastAsia" w:ascii="宋体" w:hAnsi="宋体" w:eastAsia="宋体" w:cs="宋体"/>
          <w:b/>
          <w:sz w:val="21"/>
          <w:szCs w:val="21"/>
        </w:rPr>
      </w:pPr>
      <w:bookmarkStart w:id="166" w:name="_Toc455080118"/>
      <w:bookmarkStart w:id="167" w:name="_Toc338"/>
      <w:bookmarkStart w:id="168" w:name="_Toc152042316"/>
      <w:bookmarkStart w:id="169" w:name="_Toc7080"/>
      <w:bookmarkStart w:id="170" w:name="_Toc144974508"/>
      <w:bookmarkStart w:id="171" w:name="_Toc318450684"/>
      <w:bookmarkStart w:id="172" w:name="_Toc455867778"/>
      <w:bookmarkStart w:id="173" w:name="_Toc2508"/>
      <w:bookmarkStart w:id="174" w:name="_Toc27570"/>
      <w:bookmarkStart w:id="175" w:name="_Toc12027"/>
      <w:bookmarkStart w:id="176" w:name="_Toc485131164"/>
      <w:bookmarkStart w:id="177" w:name="_Toc152045540"/>
      <w:bookmarkStart w:id="178" w:name="_Toc284"/>
      <w:bookmarkStart w:id="179" w:name="_Toc13675"/>
      <w:bookmarkStart w:id="180" w:name="_Toc466298101"/>
      <w:r>
        <w:rPr>
          <w:rFonts w:hint="eastAsia" w:ascii="宋体" w:hAnsi="宋体" w:eastAsia="宋体" w:cs="宋体"/>
          <w:b/>
          <w:sz w:val="21"/>
          <w:szCs w:val="21"/>
        </w:rPr>
        <w:t>1.10 投标预备会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C9C1E8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1.10.1 </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规定召开磋商预备会的，采购人按</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规定的时间和地点召开</w:t>
      </w:r>
      <w:r>
        <w:rPr>
          <w:rFonts w:hint="eastAsia" w:ascii="宋体" w:hAnsi="宋体" w:eastAsia="宋体" w:cs="宋体"/>
          <w:sz w:val="21"/>
          <w:szCs w:val="21"/>
          <w:lang w:val="en-US" w:eastAsia="zh-CN"/>
        </w:rPr>
        <w:t>投标</w:t>
      </w:r>
      <w:r>
        <w:rPr>
          <w:rFonts w:hint="eastAsia" w:ascii="宋体" w:hAnsi="宋体" w:eastAsia="宋体" w:cs="宋体"/>
          <w:sz w:val="21"/>
          <w:szCs w:val="21"/>
        </w:rPr>
        <w:t>预备会，澄清</w:t>
      </w:r>
      <w:r>
        <w:rPr>
          <w:rFonts w:hint="eastAsia" w:ascii="宋体" w:hAnsi="宋体" w:eastAsia="宋体" w:cs="宋体"/>
          <w:sz w:val="21"/>
          <w:szCs w:val="21"/>
          <w:lang w:eastAsia="zh-CN"/>
        </w:rPr>
        <w:t>供应商</w:t>
      </w:r>
      <w:r>
        <w:rPr>
          <w:rFonts w:hint="eastAsia" w:ascii="宋体" w:hAnsi="宋体" w:eastAsia="宋体" w:cs="宋体"/>
          <w:sz w:val="21"/>
          <w:szCs w:val="21"/>
        </w:rPr>
        <w:t>提出的问题。</w:t>
      </w:r>
    </w:p>
    <w:p w14:paraId="486B37C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1.10.2 </w:t>
      </w:r>
      <w:r>
        <w:rPr>
          <w:rFonts w:hint="eastAsia" w:ascii="宋体" w:hAnsi="宋体" w:eastAsia="宋体" w:cs="宋体"/>
          <w:sz w:val="21"/>
          <w:szCs w:val="21"/>
          <w:lang w:eastAsia="zh-CN"/>
        </w:rPr>
        <w:t>供应商</w:t>
      </w:r>
      <w:r>
        <w:rPr>
          <w:rFonts w:hint="eastAsia" w:ascii="宋体" w:hAnsi="宋体" w:eastAsia="宋体" w:cs="宋体"/>
          <w:sz w:val="21"/>
          <w:szCs w:val="21"/>
        </w:rPr>
        <w:t>应在</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规定的时间前，以书面形式将提出的问题送达采购人，以便采购人在会议期间澄清。</w:t>
      </w:r>
    </w:p>
    <w:p w14:paraId="4A1F5C1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1.10.3 磋商预备会后，采购人在</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规定的时间内，将对</w:t>
      </w:r>
      <w:r>
        <w:rPr>
          <w:rFonts w:hint="eastAsia" w:ascii="宋体" w:hAnsi="宋体" w:eastAsia="宋体" w:cs="宋体"/>
          <w:sz w:val="21"/>
          <w:szCs w:val="21"/>
          <w:lang w:eastAsia="zh-CN"/>
        </w:rPr>
        <w:t>供应商</w:t>
      </w:r>
      <w:r>
        <w:rPr>
          <w:rFonts w:hint="eastAsia" w:ascii="宋体" w:hAnsi="宋体" w:eastAsia="宋体" w:cs="宋体"/>
          <w:sz w:val="21"/>
          <w:szCs w:val="21"/>
        </w:rPr>
        <w:t>所提问题的澄清，通知所有购买磋商文件的</w:t>
      </w:r>
      <w:r>
        <w:rPr>
          <w:rFonts w:hint="eastAsia" w:ascii="宋体" w:hAnsi="宋体" w:eastAsia="宋体" w:cs="宋体"/>
          <w:sz w:val="21"/>
          <w:szCs w:val="21"/>
          <w:lang w:eastAsia="zh-CN"/>
        </w:rPr>
        <w:t>供应商</w:t>
      </w:r>
      <w:r>
        <w:rPr>
          <w:rFonts w:hint="eastAsia" w:ascii="宋体" w:hAnsi="宋体" w:eastAsia="宋体" w:cs="宋体"/>
          <w:sz w:val="21"/>
          <w:szCs w:val="21"/>
        </w:rPr>
        <w:t>。该澄清内容为磋商文件的组成部分。</w:t>
      </w:r>
    </w:p>
    <w:p w14:paraId="423BE178">
      <w:pPr>
        <w:spacing w:line="360" w:lineRule="auto"/>
        <w:rPr>
          <w:rFonts w:hint="eastAsia" w:ascii="宋体" w:hAnsi="宋体" w:eastAsia="宋体" w:cs="宋体"/>
          <w:b/>
          <w:sz w:val="21"/>
          <w:szCs w:val="21"/>
        </w:rPr>
      </w:pPr>
      <w:bookmarkStart w:id="181" w:name="_Toc12562"/>
      <w:bookmarkStart w:id="182" w:name="_Toc466298102"/>
      <w:bookmarkStart w:id="183" w:name="_Toc11744"/>
      <w:bookmarkStart w:id="184" w:name="_Toc485131165"/>
      <w:bookmarkStart w:id="185" w:name="_Toc24262"/>
      <w:bookmarkStart w:id="186" w:name="_Toc23635"/>
      <w:bookmarkStart w:id="187" w:name="_Toc144974509"/>
      <w:bookmarkStart w:id="188" w:name="_Toc455867779"/>
      <w:bookmarkStart w:id="189" w:name="_Toc19219"/>
      <w:bookmarkStart w:id="190" w:name="_Toc318450685"/>
      <w:bookmarkStart w:id="191" w:name="_Toc152042317"/>
      <w:bookmarkStart w:id="192" w:name="_Toc32757"/>
      <w:bookmarkStart w:id="193" w:name="_Toc455080119"/>
      <w:bookmarkStart w:id="194" w:name="_Toc23678"/>
      <w:bookmarkStart w:id="195" w:name="_Toc152045541"/>
      <w:r>
        <w:rPr>
          <w:rFonts w:hint="eastAsia" w:ascii="宋体" w:hAnsi="宋体" w:eastAsia="宋体" w:cs="宋体"/>
          <w:b/>
          <w:sz w:val="21"/>
          <w:szCs w:val="21"/>
        </w:rPr>
        <w:t>1.11分包</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BDFC645">
      <w:pPr>
        <w:spacing w:line="360" w:lineRule="auto"/>
        <w:ind w:firstLine="567" w:firstLineChars="270"/>
        <w:rPr>
          <w:rFonts w:hint="eastAsia" w:ascii="宋体" w:hAnsi="宋体" w:eastAsia="宋体" w:cs="宋体"/>
          <w:sz w:val="21"/>
          <w:szCs w:val="21"/>
        </w:rPr>
      </w:pPr>
      <w:r>
        <w:rPr>
          <w:rFonts w:hint="eastAsia" w:ascii="宋体" w:hAnsi="宋体" w:eastAsia="宋体" w:cs="宋体"/>
          <w:sz w:val="21"/>
          <w:szCs w:val="21"/>
        </w:rPr>
        <w:t>是否允许分包：见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608442D8">
      <w:pPr>
        <w:spacing w:line="360" w:lineRule="auto"/>
        <w:rPr>
          <w:rFonts w:hint="eastAsia" w:ascii="宋体" w:hAnsi="宋体" w:eastAsia="宋体" w:cs="宋体"/>
          <w:b/>
          <w:sz w:val="21"/>
          <w:szCs w:val="21"/>
        </w:rPr>
      </w:pPr>
      <w:bookmarkStart w:id="196" w:name="_Toc144974510"/>
      <w:bookmarkStart w:id="197" w:name="_Toc152045542"/>
      <w:bookmarkStart w:id="198" w:name="_Toc152042318"/>
      <w:bookmarkStart w:id="199" w:name="_Toc455080120"/>
      <w:r>
        <w:rPr>
          <w:rFonts w:hint="eastAsia" w:ascii="宋体" w:hAnsi="宋体" w:eastAsia="宋体" w:cs="宋体"/>
          <w:b/>
          <w:sz w:val="21"/>
          <w:szCs w:val="21"/>
        </w:rPr>
        <w:t xml:space="preserve">2. </w:t>
      </w:r>
      <w:bookmarkEnd w:id="196"/>
      <w:bookmarkEnd w:id="197"/>
      <w:bookmarkEnd w:id="198"/>
      <w:r>
        <w:rPr>
          <w:rFonts w:hint="eastAsia" w:ascii="宋体" w:hAnsi="宋体" w:eastAsia="宋体" w:cs="宋体"/>
          <w:b/>
          <w:sz w:val="21"/>
          <w:szCs w:val="21"/>
        </w:rPr>
        <w:t>磋商文件</w:t>
      </w:r>
      <w:bookmarkEnd w:id="199"/>
    </w:p>
    <w:p w14:paraId="40945FC2">
      <w:pPr>
        <w:spacing w:line="360" w:lineRule="auto"/>
        <w:rPr>
          <w:rFonts w:hint="eastAsia" w:ascii="宋体" w:hAnsi="宋体" w:eastAsia="宋体" w:cs="宋体"/>
          <w:b/>
          <w:sz w:val="21"/>
          <w:szCs w:val="21"/>
        </w:rPr>
      </w:pPr>
      <w:bookmarkStart w:id="200" w:name="_Toc455867781"/>
      <w:bookmarkStart w:id="201" w:name="_Toc466298104"/>
      <w:bookmarkStart w:id="202" w:name="_Toc9780"/>
      <w:bookmarkStart w:id="203" w:name="_Toc152045543"/>
      <w:bookmarkStart w:id="204" w:name="_Toc144974511"/>
      <w:bookmarkStart w:id="205" w:name="_Toc485131167"/>
      <w:bookmarkStart w:id="206" w:name="_Toc11599"/>
      <w:bookmarkStart w:id="207" w:name="_Toc11567"/>
      <w:bookmarkStart w:id="208" w:name="_Toc455080121"/>
      <w:bookmarkStart w:id="209" w:name="_Toc12640"/>
      <w:bookmarkStart w:id="210" w:name="_Toc1008"/>
      <w:bookmarkStart w:id="211" w:name="_Toc318450687"/>
      <w:bookmarkStart w:id="212" w:name="_Toc32711"/>
      <w:bookmarkStart w:id="213" w:name="_Toc6269"/>
      <w:bookmarkStart w:id="214" w:name="_Toc152042319"/>
      <w:r>
        <w:rPr>
          <w:rFonts w:hint="eastAsia" w:ascii="宋体" w:hAnsi="宋体" w:eastAsia="宋体" w:cs="宋体"/>
          <w:b/>
          <w:sz w:val="21"/>
          <w:szCs w:val="21"/>
        </w:rPr>
        <w:t>2.1 磋商文件的组成</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BA5BB49">
      <w:pPr>
        <w:spacing w:line="360" w:lineRule="auto"/>
        <w:rPr>
          <w:rFonts w:hint="eastAsia" w:ascii="宋体" w:hAnsi="宋体" w:eastAsia="宋体" w:cs="宋体"/>
          <w:sz w:val="21"/>
          <w:szCs w:val="21"/>
        </w:rPr>
      </w:pPr>
      <w:r>
        <w:rPr>
          <w:rFonts w:hint="eastAsia" w:ascii="宋体" w:hAnsi="宋体" w:eastAsia="宋体" w:cs="宋体"/>
          <w:sz w:val="21"/>
          <w:szCs w:val="21"/>
        </w:rPr>
        <w:t>　　本磋商文件包括：</w:t>
      </w:r>
    </w:p>
    <w:p w14:paraId="23196DC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第一章  竞争性磋商公告</w:t>
      </w:r>
    </w:p>
    <w:p w14:paraId="59E80396">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第二章  </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须知及</w:t>
      </w:r>
      <w:r>
        <w:rPr>
          <w:rFonts w:hint="eastAsia" w:ascii="宋体" w:hAnsi="宋体" w:eastAsia="宋体" w:cs="宋体"/>
          <w:sz w:val="21"/>
          <w:szCs w:val="21"/>
          <w:highlight w:val="none"/>
          <w:lang w:eastAsia="zh-CN"/>
        </w:rPr>
        <w:t>供应商须知前附表</w:t>
      </w:r>
    </w:p>
    <w:p w14:paraId="7B8B780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第三章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评分办法</w:t>
      </w:r>
    </w:p>
    <w:p w14:paraId="5B3F421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第四章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合同文本</w:t>
      </w:r>
    </w:p>
    <w:p w14:paraId="1981128E">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第五章</w:t>
      </w:r>
      <w:r>
        <w:rPr>
          <w:rFonts w:hint="eastAsia" w:ascii="宋体" w:hAnsi="宋体" w:eastAsia="宋体" w:cs="宋体"/>
          <w:sz w:val="21"/>
          <w:szCs w:val="21"/>
          <w:highlight w:val="none"/>
        </w:rPr>
        <w:tab/>
      </w:r>
      <w:r>
        <w:rPr>
          <w:rFonts w:hint="eastAsia" w:ascii="宋体" w:hAnsi="宋体" w:cs="宋体"/>
          <w:sz w:val="21"/>
          <w:szCs w:val="21"/>
          <w:highlight w:val="none"/>
          <w:lang w:eastAsia="zh-CN"/>
        </w:rPr>
        <w:t>采购需求</w:t>
      </w:r>
    </w:p>
    <w:p w14:paraId="321D0FE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第</w:t>
      </w:r>
      <w:r>
        <w:rPr>
          <w:rFonts w:hint="eastAsia" w:ascii="宋体" w:hAnsi="宋体" w:cs="宋体"/>
          <w:sz w:val="21"/>
          <w:szCs w:val="21"/>
          <w:highlight w:val="none"/>
          <w:lang w:val="en-US" w:eastAsia="zh-CN"/>
        </w:rPr>
        <w:t>六</w:t>
      </w:r>
      <w:r>
        <w:rPr>
          <w:rFonts w:hint="eastAsia" w:ascii="宋体" w:hAnsi="宋体" w:eastAsia="宋体" w:cs="宋体"/>
          <w:sz w:val="21"/>
          <w:szCs w:val="21"/>
          <w:highlight w:val="none"/>
        </w:rPr>
        <w:t>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竞争性磋商响应文件格式</w:t>
      </w:r>
    </w:p>
    <w:p w14:paraId="77CEB02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根据本章第1.10款、第2.2款和第2.3款对磋商文件所作的澄清、修改，构成磋商文件的组成部分。</w:t>
      </w:r>
    </w:p>
    <w:p w14:paraId="01FB15F8">
      <w:pPr>
        <w:spacing w:line="360" w:lineRule="auto"/>
        <w:rPr>
          <w:rFonts w:hint="eastAsia" w:ascii="宋体" w:hAnsi="宋体" w:eastAsia="宋体" w:cs="宋体"/>
          <w:b/>
          <w:sz w:val="21"/>
          <w:szCs w:val="21"/>
        </w:rPr>
      </w:pPr>
      <w:bookmarkStart w:id="215" w:name="_Toc152042320"/>
      <w:bookmarkStart w:id="216" w:name="_Toc318450688"/>
      <w:bookmarkStart w:id="217" w:name="_Toc455867782"/>
      <w:bookmarkStart w:id="218" w:name="_Toc30393"/>
      <w:bookmarkStart w:id="219" w:name="_Toc485131168"/>
      <w:bookmarkStart w:id="220" w:name="_Toc13700"/>
      <w:bookmarkStart w:id="221" w:name="_Toc455080122"/>
      <w:bookmarkStart w:id="222" w:name="_Toc18661"/>
      <w:bookmarkStart w:id="223" w:name="_Toc7939"/>
      <w:bookmarkStart w:id="224" w:name="_Toc144974512"/>
      <w:bookmarkStart w:id="225" w:name="_Toc466298105"/>
      <w:bookmarkStart w:id="226" w:name="_Toc8943"/>
      <w:bookmarkStart w:id="227" w:name="_Toc8875"/>
      <w:bookmarkStart w:id="228" w:name="_Toc17296"/>
      <w:bookmarkStart w:id="229" w:name="_Toc152045544"/>
      <w:r>
        <w:rPr>
          <w:rFonts w:hint="eastAsia" w:ascii="宋体" w:hAnsi="宋体" w:eastAsia="宋体" w:cs="宋体"/>
          <w:b/>
          <w:sz w:val="21"/>
          <w:szCs w:val="21"/>
        </w:rPr>
        <w:t>2.2 磋商文件的澄清</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13305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lang w:eastAsia="zh-CN"/>
        </w:rPr>
      </w:pPr>
      <w:bookmarkStart w:id="230" w:name="_Toc14966"/>
      <w:bookmarkStart w:id="231" w:name="_Toc13617"/>
      <w:bookmarkStart w:id="232" w:name="_Toc152042321"/>
      <w:bookmarkStart w:id="233" w:name="_Toc455867783"/>
      <w:bookmarkStart w:id="234" w:name="_Toc2131"/>
      <w:bookmarkStart w:id="235" w:name="_Toc455080123"/>
      <w:bookmarkStart w:id="236" w:name="_Toc5907"/>
      <w:bookmarkStart w:id="237" w:name="_Toc318450689"/>
      <w:bookmarkStart w:id="238" w:name="_Toc485131169"/>
      <w:bookmarkStart w:id="239" w:name="_Toc17619"/>
      <w:bookmarkStart w:id="240" w:name="_Toc144974513"/>
      <w:bookmarkStart w:id="241" w:name="_Toc152045545"/>
      <w:bookmarkStart w:id="242" w:name="_Toc11948"/>
      <w:bookmarkStart w:id="243" w:name="_Toc466298106"/>
      <w:bookmarkStart w:id="244" w:name="_Toc15473"/>
      <w:r>
        <w:rPr>
          <w:rFonts w:hint="eastAsia" w:ascii="宋体" w:hAnsi="宋体" w:eastAsia="宋体" w:cs="宋体"/>
          <w:b w:val="0"/>
          <w:bCs/>
          <w:sz w:val="21"/>
          <w:szCs w:val="21"/>
        </w:rPr>
        <w:t>2.2.1供应商应仔细阅读和检查磋商文件的全部内容。如发现缺页或附件不全，应及时向采购人提出，以便补齐。如有疑问，应按供应商须知前附表规定的时间</w:t>
      </w:r>
      <w:r>
        <w:rPr>
          <w:rFonts w:hint="eastAsia" w:ascii="宋体" w:hAnsi="宋体" w:eastAsia="宋体" w:cs="宋体"/>
          <w:b w:val="0"/>
          <w:bCs/>
          <w:sz w:val="21"/>
          <w:szCs w:val="21"/>
          <w:lang w:eastAsia="zh-CN"/>
        </w:rPr>
        <w:t>以书面</w:t>
      </w:r>
      <w:r>
        <w:rPr>
          <w:rFonts w:hint="eastAsia" w:ascii="宋体" w:hAnsi="宋体" w:eastAsia="宋体" w:cs="宋体"/>
          <w:b w:val="0"/>
          <w:bCs/>
          <w:sz w:val="21"/>
          <w:szCs w:val="21"/>
        </w:rPr>
        <w:t>形式将提出的问题送达采购代理机构，要求对磋商文件予以澄清</w:t>
      </w:r>
      <w:r>
        <w:rPr>
          <w:rFonts w:hint="eastAsia" w:ascii="宋体" w:hAnsi="宋体" w:eastAsia="宋体" w:cs="宋体"/>
          <w:b w:val="0"/>
          <w:bCs/>
          <w:sz w:val="21"/>
          <w:szCs w:val="21"/>
          <w:lang w:eastAsia="zh-CN"/>
        </w:rPr>
        <w:t>。</w:t>
      </w:r>
    </w:p>
    <w:p w14:paraId="07DDB962">
      <w:pPr>
        <w:pStyle w:val="35"/>
        <w:ind w:firstLine="420" w:firstLineChars="200"/>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2.2.2 提交响应文件截止时间：</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5F9C93C1">
      <w:pPr>
        <w:spacing w:line="360" w:lineRule="auto"/>
        <w:rPr>
          <w:rFonts w:hint="eastAsia" w:ascii="宋体" w:hAnsi="宋体" w:eastAsia="宋体" w:cs="宋体"/>
          <w:b/>
          <w:sz w:val="21"/>
          <w:szCs w:val="21"/>
        </w:rPr>
      </w:pPr>
      <w:r>
        <w:rPr>
          <w:rFonts w:hint="eastAsia" w:ascii="宋体" w:hAnsi="宋体" w:eastAsia="宋体" w:cs="宋体"/>
          <w:b/>
          <w:sz w:val="21"/>
          <w:szCs w:val="21"/>
        </w:rPr>
        <w:t>2.3 磋商文件的修改</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1ABBB0A">
      <w:pPr>
        <w:pStyle w:val="37"/>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kern w:val="2"/>
          <w:sz w:val="21"/>
          <w:szCs w:val="21"/>
          <w:lang w:val="en-US" w:eastAsia="zh-CN" w:bidi="ar-SA"/>
        </w:rPr>
      </w:pPr>
      <w:bookmarkStart w:id="245" w:name="_Toc144974514"/>
      <w:bookmarkStart w:id="246" w:name="_Toc152042322"/>
      <w:bookmarkStart w:id="247" w:name="_Toc152045546"/>
      <w:bookmarkStart w:id="248" w:name="_Toc455080124"/>
      <w:r>
        <w:rPr>
          <w:rFonts w:hint="eastAsia" w:ascii="宋体" w:hAnsi="宋体" w:eastAsia="宋体" w:cs="宋体"/>
          <w:b w:val="0"/>
          <w:bCs/>
          <w:kern w:val="2"/>
          <w:sz w:val="21"/>
          <w:szCs w:val="21"/>
          <w:lang w:val="en-US" w:eastAsia="zh-CN" w:bidi="ar-SA"/>
        </w:rPr>
        <w:t>2.3.1 磋商文件的澄清、修改按供应商须知前附表规定的形式发出。澄清、修改发出的时间距提交响应文件截止时间不足5日的，并且修改内容可能影响响应文件编制的，将相应延长提交响应文件截止时间。</w:t>
      </w:r>
    </w:p>
    <w:p w14:paraId="56EC2FC1">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3. </w:t>
      </w:r>
      <w:bookmarkEnd w:id="245"/>
      <w:bookmarkEnd w:id="246"/>
      <w:bookmarkEnd w:id="247"/>
      <w:r>
        <w:rPr>
          <w:rFonts w:hint="eastAsia" w:ascii="宋体" w:hAnsi="宋体" w:eastAsia="宋体" w:cs="宋体"/>
          <w:b/>
          <w:sz w:val="21"/>
          <w:szCs w:val="21"/>
        </w:rPr>
        <w:t>响应文件</w:t>
      </w:r>
      <w:bookmarkEnd w:id="248"/>
    </w:p>
    <w:p w14:paraId="261D8327">
      <w:pPr>
        <w:spacing w:line="360" w:lineRule="auto"/>
        <w:rPr>
          <w:rFonts w:hint="eastAsia" w:ascii="宋体" w:hAnsi="宋体" w:eastAsia="宋体" w:cs="宋体"/>
          <w:sz w:val="21"/>
          <w:szCs w:val="21"/>
        </w:rPr>
      </w:pPr>
      <w:bookmarkStart w:id="249" w:name="_Toc152045547"/>
      <w:bookmarkStart w:id="250" w:name="_Toc144974515"/>
      <w:bookmarkStart w:id="251" w:name="_Toc318450691"/>
      <w:bookmarkStart w:id="252" w:name="_Toc15810"/>
      <w:bookmarkStart w:id="253" w:name="_Toc14244"/>
      <w:bookmarkStart w:id="254" w:name="_Toc24440"/>
      <w:bookmarkStart w:id="255" w:name="_Toc152042323"/>
      <w:r>
        <w:rPr>
          <w:rFonts w:hint="eastAsia" w:ascii="宋体" w:hAnsi="宋体" w:eastAsia="宋体" w:cs="宋体"/>
          <w:b/>
          <w:sz w:val="21"/>
          <w:szCs w:val="21"/>
        </w:rPr>
        <w:t>3.1 响应文件的组成</w:t>
      </w:r>
      <w:bookmarkEnd w:id="249"/>
      <w:bookmarkEnd w:id="250"/>
      <w:bookmarkEnd w:id="251"/>
      <w:bookmarkEnd w:id="252"/>
      <w:bookmarkEnd w:id="253"/>
      <w:bookmarkEnd w:id="254"/>
      <w:bookmarkEnd w:id="255"/>
    </w:p>
    <w:p w14:paraId="6EF56274">
      <w:pPr>
        <w:spacing w:line="360" w:lineRule="auto"/>
        <w:ind w:firstLine="420" w:firstLineChars="200"/>
        <w:rPr>
          <w:rFonts w:hint="eastAsia" w:ascii="宋体" w:hAnsi="宋体" w:eastAsia="宋体" w:cs="宋体"/>
          <w:sz w:val="21"/>
          <w:szCs w:val="21"/>
          <w:lang w:val="en-US" w:eastAsia="zh-CN"/>
        </w:rPr>
      </w:pPr>
      <w:bookmarkStart w:id="256" w:name="_Toc18750"/>
      <w:bookmarkStart w:id="257" w:name="_Toc466298108"/>
      <w:bookmarkStart w:id="258" w:name="_Toc30182"/>
      <w:bookmarkStart w:id="259" w:name="_Toc455867785"/>
      <w:bookmarkStart w:id="260" w:name="_Toc455080125"/>
      <w:bookmarkStart w:id="261" w:name="_Toc22864"/>
      <w:bookmarkStart w:id="262" w:name="_Toc13280"/>
      <w:bookmarkStart w:id="263" w:name="_Toc779"/>
      <w:r>
        <w:rPr>
          <w:rFonts w:hint="eastAsia" w:ascii="宋体" w:hAnsi="宋体" w:eastAsia="宋体" w:cs="宋体"/>
          <w:sz w:val="21"/>
          <w:szCs w:val="21"/>
        </w:rPr>
        <w:t>详见第</w:t>
      </w:r>
      <w:r>
        <w:rPr>
          <w:rFonts w:hint="eastAsia" w:ascii="宋体" w:hAnsi="宋体" w:cs="宋体"/>
          <w:sz w:val="21"/>
          <w:szCs w:val="21"/>
          <w:lang w:val="en-US" w:eastAsia="zh-CN"/>
        </w:rPr>
        <w:t>六</w:t>
      </w:r>
      <w:r>
        <w:rPr>
          <w:rFonts w:hint="eastAsia" w:ascii="宋体" w:hAnsi="宋体" w:eastAsia="宋体" w:cs="宋体"/>
          <w:sz w:val="21"/>
          <w:szCs w:val="21"/>
        </w:rPr>
        <w:t>章</w:t>
      </w:r>
      <w:bookmarkStart w:id="264" w:name="_Toc152042324"/>
      <w:bookmarkStart w:id="265" w:name="_Toc279156232"/>
      <w:bookmarkStart w:id="266" w:name="_Toc152045548"/>
      <w:bookmarkStart w:id="267" w:name="_Toc26291"/>
      <w:bookmarkStart w:id="268" w:name="_Toc318450692"/>
      <w:bookmarkStart w:id="269" w:name="_Toc144974516"/>
      <w:bookmarkStart w:id="270" w:name="_Toc899"/>
      <w:r>
        <w:rPr>
          <w:rFonts w:hint="eastAsia" w:ascii="宋体" w:hAnsi="宋体" w:eastAsia="宋体" w:cs="宋体"/>
          <w:sz w:val="21"/>
          <w:szCs w:val="21"/>
        </w:rPr>
        <w:t>“</w:t>
      </w:r>
      <w:r>
        <w:rPr>
          <w:rFonts w:hint="eastAsia" w:ascii="宋体" w:hAnsi="宋体" w:eastAsia="宋体" w:cs="宋体"/>
          <w:sz w:val="21"/>
          <w:szCs w:val="21"/>
          <w:lang w:eastAsia="zh-CN"/>
        </w:rPr>
        <w:t>竞争性磋商</w:t>
      </w:r>
      <w:r>
        <w:rPr>
          <w:rFonts w:hint="eastAsia" w:ascii="宋体" w:hAnsi="宋体" w:eastAsia="宋体" w:cs="宋体"/>
          <w:sz w:val="21"/>
          <w:szCs w:val="21"/>
        </w:rPr>
        <w:t>响应文件格式”</w:t>
      </w:r>
      <w:bookmarkEnd w:id="256"/>
      <w:bookmarkEnd w:id="257"/>
      <w:bookmarkEnd w:id="258"/>
      <w:bookmarkEnd w:id="259"/>
      <w:bookmarkEnd w:id="260"/>
      <w:bookmarkEnd w:id="261"/>
      <w:bookmarkEnd w:id="262"/>
      <w:bookmarkEnd w:id="263"/>
    </w:p>
    <w:p w14:paraId="7FBA81A0">
      <w:pPr>
        <w:spacing w:line="360" w:lineRule="auto"/>
        <w:rPr>
          <w:rFonts w:hint="eastAsia" w:ascii="宋体" w:hAnsi="宋体" w:eastAsia="宋体" w:cs="宋体"/>
          <w:b/>
          <w:sz w:val="21"/>
          <w:szCs w:val="21"/>
        </w:rPr>
      </w:pPr>
      <w:bookmarkStart w:id="271" w:name="_Toc485131171"/>
      <w:r>
        <w:rPr>
          <w:rFonts w:hint="eastAsia" w:ascii="宋体" w:hAnsi="宋体" w:eastAsia="宋体" w:cs="宋体"/>
          <w:b/>
          <w:sz w:val="21"/>
          <w:szCs w:val="21"/>
        </w:rPr>
        <w:t>3.</w:t>
      </w:r>
      <w:r>
        <w:rPr>
          <w:rFonts w:hint="eastAsia" w:ascii="宋体" w:hAnsi="宋体" w:eastAsia="宋体" w:cs="宋体"/>
          <w:b/>
          <w:sz w:val="21"/>
          <w:szCs w:val="21"/>
          <w:highlight w:val="none"/>
        </w:rPr>
        <w:t>2 磋商报价</w:t>
      </w:r>
      <w:bookmarkEnd w:id="264"/>
      <w:bookmarkEnd w:id="265"/>
      <w:bookmarkEnd w:id="266"/>
      <w:bookmarkEnd w:id="267"/>
      <w:bookmarkEnd w:id="268"/>
      <w:bookmarkEnd w:id="269"/>
      <w:bookmarkEnd w:id="270"/>
      <w:bookmarkEnd w:id="271"/>
    </w:p>
    <w:p w14:paraId="612BAE82">
      <w:pPr>
        <w:numPr>
          <w:ilvl w:val="2"/>
          <w:numId w:val="0"/>
        </w:numPr>
        <w:tabs>
          <w:tab w:val="left" w:pos="0"/>
          <w:tab w:val="left" w:pos="1050"/>
        </w:tabs>
        <w:spacing w:line="360" w:lineRule="auto"/>
        <w:ind w:firstLine="365" w:firstLineChars="174"/>
        <w:rPr>
          <w:rFonts w:hint="eastAsia" w:ascii="宋体" w:hAnsi="宋体" w:eastAsia="宋体" w:cs="宋体"/>
          <w:sz w:val="21"/>
          <w:szCs w:val="21"/>
        </w:rPr>
      </w:pPr>
      <w:bookmarkStart w:id="272" w:name="_Toc21600"/>
      <w:bookmarkStart w:id="273" w:name="_Toc485131172"/>
      <w:bookmarkStart w:id="274" w:name="_Toc6105"/>
      <w:bookmarkStart w:id="275" w:name="_Toc1858"/>
      <w:bookmarkStart w:id="276" w:name="_Toc144974517"/>
      <w:bookmarkStart w:id="277" w:name="_Toc3624"/>
      <w:bookmarkStart w:id="278" w:name="_Toc152042325"/>
      <w:bookmarkStart w:id="279" w:name="_Toc455080126"/>
      <w:bookmarkStart w:id="280" w:name="_Toc455867786"/>
      <w:bookmarkStart w:id="281" w:name="_Toc152045549"/>
      <w:bookmarkStart w:id="282" w:name="_Toc21680"/>
      <w:bookmarkStart w:id="283" w:name="_Toc466298109"/>
      <w:bookmarkStart w:id="284" w:name="_Toc7910"/>
      <w:bookmarkStart w:id="285" w:name="_Toc318450693"/>
      <w:bookmarkStart w:id="286" w:name="_Toc2425"/>
      <w:r>
        <w:rPr>
          <w:rFonts w:hint="eastAsia" w:ascii="宋体" w:hAnsi="宋体" w:eastAsia="宋体" w:cs="宋体"/>
          <w:sz w:val="21"/>
          <w:szCs w:val="21"/>
        </w:rPr>
        <w:t xml:space="preserve">3.2.1 磋商报价应包括国家规定的增值税税金，除响应人须知前附表另有规定外，增值税税金 按一般计税方法计算。 </w:t>
      </w:r>
    </w:p>
    <w:p w14:paraId="7B91F66B">
      <w:pPr>
        <w:numPr>
          <w:ilvl w:val="2"/>
          <w:numId w:val="0"/>
        </w:numPr>
        <w:tabs>
          <w:tab w:val="left" w:pos="0"/>
          <w:tab w:val="left" w:pos="1050"/>
        </w:tabs>
        <w:spacing w:line="360" w:lineRule="auto"/>
        <w:ind w:firstLine="365" w:firstLineChars="174"/>
        <w:rPr>
          <w:rFonts w:hint="eastAsia" w:ascii="宋体" w:hAnsi="宋体" w:eastAsia="宋体" w:cs="宋体"/>
          <w:sz w:val="21"/>
          <w:szCs w:val="21"/>
        </w:rPr>
      </w:pPr>
      <w:r>
        <w:rPr>
          <w:rFonts w:hint="eastAsia" w:ascii="宋体" w:hAnsi="宋体" w:eastAsia="宋体" w:cs="宋体"/>
          <w:sz w:val="21"/>
          <w:szCs w:val="21"/>
        </w:rPr>
        <w:t xml:space="preserve">3.2.2 响应人应充分了解该项目的总体情况以及影响磋商报价的其他要素。 </w:t>
      </w:r>
    </w:p>
    <w:p w14:paraId="4F9AF392">
      <w:pPr>
        <w:numPr>
          <w:ilvl w:val="2"/>
          <w:numId w:val="0"/>
        </w:numPr>
        <w:tabs>
          <w:tab w:val="left" w:pos="0"/>
          <w:tab w:val="left" w:pos="1050"/>
        </w:tabs>
        <w:spacing w:line="360" w:lineRule="auto"/>
        <w:ind w:firstLine="365" w:firstLineChars="174"/>
        <w:rPr>
          <w:rFonts w:hint="eastAsia" w:ascii="宋体" w:hAnsi="宋体" w:eastAsia="宋体" w:cs="宋体"/>
          <w:sz w:val="21"/>
          <w:szCs w:val="21"/>
        </w:rPr>
      </w:pPr>
      <w:r>
        <w:rPr>
          <w:rFonts w:hint="eastAsia" w:ascii="宋体" w:hAnsi="宋体" w:eastAsia="宋体" w:cs="宋体"/>
          <w:sz w:val="21"/>
          <w:szCs w:val="21"/>
        </w:rPr>
        <w:t>3.2.3 本项目的报价方式见响应人须知前附表。</w:t>
      </w:r>
    </w:p>
    <w:p w14:paraId="2BC95839">
      <w:pPr>
        <w:numPr>
          <w:ilvl w:val="2"/>
          <w:numId w:val="0"/>
        </w:numPr>
        <w:tabs>
          <w:tab w:val="left" w:pos="0"/>
          <w:tab w:val="left" w:pos="1050"/>
        </w:tabs>
        <w:spacing w:line="360" w:lineRule="auto"/>
        <w:ind w:firstLine="365" w:firstLineChars="174"/>
        <w:rPr>
          <w:rFonts w:hint="eastAsia" w:ascii="宋体" w:hAnsi="宋体" w:eastAsia="宋体" w:cs="宋体"/>
          <w:sz w:val="21"/>
          <w:szCs w:val="21"/>
        </w:rPr>
      </w:pPr>
      <w:r>
        <w:rPr>
          <w:rFonts w:hint="eastAsia" w:ascii="宋体" w:hAnsi="宋体" w:eastAsia="宋体" w:cs="宋体"/>
          <w:sz w:val="21"/>
          <w:szCs w:val="21"/>
        </w:rPr>
        <w:t xml:space="preserve">3.2.4 采购人设有最高投标限价的，响应人的磋商报价不得超过最高投标限价，最高投标限价 在响应人须知前附表中载明。 </w:t>
      </w:r>
    </w:p>
    <w:p w14:paraId="20F9265D">
      <w:pPr>
        <w:numPr>
          <w:ilvl w:val="2"/>
          <w:numId w:val="0"/>
        </w:numPr>
        <w:tabs>
          <w:tab w:val="left" w:pos="0"/>
          <w:tab w:val="left" w:pos="1050"/>
        </w:tabs>
        <w:spacing w:line="360" w:lineRule="auto"/>
        <w:ind w:firstLine="365" w:firstLineChars="174"/>
        <w:rPr>
          <w:rFonts w:hint="eastAsia" w:ascii="宋体" w:hAnsi="宋体" w:eastAsia="宋体" w:cs="宋体"/>
          <w:color w:val="000000"/>
          <w:kern w:val="0"/>
          <w:sz w:val="21"/>
          <w:szCs w:val="21"/>
          <w:highlight w:val="none"/>
        </w:rPr>
      </w:pPr>
      <w:r>
        <w:rPr>
          <w:rFonts w:hint="eastAsia" w:ascii="宋体" w:hAnsi="宋体" w:eastAsia="宋体" w:cs="宋体"/>
          <w:sz w:val="21"/>
          <w:szCs w:val="21"/>
        </w:rPr>
        <w:t>3.2.5 磋商报价的其他要求见响应人须知前附表。</w:t>
      </w:r>
    </w:p>
    <w:p w14:paraId="6CDED30C">
      <w:pPr>
        <w:spacing w:line="360" w:lineRule="auto"/>
        <w:rPr>
          <w:rFonts w:hint="eastAsia" w:ascii="宋体" w:hAnsi="宋体" w:eastAsia="宋体" w:cs="宋体"/>
          <w:b/>
          <w:sz w:val="21"/>
          <w:szCs w:val="21"/>
        </w:rPr>
      </w:pPr>
      <w:r>
        <w:rPr>
          <w:rFonts w:hint="eastAsia" w:ascii="宋体" w:hAnsi="宋体" w:eastAsia="宋体" w:cs="宋体"/>
          <w:b/>
          <w:sz w:val="21"/>
          <w:szCs w:val="21"/>
        </w:rPr>
        <w:t>3.3 磋商有效期</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F22D94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3.3.1 在</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规定的磋商有效期内，</w:t>
      </w:r>
      <w:r>
        <w:rPr>
          <w:rFonts w:hint="eastAsia" w:ascii="宋体" w:hAnsi="宋体" w:eastAsia="宋体" w:cs="宋体"/>
          <w:sz w:val="21"/>
          <w:szCs w:val="21"/>
          <w:lang w:eastAsia="zh-CN"/>
        </w:rPr>
        <w:t>供应商</w:t>
      </w:r>
      <w:r>
        <w:rPr>
          <w:rFonts w:hint="eastAsia" w:ascii="宋体" w:hAnsi="宋体" w:eastAsia="宋体" w:cs="宋体"/>
          <w:sz w:val="21"/>
          <w:szCs w:val="21"/>
        </w:rPr>
        <w:t>不得要求撤销或修改其响应文件。</w:t>
      </w:r>
    </w:p>
    <w:p w14:paraId="4B69CEA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3.3.2出现特殊情况需要延长磋商有效期的，采购人以书面形式通知所有</w:t>
      </w:r>
      <w:r>
        <w:rPr>
          <w:rFonts w:hint="eastAsia" w:ascii="宋体" w:hAnsi="宋体" w:eastAsia="宋体" w:cs="宋体"/>
          <w:sz w:val="21"/>
          <w:szCs w:val="21"/>
          <w:lang w:eastAsia="zh-CN"/>
        </w:rPr>
        <w:t>供应商</w:t>
      </w:r>
      <w:r>
        <w:rPr>
          <w:rFonts w:hint="eastAsia" w:ascii="宋体" w:hAnsi="宋体" w:eastAsia="宋体" w:cs="宋体"/>
          <w:sz w:val="21"/>
          <w:szCs w:val="21"/>
        </w:rPr>
        <w:t>延长磋商有效期。</w:t>
      </w:r>
      <w:r>
        <w:rPr>
          <w:rFonts w:hint="eastAsia" w:ascii="宋体" w:hAnsi="宋体" w:eastAsia="宋体" w:cs="宋体"/>
          <w:sz w:val="21"/>
          <w:szCs w:val="21"/>
          <w:lang w:eastAsia="zh-CN"/>
        </w:rPr>
        <w:t>供应商</w:t>
      </w:r>
      <w:r>
        <w:rPr>
          <w:rFonts w:hint="eastAsia" w:ascii="宋体" w:hAnsi="宋体" w:eastAsia="宋体" w:cs="宋体"/>
          <w:sz w:val="21"/>
          <w:szCs w:val="21"/>
        </w:rPr>
        <w:t>同意延长的，但不得要求或被允许修改或撤销其响应文件；</w:t>
      </w:r>
      <w:r>
        <w:rPr>
          <w:rFonts w:hint="eastAsia" w:ascii="宋体" w:hAnsi="宋体" w:eastAsia="宋体" w:cs="宋体"/>
          <w:sz w:val="21"/>
          <w:szCs w:val="21"/>
          <w:lang w:eastAsia="zh-CN"/>
        </w:rPr>
        <w:t>供应商</w:t>
      </w:r>
      <w:r>
        <w:rPr>
          <w:rFonts w:hint="eastAsia" w:ascii="宋体" w:hAnsi="宋体" w:eastAsia="宋体" w:cs="宋体"/>
          <w:sz w:val="21"/>
          <w:szCs w:val="21"/>
        </w:rPr>
        <w:t xml:space="preserve">拒绝延长的，其响应性文件失效。 </w:t>
      </w:r>
    </w:p>
    <w:p w14:paraId="3BE4E1DF">
      <w:pPr>
        <w:spacing w:line="360" w:lineRule="auto"/>
        <w:rPr>
          <w:rFonts w:hint="eastAsia" w:ascii="宋体" w:hAnsi="宋体" w:eastAsia="宋体" w:cs="宋体"/>
          <w:b/>
          <w:sz w:val="21"/>
          <w:szCs w:val="21"/>
        </w:rPr>
      </w:pPr>
      <w:bookmarkStart w:id="287" w:name="_Toc30697"/>
      <w:bookmarkStart w:id="288" w:name="_Toc485131173"/>
      <w:bookmarkStart w:id="289" w:name="_Toc455080127"/>
      <w:bookmarkStart w:id="290" w:name="_Toc7973"/>
      <w:bookmarkStart w:id="291" w:name="_Toc152042326"/>
      <w:bookmarkStart w:id="292" w:name="_Toc22389"/>
      <w:bookmarkStart w:id="293" w:name="_Toc144974518"/>
      <w:bookmarkStart w:id="294" w:name="_Toc318450694"/>
      <w:bookmarkStart w:id="295" w:name="_Toc466298110"/>
      <w:bookmarkStart w:id="296" w:name="_Toc7057"/>
      <w:bookmarkStart w:id="297" w:name="_Toc4165"/>
      <w:bookmarkStart w:id="298" w:name="_Toc10370"/>
      <w:bookmarkStart w:id="299" w:name="_Toc455867787"/>
      <w:bookmarkStart w:id="300" w:name="_Toc2505"/>
      <w:bookmarkStart w:id="301" w:name="_Toc152045550"/>
      <w:r>
        <w:rPr>
          <w:rFonts w:hint="eastAsia" w:ascii="宋体" w:hAnsi="宋体" w:eastAsia="宋体" w:cs="宋体"/>
          <w:b/>
          <w:sz w:val="21"/>
          <w:szCs w:val="21"/>
        </w:rPr>
        <w:t>3.4 磋商保证金</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Fonts w:hint="eastAsia" w:ascii="宋体" w:hAnsi="宋体" w:eastAsia="宋体" w:cs="宋体"/>
          <w:b/>
          <w:sz w:val="21"/>
          <w:szCs w:val="21"/>
        </w:rPr>
        <w:t>（不适用于本项目）</w:t>
      </w:r>
    </w:p>
    <w:p w14:paraId="6F1934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3.4.1 </w:t>
      </w:r>
      <w:r>
        <w:rPr>
          <w:rFonts w:hint="eastAsia" w:ascii="宋体" w:hAnsi="宋体" w:eastAsia="宋体" w:cs="宋体"/>
          <w:sz w:val="21"/>
          <w:szCs w:val="21"/>
          <w:lang w:eastAsia="zh-CN"/>
        </w:rPr>
        <w:t>供应商</w:t>
      </w:r>
      <w:r>
        <w:rPr>
          <w:rFonts w:hint="eastAsia" w:ascii="宋体" w:hAnsi="宋体" w:eastAsia="宋体" w:cs="宋体"/>
          <w:sz w:val="21"/>
          <w:szCs w:val="21"/>
        </w:rPr>
        <w:t>在递交响应文件的同时，应按</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规定的金额、担保形式和第</w:t>
      </w:r>
      <w:r>
        <w:rPr>
          <w:rFonts w:hint="eastAsia" w:ascii="宋体" w:hAnsi="宋体" w:cs="宋体"/>
          <w:sz w:val="21"/>
          <w:szCs w:val="21"/>
          <w:lang w:val="en-US" w:eastAsia="zh-CN"/>
        </w:rPr>
        <w:t>六</w:t>
      </w:r>
      <w:r>
        <w:rPr>
          <w:rFonts w:hint="eastAsia" w:ascii="宋体" w:hAnsi="宋体" w:eastAsia="宋体" w:cs="宋体"/>
          <w:sz w:val="21"/>
          <w:szCs w:val="21"/>
        </w:rPr>
        <w:t>章“响应文件格式”规定的磋商保证金格式递交磋商保证金，并作为其响应文件的组成部分。</w:t>
      </w:r>
    </w:p>
    <w:p w14:paraId="627648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3.4.2 </w:t>
      </w:r>
      <w:r>
        <w:rPr>
          <w:rFonts w:hint="eastAsia" w:ascii="宋体" w:hAnsi="宋体" w:eastAsia="宋体" w:cs="宋体"/>
          <w:sz w:val="21"/>
          <w:szCs w:val="21"/>
          <w:lang w:eastAsia="zh-CN"/>
        </w:rPr>
        <w:t>供应商</w:t>
      </w:r>
      <w:r>
        <w:rPr>
          <w:rFonts w:hint="eastAsia" w:ascii="宋体" w:hAnsi="宋体" w:eastAsia="宋体" w:cs="宋体"/>
          <w:sz w:val="21"/>
          <w:szCs w:val="21"/>
        </w:rPr>
        <w:t>不按本章第3.4.1项要求提交磋商保证金的，其响应文件作废标处理。</w:t>
      </w:r>
    </w:p>
    <w:p w14:paraId="0FE687E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3.4.3采购人与成交人在采购合同签订且缴纳招标代理服务费后，5日内退还未中标的</w:t>
      </w:r>
      <w:r>
        <w:rPr>
          <w:rFonts w:hint="eastAsia" w:ascii="宋体" w:hAnsi="宋体" w:eastAsia="宋体" w:cs="宋体"/>
          <w:sz w:val="21"/>
          <w:szCs w:val="21"/>
          <w:lang w:eastAsia="zh-CN"/>
        </w:rPr>
        <w:t>供应商</w:t>
      </w:r>
      <w:r>
        <w:rPr>
          <w:rFonts w:hint="eastAsia" w:ascii="宋体" w:hAnsi="宋体" w:eastAsia="宋体" w:cs="宋体"/>
          <w:sz w:val="21"/>
          <w:szCs w:val="21"/>
        </w:rPr>
        <w:t>和成交</w:t>
      </w:r>
      <w:r>
        <w:rPr>
          <w:rFonts w:hint="eastAsia" w:ascii="宋体" w:hAnsi="宋体" w:eastAsia="宋体" w:cs="宋体"/>
          <w:sz w:val="21"/>
          <w:szCs w:val="21"/>
          <w:lang w:eastAsia="zh-CN"/>
        </w:rPr>
        <w:t>供应商</w:t>
      </w:r>
      <w:r>
        <w:rPr>
          <w:rFonts w:hint="eastAsia" w:ascii="宋体" w:hAnsi="宋体" w:eastAsia="宋体" w:cs="宋体"/>
          <w:sz w:val="21"/>
          <w:szCs w:val="21"/>
        </w:rPr>
        <w:t>的磋商保证金。</w:t>
      </w:r>
    </w:p>
    <w:p w14:paraId="2F6D365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3.4.4 有下列情形之一的，磋商保证金不予退还： </w:t>
      </w:r>
    </w:p>
    <w:p w14:paraId="0BA6C9F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供应商</w:t>
      </w:r>
      <w:r>
        <w:rPr>
          <w:rFonts w:hint="eastAsia" w:ascii="宋体" w:hAnsi="宋体" w:eastAsia="宋体" w:cs="宋体"/>
          <w:sz w:val="21"/>
          <w:szCs w:val="21"/>
        </w:rPr>
        <w:t>在规定的磋商有效期内撤销或修改其响应文件；</w:t>
      </w:r>
    </w:p>
    <w:p w14:paraId="7083A4EF">
      <w:pPr>
        <w:spacing w:line="360" w:lineRule="auto"/>
        <w:ind w:firstLine="420" w:firstLineChars="200"/>
        <w:rPr>
          <w:rFonts w:hint="eastAsia" w:ascii="宋体" w:hAnsi="宋体" w:eastAsia="宋体" w:cs="宋体"/>
          <w:sz w:val="21"/>
          <w:szCs w:val="21"/>
        </w:rPr>
      </w:pPr>
      <w:bookmarkStart w:id="302" w:name="_Toc152042328"/>
      <w:bookmarkStart w:id="303" w:name="_Toc152045552"/>
      <w:bookmarkStart w:id="304" w:name="_Toc318450695"/>
      <w:bookmarkStart w:id="305" w:name="_Toc144974520"/>
      <w:r>
        <w:rPr>
          <w:rFonts w:hint="eastAsia" w:ascii="宋体" w:hAnsi="宋体" w:eastAsia="宋体" w:cs="宋体"/>
          <w:sz w:val="21"/>
          <w:szCs w:val="21"/>
        </w:rPr>
        <w:t>（2）成交人在收到成交通知书后，无正当理由拒签合同协议书或未按磋商文件规定提交履约担保。</w:t>
      </w:r>
    </w:p>
    <w:p w14:paraId="50D49C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供应商</w:t>
      </w:r>
      <w:r>
        <w:rPr>
          <w:rFonts w:hint="eastAsia" w:ascii="宋体" w:hAnsi="宋体" w:eastAsia="宋体" w:cs="宋体"/>
          <w:sz w:val="21"/>
          <w:szCs w:val="21"/>
        </w:rPr>
        <w:t>在本次磋商活动中有其他违规违法行为。</w:t>
      </w:r>
    </w:p>
    <w:bookmarkEnd w:id="302"/>
    <w:bookmarkEnd w:id="303"/>
    <w:bookmarkEnd w:id="304"/>
    <w:bookmarkEnd w:id="305"/>
    <w:p w14:paraId="0A1D9672">
      <w:pPr>
        <w:spacing w:line="360" w:lineRule="auto"/>
        <w:rPr>
          <w:rFonts w:hint="eastAsia" w:ascii="宋体" w:hAnsi="宋体" w:eastAsia="宋体" w:cs="宋体"/>
          <w:b/>
          <w:sz w:val="21"/>
          <w:szCs w:val="21"/>
        </w:rPr>
      </w:pPr>
      <w:bookmarkStart w:id="306" w:name="_Toc6323"/>
      <w:bookmarkStart w:id="307" w:name="_Toc12275"/>
      <w:bookmarkStart w:id="308" w:name="_Toc31145"/>
      <w:bookmarkStart w:id="309" w:name="_Toc466298113"/>
      <w:bookmarkStart w:id="310" w:name="_Toc152042330"/>
      <w:bookmarkStart w:id="311" w:name="_Toc152045554"/>
      <w:bookmarkStart w:id="312" w:name="_Toc455080130"/>
      <w:bookmarkStart w:id="313" w:name="_Toc318450697"/>
      <w:bookmarkStart w:id="314" w:name="_Toc7626"/>
      <w:bookmarkStart w:id="315" w:name="_Toc7966"/>
      <w:bookmarkStart w:id="316" w:name="_Toc455867790"/>
      <w:bookmarkStart w:id="317" w:name="_Toc28656"/>
      <w:bookmarkStart w:id="318" w:name="_Toc144974522"/>
      <w:bookmarkStart w:id="319" w:name="_Toc485131174"/>
      <w:bookmarkStart w:id="320" w:name="_Toc25620"/>
      <w:r>
        <w:rPr>
          <w:rFonts w:hint="eastAsia" w:ascii="宋体" w:hAnsi="宋体" w:eastAsia="宋体" w:cs="宋体"/>
          <w:b/>
          <w:sz w:val="21"/>
          <w:szCs w:val="21"/>
        </w:rPr>
        <w:t>3.5 响应文件的编制</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E1501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3.5.1响应文件应按第</w:t>
      </w:r>
      <w:r>
        <w:rPr>
          <w:rFonts w:hint="eastAsia" w:ascii="宋体" w:hAnsi="宋体" w:cs="宋体"/>
          <w:sz w:val="21"/>
          <w:szCs w:val="21"/>
          <w:lang w:val="en-US" w:eastAsia="zh-CN"/>
        </w:rPr>
        <w:t>六</w:t>
      </w:r>
      <w:r>
        <w:rPr>
          <w:rFonts w:hint="eastAsia" w:ascii="宋体" w:hAnsi="宋体" w:eastAsia="宋体" w:cs="宋体"/>
          <w:sz w:val="21"/>
          <w:szCs w:val="21"/>
        </w:rPr>
        <w:t>章“响应文件格式”进行编写，如有必要，可以增加附页，作为响应文件的组成部分。</w:t>
      </w:r>
    </w:p>
    <w:p w14:paraId="0DA0409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3.5.2 响应文件应当对磋商文件有关采购内容等实质性内容作出响应。</w:t>
      </w:r>
    </w:p>
    <w:p w14:paraId="0D781E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3.5.</w:t>
      </w:r>
      <w:r>
        <w:rPr>
          <w:rFonts w:hint="eastAsia" w:ascii="宋体" w:hAnsi="宋体" w:eastAsia="宋体" w:cs="宋体"/>
          <w:sz w:val="21"/>
          <w:szCs w:val="21"/>
          <w:lang w:val="en-US" w:eastAsia="zh-CN"/>
        </w:rPr>
        <w:t>3</w:t>
      </w:r>
      <w:r>
        <w:rPr>
          <w:rFonts w:hint="eastAsia" w:ascii="宋体" w:hAnsi="宋体" w:eastAsia="宋体" w:cs="宋体"/>
          <w:sz w:val="21"/>
          <w:szCs w:val="21"/>
        </w:rPr>
        <w:t>响应文件应</w:t>
      </w:r>
      <w:r>
        <w:rPr>
          <w:rFonts w:hint="eastAsia" w:ascii="宋体" w:hAnsi="宋体" w:eastAsia="宋体" w:cs="宋体"/>
          <w:sz w:val="21"/>
          <w:szCs w:val="21"/>
          <w:lang w:eastAsia="zh-CN"/>
        </w:rPr>
        <w:t>按照磋商文件格式要求</w:t>
      </w:r>
      <w:r>
        <w:rPr>
          <w:rFonts w:hint="eastAsia" w:ascii="宋体" w:hAnsi="宋体" w:eastAsia="宋体" w:cs="宋体"/>
          <w:sz w:val="21"/>
          <w:szCs w:val="21"/>
        </w:rPr>
        <w:t>由</w:t>
      </w:r>
      <w:r>
        <w:rPr>
          <w:rFonts w:hint="eastAsia" w:ascii="宋体" w:hAnsi="宋体" w:eastAsia="宋体" w:cs="宋体"/>
          <w:sz w:val="21"/>
          <w:szCs w:val="21"/>
          <w:lang w:eastAsia="zh-CN"/>
        </w:rPr>
        <w:t>供应商</w:t>
      </w:r>
      <w:r>
        <w:rPr>
          <w:rFonts w:hint="eastAsia" w:ascii="宋体" w:hAnsi="宋体" w:eastAsia="宋体" w:cs="宋体"/>
          <w:sz w:val="21"/>
          <w:szCs w:val="21"/>
        </w:rPr>
        <w:t>的法定代表人或其委托代理人签字或盖单位公章。</w:t>
      </w:r>
      <w:r>
        <w:rPr>
          <w:rFonts w:hint="eastAsia" w:ascii="宋体" w:hAnsi="宋体" w:eastAsia="宋体" w:cs="宋体"/>
          <w:sz w:val="21"/>
          <w:szCs w:val="21"/>
          <w:lang w:val="en-US" w:eastAsia="zh-CN"/>
        </w:rPr>
        <w:t>根据磋商文件格式要求，</w:t>
      </w:r>
      <w:r>
        <w:rPr>
          <w:rFonts w:hint="eastAsia" w:ascii="宋体" w:hAnsi="宋体" w:eastAsia="宋体" w:cs="宋体"/>
          <w:sz w:val="21"/>
          <w:szCs w:val="21"/>
        </w:rPr>
        <w:t>委托代理人签字的，响应文件应附法定代表人签署的授权委托书。响应文件应尽量避免涂改、行间插字或删除。如果出现上述情况，改动之处应加盖单位公章并由</w:t>
      </w:r>
      <w:r>
        <w:rPr>
          <w:rFonts w:hint="eastAsia" w:ascii="宋体" w:hAnsi="宋体" w:eastAsia="宋体" w:cs="宋体"/>
          <w:sz w:val="21"/>
          <w:szCs w:val="21"/>
          <w:lang w:eastAsia="zh-CN"/>
        </w:rPr>
        <w:t>供应商</w:t>
      </w:r>
      <w:r>
        <w:rPr>
          <w:rFonts w:hint="eastAsia" w:ascii="宋体" w:hAnsi="宋体" w:eastAsia="宋体" w:cs="宋体"/>
          <w:sz w:val="21"/>
          <w:szCs w:val="21"/>
        </w:rPr>
        <w:t>的法定代表人或其授权的代理人签字确认。签字或盖章的具体要求见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 xml:space="preserve"> </w:t>
      </w:r>
    </w:p>
    <w:p w14:paraId="3DBC5C95">
      <w:pPr>
        <w:pStyle w:val="35"/>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3.5.4 响应文件份数：</w:t>
      </w:r>
      <w:r>
        <w:rPr>
          <w:rFonts w:hint="eastAsia" w:ascii="宋体" w:hAnsi="宋体" w:eastAsia="宋体" w:cs="宋体"/>
          <w:sz w:val="21"/>
          <w:szCs w:val="21"/>
        </w:rPr>
        <w:t>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352D3430">
      <w:pPr>
        <w:pStyle w:val="35"/>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3.5.5 装订要求：见供应商须知前附表。</w:t>
      </w:r>
    </w:p>
    <w:p w14:paraId="00C39AC5">
      <w:pPr>
        <w:spacing w:line="360" w:lineRule="auto"/>
        <w:rPr>
          <w:rFonts w:hint="eastAsia" w:ascii="宋体" w:hAnsi="宋体" w:eastAsia="宋体" w:cs="宋体"/>
          <w:b/>
          <w:sz w:val="21"/>
          <w:szCs w:val="21"/>
        </w:rPr>
      </w:pPr>
      <w:bookmarkStart w:id="321" w:name="_Toc152042331"/>
      <w:bookmarkStart w:id="322" w:name="_Toc152045555"/>
      <w:bookmarkStart w:id="323" w:name="_Toc144974523"/>
      <w:bookmarkStart w:id="324" w:name="_Toc455080131"/>
      <w:r>
        <w:rPr>
          <w:rFonts w:hint="eastAsia" w:ascii="宋体" w:hAnsi="宋体" w:eastAsia="宋体" w:cs="宋体"/>
          <w:b/>
          <w:sz w:val="21"/>
          <w:szCs w:val="21"/>
        </w:rPr>
        <w:t>4. 投标</w:t>
      </w:r>
      <w:bookmarkEnd w:id="321"/>
      <w:bookmarkEnd w:id="322"/>
      <w:bookmarkEnd w:id="323"/>
      <w:bookmarkEnd w:id="324"/>
    </w:p>
    <w:p w14:paraId="1FEA6852">
      <w:pPr>
        <w:spacing w:line="360" w:lineRule="auto"/>
        <w:rPr>
          <w:rFonts w:hint="eastAsia" w:ascii="宋体" w:hAnsi="宋体" w:eastAsia="宋体" w:cs="宋体"/>
          <w:b/>
          <w:sz w:val="21"/>
          <w:szCs w:val="21"/>
          <w:lang w:val="en-US" w:eastAsia="zh-CN"/>
        </w:rPr>
      </w:pPr>
      <w:bookmarkStart w:id="325" w:name="_Toc462"/>
      <w:bookmarkStart w:id="326" w:name="_Toc485131177"/>
      <w:bookmarkStart w:id="327" w:name="_Toc318450700"/>
      <w:bookmarkStart w:id="328" w:name="_Toc152045557"/>
      <w:bookmarkStart w:id="329" w:name="_Toc8754"/>
      <w:bookmarkStart w:id="330" w:name="_Toc27132"/>
      <w:bookmarkStart w:id="331" w:name="_Toc466298116"/>
      <w:bookmarkStart w:id="332" w:name="_Toc21072"/>
      <w:bookmarkStart w:id="333" w:name="_Toc152042333"/>
      <w:bookmarkStart w:id="334" w:name="_Toc16832"/>
      <w:bookmarkStart w:id="335" w:name="_Toc144974525"/>
      <w:bookmarkStart w:id="336" w:name="_Toc28272"/>
      <w:bookmarkStart w:id="337" w:name="_Toc455867793"/>
      <w:bookmarkStart w:id="338" w:name="_Toc455080133"/>
      <w:bookmarkStart w:id="339" w:name="_Toc13233"/>
      <w:r>
        <w:rPr>
          <w:rFonts w:hint="eastAsia" w:ascii="宋体" w:hAnsi="宋体" w:eastAsia="宋体" w:cs="宋体"/>
          <w:b/>
          <w:sz w:val="21"/>
          <w:szCs w:val="21"/>
        </w:rPr>
        <w:t>4.</w:t>
      </w:r>
      <w:r>
        <w:rPr>
          <w:rFonts w:hint="eastAsia" w:ascii="宋体" w:hAnsi="宋体" w:eastAsia="宋体" w:cs="宋体"/>
          <w:b/>
          <w:sz w:val="21"/>
          <w:szCs w:val="21"/>
          <w:lang w:val="en-US" w:eastAsia="zh-CN"/>
        </w:rPr>
        <w:t>1</w:t>
      </w:r>
      <w:r>
        <w:rPr>
          <w:rFonts w:hint="eastAsia" w:ascii="宋体" w:hAnsi="宋体" w:eastAsia="宋体" w:cs="宋体"/>
          <w:b/>
          <w:sz w:val="21"/>
          <w:szCs w:val="21"/>
        </w:rPr>
        <w:t xml:space="preserve"> </w:t>
      </w:r>
      <w:r>
        <w:rPr>
          <w:rFonts w:hint="eastAsia" w:ascii="宋体" w:hAnsi="宋体" w:eastAsia="宋体" w:cs="宋体"/>
          <w:b/>
          <w:sz w:val="21"/>
          <w:szCs w:val="21"/>
          <w:lang w:val="en-US" w:eastAsia="zh-CN"/>
        </w:rPr>
        <w:t>响应文件的制作</w:t>
      </w:r>
    </w:p>
    <w:p w14:paraId="50D116E9">
      <w:pPr>
        <w:keepNext w:val="0"/>
        <w:keepLines w:val="0"/>
        <w:widowControl/>
        <w:suppressLineNumbers w:val="0"/>
        <w:spacing w:line="360" w:lineRule="auto"/>
        <w:ind w:firstLine="210" w:firstLineChars="100"/>
        <w:jc w:val="left"/>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 xml:space="preserve">4.1.1 </w:t>
      </w:r>
      <w:r>
        <w:rPr>
          <w:rFonts w:hint="eastAsia" w:ascii="宋体" w:hAnsi="宋体" w:eastAsia="宋体" w:cs="宋体"/>
          <w:sz w:val="21"/>
          <w:szCs w:val="21"/>
          <w:lang w:val="en-US" w:eastAsia="zh-CN"/>
        </w:rPr>
        <w:t>响应文件应由供应商使用电子交易系统提供的响应文件制作工具进行电子响应文件的制作，并按要求上传经 CA 锁签章和加密的电子响应文件（.ZMTF 格式）。</w:t>
      </w:r>
    </w:p>
    <w:p w14:paraId="0C63AB5E">
      <w:pPr>
        <w:pStyle w:val="3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4.1.2 </w:t>
      </w:r>
      <w:r>
        <w:rPr>
          <w:rFonts w:hint="eastAsia" w:ascii="宋体" w:hAnsi="宋体" w:eastAsia="宋体" w:cs="宋体"/>
          <w:kern w:val="2"/>
          <w:sz w:val="21"/>
          <w:szCs w:val="21"/>
          <w:lang w:val="en-US" w:eastAsia="zh-CN" w:bidi="ar-SA"/>
        </w:rPr>
        <w:t>未按本章第 4.1.1 项要求制作的响应文件，采购人不承担责任并有权不予受理。</w:t>
      </w:r>
    </w:p>
    <w:p w14:paraId="2F3DEDF7">
      <w:pPr>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4.2</w:t>
      </w:r>
      <w:r>
        <w:rPr>
          <w:rFonts w:hint="eastAsia" w:ascii="宋体" w:hAnsi="宋体" w:eastAsia="宋体" w:cs="宋体"/>
          <w:b/>
          <w:sz w:val="21"/>
          <w:szCs w:val="21"/>
        </w:rPr>
        <w:t>响应文件的递交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3E0E16E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.1 </w:t>
      </w:r>
    </w:p>
    <w:p w14:paraId="6FA0F0A4">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（1）加密的电子磋商响应文件1份（.ZMTF格式）须在磋商响应文件递交截止时间前通过“郑州市公共资源交易中心中牟分中心（http://zzggzy.zhengzhou.gov.cn/zhongmou/）”电子交易平台加密上传；上传文件尽量在截止日前 1-2 日内完成，以避免网络拥堵或其他原因造成上传失败，由于响应文件未按时提交所造成的后果由供应商自行承担。</w:t>
      </w:r>
    </w:p>
    <w:p w14:paraId="0089AB4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（2）供应商无需到交易中心现场参加开标会议，无需现场提交纸质版响应文件或原件。</w:t>
      </w:r>
    </w:p>
    <w:p w14:paraId="64DD0A6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.2 </w:t>
      </w:r>
      <w:r>
        <w:rPr>
          <w:rFonts w:hint="eastAsia" w:ascii="宋体" w:hAnsi="宋体" w:eastAsia="宋体" w:cs="宋体"/>
          <w:sz w:val="21"/>
          <w:szCs w:val="21"/>
          <w:lang w:eastAsia="zh-CN"/>
        </w:rPr>
        <w:t>供应商</w:t>
      </w:r>
      <w:r>
        <w:rPr>
          <w:rFonts w:hint="eastAsia" w:ascii="宋体" w:hAnsi="宋体" w:eastAsia="宋体" w:cs="宋体"/>
          <w:sz w:val="21"/>
          <w:szCs w:val="21"/>
        </w:rPr>
        <w:t>递交响应文件的地点：见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5FBD908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2</w:t>
      </w:r>
      <w:r>
        <w:rPr>
          <w:rFonts w:hint="eastAsia" w:ascii="宋体" w:hAnsi="宋体" w:eastAsia="宋体" w:cs="宋体"/>
          <w:sz w:val="21"/>
          <w:szCs w:val="21"/>
        </w:rPr>
        <w:t>.3 除</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另有规定外，</w:t>
      </w:r>
      <w:r>
        <w:rPr>
          <w:rFonts w:hint="eastAsia" w:ascii="宋体" w:hAnsi="宋体" w:eastAsia="宋体" w:cs="宋体"/>
          <w:sz w:val="21"/>
          <w:szCs w:val="21"/>
          <w:lang w:eastAsia="zh-CN"/>
        </w:rPr>
        <w:t>供应商</w:t>
      </w:r>
      <w:r>
        <w:rPr>
          <w:rFonts w:hint="eastAsia" w:ascii="宋体" w:hAnsi="宋体" w:eastAsia="宋体" w:cs="宋体"/>
          <w:sz w:val="21"/>
          <w:szCs w:val="21"/>
        </w:rPr>
        <w:t>所递交的响应文件不予退还。</w:t>
      </w:r>
    </w:p>
    <w:p w14:paraId="5605666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2</w:t>
      </w:r>
      <w:r>
        <w:rPr>
          <w:rFonts w:hint="eastAsia" w:ascii="宋体" w:hAnsi="宋体" w:eastAsia="宋体" w:cs="宋体"/>
          <w:sz w:val="21"/>
          <w:szCs w:val="21"/>
        </w:rPr>
        <w:t>.4逾期送达的或者未送达指定地点的响应文件，采购人不予受理。</w:t>
      </w:r>
    </w:p>
    <w:p w14:paraId="419A01BC">
      <w:pPr>
        <w:spacing w:line="360" w:lineRule="auto"/>
        <w:rPr>
          <w:rFonts w:hint="eastAsia" w:ascii="宋体" w:hAnsi="宋体" w:eastAsia="宋体" w:cs="宋体"/>
          <w:b/>
          <w:sz w:val="21"/>
          <w:szCs w:val="21"/>
        </w:rPr>
      </w:pPr>
      <w:bookmarkStart w:id="340" w:name="_Toc455867794"/>
      <w:bookmarkStart w:id="341" w:name="_Toc485131178"/>
      <w:bookmarkStart w:id="342" w:name="_Toc5102"/>
      <w:bookmarkStart w:id="343" w:name="_Toc21890"/>
      <w:bookmarkStart w:id="344" w:name="_Toc152042334"/>
      <w:bookmarkStart w:id="345" w:name="_Toc144974526"/>
      <w:bookmarkStart w:id="346" w:name="_Toc466298117"/>
      <w:bookmarkStart w:id="347" w:name="_Toc152045558"/>
      <w:bookmarkStart w:id="348" w:name="_Toc19501"/>
      <w:bookmarkStart w:id="349" w:name="_Toc30860"/>
      <w:bookmarkStart w:id="350" w:name="_Toc2952"/>
      <w:bookmarkStart w:id="351" w:name="_Toc318450701"/>
      <w:bookmarkStart w:id="352" w:name="_Toc455080134"/>
      <w:bookmarkStart w:id="353" w:name="_Toc20281"/>
      <w:bookmarkStart w:id="354" w:name="_Toc26684"/>
      <w:r>
        <w:rPr>
          <w:rFonts w:hint="eastAsia" w:ascii="宋体" w:hAnsi="宋体" w:eastAsia="宋体" w:cs="宋体"/>
          <w:b/>
          <w:sz w:val="21"/>
          <w:szCs w:val="21"/>
        </w:rPr>
        <w:t>4.</w:t>
      </w:r>
      <w:r>
        <w:rPr>
          <w:rFonts w:hint="eastAsia" w:ascii="宋体" w:hAnsi="宋体" w:eastAsia="宋体" w:cs="宋体"/>
          <w:b/>
          <w:sz w:val="21"/>
          <w:szCs w:val="21"/>
          <w:lang w:val="en-US" w:eastAsia="zh-CN"/>
        </w:rPr>
        <w:t>3</w:t>
      </w:r>
      <w:r>
        <w:rPr>
          <w:rFonts w:hint="eastAsia" w:ascii="宋体" w:hAnsi="宋体" w:eastAsia="宋体" w:cs="宋体"/>
          <w:b/>
          <w:sz w:val="21"/>
          <w:szCs w:val="21"/>
        </w:rPr>
        <w:t xml:space="preserve"> 响应文件的修改与撤回</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17D819A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4.</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bookmarkStart w:id="355" w:name="_Toc144974527"/>
      <w:bookmarkStart w:id="356" w:name="_Toc152045559"/>
      <w:bookmarkStart w:id="357" w:name="_Toc152042335"/>
      <w:bookmarkStart w:id="358" w:name="_Toc455080135"/>
      <w:r>
        <w:rPr>
          <w:rFonts w:hint="eastAsia" w:ascii="宋体" w:hAnsi="宋体" w:eastAsia="宋体" w:cs="宋体"/>
          <w:sz w:val="21"/>
          <w:szCs w:val="21"/>
        </w:rPr>
        <w:t>供应商在递交</w:t>
      </w:r>
      <w:r>
        <w:rPr>
          <w:rFonts w:hint="eastAsia" w:ascii="宋体" w:hAnsi="宋体" w:eastAsia="宋体" w:cs="宋体"/>
          <w:sz w:val="21"/>
          <w:szCs w:val="21"/>
          <w:lang w:eastAsia="zh-CN"/>
        </w:rPr>
        <w:t>磋商响应文件</w:t>
      </w:r>
      <w:r>
        <w:rPr>
          <w:rFonts w:hint="eastAsia" w:ascii="宋体" w:hAnsi="宋体" w:eastAsia="宋体" w:cs="宋体"/>
          <w:sz w:val="21"/>
          <w:szCs w:val="21"/>
        </w:rPr>
        <w:t>后，在</w:t>
      </w:r>
      <w:r>
        <w:rPr>
          <w:rFonts w:hint="eastAsia" w:ascii="宋体" w:hAnsi="宋体" w:eastAsia="宋体" w:cs="宋体"/>
          <w:sz w:val="21"/>
          <w:szCs w:val="21"/>
          <w:lang w:eastAsia="zh-CN"/>
        </w:rPr>
        <w:t>磋商响应文件</w:t>
      </w:r>
      <w:r>
        <w:rPr>
          <w:rFonts w:hint="eastAsia" w:ascii="宋体" w:hAnsi="宋体" w:eastAsia="宋体" w:cs="宋体"/>
          <w:sz w:val="21"/>
          <w:szCs w:val="21"/>
        </w:rPr>
        <w:t>递交截止时间之前可以修改或撤回其</w:t>
      </w:r>
      <w:r>
        <w:rPr>
          <w:rFonts w:hint="eastAsia" w:ascii="宋体" w:hAnsi="宋体" w:eastAsia="宋体" w:cs="宋体"/>
          <w:sz w:val="21"/>
          <w:szCs w:val="21"/>
          <w:lang w:eastAsia="zh-CN"/>
        </w:rPr>
        <w:t>磋商响应文件</w:t>
      </w:r>
      <w:r>
        <w:rPr>
          <w:rFonts w:hint="eastAsia" w:ascii="宋体" w:hAnsi="宋体" w:eastAsia="宋体" w:cs="宋体"/>
          <w:sz w:val="21"/>
          <w:szCs w:val="21"/>
        </w:rPr>
        <w:t>，</w:t>
      </w:r>
      <w:r>
        <w:rPr>
          <w:rFonts w:hint="eastAsia" w:ascii="宋体" w:hAnsi="宋体" w:eastAsia="宋体" w:cs="宋体"/>
          <w:sz w:val="21"/>
          <w:szCs w:val="21"/>
          <w:highlight w:val="none"/>
          <w:lang w:val="en-US" w:eastAsia="zh-CN"/>
        </w:rPr>
        <w:t>最终响应文件以响应文件递交截止时间前完成上传至郑州市公共资源交易中心中牟分中心交易系统最后一份响应文件为准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p w14:paraId="2848CDC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 xml:space="preserve">4.3.2 </w:t>
      </w:r>
      <w:r>
        <w:rPr>
          <w:rFonts w:hint="eastAsia" w:ascii="宋体" w:hAnsi="宋体" w:eastAsia="宋体" w:cs="宋体"/>
          <w:sz w:val="21"/>
          <w:szCs w:val="21"/>
        </w:rPr>
        <w:t>在</w:t>
      </w:r>
      <w:r>
        <w:rPr>
          <w:rFonts w:hint="eastAsia" w:ascii="宋体" w:hAnsi="宋体" w:eastAsia="宋体" w:cs="宋体"/>
          <w:sz w:val="21"/>
          <w:szCs w:val="21"/>
          <w:lang w:eastAsia="zh-CN"/>
        </w:rPr>
        <w:t>磋商响应文件</w:t>
      </w:r>
      <w:r>
        <w:rPr>
          <w:rFonts w:hint="eastAsia" w:ascii="宋体" w:hAnsi="宋体" w:eastAsia="宋体" w:cs="宋体"/>
          <w:sz w:val="21"/>
          <w:szCs w:val="21"/>
        </w:rPr>
        <w:t>递交截止时间之后，</w:t>
      </w:r>
      <w:r>
        <w:rPr>
          <w:rFonts w:hint="eastAsia" w:ascii="宋体" w:hAnsi="宋体" w:eastAsia="宋体" w:cs="宋体"/>
          <w:sz w:val="21"/>
          <w:szCs w:val="21"/>
          <w:lang w:val="en-US" w:eastAsia="zh-CN"/>
        </w:rPr>
        <w:t>供应商</w:t>
      </w:r>
      <w:r>
        <w:rPr>
          <w:rFonts w:hint="eastAsia" w:ascii="宋体" w:hAnsi="宋体" w:eastAsia="宋体" w:cs="宋体"/>
          <w:sz w:val="21"/>
          <w:szCs w:val="21"/>
        </w:rPr>
        <w:t>不得撤回其</w:t>
      </w:r>
      <w:r>
        <w:rPr>
          <w:rFonts w:hint="eastAsia" w:ascii="宋体" w:hAnsi="宋体" w:eastAsia="宋体" w:cs="宋体"/>
          <w:sz w:val="21"/>
          <w:szCs w:val="21"/>
          <w:lang w:eastAsia="zh-CN"/>
        </w:rPr>
        <w:t>磋商响应文件</w:t>
      </w:r>
      <w:r>
        <w:rPr>
          <w:rFonts w:hint="eastAsia" w:ascii="宋体" w:hAnsi="宋体" w:eastAsia="宋体" w:cs="宋体"/>
          <w:sz w:val="21"/>
          <w:szCs w:val="21"/>
        </w:rPr>
        <w:t>或对其</w:t>
      </w:r>
      <w:r>
        <w:rPr>
          <w:rFonts w:hint="eastAsia" w:ascii="宋体" w:hAnsi="宋体" w:eastAsia="宋体" w:cs="宋体"/>
          <w:sz w:val="21"/>
          <w:szCs w:val="21"/>
          <w:lang w:eastAsia="zh-CN"/>
        </w:rPr>
        <w:t>磋商响应文件</w:t>
      </w:r>
      <w:r>
        <w:rPr>
          <w:rFonts w:hint="eastAsia" w:ascii="宋体" w:hAnsi="宋体" w:eastAsia="宋体" w:cs="宋体"/>
          <w:sz w:val="21"/>
          <w:szCs w:val="21"/>
        </w:rPr>
        <w:t xml:space="preserve">做任何修改。 </w:t>
      </w:r>
    </w:p>
    <w:p w14:paraId="245545BC">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5. </w:t>
      </w:r>
      <w:bookmarkEnd w:id="355"/>
      <w:bookmarkEnd w:id="356"/>
      <w:bookmarkEnd w:id="357"/>
      <w:r>
        <w:rPr>
          <w:rFonts w:hint="eastAsia" w:ascii="宋体" w:hAnsi="宋体" w:eastAsia="宋体" w:cs="宋体"/>
          <w:b/>
          <w:sz w:val="21"/>
          <w:szCs w:val="21"/>
        </w:rPr>
        <w:t>磋商</w:t>
      </w:r>
      <w:bookmarkEnd w:id="358"/>
      <w:r>
        <w:rPr>
          <w:rFonts w:hint="eastAsia" w:ascii="宋体" w:hAnsi="宋体" w:eastAsia="宋体" w:cs="宋体"/>
          <w:b/>
          <w:sz w:val="21"/>
          <w:szCs w:val="21"/>
        </w:rPr>
        <w:t>会议</w:t>
      </w:r>
    </w:p>
    <w:p w14:paraId="56956766">
      <w:pPr>
        <w:spacing w:line="360" w:lineRule="auto"/>
        <w:rPr>
          <w:rFonts w:hint="eastAsia" w:ascii="宋体" w:hAnsi="宋体" w:eastAsia="宋体" w:cs="宋体"/>
          <w:b/>
          <w:sz w:val="21"/>
          <w:szCs w:val="21"/>
        </w:rPr>
      </w:pPr>
      <w:bookmarkStart w:id="359" w:name="_Toc466298119"/>
      <w:bookmarkStart w:id="360" w:name="_Toc775"/>
      <w:bookmarkStart w:id="361" w:name="_Toc152042336"/>
      <w:bookmarkStart w:id="362" w:name="_Toc152045560"/>
      <w:bookmarkStart w:id="363" w:name="_Toc144974528"/>
      <w:bookmarkStart w:id="364" w:name="_Toc20333"/>
      <w:bookmarkStart w:id="365" w:name="_Toc455080136"/>
      <w:bookmarkStart w:id="366" w:name="_Toc14"/>
      <w:bookmarkStart w:id="367" w:name="_Toc25533"/>
      <w:bookmarkStart w:id="368" w:name="_Toc26426"/>
      <w:bookmarkStart w:id="369" w:name="_Toc318450703"/>
      <w:bookmarkStart w:id="370" w:name="_Toc485131180"/>
      <w:bookmarkStart w:id="371" w:name="_Toc25809"/>
      <w:bookmarkStart w:id="372" w:name="_Toc9969"/>
      <w:bookmarkStart w:id="373" w:name="_Toc455867796"/>
      <w:r>
        <w:rPr>
          <w:rFonts w:hint="eastAsia" w:ascii="宋体" w:hAnsi="宋体" w:eastAsia="宋体" w:cs="宋体"/>
          <w:b/>
          <w:sz w:val="21"/>
          <w:szCs w:val="21"/>
        </w:rPr>
        <w:t>5.1</w:t>
      </w:r>
      <w:r>
        <w:rPr>
          <w:rFonts w:hint="eastAsia" w:ascii="宋体" w:hAnsi="宋体" w:eastAsia="宋体" w:cs="宋体"/>
          <w:b/>
          <w:sz w:val="21"/>
          <w:szCs w:val="21"/>
          <w:lang w:eastAsia="zh-CN"/>
        </w:rPr>
        <w:t>开标</w:t>
      </w:r>
      <w:r>
        <w:rPr>
          <w:rFonts w:hint="eastAsia" w:ascii="宋体" w:hAnsi="宋体" w:eastAsia="宋体" w:cs="宋体"/>
          <w:b/>
          <w:sz w:val="21"/>
          <w:szCs w:val="21"/>
        </w:rPr>
        <w:t>时间和地点</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81A3A09">
      <w:pPr>
        <w:keepNext w:val="0"/>
        <w:keepLines w:val="0"/>
        <w:widowControl/>
        <w:suppressLineNumbers w:val="0"/>
        <w:spacing w:line="360" w:lineRule="auto"/>
        <w:ind w:firstLine="420" w:firstLineChars="200"/>
        <w:jc w:val="left"/>
        <w:rPr>
          <w:rFonts w:hint="eastAsia" w:ascii="宋体" w:hAnsi="宋体" w:eastAsia="宋体" w:cs="宋体"/>
          <w:b/>
          <w:sz w:val="21"/>
          <w:szCs w:val="21"/>
          <w:highlight w:val="yellow"/>
          <w:lang w:val="en-US" w:eastAsia="zh-CN"/>
        </w:rPr>
      </w:pPr>
      <w:bookmarkStart w:id="374" w:name="_Toc30965"/>
      <w:bookmarkStart w:id="375" w:name="_Toc3865"/>
      <w:bookmarkStart w:id="376" w:name="_Toc152045561"/>
      <w:bookmarkStart w:id="377" w:name="_Toc17491"/>
      <w:bookmarkStart w:id="378" w:name="_Toc30074"/>
      <w:bookmarkStart w:id="379" w:name="_Toc455080137"/>
      <w:bookmarkStart w:id="380" w:name="_Toc25911"/>
      <w:bookmarkStart w:id="381" w:name="_Toc11148"/>
      <w:bookmarkStart w:id="382" w:name="_Toc152042337"/>
      <w:bookmarkStart w:id="383" w:name="_Toc318450704"/>
      <w:bookmarkStart w:id="384" w:name="_Toc144974529"/>
      <w:r>
        <w:rPr>
          <w:rFonts w:hint="eastAsia" w:ascii="宋体" w:hAnsi="宋体" w:eastAsia="宋体" w:cs="宋体"/>
          <w:sz w:val="21"/>
          <w:szCs w:val="21"/>
          <w:lang w:val="en-US" w:eastAsia="zh-CN"/>
        </w:rPr>
        <w:t>采购代理机构将在“供应商须知”中规定的时间和地点组织供应商磋商，准时采用“远程不见面”开标方式参加磋商会议。</w:t>
      </w:r>
    </w:p>
    <w:p w14:paraId="7D89B091">
      <w:pPr>
        <w:spacing w:line="360" w:lineRule="auto"/>
        <w:rPr>
          <w:rFonts w:hint="eastAsia" w:ascii="宋体" w:hAnsi="宋体" w:eastAsia="宋体" w:cs="宋体"/>
          <w:b/>
          <w:sz w:val="21"/>
          <w:szCs w:val="21"/>
        </w:rPr>
      </w:pPr>
      <w:bookmarkStart w:id="385" w:name="_Toc485131181"/>
      <w:bookmarkStart w:id="386" w:name="_Toc466298120"/>
      <w:bookmarkStart w:id="387" w:name="_Toc19890"/>
      <w:bookmarkStart w:id="388" w:name="_Toc455867797"/>
      <w:r>
        <w:rPr>
          <w:rFonts w:hint="eastAsia" w:ascii="宋体" w:hAnsi="宋体" w:eastAsia="宋体" w:cs="宋体"/>
          <w:b/>
          <w:sz w:val="21"/>
          <w:szCs w:val="21"/>
        </w:rPr>
        <w:t>5.</w:t>
      </w:r>
      <w:r>
        <w:rPr>
          <w:rFonts w:hint="eastAsia" w:ascii="宋体" w:hAnsi="宋体" w:eastAsia="宋体" w:cs="宋体"/>
          <w:b/>
          <w:sz w:val="21"/>
          <w:szCs w:val="21"/>
          <w:lang w:val="en-US" w:eastAsia="zh-CN"/>
        </w:rPr>
        <w:t>2</w:t>
      </w:r>
      <w:r>
        <w:rPr>
          <w:rFonts w:hint="eastAsia" w:ascii="宋体" w:hAnsi="宋体" w:eastAsia="宋体" w:cs="宋体"/>
          <w:b/>
          <w:sz w:val="21"/>
          <w:szCs w:val="21"/>
        </w:rPr>
        <w:t xml:space="preserve"> 磋商程序</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E0B973F">
      <w:pPr>
        <w:spacing w:line="360" w:lineRule="auto"/>
        <w:ind w:firstLine="420" w:firstLineChars="200"/>
        <w:rPr>
          <w:rFonts w:hint="eastAsia" w:ascii="宋体" w:hAnsi="宋体" w:eastAsia="宋体" w:cs="宋体"/>
          <w:sz w:val="21"/>
          <w:szCs w:val="21"/>
        </w:rPr>
      </w:pPr>
      <w:bookmarkStart w:id="389" w:name="_Toc144974530"/>
      <w:bookmarkStart w:id="390" w:name="_Toc152045562"/>
      <w:bookmarkStart w:id="391" w:name="_Toc152042338"/>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.1、磋商小组对磋商文件进行熟悉确认。</w:t>
      </w:r>
    </w:p>
    <w:p w14:paraId="4F3156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.2、磋商小组推选组长，讨论、通过磋商工作流程和磋商要点。</w:t>
      </w:r>
    </w:p>
    <w:p w14:paraId="67CB95E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.3、磋商开始后，磋商小组依据磋商文件规定，对响应文件中的资格、</w:t>
      </w:r>
      <w:r>
        <w:rPr>
          <w:rFonts w:hint="eastAsia" w:ascii="宋体" w:hAnsi="宋体" w:eastAsia="宋体" w:cs="宋体"/>
          <w:sz w:val="21"/>
          <w:szCs w:val="21"/>
          <w:lang w:val="en-US" w:eastAsia="zh-CN"/>
        </w:rPr>
        <w:t>符合</w:t>
      </w:r>
      <w:r>
        <w:rPr>
          <w:rFonts w:hint="eastAsia" w:ascii="宋体" w:hAnsi="宋体" w:eastAsia="宋体" w:cs="宋体"/>
          <w:sz w:val="21"/>
          <w:szCs w:val="21"/>
        </w:rPr>
        <w:t>性进行审查，以确定磋商</w:t>
      </w:r>
      <w:r>
        <w:rPr>
          <w:rFonts w:hint="eastAsia" w:ascii="宋体" w:hAnsi="宋体" w:eastAsia="宋体" w:cs="宋体"/>
          <w:sz w:val="21"/>
          <w:szCs w:val="21"/>
          <w:lang w:eastAsia="zh-CN"/>
        </w:rPr>
        <w:t>供应商</w:t>
      </w:r>
      <w:r>
        <w:rPr>
          <w:rFonts w:hint="eastAsia" w:ascii="宋体" w:hAnsi="宋体" w:eastAsia="宋体" w:cs="宋体"/>
          <w:sz w:val="21"/>
          <w:szCs w:val="21"/>
        </w:rPr>
        <w:t>是否具备参与磋商的资格。</w:t>
      </w:r>
    </w:p>
    <w:p w14:paraId="1063B88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.4、磋商小组对通过资格性和符合性审查的响应文件进行评估，确定与各竞标人磋商的具体内容。</w:t>
      </w:r>
    </w:p>
    <w:p w14:paraId="164B875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.5、</w:t>
      </w:r>
      <w:r>
        <w:rPr>
          <w:rFonts w:hint="eastAsia" w:ascii="宋体" w:hAnsi="宋体" w:eastAsia="宋体" w:cs="宋体"/>
          <w:sz w:val="21"/>
          <w:szCs w:val="21"/>
          <w:highlight w:val="none"/>
        </w:rPr>
        <w:t>围绕磋商要点，磋商小组全体成员集中与单一</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分别进行磋商。按各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递交响应文件的顺序进行磋商。对通过初步评审的</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进行第2轮报价，依据现场磋商情况，磋商小组有权决定是否进行第3轮报价，若无第3轮报价，则第2轮报价则为最终报价，依据最终提交的报价进行评审。</w:t>
      </w:r>
    </w:p>
    <w:p w14:paraId="08008EC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.6、磋商过程中，磋商小组可以根据磋商情况实质性变动采购需求中的技术及合同草案条款，但不得变动磋商文件中的其他内容。实质性变动的内容需经采购人(业主)代表确认。并以书面形式通知所有参加磋商的</w:t>
      </w:r>
      <w:r>
        <w:rPr>
          <w:rFonts w:hint="eastAsia" w:ascii="宋体" w:hAnsi="宋体" w:eastAsia="宋体" w:cs="宋体"/>
          <w:sz w:val="21"/>
          <w:szCs w:val="21"/>
          <w:lang w:eastAsia="zh-CN"/>
        </w:rPr>
        <w:t>供应商</w:t>
      </w:r>
      <w:r>
        <w:rPr>
          <w:rFonts w:hint="eastAsia" w:ascii="宋体" w:hAnsi="宋体" w:eastAsia="宋体" w:cs="宋体"/>
          <w:sz w:val="21"/>
          <w:szCs w:val="21"/>
        </w:rPr>
        <w:t>，该变动是磋商文件的有效组成部分。</w:t>
      </w:r>
      <w:r>
        <w:rPr>
          <w:rFonts w:hint="eastAsia" w:ascii="宋体" w:hAnsi="宋体" w:eastAsia="宋体" w:cs="宋体"/>
          <w:sz w:val="21"/>
          <w:szCs w:val="21"/>
          <w:lang w:eastAsia="zh-CN"/>
        </w:rPr>
        <w:t>供应商</w:t>
      </w:r>
      <w:r>
        <w:rPr>
          <w:rFonts w:hint="eastAsia" w:ascii="宋体" w:hAnsi="宋体" w:eastAsia="宋体" w:cs="宋体"/>
          <w:sz w:val="21"/>
          <w:szCs w:val="21"/>
        </w:rPr>
        <w:t>应当按照磋商文件的变动情况和磋商小组的要求重新提交响应文件并由其法定代表人或其授权代表签字或者加盖公章。由授权代表签字的应当附法定代表人授权书。</w:t>
      </w:r>
      <w:r>
        <w:rPr>
          <w:rFonts w:hint="eastAsia" w:ascii="宋体" w:hAnsi="宋体" w:eastAsia="宋体" w:cs="宋体"/>
          <w:sz w:val="21"/>
          <w:szCs w:val="21"/>
          <w:lang w:eastAsia="zh-CN"/>
        </w:rPr>
        <w:t>供应商</w:t>
      </w:r>
      <w:r>
        <w:rPr>
          <w:rFonts w:hint="eastAsia" w:ascii="宋体" w:hAnsi="宋体" w:eastAsia="宋体" w:cs="宋体"/>
          <w:sz w:val="21"/>
          <w:szCs w:val="21"/>
        </w:rPr>
        <w:t>为自然人的应当由本人签字并附身份证。</w:t>
      </w:r>
      <w:r>
        <w:rPr>
          <w:rFonts w:hint="eastAsia" w:ascii="宋体" w:hAnsi="宋体" w:eastAsia="宋体" w:cs="宋体"/>
          <w:sz w:val="21"/>
          <w:szCs w:val="21"/>
          <w:lang w:eastAsia="zh-CN"/>
        </w:rPr>
        <w:t>供应商</w:t>
      </w:r>
      <w:r>
        <w:rPr>
          <w:rFonts w:hint="eastAsia" w:ascii="宋体" w:hAnsi="宋体" w:eastAsia="宋体" w:cs="宋体"/>
          <w:sz w:val="21"/>
          <w:szCs w:val="21"/>
        </w:rPr>
        <w:t>应根据磋商小组的要求，以书面形式在规定时间内做出响应，未做出响应的响应文件将被视为无效竞标。若磋商小组没有实质性变动采购需求中的技术及合同草案条款，则</w:t>
      </w:r>
      <w:r>
        <w:rPr>
          <w:rFonts w:hint="eastAsia" w:ascii="宋体" w:hAnsi="宋体" w:eastAsia="宋体" w:cs="宋体"/>
          <w:sz w:val="21"/>
          <w:szCs w:val="21"/>
          <w:lang w:eastAsia="zh-CN"/>
        </w:rPr>
        <w:t>供应商</w:t>
      </w:r>
      <w:r>
        <w:rPr>
          <w:rFonts w:hint="eastAsia" w:ascii="宋体" w:hAnsi="宋体" w:eastAsia="宋体" w:cs="宋体"/>
          <w:sz w:val="21"/>
          <w:szCs w:val="21"/>
        </w:rPr>
        <w:t>的最终报价不得高于首次报价，否则按废标处理。</w:t>
      </w:r>
    </w:p>
    <w:p w14:paraId="442F1A4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7</w:t>
      </w:r>
      <w:r>
        <w:rPr>
          <w:rFonts w:hint="eastAsia" w:ascii="宋体" w:hAnsi="宋体" w:eastAsia="宋体" w:cs="宋体"/>
          <w:sz w:val="21"/>
          <w:szCs w:val="21"/>
        </w:rPr>
        <w:t>、经磋商确定最终采购需求，由磋商小组采用综合评分法对通过初步评审的</w:t>
      </w:r>
      <w:r>
        <w:rPr>
          <w:rFonts w:hint="eastAsia" w:ascii="宋体" w:hAnsi="宋体" w:eastAsia="宋体" w:cs="宋体"/>
          <w:sz w:val="21"/>
          <w:szCs w:val="21"/>
          <w:lang w:eastAsia="zh-CN"/>
        </w:rPr>
        <w:t>供应商</w:t>
      </w:r>
      <w:r>
        <w:rPr>
          <w:rFonts w:hint="eastAsia" w:ascii="宋体" w:hAnsi="宋体" w:eastAsia="宋体" w:cs="宋体"/>
          <w:sz w:val="21"/>
          <w:szCs w:val="21"/>
        </w:rPr>
        <w:t>的响应文件进行综合评分。</w:t>
      </w:r>
    </w:p>
    <w:p w14:paraId="526194BC">
      <w:pPr>
        <w:spacing w:line="360" w:lineRule="auto"/>
        <w:rPr>
          <w:rFonts w:hint="eastAsia" w:ascii="宋体" w:hAnsi="宋体" w:eastAsia="宋体" w:cs="宋体"/>
          <w:b/>
          <w:sz w:val="21"/>
          <w:szCs w:val="21"/>
        </w:rPr>
      </w:pPr>
      <w:bookmarkStart w:id="392" w:name="_Toc455080138"/>
      <w:r>
        <w:rPr>
          <w:rFonts w:hint="eastAsia" w:ascii="宋体" w:hAnsi="宋体" w:eastAsia="宋体" w:cs="宋体"/>
          <w:b/>
          <w:sz w:val="21"/>
          <w:szCs w:val="21"/>
        </w:rPr>
        <w:t xml:space="preserve">6. </w:t>
      </w:r>
      <w:bookmarkEnd w:id="389"/>
      <w:bookmarkEnd w:id="390"/>
      <w:bookmarkEnd w:id="391"/>
      <w:r>
        <w:rPr>
          <w:rFonts w:hint="eastAsia" w:ascii="宋体" w:hAnsi="宋体" w:eastAsia="宋体" w:cs="宋体"/>
          <w:b/>
          <w:sz w:val="21"/>
          <w:szCs w:val="21"/>
        </w:rPr>
        <w:t>磋商</w:t>
      </w:r>
      <w:bookmarkEnd w:id="392"/>
    </w:p>
    <w:p w14:paraId="21DBCB87">
      <w:pPr>
        <w:spacing w:line="360" w:lineRule="auto"/>
        <w:rPr>
          <w:rFonts w:hint="eastAsia" w:ascii="宋体" w:hAnsi="宋体" w:eastAsia="宋体" w:cs="宋体"/>
          <w:b/>
          <w:sz w:val="21"/>
          <w:szCs w:val="21"/>
          <w:highlight w:val="none"/>
        </w:rPr>
      </w:pPr>
      <w:bookmarkStart w:id="393" w:name="_Toc22250"/>
      <w:bookmarkStart w:id="394" w:name="_Toc144974531"/>
      <w:bookmarkStart w:id="395" w:name="_Toc318450706"/>
      <w:bookmarkStart w:id="396" w:name="_Toc26098"/>
      <w:bookmarkStart w:id="397" w:name="_Toc9808"/>
      <w:bookmarkStart w:id="398" w:name="_Toc152042339"/>
      <w:bookmarkStart w:id="399" w:name="_Toc152045563"/>
      <w:bookmarkStart w:id="400" w:name="_Toc455867799"/>
      <w:bookmarkStart w:id="401" w:name="_Toc6186"/>
      <w:bookmarkStart w:id="402" w:name="_Toc18985"/>
      <w:bookmarkStart w:id="403" w:name="_Toc1546"/>
      <w:bookmarkStart w:id="404" w:name="_Toc466298122"/>
      <w:bookmarkStart w:id="405" w:name="_Toc455080139"/>
      <w:bookmarkStart w:id="406" w:name="_Toc1574"/>
      <w:r>
        <w:rPr>
          <w:rFonts w:hint="eastAsia" w:ascii="宋体" w:hAnsi="宋体" w:eastAsia="宋体" w:cs="宋体"/>
          <w:b/>
          <w:sz w:val="21"/>
          <w:szCs w:val="21"/>
          <w:highlight w:val="none"/>
        </w:rPr>
        <w:t xml:space="preserve">6.1 </w:t>
      </w:r>
      <w:bookmarkEnd w:id="393"/>
      <w:bookmarkEnd w:id="394"/>
      <w:bookmarkEnd w:id="395"/>
      <w:bookmarkEnd w:id="396"/>
      <w:bookmarkEnd w:id="397"/>
      <w:bookmarkEnd w:id="398"/>
      <w:bookmarkEnd w:id="399"/>
      <w:r>
        <w:rPr>
          <w:rFonts w:hint="eastAsia" w:ascii="宋体" w:hAnsi="宋体" w:eastAsia="宋体" w:cs="宋体"/>
          <w:b/>
          <w:sz w:val="21"/>
          <w:szCs w:val="21"/>
          <w:highlight w:val="none"/>
        </w:rPr>
        <w:t>磋商小组</w:t>
      </w:r>
      <w:bookmarkEnd w:id="400"/>
      <w:bookmarkEnd w:id="401"/>
      <w:bookmarkEnd w:id="402"/>
      <w:bookmarkEnd w:id="403"/>
      <w:bookmarkEnd w:id="404"/>
      <w:bookmarkEnd w:id="405"/>
      <w:bookmarkEnd w:id="406"/>
    </w:p>
    <w:p w14:paraId="26D73C7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磋商由采购人依法组建的磋商小组负责。磋商小组由</w:t>
      </w:r>
      <w:r>
        <w:rPr>
          <w:rFonts w:hint="eastAsia" w:ascii="宋体" w:hAnsi="宋体" w:eastAsia="宋体" w:cs="宋体"/>
          <w:sz w:val="21"/>
          <w:szCs w:val="21"/>
          <w:lang w:eastAsia="zh-CN"/>
        </w:rPr>
        <w:t>采购人代表及</w:t>
      </w:r>
      <w:r>
        <w:rPr>
          <w:rFonts w:hint="eastAsia" w:ascii="宋体" w:hAnsi="宋体" w:eastAsia="宋体" w:cs="宋体"/>
          <w:sz w:val="21"/>
          <w:szCs w:val="21"/>
        </w:rPr>
        <w:t>有关技术、经济等方面的专家组成。磋商小组成员人数以及技术、经济等方面专家的确定方式见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w:t>
      </w:r>
    </w:p>
    <w:p w14:paraId="263B879C">
      <w:pPr>
        <w:spacing w:line="360" w:lineRule="auto"/>
        <w:rPr>
          <w:rFonts w:hint="eastAsia" w:ascii="宋体" w:hAnsi="宋体" w:eastAsia="宋体" w:cs="宋体"/>
          <w:b/>
          <w:sz w:val="21"/>
          <w:szCs w:val="21"/>
        </w:rPr>
      </w:pPr>
      <w:bookmarkStart w:id="407" w:name="_Toc8240"/>
      <w:bookmarkStart w:id="408" w:name="_Toc8248"/>
      <w:bookmarkStart w:id="409" w:name="_Toc4435"/>
      <w:bookmarkStart w:id="410" w:name="_Toc466298123"/>
      <w:bookmarkStart w:id="411" w:name="_Toc144974532"/>
      <w:bookmarkStart w:id="412" w:name="_Toc152045564"/>
      <w:bookmarkStart w:id="413" w:name="_Toc15146"/>
      <w:bookmarkStart w:id="414" w:name="_Toc22143"/>
      <w:bookmarkStart w:id="415" w:name="_Toc21102"/>
      <w:bookmarkStart w:id="416" w:name="_Toc152042340"/>
      <w:bookmarkStart w:id="417" w:name="_Toc455867800"/>
      <w:bookmarkStart w:id="418" w:name="_Toc318450707"/>
      <w:bookmarkStart w:id="419" w:name="_Toc25721"/>
      <w:bookmarkStart w:id="420" w:name="_Toc455080140"/>
      <w:r>
        <w:rPr>
          <w:rFonts w:hint="eastAsia" w:ascii="宋体" w:hAnsi="宋体" w:eastAsia="宋体" w:cs="宋体"/>
          <w:b/>
          <w:sz w:val="21"/>
          <w:szCs w:val="21"/>
        </w:rPr>
        <w:t>6.2 磋商原则</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6772DF8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磋商活动遵循公平、公正、科学和择优的原则。</w:t>
      </w:r>
    </w:p>
    <w:p w14:paraId="078D2A4E">
      <w:pPr>
        <w:spacing w:line="360" w:lineRule="auto"/>
        <w:rPr>
          <w:rFonts w:hint="eastAsia" w:ascii="宋体" w:hAnsi="宋体" w:eastAsia="宋体" w:cs="宋体"/>
          <w:b/>
          <w:sz w:val="21"/>
          <w:szCs w:val="21"/>
        </w:rPr>
      </w:pPr>
      <w:bookmarkStart w:id="421" w:name="_Toc152042341"/>
      <w:bookmarkStart w:id="422" w:name="_Toc144974533"/>
      <w:bookmarkStart w:id="423" w:name="_Toc8705"/>
      <w:bookmarkStart w:id="424" w:name="_Toc318450708"/>
      <w:bookmarkStart w:id="425" w:name="_Toc15595"/>
      <w:bookmarkStart w:id="426" w:name="_Toc152045565"/>
      <w:bookmarkStart w:id="427" w:name="_Toc16725"/>
      <w:bookmarkStart w:id="428" w:name="_Toc466298124"/>
      <w:bookmarkStart w:id="429" w:name="_Toc27036"/>
      <w:bookmarkStart w:id="430" w:name="_Toc18756"/>
      <w:bookmarkStart w:id="431" w:name="_Toc455867801"/>
      <w:bookmarkStart w:id="432" w:name="_Toc25984"/>
      <w:bookmarkStart w:id="433" w:name="_Toc24358"/>
      <w:bookmarkStart w:id="434" w:name="_Toc455080141"/>
      <w:r>
        <w:rPr>
          <w:rFonts w:hint="eastAsia" w:ascii="宋体" w:hAnsi="宋体" w:eastAsia="宋体" w:cs="宋体"/>
          <w:b/>
          <w:sz w:val="21"/>
          <w:szCs w:val="21"/>
        </w:rPr>
        <w:t xml:space="preserve">6.3 </w:t>
      </w:r>
      <w:bookmarkEnd w:id="421"/>
      <w:bookmarkEnd w:id="422"/>
      <w:bookmarkEnd w:id="423"/>
      <w:bookmarkEnd w:id="424"/>
      <w:bookmarkEnd w:id="425"/>
      <w:bookmarkEnd w:id="426"/>
      <w:bookmarkEnd w:id="427"/>
      <w:r>
        <w:rPr>
          <w:rFonts w:hint="eastAsia" w:ascii="宋体" w:hAnsi="宋体" w:eastAsia="宋体" w:cs="宋体"/>
          <w:b/>
          <w:sz w:val="21"/>
          <w:szCs w:val="21"/>
        </w:rPr>
        <w:t>磋商</w:t>
      </w:r>
      <w:bookmarkEnd w:id="428"/>
      <w:bookmarkEnd w:id="429"/>
      <w:bookmarkEnd w:id="430"/>
      <w:bookmarkEnd w:id="431"/>
      <w:bookmarkEnd w:id="432"/>
      <w:bookmarkEnd w:id="433"/>
      <w:bookmarkEnd w:id="434"/>
    </w:p>
    <w:p w14:paraId="0A2C3F9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磋商小组按照第三章“</w:t>
      </w:r>
      <w:r>
        <w:rPr>
          <w:rFonts w:hint="eastAsia" w:ascii="宋体" w:hAnsi="宋体" w:cs="宋体"/>
          <w:sz w:val="21"/>
          <w:szCs w:val="21"/>
          <w:lang w:eastAsia="zh-CN"/>
        </w:rPr>
        <w:t>评审</w:t>
      </w:r>
      <w:r>
        <w:rPr>
          <w:rFonts w:hint="eastAsia" w:ascii="宋体" w:hAnsi="宋体" w:eastAsia="宋体" w:cs="宋体"/>
          <w:sz w:val="21"/>
          <w:szCs w:val="21"/>
        </w:rPr>
        <w:t>办法”规定的方法、评审因素、标准和程序对响应文件进行评审。第三章“</w:t>
      </w:r>
      <w:r>
        <w:rPr>
          <w:rFonts w:hint="eastAsia" w:ascii="宋体" w:hAnsi="宋体" w:cs="宋体"/>
          <w:sz w:val="21"/>
          <w:szCs w:val="21"/>
          <w:lang w:eastAsia="zh-CN"/>
        </w:rPr>
        <w:t>评审</w:t>
      </w:r>
      <w:r>
        <w:rPr>
          <w:rFonts w:hint="eastAsia" w:ascii="宋体" w:hAnsi="宋体" w:eastAsia="宋体" w:cs="宋体"/>
          <w:sz w:val="21"/>
          <w:szCs w:val="21"/>
        </w:rPr>
        <w:t>办法”没有规定的方法、评审因素和标准，不作为</w:t>
      </w:r>
      <w:r>
        <w:rPr>
          <w:rFonts w:hint="eastAsia" w:ascii="宋体" w:hAnsi="宋体" w:cs="宋体"/>
          <w:sz w:val="21"/>
          <w:szCs w:val="21"/>
          <w:lang w:eastAsia="zh-CN"/>
        </w:rPr>
        <w:t>评审</w:t>
      </w:r>
      <w:r>
        <w:rPr>
          <w:rFonts w:hint="eastAsia" w:ascii="宋体" w:hAnsi="宋体" w:eastAsia="宋体" w:cs="宋体"/>
          <w:sz w:val="21"/>
          <w:szCs w:val="21"/>
        </w:rPr>
        <w:t>依据。</w:t>
      </w:r>
    </w:p>
    <w:p w14:paraId="772E801D">
      <w:pPr>
        <w:spacing w:line="360" w:lineRule="auto"/>
        <w:rPr>
          <w:rFonts w:hint="eastAsia" w:ascii="宋体" w:hAnsi="宋体" w:eastAsia="宋体" w:cs="宋体"/>
          <w:b/>
          <w:sz w:val="21"/>
          <w:szCs w:val="21"/>
        </w:rPr>
      </w:pPr>
      <w:bookmarkStart w:id="435" w:name="_Toc455080142"/>
      <w:bookmarkStart w:id="436" w:name="_Toc152045566"/>
      <w:bookmarkStart w:id="437" w:name="_Toc152042342"/>
      <w:bookmarkStart w:id="438" w:name="_Toc144974534"/>
      <w:r>
        <w:rPr>
          <w:rFonts w:hint="eastAsia" w:ascii="宋体" w:hAnsi="宋体" w:eastAsia="宋体" w:cs="宋体"/>
          <w:b/>
          <w:sz w:val="21"/>
          <w:szCs w:val="21"/>
        </w:rPr>
        <w:t>7. 合同授予</w:t>
      </w:r>
      <w:bookmarkEnd w:id="435"/>
      <w:bookmarkEnd w:id="436"/>
      <w:bookmarkEnd w:id="437"/>
      <w:bookmarkEnd w:id="438"/>
    </w:p>
    <w:p w14:paraId="2C05D95F">
      <w:pPr>
        <w:spacing w:line="360" w:lineRule="auto"/>
        <w:rPr>
          <w:rFonts w:hint="eastAsia" w:ascii="宋体" w:hAnsi="宋体" w:eastAsia="宋体" w:cs="宋体"/>
          <w:b/>
          <w:sz w:val="21"/>
          <w:szCs w:val="21"/>
        </w:rPr>
      </w:pPr>
      <w:bookmarkStart w:id="439" w:name="_Toc14528"/>
      <w:bookmarkStart w:id="440" w:name="_Toc466298126"/>
      <w:bookmarkStart w:id="441" w:name="_Toc152045567"/>
      <w:bookmarkStart w:id="442" w:name="_Toc318450710"/>
      <w:bookmarkStart w:id="443" w:name="_Toc455080143"/>
      <w:bookmarkStart w:id="444" w:name="_Toc152042343"/>
      <w:bookmarkStart w:id="445" w:name="_Toc455867803"/>
      <w:bookmarkStart w:id="446" w:name="_Toc25316"/>
      <w:bookmarkStart w:id="447" w:name="_Toc11409"/>
      <w:bookmarkStart w:id="448" w:name="_Toc7358"/>
      <w:bookmarkStart w:id="449" w:name="_Toc20987"/>
      <w:bookmarkStart w:id="450" w:name="_Toc28919"/>
      <w:bookmarkStart w:id="451" w:name="_Toc29664"/>
      <w:bookmarkStart w:id="452" w:name="_Toc144974535"/>
      <w:r>
        <w:rPr>
          <w:rFonts w:hint="eastAsia" w:ascii="宋体" w:hAnsi="宋体" w:eastAsia="宋体" w:cs="宋体"/>
          <w:b/>
          <w:sz w:val="21"/>
          <w:szCs w:val="21"/>
        </w:rPr>
        <w:t>7.1 定标方式</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39F950B">
      <w:pPr>
        <w:spacing w:line="360" w:lineRule="auto"/>
        <w:ind w:firstLine="420" w:firstLineChars="200"/>
        <w:rPr>
          <w:rFonts w:hint="eastAsia" w:ascii="宋体" w:hAnsi="宋体" w:eastAsia="宋体" w:cs="宋体"/>
          <w:sz w:val="21"/>
          <w:szCs w:val="21"/>
        </w:rPr>
      </w:pPr>
      <w:bookmarkStart w:id="453" w:name="_Toc28254"/>
      <w:bookmarkStart w:id="454" w:name="_Toc152042344"/>
      <w:bookmarkStart w:id="455" w:name="_Toc7066"/>
      <w:bookmarkStart w:id="456" w:name="_Toc144974536"/>
      <w:bookmarkStart w:id="457" w:name="_Toc152045568"/>
      <w:bookmarkStart w:id="458" w:name="_Toc318450711"/>
      <w:bookmarkStart w:id="459" w:name="_Toc10868"/>
      <w:r>
        <w:rPr>
          <w:rFonts w:hint="eastAsia" w:ascii="宋体" w:hAnsi="宋体" w:eastAsia="宋体" w:cs="宋体"/>
          <w:sz w:val="21"/>
          <w:szCs w:val="21"/>
        </w:rPr>
        <w:t>除</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规定磋商小组直接确定成交人外，采购人依据磋商小组推荐的成交候选人确定成交人，磋商小组推荐成交候选人的人数见</w:t>
      </w:r>
      <w:r>
        <w:rPr>
          <w:rFonts w:hint="eastAsia" w:ascii="宋体" w:hAnsi="宋体" w:eastAsia="宋体" w:cs="宋体"/>
          <w:sz w:val="21"/>
          <w:szCs w:val="21"/>
          <w:lang w:eastAsia="zh-CN"/>
        </w:rPr>
        <w:t>供应商须知前附表</w:t>
      </w:r>
      <w:r>
        <w:rPr>
          <w:rFonts w:hint="eastAsia" w:ascii="宋体" w:hAnsi="宋体" w:eastAsia="宋体" w:cs="宋体"/>
          <w:sz w:val="21"/>
          <w:szCs w:val="21"/>
        </w:rPr>
        <w:t>。采购人将依序确定排名第一的</w:t>
      </w:r>
      <w:r>
        <w:rPr>
          <w:rFonts w:hint="eastAsia" w:ascii="宋体" w:hAnsi="宋体" w:eastAsia="宋体" w:cs="宋体"/>
          <w:sz w:val="21"/>
          <w:szCs w:val="21"/>
          <w:lang w:eastAsia="zh-CN"/>
        </w:rPr>
        <w:t>供应商</w:t>
      </w:r>
      <w:r>
        <w:rPr>
          <w:rFonts w:hint="eastAsia" w:ascii="宋体" w:hAnsi="宋体" w:eastAsia="宋体" w:cs="宋体"/>
          <w:sz w:val="21"/>
          <w:szCs w:val="21"/>
        </w:rPr>
        <w:t>为成交人，若第一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8F12C78">
      <w:pPr>
        <w:spacing w:line="360" w:lineRule="auto"/>
        <w:rPr>
          <w:rFonts w:hint="eastAsia" w:ascii="宋体" w:hAnsi="宋体" w:eastAsia="宋体" w:cs="宋体"/>
          <w:b/>
          <w:sz w:val="21"/>
          <w:szCs w:val="21"/>
        </w:rPr>
      </w:pPr>
      <w:bookmarkStart w:id="460" w:name="_Toc9897"/>
      <w:bookmarkStart w:id="461" w:name="_Toc15825"/>
      <w:bookmarkStart w:id="462" w:name="_Toc5428"/>
      <w:bookmarkStart w:id="463" w:name="_Toc455867804"/>
      <w:bookmarkStart w:id="464" w:name="_Toc10423"/>
      <w:bookmarkStart w:id="465" w:name="_Toc455080144"/>
      <w:bookmarkStart w:id="466" w:name="_Toc466298127"/>
      <w:r>
        <w:rPr>
          <w:rFonts w:hint="eastAsia" w:ascii="宋体" w:hAnsi="宋体" w:eastAsia="宋体" w:cs="宋体"/>
          <w:b/>
          <w:sz w:val="21"/>
          <w:szCs w:val="21"/>
        </w:rPr>
        <w:t>7.2 成交通知</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1638DBC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在本章第3.3款规定的磋商有效期内，采购人以书面形式向成交人发出成交通知书，同时将成交结果通知未成交的</w:t>
      </w:r>
      <w:r>
        <w:rPr>
          <w:rFonts w:hint="eastAsia" w:ascii="宋体" w:hAnsi="宋体" w:eastAsia="宋体" w:cs="宋体"/>
          <w:sz w:val="21"/>
          <w:szCs w:val="21"/>
          <w:lang w:eastAsia="zh-CN"/>
        </w:rPr>
        <w:t>供应商</w:t>
      </w:r>
      <w:r>
        <w:rPr>
          <w:rFonts w:hint="eastAsia" w:ascii="宋体" w:hAnsi="宋体" w:eastAsia="宋体" w:cs="宋体"/>
          <w:sz w:val="21"/>
          <w:szCs w:val="21"/>
        </w:rPr>
        <w:t>。</w:t>
      </w:r>
    </w:p>
    <w:p w14:paraId="17261D4A">
      <w:pPr>
        <w:spacing w:line="360" w:lineRule="auto"/>
        <w:rPr>
          <w:rFonts w:hint="eastAsia" w:ascii="宋体" w:hAnsi="宋体" w:eastAsia="宋体" w:cs="宋体"/>
          <w:b/>
          <w:sz w:val="21"/>
          <w:szCs w:val="21"/>
        </w:rPr>
      </w:pPr>
      <w:bookmarkStart w:id="467" w:name="_Toc318450712"/>
      <w:bookmarkStart w:id="468" w:name="_Toc8886"/>
      <w:bookmarkStart w:id="469" w:name="_Toc24026"/>
      <w:bookmarkStart w:id="470" w:name="_Toc144974538"/>
      <w:bookmarkStart w:id="471" w:name="_Toc21271"/>
      <w:bookmarkStart w:id="472" w:name="_Toc26915"/>
      <w:bookmarkStart w:id="473" w:name="_Toc152042346"/>
      <w:bookmarkStart w:id="474" w:name="_Toc466298128"/>
      <w:bookmarkStart w:id="475" w:name="_Toc152045570"/>
      <w:bookmarkStart w:id="476" w:name="_Toc455867805"/>
      <w:bookmarkStart w:id="477" w:name="_Toc455080145"/>
      <w:bookmarkStart w:id="478" w:name="_Toc27420"/>
      <w:bookmarkStart w:id="479" w:name="_Toc15458"/>
      <w:bookmarkStart w:id="480" w:name="_Toc13147"/>
      <w:r>
        <w:rPr>
          <w:rFonts w:hint="eastAsia" w:ascii="宋体" w:hAnsi="宋体" w:eastAsia="宋体" w:cs="宋体"/>
          <w:b/>
          <w:sz w:val="21"/>
          <w:szCs w:val="21"/>
        </w:rPr>
        <w:t>7.3 签订合同</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FE6D6A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7.3.1采购人和成交人应当自成交通知书发出之日起30天内，根据磋商文件和成交人的响应文件订立书面合同。成交人无正当理由拒签合同的，采购人取消其成交资格；给采购人造成的损失的，成交人还应当予以赔偿。 </w:t>
      </w:r>
    </w:p>
    <w:p w14:paraId="4257C774">
      <w:pPr>
        <w:spacing w:line="360" w:lineRule="auto"/>
        <w:rPr>
          <w:rFonts w:hint="eastAsia" w:ascii="宋体" w:hAnsi="宋体" w:eastAsia="宋体" w:cs="宋体"/>
          <w:b/>
          <w:sz w:val="21"/>
          <w:szCs w:val="21"/>
        </w:rPr>
      </w:pPr>
      <w:bookmarkStart w:id="481" w:name="_Toc455080146"/>
      <w:bookmarkStart w:id="482" w:name="_Toc152045574"/>
      <w:bookmarkStart w:id="483" w:name="_Toc152042350"/>
      <w:bookmarkStart w:id="484" w:name="_Toc144974542"/>
      <w:r>
        <w:rPr>
          <w:rFonts w:hint="eastAsia" w:ascii="宋体" w:hAnsi="宋体" w:eastAsia="宋体" w:cs="宋体"/>
          <w:b/>
          <w:sz w:val="21"/>
          <w:szCs w:val="21"/>
        </w:rPr>
        <w:t>8.重新招标</w:t>
      </w:r>
      <w:bookmarkEnd w:id="481"/>
      <w:r>
        <w:rPr>
          <w:rFonts w:hint="eastAsia" w:ascii="宋体" w:hAnsi="宋体" w:eastAsia="宋体" w:cs="宋体"/>
          <w:b/>
          <w:sz w:val="21"/>
          <w:szCs w:val="21"/>
        </w:rPr>
        <w:t>和不再招标</w:t>
      </w:r>
    </w:p>
    <w:p w14:paraId="30FC7E7C">
      <w:pPr>
        <w:spacing w:line="360" w:lineRule="auto"/>
        <w:rPr>
          <w:rFonts w:hint="eastAsia" w:ascii="宋体" w:hAnsi="宋体" w:eastAsia="宋体" w:cs="宋体"/>
          <w:b/>
          <w:sz w:val="21"/>
          <w:szCs w:val="21"/>
        </w:rPr>
      </w:pPr>
      <w:bookmarkStart w:id="485" w:name="_Toc16556"/>
      <w:r>
        <w:rPr>
          <w:rFonts w:hint="eastAsia" w:ascii="宋体" w:hAnsi="宋体" w:eastAsia="宋体" w:cs="宋体"/>
          <w:b/>
          <w:sz w:val="21"/>
          <w:szCs w:val="21"/>
        </w:rPr>
        <w:t>8.1 重新招标</w:t>
      </w:r>
      <w:bookmarkEnd w:id="485"/>
    </w:p>
    <w:p w14:paraId="64ABDE56">
      <w:pPr>
        <w:spacing w:line="360" w:lineRule="auto"/>
        <w:ind w:firstLine="480"/>
        <w:rPr>
          <w:rFonts w:hint="eastAsia" w:ascii="宋体" w:hAnsi="宋体" w:eastAsia="宋体" w:cs="宋体"/>
          <w:sz w:val="21"/>
          <w:szCs w:val="21"/>
        </w:rPr>
      </w:pPr>
      <w:bookmarkStart w:id="486" w:name="_Toc9985"/>
      <w:r>
        <w:rPr>
          <w:rFonts w:hint="eastAsia" w:ascii="宋体" w:hAnsi="宋体" w:eastAsia="宋体" w:cs="宋体"/>
          <w:sz w:val="21"/>
          <w:szCs w:val="21"/>
        </w:rPr>
        <w:t>有下列情形之一的，采购人将重新招标：</w:t>
      </w:r>
      <w:bookmarkEnd w:id="486"/>
    </w:p>
    <w:p w14:paraId="1F06FBCB">
      <w:pPr>
        <w:spacing w:line="360" w:lineRule="auto"/>
        <w:rPr>
          <w:rFonts w:hint="eastAsia" w:ascii="宋体" w:hAnsi="宋体" w:eastAsia="宋体" w:cs="宋体"/>
          <w:sz w:val="21"/>
          <w:szCs w:val="21"/>
        </w:rPr>
      </w:pPr>
      <w:bookmarkStart w:id="487" w:name="_Toc25063"/>
      <w:r>
        <w:rPr>
          <w:rFonts w:hint="eastAsia" w:ascii="宋体" w:hAnsi="宋体" w:eastAsia="宋体" w:cs="宋体"/>
          <w:sz w:val="21"/>
          <w:szCs w:val="21"/>
        </w:rPr>
        <w:t xml:space="preserve">   （1）提交响应文件截止时间止，</w:t>
      </w:r>
      <w:r>
        <w:rPr>
          <w:rFonts w:hint="eastAsia" w:ascii="宋体" w:hAnsi="宋体" w:eastAsia="宋体" w:cs="宋体"/>
          <w:sz w:val="21"/>
          <w:szCs w:val="21"/>
          <w:lang w:eastAsia="zh-CN"/>
        </w:rPr>
        <w:t>供应商</w:t>
      </w:r>
      <w:r>
        <w:rPr>
          <w:rFonts w:hint="eastAsia" w:ascii="宋体" w:hAnsi="宋体" w:eastAsia="宋体" w:cs="宋体"/>
          <w:sz w:val="21"/>
          <w:szCs w:val="21"/>
        </w:rPr>
        <w:t>少于3个的；</w:t>
      </w:r>
      <w:bookmarkEnd w:id="487"/>
    </w:p>
    <w:p w14:paraId="2309C288">
      <w:pPr>
        <w:spacing w:line="360" w:lineRule="auto"/>
        <w:ind w:firstLine="420" w:firstLineChars="200"/>
        <w:rPr>
          <w:rFonts w:hint="eastAsia" w:ascii="宋体" w:hAnsi="宋体" w:eastAsia="宋体" w:cs="宋体"/>
          <w:sz w:val="21"/>
          <w:szCs w:val="21"/>
        </w:rPr>
      </w:pPr>
      <w:bookmarkStart w:id="488" w:name="_Toc17911"/>
      <w:r>
        <w:rPr>
          <w:rFonts w:hint="eastAsia" w:ascii="宋体" w:hAnsi="宋体" w:eastAsia="宋体" w:cs="宋体"/>
          <w:sz w:val="21"/>
          <w:szCs w:val="21"/>
        </w:rPr>
        <w:t>（2）</w:t>
      </w:r>
      <w:bookmarkEnd w:id="488"/>
      <w:r>
        <w:rPr>
          <w:rFonts w:hint="eastAsia" w:ascii="宋体" w:hAnsi="宋体" w:eastAsia="宋体" w:cs="宋体"/>
          <w:sz w:val="21"/>
          <w:szCs w:val="21"/>
        </w:rPr>
        <w:t>符合专业条件的</w:t>
      </w:r>
      <w:r>
        <w:rPr>
          <w:rFonts w:hint="eastAsia" w:ascii="宋体" w:hAnsi="宋体" w:eastAsia="宋体" w:cs="宋体"/>
          <w:sz w:val="21"/>
          <w:szCs w:val="21"/>
          <w:lang w:val="en-US" w:eastAsia="zh-CN"/>
        </w:rPr>
        <w:t>供应商</w:t>
      </w:r>
      <w:r>
        <w:rPr>
          <w:rFonts w:hint="eastAsia" w:ascii="宋体" w:hAnsi="宋体" w:eastAsia="宋体" w:cs="宋体"/>
          <w:sz w:val="21"/>
          <w:szCs w:val="21"/>
        </w:rPr>
        <w:t>或者对</w:t>
      </w:r>
      <w:r>
        <w:rPr>
          <w:rFonts w:hint="eastAsia" w:ascii="宋体" w:hAnsi="宋体" w:eastAsia="宋体" w:cs="宋体"/>
          <w:sz w:val="21"/>
          <w:szCs w:val="21"/>
          <w:lang w:val="en-US" w:eastAsia="zh-CN"/>
        </w:rPr>
        <w:t>磋商</w:t>
      </w:r>
      <w:r>
        <w:rPr>
          <w:rFonts w:hint="eastAsia" w:ascii="宋体" w:hAnsi="宋体" w:eastAsia="宋体" w:cs="宋体"/>
          <w:sz w:val="21"/>
          <w:szCs w:val="21"/>
        </w:rPr>
        <w:t>文件作实质响应的</w:t>
      </w:r>
      <w:r>
        <w:rPr>
          <w:rFonts w:hint="eastAsia" w:ascii="宋体" w:hAnsi="宋体" w:eastAsia="宋体" w:cs="宋体"/>
          <w:sz w:val="21"/>
          <w:szCs w:val="21"/>
          <w:lang w:val="en-US" w:eastAsia="zh-CN"/>
        </w:rPr>
        <w:t>供应商</w:t>
      </w:r>
      <w:r>
        <w:rPr>
          <w:rFonts w:hint="eastAsia" w:ascii="宋体" w:hAnsi="宋体" w:eastAsia="宋体" w:cs="宋体"/>
          <w:sz w:val="21"/>
          <w:szCs w:val="21"/>
        </w:rPr>
        <w:t>不足3家的。</w:t>
      </w:r>
    </w:p>
    <w:p w14:paraId="34356C4A">
      <w:pPr>
        <w:spacing w:line="380" w:lineRule="exact"/>
        <w:rPr>
          <w:rFonts w:hint="eastAsia" w:ascii="宋体" w:hAnsi="宋体" w:eastAsia="宋体" w:cs="宋体"/>
          <w:b/>
          <w:bCs/>
          <w:sz w:val="21"/>
          <w:szCs w:val="21"/>
        </w:rPr>
      </w:pPr>
      <w:bookmarkStart w:id="489" w:name="_Toc16501"/>
      <w:bookmarkStart w:id="490" w:name="_Toc179632591"/>
      <w:bookmarkStart w:id="491" w:name="_Toc152045573"/>
      <w:bookmarkStart w:id="492" w:name="_Toc152042349"/>
      <w:bookmarkStart w:id="493" w:name="_Toc144974541"/>
      <w:bookmarkStart w:id="494" w:name="_Toc285662546"/>
      <w:r>
        <w:rPr>
          <w:rFonts w:hint="eastAsia" w:ascii="宋体" w:hAnsi="宋体" w:eastAsia="宋体" w:cs="宋体"/>
          <w:b/>
          <w:bCs/>
          <w:sz w:val="21"/>
          <w:szCs w:val="21"/>
        </w:rPr>
        <w:t>8.2 不再招标</w:t>
      </w:r>
      <w:bookmarkEnd w:id="489"/>
      <w:bookmarkEnd w:id="490"/>
      <w:bookmarkEnd w:id="491"/>
      <w:bookmarkEnd w:id="492"/>
      <w:bookmarkEnd w:id="493"/>
      <w:bookmarkEnd w:id="494"/>
    </w:p>
    <w:p w14:paraId="0397A24C">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重新招标后</w:t>
      </w:r>
      <w:r>
        <w:rPr>
          <w:rFonts w:hint="eastAsia" w:ascii="宋体" w:hAnsi="宋体" w:eastAsia="宋体" w:cs="宋体"/>
          <w:sz w:val="21"/>
          <w:szCs w:val="21"/>
          <w:lang w:eastAsia="zh-CN"/>
        </w:rPr>
        <w:t>供应商</w:t>
      </w:r>
      <w:r>
        <w:rPr>
          <w:rFonts w:hint="eastAsia" w:ascii="宋体" w:hAnsi="宋体" w:eastAsia="宋体" w:cs="宋体"/>
          <w:sz w:val="21"/>
          <w:szCs w:val="21"/>
        </w:rPr>
        <w:t>仍少于3个或者所有投标被否决的，属于必须审批或核准的工程建设项目，经原审批或核准部门批准后不再进行招标。</w:t>
      </w:r>
    </w:p>
    <w:p w14:paraId="6CE6664A">
      <w:pPr>
        <w:spacing w:line="360" w:lineRule="auto"/>
        <w:rPr>
          <w:rFonts w:hint="eastAsia" w:ascii="宋体" w:hAnsi="宋体" w:eastAsia="宋体" w:cs="宋体"/>
          <w:b/>
          <w:sz w:val="21"/>
          <w:szCs w:val="21"/>
        </w:rPr>
      </w:pPr>
      <w:bookmarkStart w:id="495" w:name="_Toc455080147"/>
      <w:r>
        <w:rPr>
          <w:rFonts w:hint="eastAsia" w:ascii="宋体" w:hAnsi="宋体" w:eastAsia="宋体" w:cs="宋体"/>
          <w:b/>
          <w:sz w:val="21"/>
          <w:szCs w:val="21"/>
        </w:rPr>
        <w:t>9.纪律和监督</w:t>
      </w:r>
      <w:bookmarkEnd w:id="482"/>
      <w:bookmarkEnd w:id="483"/>
      <w:bookmarkEnd w:id="484"/>
      <w:bookmarkEnd w:id="495"/>
    </w:p>
    <w:p w14:paraId="31A60D7C">
      <w:pPr>
        <w:spacing w:line="360" w:lineRule="auto"/>
        <w:rPr>
          <w:rFonts w:hint="eastAsia" w:ascii="宋体" w:hAnsi="宋体" w:eastAsia="宋体" w:cs="宋体"/>
          <w:b/>
          <w:sz w:val="21"/>
          <w:szCs w:val="21"/>
        </w:rPr>
      </w:pPr>
      <w:bookmarkStart w:id="496" w:name="_Toc19159"/>
      <w:bookmarkStart w:id="497" w:name="_Toc455080148"/>
      <w:bookmarkStart w:id="498" w:name="_Toc455867808"/>
      <w:bookmarkStart w:id="499" w:name="_Toc15592"/>
      <w:bookmarkStart w:id="500" w:name="_Toc466298131"/>
      <w:bookmarkStart w:id="501" w:name="_Toc20009"/>
      <w:bookmarkStart w:id="502" w:name="_Toc152045575"/>
      <w:bookmarkStart w:id="503" w:name="_Toc12992"/>
      <w:bookmarkStart w:id="504" w:name="_Toc1282"/>
      <w:bookmarkStart w:id="505" w:name="_Toc1884"/>
      <w:bookmarkStart w:id="506" w:name="_Toc13970"/>
      <w:bookmarkStart w:id="507" w:name="_Toc318450714"/>
      <w:bookmarkStart w:id="508" w:name="_Toc152042351"/>
      <w:bookmarkStart w:id="509" w:name="_Toc144974543"/>
      <w:r>
        <w:rPr>
          <w:rFonts w:hint="eastAsia" w:ascii="宋体" w:hAnsi="宋体" w:eastAsia="宋体" w:cs="宋体"/>
          <w:b/>
          <w:sz w:val="21"/>
          <w:szCs w:val="21"/>
        </w:rPr>
        <w:t>9.1 对采购人的纪律要求</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FE5FEF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采购人不得泄漏磋商活动中应当保密的情况和资料，不得与</w:t>
      </w:r>
      <w:r>
        <w:rPr>
          <w:rFonts w:hint="eastAsia" w:ascii="宋体" w:hAnsi="宋体" w:eastAsia="宋体" w:cs="宋体"/>
          <w:sz w:val="21"/>
          <w:szCs w:val="21"/>
          <w:lang w:eastAsia="zh-CN"/>
        </w:rPr>
        <w:t>供应商</w:t>
      </w:r>
      <w:r>
        <w:rPr>
          <w:rFonts w:hint="eastAsia" w:ascii="宋体" w:hAnsi="宋体" w:eastAsia="宋体" w:cs="宋体"/>
          <w:sz w:val="21"/>
          <w:szCs w:val="21"/>
        </w:rPr>
        <w:t>串通损害国家利益、社会公共利益或者他人合法权益。</w:t>
      </w:r>
    </w:p>
    <w:p w14:paraId="59D6B331">
      <w:pPr>
        <w:spacing w:line="360" w:lineRule="auto"/>
        <w:rPr>
          <w:rFonts w:hint="eastAsia" w:ascii="宋体" w:hAnsi="宋体" w:eastAsia="宋体" w:cs="宋体"/>
          <w:b/>
          <w:sz w:val="21"/>
          <w:szCs w:val="21"/>
        </w:rPr>
      </w:pPr>
      <w:bookmarkStart w:id="510" w:name="_Toc21646"/>
      <w:bookmarkStart w:id="511" w:name="_Toc455867809"/>
      <w:bookmarkStart w:id="512" w:name="_Toc152042352"/>
      <w:bookmarkStart w:id="513" w:name="_Toc152045576"/>
      <w:bookmarkStart w:id="514" w:name="_Toc455080149"/>
      <w:bookmarkStart w:id="515" w:name="_Toc144974544"/>
      <w:bookmarkStart w:id="516" w:name="_Toc318450715"/>
      <w:bookmarkStart w:id="517" w:name="_Toc7572"/>
      <w:bookmarkStart w:id="518" w:name="_Toc1743"/>
      <w:bookmarkStart w:id="519" w:name="_Toc27698"/>
      <w:bookmarkStart w:id="520" w:name="_Toc8077"/>
      <w:bookmarkStart w:id="521" w:name="_Toc466298132"/>
      <w:bookmarkStart w:id="522" w:name="_Toc18604"/>
      <w:bookmarkStart w:id="523" w:name="_Toc3089"/>
      <w:r>
        <w:rPr>
          <w:rFonts w:hint="eastAsia" w:ascii="宋体" w:hAnsi="宋体" w:eastAsia="宋体" w:cs="宋体"/>
          <w:b/>
          <w:sz w:val="21"/>
          <w:szCs w:val="21"/>
        </w:rPr>
        <w:t>9.2 对</w:t>
      </w:r>
      <w:r>
        <w:rPr>
          <w:rFonts w:hint="eastAsia" w:ascii="宋体" w:hAnsi="宋体" w:eastAsia="宋体" w:cs="宋体"/>
          <w:b/>
          <w:sz w:val="21"/>
          <w:szCs w:val="21"/>
          <w:lang w:eastAsia="zh-CN"/>
        </w:rPr>
        <w:t>供应商</w:t>
      </w:r>
      <w:r>
        <w:rPr>
          <w:rFonts w:hint="eastAsia" w:ascii="宋体" w:hAnsi="宋体" w:eastAsia="宋体" w:cs="宋体"/>
          <w:b/>
          <w:sz w:val="21"/>
          <w:szCs w:val="21"/>
        </w:rPr>
        <w:t>的纪律要求</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324DFB4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不得相互串通或者与采购人串通，不得向采购人或者磋商小组行贿谋取中标，不得以他人名义投标或者以其他方式弄虚作假骗取中标；</w:t>
      </w:r>
      <w:r>
        <w:rPr>
          <w:rFonts w:hint="eastAsia" w:ascii="宋体" w:hAnsi="宋体" w:eastAsia="宋体" w:cs="宋体"/>
          <w:sz w:val="21"/>
          <w:szCs w:val="21"/>
          <w:lang w:eastAsia="zh-CN"/>
        </w:rPr>
        <w:t>供应商</w:t>
      </w:r>
      <w:r>
        <w:rPr>
          <w:rFonts w:hint="eastAsia" w:ascii="宋体" w:hAnsi="宋体" w:eastAsia="宋体" w:cs="宋体"/>
          <w:sz w:val="21"/>
          <w:szCs w:val="21"/>
        </w:rPr>
        <w:t>不得以任何方式干扰、影响</w:t>
      </w:r>
      <w:r>
        <w:rPr>
          <w:rFonts w:hint="eastAsia" w:ascii="宋体" w:hAnsi="宋体" w:cs="宋体"/>
          <w:sz w:val="21"/>
          <w:szCs w:val="21"/>
          <w:lang w:eastAsia="zh-CN"/>
        </w:rPr>
        <w:t>评审</w:t>
      </w:r>
      <w:r>
        <w:rPr>
          <w:rFonts w:hint="eastAsia" w:ascii="宋体" w:hAnsi="宋体" w:eastAsia="宋体" w:cs="宋体"/>
          <w:sz w:val="21"/>
          <w:szCs w:val="21"/>
        </w:rPr>
        <w:t>工作。</w:t>
      </w:r>
    </w:p>
    <w:p w14:paraId="7161482B">
      <w:pPr>
        <w:spacing w:line="360" w:lineRule="auto"/>
        <w:rPr>
          <w:rFonts w:hint="eastAsia" w:ascii="宋体" w:hAnsi="宋体" w:eastAsia="宋体" w:cs="宋体"/>
          <w:b/>
          <w:sz w:val="21"/>
          <w:szCs w:val="21"/>
        </w:rPr>
      </w:pPr>
      <w:bookmarkStart w:id="524" w:name="_Toc28813"/>
      <w:bookmarkStart w:id="525" w:name="_Toc32320"/>
      <w:bookmarkStart w:id="526" w:name="_Toc14682"/>
      <w:bookmarkStart w:id="527" w:name="_Toc318450716"/>
      <w:bookmarkStart w:id="528" w:name="_Toc144974545"/>
      <w:bookmarkStart w:id="529" w:name="_Toc7439"/>
      <w:bookmarkStart w:id="530" w:name="_Toc455867810"/>
      <w:bookmarkStart w:id="531" w:name="_Toc152045577"/>
      <w:bookmarkStart w:id="532" w:name="_Toc152042353"/>
      <w:bookmarkStart w:id="533" w:name="_Toc25241"/>
      <w:bookmarkStart w:id="534" w:name="_Toc455080150"/>
      <w:bookmarkStart w:id="535" w:name="_Toc30153"/>
      <w:bookmarkStart w:id="536" w:name="_Toc466298133"/>
      <w:bookmarkStart w:id="537" w:name="_Toc7107"/>
      <w:r>
        <w:rPr>
          <w:rFonts w:hint="eastAsia" w:ascii="宋体" w:hAnsi="宋体" w:eastAsia="宋体" w:cs="宋体"/>
          <w:b/>
          <w:sz w:val="21"/>
          <w:szCs w:val="21"/>
        </w:rPr>
        <w:t>9.3 对磋商小组成员的纪律要求</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21C1CBE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磋商小组成员不得收受他人的财物或者其他好处，不得向他人透漏对响应文件的评审和比较、成交候选人的推荐情况以及</w:t>
      </w:r>
      <w:r>
        <w:rPr>
          <w:rFonts w:hint="eastAsia" w:ascii="宋体" w:hAnsi="宋体" w:cs="宋体"/>
          <w:sz w:val="21"/>
          <w:szCs w:val="21"/>
          <w:lang w:eastAsia="zh-CN"/>
        </w:rPr>
        <w:t>评审</w:t>
      </w:r>
      <w:r>
        <w:rPr>
          <w:rFonts w:hint="eastAsia" w:ascii="宋体" w:hAnsi="宋体" w:eastAsia="宋体" w:cs="宋体"/>
          <w:sz w:val="21"/>
          <w:szCs w:val="21"/>
        </w:rPr>
        <w:t>有关的其他情况。在磋商活动中，磋商小组成员不得擅离职守，影响</w:t>
      </w:r>
      <w:r>
        <w:rPr>
          <w:rFonts w:hint="eastAsia" w:ascii="宋体" w:hAnsi="宋体" w:cs="宋体"/>
          <w:sz w:val="21"/>
          <w:szCs w:val="21"/>
          <w:lang w:eastAsia="zh-CN"/>
        </w:rPr>
        <w:t>评审</w:t>
      </w:r>
      <w:r>
        <w:rPr>
          <w:rFonts w:hint="eastAsia" w:ascii="宋体" w:hAnsi="宋体" w:eastAsia="宋体" w:cs="宋体"/>
          <w:sz w:val="21"/>
          <w:szCs w:val="21"/>
        </w:rPr>
        <w:t>程序正常进行，不得使用第三章“</w:t>
      </w:r>
      <w:r>
        <w:rPr>
          <w:rFonts w:hint="eastAsia" w:ascii="宋体" w:hAnsi="宋体" w:cs="宋体"/>
          <w:sz w:val="21"/>
          <w:szCs w:val="21"/>
          <w:lang w:eastAsia="zh-CN"/>
        </w:rPr>
        <w:t>评审</w:t>
      </w:r>
      <w:r>
        <w:rPr>
          <w:rFonts w:hint="eastAsia" w:ascii="宋体" w:hAnsi="宋体" w:eastAsia="宋体" w:cs="宋体"/>
          <w:sz w:val="21"/>
          <w:szCs w:val="21"/>
        </w:rPr>
        <w:t>办法”没有规定的评审因素和标准进行</w:t>
      </w:r>
      <w:r>
        <w:rPr>
          <w:rFonts w:hint="eastAsia" w:ascii="宋体" w:hAnsi="宋体" w:cs="宋体"/>
          <w:sz w:val="21"/>
          <w:szCs w:val="21"/>
          <w:lang w:eastAsia="zh-CN"/>
        </w:rPr>
        <w:t>评审</w:t>
      </w:r>
      <w:r>
        <w:rPr>
          <w:rFonts w:hint="eastAsia" w:ascii="宋体" w:hAnsi="宋体" w:eastAsia="宋体" w:cs="宋体"/>
          <w:sz w:val="21"/>
          <w:szCs w:val="21"/>
        </w:rPr>
        <w:t>。</w:t>
      </w:r>
    </w:p>
    <w:p w14:paraId="243FCC85">
      <w:pPr>
        <w:spacing w:line="360" w:lineRule="auto"/>
        <w:rPr>
          <w:rFonts w:hint="eastAsia" w:ascii="宋体" w:hAnsi="宋体" w:eastAsia="宋体" w:cs="宋体"/>
          <w:b/>
          <w:sz w:val="21"/>
          <w:szCs w:val="21"/>
        </w:rPr>
      </w:pPr>
      <w:bookmarkStart w:id="538" w:name="_Toc455080151"/>
      <w:bookmarkStart w:id="539" w:name="_Toc27559"/>
      <w:bookmarkStart w:id="540" w:name="_Toc20546"/>
      <w:bookmarkStart w:id="541" w:name="_Toc18305"/>
      <w:bookmarkStart w:id="542" w:name="_Toc9063"/>
      <w:bookmarkStart w:id="543" w:name="_Toc466298134"/>
      <w:bookmarkStart w:id="544" w:name="_Toc152045578"/>
      <w:bookmarkStart w:id="545" w:name="_Toc455867811"/>
      <w:bookmarkStart w:id="546" w:name="_Toc152042354"/>
      <w:bookmarkStart w:id="547" w:name="_Toc24"/>
      <w:bookmarkStart w:id="548" w:name="_Toc23717"/>
      <w:bookmarkStart w:id="549" w:name="_Toc318450717"/>
      <w:bookmarkStart w:id="550" w:name="_Toc7368"/>
      <w:bookmarkStart w:id="551" w:name="_Toc144974546"/>
      <w:r>
        <w:rPr>
          <w:rFonts w:hint="eastAsia" w:ascii="宋体" w:hAnsi="宋体" w:eastAsia="宋体" w:cs="宋体"/>
          <w:b/>
          <w:sz w:val="21"/>
          <w:szCs w:val="21"/>
        </w:rPr>
        <w:t>9.4 对与</w:t>
      </w:r>
      <w:r>
        <w:rPr>
          <w:rFonts w:hint="eastAsia" w:ascii="宋体" w:hAnsi="宋体" w:cs="宋体"/>
          <w:b/>
          <w:sz w:val="21"/>
          <w:szCs w:val="21"/>
          <w:lang w:eastAsia="zh-CN"/>
        </w:rPr>
        <w:t>评审</w:t>
      </w:r>
      <w:r>
        <w:rPr>
          <w:rFonts w:hint="eastAsia" w:ascii="宋体" w:hAnsi="宋体" w:eastAsia="宋体" w:cs="宋体"/>
          <w:b/>
          <w:sz w:val="21"/>
          <w:szCs w:val="21"/>
        </w:rPr>
        <w:t>活动有关的工作人员的纪律要求</w:t>
      </w:r>
      <w:bookmarkEnd w:id="538"/>
      <w:bookmarkEnd w:id="539"/>
      <w:bookmarkEnd w:id="540"/>
      <w:bookmarkEnd w:id="541"/>
      <w:bookmarkEnd w:id="542"/>
      <w:bookmarkEnd w:id="543"/>
      <w:bookmarkEnd w:id="544"/>
      <w:bookmarkEnd w:id="545"/>
      <w:bookmarkEnd w:id="546"/>
      <w:bookmarkEnd w:id="547"/>
      <w:bookmarkEnd w:id="548"/>
      <w:bookmarkEnd w:id="549"/>
      <w:bookmarkEnd w:id="550"/>
    </w:p>
    <w:p w14:paraId="7AB708B1">
      <w:pPr>
        <w:spacing w:line="360" w:lineRule="auto"/>
        <w:ind w:firstLine="420" w:firstLineChars="200"/>
        <w:rPr>
          <w:rFonts w:hint="eastAsia" w:ascii="宋体" w:hAnsi="宋体" w:eastAsia="宋体" w:cs="宋体"/>
          <w:sz w:val="21"/>
          <w:szCs w:val="21"/>
        </w:rPr>
      </w:pPr>
      <w:bookmarkStart w:id="552" w:name="_Toc152042355"/>
      <w:r>
        <w:rPr>
          <w:rFonts w:hint="eastAsia" w:ascii="宋体" w:hAnsi="宋体" w:eastAsia="宋体" w:cs="宋体"/>
          <w:sz w:val="21"/>
          <w:szCs w:val="21"/>
        </w:rPr>
        <w:t>与</w:t>
      </w:r>
      <w:r>
        <w:rPr>
          <w:rFonts w:hint="eastAsia" w:ascii="宋体" w:hAnsi="宋体" w:cs="宋体"/>
          <w:sz w:val="21"/>
          <w:szCs w:val="21"/>
          <w:lang w:eastAsia="zh-CN"/>
        </w:rPr>
        <w:t>评审</w:t>
      </w:r>
      <w:r>
        <w:rPr>
          <w:rFonts w:hint="eastAsia" w:ascii="宋体" w:hAnsi="宋体" w:eastAsia="宋体" w:cs="宋体"/>
          <w:sz w:val="21"/>
          <w:szCs w:val="21"/>
        </w:rPr>
        <w:t>活动有关的工作人员不得收受他人的财物或者其他好处，不得向他人透漏对响应文件的评审和比较、成交候选人的推荐情况以及</w:t>
      </w:r>
      <w:r>
        <w:rPr>
          <w:rFonts w:hint="eastAsia" w:ascii="宋体" w:hAnsi="宋体" w:cs="宋体"/>
          <w:sz w:val="21"/>
          <w:szCs w:val="21"/>
          <w:lang w:eastAsia="zh-CN"/>
        </w:rPr>
        <w:t>评审</w:t>
      </w:r>
      <w:r>
        <w:rPr>
          <w:rFonts w:hint="eastAsia" w:ascii="宋体" w:hAnsi="宋体" w:eastAsia="宋体" w:cs="宋体"/>
          <w:sz w:val="21"/>
          <w:szCs w:val="21"/>
        </w:rPr>
        <w:t>有关的其他情况。在</w:t>
      </w:r>
      <w:r>
        <w:rPr>
          <w:rFonts w:hint="eastAsia" w:ascii="宋体" w:hAnsi="宋体" w:cs="宋体"/>
          <w:sz w:val="21"/>
          <w:szCs w:val="21"/>
          <w:lang w:eastAsia="zh-CN"/>
        </w:rPr>
        <w:t>评审</w:t>
      </w:r>
      <w:r>
        <w:rPr>
          <w:rFonts w:hint="eastAsia" w:ascii="宋体" w:hAnsi="宋体" w:eastAsia="宋体" w:cs="宋体"/>
          <w:sz w:val="21"/>
          <w:szCs w:val="21"/>
        </w:rPr>
        <w:t>活动中，与</w:t>
      </w:r>
      <w:r>
        <w:rPr>
          <w:rFonts w:hint="eastAsia" w:ascii="宋体" w:hAnsi="宋体" w:cs="宋体"/>
          <w:sz w:val="21"/>
          <w:szCs w:val="21"/>
          <w:lang w:eastAsia="zh-CN"/>
        </w:rPr>
        <w:t>评审</w:t>
      </w:r>
      <w:r>
        <w:rPr>
          <w:rFonts w:hint="eastAsia" w:ascii="宋体" w:hAnsi="宋体" w:eastAsia="宋体" w:cs="宋体"/>
          <w:sz w:val="21"/>
          <w:szCs w:val="21"/>
        </w:rPr>
        <w:t>活动有关的工作人员不得擅离职守，影响</w:t>
      </w:r>
      <w:r>
        <w:rPr>
          <w:rFonts w:hint="eastAsia" w:ascii="宋体" w:hAnsi="宋体" w:cs="宋体"/>
          <w:sz w:val="21"/>
          <w:szCs w:val="21"/>
          <w:lang w:eastAsia="zh-CN"/>
        </w:rPr>
        <w:t>评审</w:t>
      </w:r>
      <w:r>
        <w:rPr>
          <w:rFonts w:hint="eastAsia" w:ascii="宋体" w:hAnsi="宋体" w:eastAsia="宋体" w:cs="宋体"/>
          <w:sz w:val="21"/>
          <w:szCs w:val="21"/>
        </w:rPr>
        <w:t>程序正常进行。</w:t>
      </w:r>
      <w:bookmarkEnd w:id="552"/>
    </w:p>
    <w:p w14:paraId="60E506A2">
      <w:pPr>
        <w:spacing w:line="360" w:lineRule="auto"/>
        <w:rPr>
          <w:rFonts w:hint="eastAsia" w:ascii="宋体" w:hAnsi="宋体" w:eastAsia="宋体" w:cs="宋体"/>
          <w:b/>
          <w:sz w:val="21"/>
          <w:szCs w:val="21"/>
        </w:rPr>
      </w:pPr>
      <w:bookmarkStart w:id="553" w:name="_Toc318450718"/>
      <w:bookmarkStart w:id="554" w:name="_Toc466298135"/>
      <w:bookmarkStart w:id="555" w:name="_Toc3303"/>
      <w:bookmarkStart w:id="556" w:name="_Toc152042356"/>
      <w:bookmarkStart w:id="557" w:name="_Toc3617"/>
      <w:bookmarkStart w:id="558" w:name="_Toc16980"/>
      <w:bookmarkStart w:id="559" w:name="_Toc455867812"/>
      <w:bookmarkStart w:id="560" w:name="_Toc1820"/>
      <w:bookmarkStart w:id="561" w:name="_Toc152045579"/>
      <w:bookmarkStart w:id="562" w:name="_Toc25751"/>
      <w:bookmarkStart w:id="563" w:name="_Toc455080152"/>
      <w:bookmarkStart w:id="564" w:name="_Toc8074"/>
      <w:bookmarkStart w:id="565" w:name="_Toc17735"/>
      <w:r>
        <w:rPr>
          <w:rFonts w:hint="eastAsia" w:ascii="宋体" w:hAnsi="宋体" w:eastAsia="宋体" w:cs="宋体"/>
          <w:b/>
          <w:sz w:val="21"/>
          <w:szCs w:val="21"/>
        </w:rPr>
        <w:t>9.5 投诉</w:t>
      </w:r>
      <w:bookmarkEnd w:id="551"/>
      <w:bookmarkEnd w:id="553"/>
      <w:bookmarkEnd w:id="554"/>
      <w:bookmarkEnd w:id="555"/>
      <w:bookmarkEnd w:id="556"/>
      <w:bookmarkEnd w:id="557"/>
      <w:bookmarkEnd w:id="558"/>
      <w:bookmarkEnd w:id="559"/>
      <w:bookmarkEnd w:id="560"/>
      <w:bookmarkEnd w:id="561"/>
      <w:bookmarkEnd w:id="562"/>
      <w:bookmarkEnd w:id="563"/>
      <w:bookmarkEnd w:id="564"/>
      <w:bookmarkEnd w:id="565"/>
    </w:p>
    <w:p w14:paraId="3AC95C9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和其他利害关系人认为本次磋商活动违反法律、法规和规章规定的，有权向有关行政监督部门投诉。</w:t>
      </w:r>
    </w:p>
    <w:p w14:paraId="421D851F">
      <w:pPr>
        <w:numPr>
          <w:ilvl w:val="0"/>
          <w:numId w:val="4"/>
        </w:numPr>
        <w:spacing w:line="360" w:lineRule="auto"/>
        <w:rPr>
          <w:rFonts w:hint="eastAsia" w:ascii="宋体" w:hAnsi="宋体" w:eastAsia="宋体" w:cs="宋体"/>
          <w:b/>
          <w:sz w:val="21"/>
          <w:szCs w:val="21"/>
        </w:rPr>
      </w:pPr>
      <w:bookmarkStart w:id="566" w:name="_Toc144974547"/>
      <w:bookmarkStart w:id="567" w:name="_Toc455080153"/>
      <w:bookmarkStart w:id="568" w:name="_Toc152045580"/>
      <w:bookmarkStart w:id="569" w:name="_Toc152042357"/>
      <w:r>
        <w:rPr>
          <w:rFonts w:hint="eastAsia" w:ascii="宋体" w:hAnsi="宋体" w:eastAsia="宋体" w:cs="宋体"/>
          <w:b/>
          <w:sz w:val="21"/>
          <w:szCs w:val="21"/>
        </w:rPr>
        <w:t>需要补充的其他</w:t>
      </w:r>
      <w:bookmarkEnd w:id="566"/>
      <w:bookmarkEnd w:id="567"/>
      <w:bookmarkEnd w:id="568"/>
      <w:bookmarkEnd w:id="569"/>
      <w:bookmarkStart w:id="570" w:name="_Toc455867814"/>
      <w:bookmarkStart w:id="571" w:name="_Toc466298137"/>
      <w:bookmarkStart w:id="572" w:name="_Toc455080154"/>
      <w:bookmarkStart w:id="573" w:name="_Toc144974565"/>
      <w:bookmarkStart w:id="574" w:name="_Toc152045598"/>
      <w:bookmarkStart w:id="575" w:name="_Toc152042375"/>
      <w:r>
        <w:rPr>
          <w:rFonts w:hint="eastAsia" w:ascii="宋体" w:hAnsi="宋体" w:eastAsia="宋体" w:cs="宋体"/>
          <w:b/>
          <w:sz w:val="21"/>
          <w:szCs w:val="21"/>
        </w:rPr>
        <w:t>内容</w:t>
      </w:r>
    </w:p>
    <w:p w14:paraId="5724EEFB">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需要补充的其他内容：见</w:t>
      </w:r>
      <w:r>
        <w:rPr>
          <w:rFonts w:hint="eastAsia" w:ascii="宋体" w:hAnsi="宋体" w:eastAsia="宋体" w:cs="宋体"/>
          <w:sz w:val="21"/>
          <w:szCs w:val="21"/>
          <w:lang w:eastAsia="zh-CN"/>
        </w:rPr>
        <w:t>供应商须知前附表</w:t>
      </w:r>
    </w:p>
    <w:p w14:paraId="3563919D">
      <w:pPr>
        <w:spacing w:line="360" w:lineRule="auto"/>
        <w:ind w:firstLine="480" w:firstLineChars="200"/>
        <w:rPr>
          <w:rFonts w:hint="eastAsia" w:ascii="宋体" w:hAnsi="宋体" w:eastAsia="宋体" w:cs="宋体"/>
          <w:sz w:val="24"/>
          <w:szCs w:val="24"/>
        </w:rPr>
      </w:pPr>
    </w:p>
    <w:p w14:paraId="6342F56C">
      <w:pPr>
        <w:pStyle w:val="4"/>
        <w:spacing w:line="360" w:lineRule="auto"/>
        <w:ind w:left="0" w:leftChars="0" w:firstLine="0" w:firstLineChars="0"/>
        <w:rPr>
          <w:rFonts w:hint="eastAsia" w:ascii="宋体" w:hAnsi="宋体" w:eastAsia="宋体" w:cs="宋体"/>
          <w:bCs w:val="0"/>
          <w:kern w:val="2"/>
          <w:sz w:val="24"/>
          <w:szCs w:val="24"/>
        </w:rPr>
      </w:pPr>
      <w:bookmarkStart w:id="576" w:name="_Toc25591"/>
      <w:bookmarkStart w:id="577" w:name="_Toc2197"/>
      <w:r>
        <w:rPr>
          <w:rFonts w:hint="eastAsia" w:ascii="宋体" w:hAnsi="宋体" w:eastAsia="宋体" w:cs="宋体"/>
          <w:bCs w:val="0"/>
          <w:kern w:val="2"/>
          <w:sz w:val="24"/>
          <w:szCs w:val="24"/>
        </w:rPr>
        <w:t>附表一：问题澄清通</w:t>
      </w:r>
      <w:r>
        <w:rPr>
          <w:rFonts w:hint="eastAsia" w:ascii="宋体" w:hAnsi="宋体" w:eastAsia="宋体" w:cs="宋体"/>
          <w:bCs/>
          <w:kern w:val="2"/>
          <w:sz w:val="24"/>
          <w:szCs w:val="24"/>
        </w:rPr>
        <w:t>知</w:t>
      </w:r>
      <w:bookmarkEnd w:id="576"/>
      <w:bookmarkEnd w:id="577"/>
    </w:p>
    <w:p w14:paraId="2160C989">
      <w:pPr>
        <w:autoSpaceDE w:val="0"/>
        <w:autoSpaceDN w:val="0"/>
        <w:adjustRightInd w:val="0"/>
        <w:spacing w:line="360" w:lineRule="auto"/>
        <w:rPr>
          <w:rFonts w:hint="eastAsia" w:ascii="宋体" w:hAnsi="宋体" w:eastAsia="宋体" w:cs="宋体"/>
          <w:kern w:val="0"/>
          <w:sz w:val="24"/>
          <w:szCs w:val="24"/>
        </w:rPr>
      </w:pPr>
    </w:p>
    <w:p w14:paraId="3CE961D6">
      <w:pPr>
        <w:pStyle w:val="39"/>
        <w:spacing w:line="360" w:lineRule="auto"/>
        <w:ind w:right="-178" w:rightChars="-85"/>
        <w:jc w:val="center"/>
        <w:rPr>
          <w:rFonts w:hint="eastAsia" w:ascii="宋体" w:hAnsi="宋体" w:eastAsia="宋体" w:cs="宋体"/>
          <w:color w:val="auto"/>
          <w:sz w:val="24"/>
          <w:szCs w:val="24"/>
        </w:rPr>
      </w:pPr>
      <w:r>
        <w:rPr>
          <w:rFonts w:hint="eastAsia" w:ascii="宋体" w:hAnsi="宋体" w:eastAsia="宋体" w:cs="宋体"/>
          <w:color w:val="auto"/>
          <w:sz w:val="24"/>
          <w:szCs w:val="24"/>
        </w:rPr>
        <w:t>问题澄清通知</w:t>
      </w:r>
    </w:p>
    <w:p w14:paraId="369C2D19">
      <w:pPr>
        <w:autoSpaceDE w:val="0"/>
        <w:autoSpaceDN w:val="0"/>
        <w:adjustRightInd w:val="0"/>
        <w:spacing w:line="360" w:lineRule="auto"/>
        <w:ind w:firstLine="4320" w:firstLineChars="1800"/>
        <w:rPr>
          <w:rFonts w:hint="eastAsia" w:ascii="宋体" w:hAnsi="宋体" w:eastAsia="宋体" w:cs="宋体"/>
          <w:kern w:val="0"/>
          <w:sz w:val="24"/>
          <w:szCs w:val="24"/>
        </w:rPr>
      </w:pPr>
      <w:r>
        <w:rPr>
          <w:rFonts w:hint="eastAsia" w:ascii="宋体" w:hAnsi="宋体" w:eastAsia="宋体" w:cs="宋体"/>
          <w:kern w:val="0"/>
          <w:sz w:val="24"/>
          <w:szCs w:val="24"/>
        </w:rPr>
        <w:t>编号：</w:t>
      </w:r>
    </w:p>
    <w:p w14:paraId="19A4E8E8">
      <w:pPr>
        <w:autoSpaceDE w:val="0"/>
        <w:autoSpaceDN w:val="0"/>
        <w:adjustRightInd w:val="0"/>
        <w:spacing w:line="360" w:lineRule="auto"/>
        <w:ind w:firstLine="4320" w:firstLineChars="1800"/>
        <w:rPr>
          <w:rFonts w:hint="eastAsia" w:ascii="宋体" w:hAnsi="宋体" w:eastAsia="宋体" w:cs="宋体"/>
          <w:kern w:val="0"/>
          <w:sz w:val="24"/>
          <w:szCs w:val="24"/>
        </w:rPr>
      </w:pPr>
    </w:p>
    <w:p w14:paraId="48F381F2">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p w14:paraId="7E978133">
      <w:pPr>
        <w:autoSpaceDE w:val="0"/>
        <w:autoSpaceDN w:val="0"/>
        <w:adjustRightInd w:val="0"/>
        <w:spacing w:line="360" w:lineRule="auto"/>
        <w:jc w:val="left"/>
        <w:rPr>
          <w:rFonts w:hint="eastAsia" w:ascii="宋体" w:hAnsi="宋体" w:eastAsia="宋体" w:cs="宋体"/>
          <w:kern w:val="0"/>
          <w:sz w:val="24"/>
          <w:szCs w:val="24"/>
        </w:rPr>
      </w:pPr>
    </w:p>
    <w:p w14:paraId="0DA8A6D4">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（项目名称）的磋商小组成员，对你方的响应文件进行了仔细的审查，现需你方对下列问题以书面形式予以澄清：</w:t>
      </w:r>
    </w:p>
    <w:p w14:paraId="220F954A">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4B6F06B3">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p>
    <w:p w14:paraId="7CB6F645">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p>
    <w:p w14:paraId="344075BC">
      <w:pPr>
        <w:autoSpaceDE w:val="0"/>
        <w:autoSpaceDN w:val="0"/>
        <w:adjustRightInd w:val="0"/>
        <w:spacing w:line="360" w:lineRule="auto"/>
        <w:jc w:val="left"/>
        <w:rPr>
          <w:rFonts w:hint="eastAsia" w:ascii="宋体" w:hAnsi="宋体" w:eastAsia="宋体" w:cs="宋体"/>
          <w:kern w:val="0"/>
          <w:sz w:val="24"/>
          <w:szCs w:val="24"/>
        </w:rPr>
      </w:pPr>
    </w:p>
    <w:p w14:paraId="0EA03560">
      <w:pPr>
        <w:autoSpaceDE w:val="0"/>
        <w:autoSpaceDN w:val="0"/>
        <w:adjustRightInd w:val="0"/>
        <w:spacing w:line="360" w:lineRule="auto"/>
        <w:jc w:val="left"/>
        <w:rPr>
          <w:rFonts w:hint="eastAsia" w:ascii="宋体" w:hAnsi="宋体" w:eastAsia="宋体" w:cs="宋体"/>
          <w:kern w:val="0"/>
          <w:sz w:val="24"/>
          <w:szCs w:val="24"/>
        </w:rPr>
      </w:pPr>
    </w:p>
    <w:p w14:paraId="7994183A">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14B77A95">
      <w:pPr>
        <w:autoSpaceDE w:val="0"/>
        <w:autoSpaceDN w:val="0"/>
        <w:adjustRightInd w:val="0"/>
        <w:spacing w:line="360" w:lineRule="auto"/>
        <w:jc w:val="left"/>
        <w:rPr>
          <w:rFonts w:hint="eastAsia" w:ascii="宋体" w:hAnsi="宋体" w:eastAsia="宋体" w:cs="宋体"/>
          <w:kern w:val="0"/>
          <w:sz w:val="24"/>
          <w:szCs w:val="24"/>
        </w:rPr>
      </w:pPr>
    </w:p>
    <w:p w14:paraId="4B795A40">
      <w:pPr>
        <w:autoSpaceDE w:val="0"/>
        <w:autoSpaceDN w:val="0"/>
        <w:adjustRightInd w:val="0"/>
        <w:spacing w:line="360" w:lineRule="auto"/>
        <w:jc w:val="left"/>
        <w:rPr>
          <w:rFonts w:hint="eastAsia" w:ascii="宋体" w:hAnsi="宋体" w:eastAsia="宋体" w:cs="宋体"/>
          <w:kern w:val="0"/>
          <w:sz w:val="24"/>
          <w:szCs w:val="24"/>
        </w:rPr>
      </w:pPr>
    </w:p>
    <w:p w14:paraId="188EC64C">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请将上述问题的澄清于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时前递交至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（详细地址）或传真至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（传真号码）。采用传真方式的，应在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时前将原件递交至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（详细地址）。</w:t>
      </w:r>
    </w:p>
    <w:p w14:paraId="5B5D7F80">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3D6D92BA">
      <w:pPr>
        <w:autoSpaceDE w:val="0"/>
        <w:autoSpaceDN w:val="0"/>
        <w:adjustRightInd w:val="0"/>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磋商小组负责人：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（签字或盖章）</w:t>
      </w:r>
    </w:p>
    <w:p w14:paraId="43ECDB18">
      <w:pPr>
        <w:autoSpaceDE w:val="0"/>
        <w:autoSpaceDN w:val="0"/>
        <w:adjustRightInd w:val="0"/>
        <w:spacing w:line="360" w:lineRule="auto"/>
        <w:ind w:firstLine="4080" w:firstLineChars="1700"/>
        <w:jc w:val="left"/>
        <w:rPr>
          <w:rFonts w:hint="eastAsia" w:ascii="宋体" w:hAnsi="宋体" w:eastAsia="宋体" w:cs="宋体"/>
          <w:kern w:val="0"/>
          <w:sz w:val="24"/>
          <w:szCs w:val="24"/>
        </w:rPr>
      </w:pPr>
    </w:p>
    <w:p w14:paraId="72983091">
      <w:pPr>
        <w:autoSpaceDE w:val="0"/>
        <w:autoSpaceDN w:val="0"/>
        <w:adjustRightInd w:val="0"/>
        <w:spacing w:line="360" w:lineRule="auto"/>
        <w:ind w:firstLine="3840" w:firstLineChars="1600"/>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2439C59">
      <w:pPr>
        <w:autoSpaceDE w:val="0"/>
        <w:autoSpaceDN w:val="0"/>
        <w:adjustRightInd w:val="0"/>
        <w:spacing w:line="360" w:lineRule="auto"/>
        <w:ind w:firstLine="3840" w:firstLineChars="1600"/>
        <w:jc w:val="left"/>
        <w:rPr>
          <w:rFonts w:hint="eastAsia" w:ascii="宋体" w:hAnsi="宋体" w:eastAsia="宋体" w:cs="宋体"/>
          <w:kern w:val="0"/>
          <w:sz w:val="24"/>
          <w:szCs w:val="24"/>
        </w:rPr>
      </w:pPr>
    </w:p>
    <w:p w14:paraId="52551C17">
      <w:pPr>
        <w:autoSpaceDE w:val="0"/>
        <w:autoSpaceDN w:val="0"/>
        <w:adjustRightInd w:val="0"/>
        <w:spacing w:line="360" w:lineRule="auto"/>
        <w:jc w:val="left"/>
        <w:rPr>
          <w:rFonts w:hint="eastAsia" w:ascii="宋体" w:hAnsi="宋体" w:eastAsia="宋体" w:cs="宋体"/>
          <w:kern w:val="0"/>
          <w:sz w:val="24"/>
          <w:szCs w:val="24"/>
        </w:rPr>
      </w:pPr>
    </w:p>
    <w:p w14:paraId="295E2DB6">
      <w:pPr>
        <w:autoSpaceDE w:val="0"/>
        <w:autoSpaceDN w:val="0"/>
        <w:adjustRightInd w:val="0"/>
        <w:spacing w:line="360" w:lineRule="auto"/>
        <w:ind w:firstLine="3840" w:firstLineChars="1600"/>
        <w:jc w:val="left"/>
        <w:rPr>
          <w:rFonts w:hint="eastAsia" w:ascii="宋体" w:hAnsi="宋体" w:eastAsia="宋体" w:cs="宋体"/>
          <w:kern w:val="0"/>
          <w:sz w:val="24"/>
          <w:szCs w:val="24"/>
        </w:rPr>
      </w:pPr>
    </w:p>
    <w:p w14:paraId="010DFAC9">
      <w:pPr>
        <w:pStyle w:val="4"/>
        <w:spacing w:line="360" w:lineRule="auto"/>
        <w:ind w:left="0" w:leftChars="0" w:firstLine="0" w:firstLineChars="0"/>
        <w:rPr>
          <w:rFonts w:hint="eastAsia" w:ascii="宋体" w:hAnsi="宋体" w:eastAsia="宋体" w:cs="宋体"/>
          <w:bCs w:val="0"/>
          <w:kern w:val="2"/>
          <w:sz w:val="24"/>
          <w:szCs w:val="24"/>
        </w:rPr>
      </w:pPr>
      <w:bookmarkStart w:id="578" w:name="_Toc15243"/>
      <w:bookmarkStart w:id="579" w:name="_Toc1284"/>
      <w:r>
        <w:rPr>
          <w:rFonts w:hint="eastAsia" w:ascii="宋体" w:hAnsi="宋体" w:eastAsia="宋体" w:cs="宋体"/>
          <w:bCs w:val="0"/>
          <w:kern w:val="2"/>
          <w:sz w:val="24"/>
          <w:szCs w:val="24"/>
        </w:rPr>
        <w:t>附表二：问题的澄清</w:t>
      </w:r>
      <w:bookmarkEnd w:id="578"/>
      <w:bookmarkEnd w:id="579"/>
    </w:p>
    <w:p w14:paraId="099F9E6C">
      <w:pPr>
        <w:autoSpaceDE w:val="0"/>
        <w:autoSpaceDN w:val="0"/>
        <w:adjustRightInd w:val="0"/>
        <w:spacing w:line="360" w:lineRule="auto"/>
        <w:jc w:val="left"/>
        <w:rPr>
          <w:rFonts w:hint="eastAsia" w:ascii="宋体" w:hAnsi="宋体" w:eastAsia="宋体" w:cs="宋体"/>
          <w:kern w:val="0"/>
          <w:sz w:val="24"/>
          <w:szCs w:val="24"/>
        </w:rPr>
      </w:pPr>
    </w:p>
    <w:p w14:paraId="425D921E">
      <w:pPr>
        <w:autoSpaceDE w:val="0"/>
        <w:autoSpaceDN w:val="0"/>
        <w:adjustRightInd w:val="0"/>
        <w:spacing w:line="360" w:lineRule="auto"/>
        <w:jc w:val="left"/>
        <w:rPr>
          <w:rFonts w:hint="eastAsia" w:ascii="宋体" w:hAnsi="宋体" w:eastAsia="宋体" w:cs="宋体"/>
          <w:kern w:val="0"/>
          <w:sz w:val="24"/>
          <w:szCs w:val="24"/>
        </w:rPr>
      </w:pPr>
    </w:p>
    <w:p w14:paraId="04DDCFB6">
      <w:pPr>
        <w:pStyle w:val="39"/>
        <w:spacing w:line="360" w:lineRule="auto"/>
        <w:ind w:right="-178" w:rightChars="-85"/>
        <w:jc w:val="center"/>
        <w:rPr>
          <w:rFonts w:hint="eastAsia" w:ascii="宋体" w:hAnsi="宋体" w:eastAsia="宋体" w:cs="宋体"/>
          <w:color w:val="auto"/>
          <w:sz w:val="24"/>
          <w:szCs w:val="24"/>
        </w:rPr>
      </w:pPr>
      <w:r>
        <w:rPr>
          <w:rFonts w:hint="eastAsia" w:ascii="宋体" w:hAnsi="宋体" w:eastAsia="宋体" w:cs="宋体"/>
          <w:color w:val="auto"/>
          <w:sz w:val="24"/>
          <w:szCs w:val="24"/>
        </w:rPr>
        <w:t>问题的澄清</w:t>
      </w:r>
    </w:p>
    <w:p w14:paraId="3A8CBE3B">
      <w:pPr>
        <w:autoSpaceDE w:val="0"/>
        <w:autoSpaceDN w:val="0"/>
        <w:adjustRightInd w:val="0"/>
        <w:spacing w:line="360" w:lineRule="auto"/>
        <w:ind w:firstLine="4560" w:firstLineChars="1900"/>
        <w:jc w:val="left"/>
        <w:rPr>
          <w:rFonts w:hint="eastAsia" w:ascii="宋体" w:hAnsi="宋体" w:eastAsia="宋体" w:cs="宋体"/>
          <w:kern w:val="0"/>
          <w:sz w:val="24"/>
          <w:szCs w:val="24"/>
        </w:rPr>
      </w:pPr>
      <w:r>
        <w:rPr>
          <w:rFonts w:hint="eastAsia" w:ascii="宋体" w:hAnsi="宋体" w:eastAsia="宋体" w:cs="宋体"/>
          <w:kern w:val="0"/>
          <w:sz w:val="24"/>
          <w:szCs w:val="24"/>
        </w:rPr>
        <w:t>编号：</w:t>
      </w:r>
    </w:p>
    <w:p w14:paraId="001E17C2">
      <w:pPr>
        <w:autoSpaceDE w:val="0"/>
        <w:autoSpaceDN w:val="0"/>
        <w:adjustRightInd w:val="0"/>
        <w:spacing w:line="360" w:lineRule="auto"/>
        <w:ind w:firstLine="4560" w:firstLineChars="1900"/>
        <w:jc w:val="left"/>
        <w:rPr>
          <w:rFonts w:hint="eastAsia" w:ascii="宋体" w:hAnsi="宋体" w:eastAsia="宋体" w:cs="宋体"/>
          <w:kern w:val="0"/>
          <w:sz w:val="24"/>
          <w:szCs w:val="24"/>
        </w:rPr>
      </w:pPr>
    </w:p>
    <w:p w14:paraId="1E413D50">
      <w:pPr>
        <w:autoSpaceDE w:val="0"/>
        <w:autoSpaceDN w:val="0"/>
        <w:adjustRightInd w:val="0"/>
        <w:spacing w:line="360" w:lineRule="auto"/>
        <w:ind w:firstLine="4560" w:firstLineChars="1900"/>
        <w:jc w:val="left"/>
        <w:rPr>
          <w:rFonts w:hint="eastAsia" w:ascii="宋体" w:hAnsi="宋体" w:eastAsia="宋体" w:cs="宋体"/>
          <w:kern w:val="0"/>
          <w:sz w:val="24"/>
          <w:szCs w:val="24"/>
        </w:rPr>
      </w:pPr>
    </w:p>
    <w:p w14:paraId="5283FC68">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（项目名称）磋商小组成员：</w:t>
      </w:r>
    </w:p>
    <w:p w14:paraId="61CACE07">
      <w:pPr>
        <w:autoSpaceDE w:val="0"/>
        <w:autoSpaceDN w:val="0"/>
        <w:adjustRightInd w:val="0"/>
        <w:spacing w:line="360" w:lineRule="auto"/>
        <w:jc w:val="left"/>
        <w:rPr>
          <w:rFonts w:hint="eastAsia" w:ascii="宋体" w:hAnsi="宋体" w:eastAsia="宋体" w:cs="宋体"/>
          <w:kern w:val="0"/>
          <w:sz w:val="24"/>
          <w:szCs w:val="24"/>
        </w:rPr>
      </w:pPr>
    </w:p>
    <w:p w14:paraId="3E1FA8EE">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问题澄清通知（编号：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）已收悉，现澄清如下：</w:t>
      </w:r>
    </w:p>
    <w:p w14:paraId="204B5F6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11758EC8">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p>
    <w:p w14:paraId="7F04C9D6">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w:t>
      </w:r>
    </w:p>
    <w:p w14:paraId="56912C9A">
      <w:pPr>
        <w:autoSpaceDE w:val="0"/>
        <w:autoSpaceDN w:val="0"/>
        <w:adjustRightInd w:val="0"/>
        <w:spacing w:line="360" w:lineRule="auto"/>
        <w:jc w:val="left"/>
        <w:rPr>
          <w:rFonts w:hint="eastAsia" w:ascii="宋体" w:hAnsi="宋体" w:eastAsia="宋体" w:cs="宋体"/>
          <w:kern w:val="0"/>
          <w:sz w:val="24"/>
          <w:szCs w:val="24"/>
        </w:rPr>
      </w:pPr>
    </w:p>
    <w:p w14:paraId="3D3E2E16">
      <w:pPr>
        <w:autoSpaceDE w:val="0"/>
        <w:autoSpaceDN w:val="0"/>
        <w:adjustRightInd w:val="0"/>
        <w:spacing w:line="360" w:lineRule="auto"/>
        <w:jc w:val="left"/>
        <w:rPr>
          <w:rFonts w:hint="eastAsia" w:ascii="宋体" w:hAnsi="宋体" w:eastAsia="宋体" w:cs="宋体"/>
          <w:kern w:val="0"/>
          <w:sz w:val="24"/>
          <w:szCs w:val="24"/>
        </w:rPr>
      </w:pPr>
    </w:p>
    <w:p w14:paraId="3D73BABE">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AAF77F0">
      <w:pPr>
        <w:autoSpaceDE w:val="0"/>
        <w:autoSpaceDN w:val="0"/>
        <w:adjustRightInd w:val="0"/>
        <w:spacing w:line="360" w:lineRule="auto"/>
        <w:jc w:val="left"/>
        <w:rPr>
          <w:rFonts w:hint="eastAsia" w:ascii="宋体" w:hAnsi="宋体" w:eastAsia="宋体" w:cs="宋体"/>
          <w:kern w:val="0"/>
          <w:sz w:val="24"/>
          <w:szCs w:val="24"/>
        </w:rPr>
      </w:pPr>
    </w:p>
    <w:p w14:paraId="315EEBD0">
      <w:pPr>
        <w:autoSpaceDE w:val="0"/>
        <w:autoSpaceDN w:val="0"/>
        <w:adjustRightInd w:val="0"/>
        <w:spacing w:line="360" w:lineRule="auto"/>
        <w:jc w:val="left"/>
        <w:rPr>
          <w:rFonts w:hint="eastAsia" w:ascii="宋体" w:hAnsi="宋体" w:eastAsia="宋体" w:cs="宋体"/>
          <w:kern w:val="0"/>
          <w:sz w:val="24"/>
          <w:szCs w:val="24"/>
        </w:rPr>
      </w:pPr>
    </w:p>
    <w:p w14:paraId="4BEA79F5">
      <w:pPr>
        <w:autoSpaceDE w:val="0"/>
        <w:autoSpaceDN w:val="0"/>
        <w:adjustRightInd w:val="0"/>
        <w:spacing w:line="360" w:lineRule="auto"/>
        <w:ind w:firstLine="3907" w:firstLineChars="1628"/>
        <w:jc w:val="left"/>
        <w:rPr>
          <w:rFonts w:hint="eastAsia" w:ascii="宋体" w:hAnsi="宋体" w:eastAsia="宋体" w:cs="宋体"/>
          <w:kern w:val="0"/>
          <w:sz w:val="24"/>
          <w:szCs w:val="24"/>
        </w:rPr>
      </w:pPr>
    </w:p>
    <w:p w14:paraId="54F6CA22">
      <w:pPr>
        <w:autoSpaceDE w:val="0"/>
        <w:autoSpaceDN w:val="0"/>
        <w:adjustRightInd w:val="0"/>
        <w:spacing w:line="360" w:lineRule="auto"/>
        <w:ind w:firstLine="3907" w:firstLineChars="1628"/>
        <w:jc w:val="left"/>
        <w:rPr>
          <w:rFonts w:hint="eastAsia" w:ascii="宋体" w:hAnsi="宋体" w:eastAsia="宋体" w:cs="宋体"/>
          <w:kern w:val="0"/>
          <w:sz w:val="24"/>
          <w:szCs w:val="24"/>
        </w:rPr>
      </w:pPr>
    </w:p>
    <w:p w14:paraId="574189F0">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法定代表人或其委托代理人：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（签字或盖章）</w:t>
      </w:r>
    </w:p>
    <w:p w14:paraId="1A0FEB4E">
      <w:pPr>
        <w:autoSpaceDE w:val="0"/>
        <w:autoSpaceDN w:val="0"/>
        <w:adjustRightInd w:val="0"/>
        <w:spacing w:line="360" w:lineRule="auto"/>
        <w:ind w:firstLine="3907" w:firstLineChars="1628"/>
        <w:jc w:val="left"/>
        <w:rPr>
          <w:rFonts w:hint="eastAsia" w:ascii="宋体" w:hAnsi="宋体" w:eastAsia="宋体" w:cs="宋体"/>
          <w:kern w:val="0"/>
          <w:sz w:val="24"/>
          <w:szCs w:val="24"/>
        </w:rPr>
      </w:pPr>
    </w:p>
    <w:p w14:paraId="4036553B">
      <w:pPr>
        <w:autoSpaceDE w:val="0"/>
        <w:autoSpaceDN w:val="0"/>
        <w:adjustRightInd w:val="0"/>
        <w:spacing w:line="360" w:lineRule="auto"/>
        <w:ind w:firstLine="3907" w:firstLineChars="1628"/>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6C3D1644">
      <w:pPr>
        <w:autoSpaceDE w:val="0"/>
        <w:autoSpaceDN w:val="0"/>
        <w:adjustRightInd w:val="0"/>
        <w:spacing w:line="360" w:lineRule="auto"/>
        <w:jc w:val="left"/>
        <w:rPr>
          <w:rFonts w:hint="eastAsia" w:ascii="宋体" w:hAnsi="宋体" w:eastAsia="宋体" w:cs="宋体"/>
          <w:kern w:val="0"/>
          <w:sz w:val="24"/>
          <w:szCs w:val="24"/>
        </w:rPr>
      </w:pPr>
    </w:p>
    <w:p w14:paraId="54BA04BE">
      <w:pPr>
        <w:autoSpaceDE w:val="0"/>
        <w:autoSpaceDN w:val="0"/>
        <w:adjustRightInd w:val="0"/>
        <w:spacing w:line="360" w:lineRule="auto"/>
        <w:jc w:val="left"/>
        <w:rPr>
          <w:rFonts w:hint="eastAsia" w:ascii="宋体" w:hAnsi="宋体" w:eastAsia="宋体" w:cs="宋体"/>
          <w:kern w:val="0"/>
          <w:sz w:val="24"/>
          <w:szCs w:val="24"/>
        </w:rPr>
      </w:pPr>
    </w:p>
    <w:p w14:paraId="12BB4A72">
      <w:pPr>
        <w:spacing w:line="400" w:lineRule="exact"/>
        <w:rPr>
          <w:rFonts w:hint="eastAsia" w:ascii="宋体" w:hAnsi="宋体" w:eastAsia="宋体" w:cs="宋体"/>
          <w:color w:val="000000"/>
          <w:sz w:val="24"/>
          <w:szCs w:val="24"/>
        </w:rPr>
      </w:pPr>
      <w:bookmarkStart w:id="580" w:name="_Toc513660441"/>
      <w:bookmarkStart w:id="581" w:name="_Toc513391566"/>
    </w:p>
    <w:p w14:paraId="039EFC90">
      <w:pPr>
        <w:rPr>
          <w:rFonts w:hint="eastAsia" w:ascii="宋体" w:hAnsi="宋体" w:eastAsia="宋体" w:cs="宋体"/>
          <w:sz w:val="24"/>
          <w:szCs w:val="24"/>
        </w:rPr>
      </w:pPr>
    </w:p>
    <w:p w14:paraId="2028BAD0">
      <w:pPr>
        <w:rPr>
          <w:rFonts w:hint="eastAsia" w:ascii="宋体" w:hAnsi="宋体" w:eastAsia="宋体" w:cs="宋体"/>
          <w:sz w:val="24"/>
          <w:szCs w:val="24"/>
        </w:rPr>
      </w:pPr>
    </w:p>
    <w:p w14:paraId="34F6B402">
      <w:pPr>
        <w:rPr>
          <w:rFonts w:hint="eastAsia" w:ascii="宋体" w:hAnsi="宋体" w:eastAsia="宋体" w:cs="宋体"/>
          <w:sz w:val="24"/>
          <w:szCs w:val="24"/>
        </w:rPr>
      </w:pPr>
    </w:p>
    <w:bookmarkEnd w:id="580"/>
    <w:bookmarkEnd w:id="581"/>
    <w:p w14:paraId="67F2D025">
      <w:pPr>
        <w:pStyle w:val="2"/>
        <w:spacing w:before="120" w:after="120" w:line="360" w:lineRule="auto"/>
        <w:jc w:val="center"/>
        <w:rPr>
          <w:rFonts w:hint="eastAsia" w:ascii="宋体" w:hAnsi="宋体" w:eastAsia="宋体" w:cs="宋体"/>
          <w:bCs w:val="0"/>
          <w:color w:val="FF0000"/>
          <w:sz w:val="28"/>
          <w:szCs w:val="28"/>
          <w:highlight w:val="none"/>
          <w:lang w:eastAsia="zh-CN"/>
        </w:rPr>
      </w:pPr>
      <w:bookmarkStart w:id="582" w:name="_Toc2253"/>
      <w:r>
        <w:rPr>
          <w:rFonts w:hint="eastAsia" w:ascii="宋体" w:hAnsi="宋体" w:eastAsia="宋体" w:cs="宋体"/>
          <w:bCs w:val="0"/>
          <w:sz w:val="28"/>
          <w:szCs w:val="28"/>
          <w:highlight w:val="none"/>
        </w:rPr>
        <w:t xml:space="preserve">第三章  </w:t>
      </w:r>
      <w:r>
        <w:rPr>
          <w:rFonts w:hint="eastAsia" w:ascii="宋体" w:hAnsi="宋体" w:cs="宋体"/>
          <w:bCs w:val="0"/>
          <w:sz w:val="28"/>
          <w:szCs w:val="28"/>
          <w:highlight w:val="none"/>
          <w:lang w:eastAsia="zh-CN"/>
        </w:rPr>
        <w:t>评审</w:t>
      </w:r>
      <w:r>
        <w:rPr>
          <w:rFonts w:hint="eastAsia" w:ascii="宋体" w:hAnsi="宋体" w:eastAsia="宋体" w:cs="宋体"/>
          <w:bCs w:val="0"/>
          <w:sz w:val="28"/>
          <w:szCs w:val="28"/>
          <w:highlight w:val="none"/>
        </w:rPr>
        <w:t>办法（综合评分法）</w:t>
      </w:r>
      <w:bookmarkEnd w:id="570"/>
      <w:bookmarkEnd w:id="571"/>
      <w:bookmarkEnd w:id="572"/>
      <w:bookmarkEnd w:id="582"/>
    </w:p>
    <w:bookmarkEnd w:id="573"/>
    <w:bookmarkEnd w:id="574"/>
    <w:bookmarkEnd w:id="575"/>
    <w:p w14:paraId="26AD84EA">
      <w:pPr>
        <w:pStyle w:val="39"/>
        <w:spacing w:line="360" w:lineRule="auto"/>
        <w:jc w:val="center"/>
        <w:rPr>
          <w:rFonts w:hint="eastAsia" w:ascii="宋体" w:hAnsi="宋体" w:eastAsia="宋体" w:cs="宋体"/>
          <w:b/>
          <w:color w:val="auto"/>
          <w:sz w:val="24"/>
          <w:szCs w:val="24"/>
        </w:rPr>
      </w:pPr>
      <w:bookmarkStart w:id="583" w:name="_Toc466298139"/>
      <w:bookmarkStart w:id="584" w:name="_Toc27806"/>
      <w:bookmarkStart w:id="585" w:name="_Toc144974566"/>
      <w:bookmarkStart w:id="586" w:name="_Toc455080156"/>
      <w:bookmarkStart w:id="587" w:name="_Toc485131200"/>
      <w:bookmarkStart w:id="588" w:name="_Toc318450721"/>
      <w:bookmarkStart w:id="589" w:name="_Toc455867816"/>
      <w:bookmarkStart w:id="590" w:name="_Toc152045599"/>
      <w:bookmarkStart w:id="591" w:name="_Toc152042376"/>
      <w:bookmarkStart w:id="592" w:name="_Toc281405527"/>
      <w:r>
        <w:rPr>
          <w:rFonts w:hint="eastAsia" w:hAnsi="宋体" w:cs="宋体"/>
          <w:b/>
          <w:color w:val="auto"/>
          <w:sz w:val="24"/>
          <w:szCs w:val="24"/>
          <w:lang w:eastAsia="zh-CN"/>
        </w:rPr>
        <w:t>评审</w:t>
      </w:r>
      <w:r>
        <w:rPr>
          <w:rFonts w:hint="eastAsia" w:ascii="宋体" w:hAnsi="宋体" w:eastAsia="宋体" w:cs="宋体"/>
          <w:b/>
          <w:color w:val="auto"/>
          <w:sz w:val="24"/>
          <w:szCs w:val="24"/>
        </w:rPr>
        <w:t>办法前附表</w:t>
      </w:r>
      <w:bookmarkEnd w:id="583"/>
      <w:bookmarkEnd w:id="584"/>
      <w:bookmarkEnd w:id="585"/>
      <w:bookmarkEnd w:id="586"/>
      <w:bookmarkEnd w:id="587"/>
      <w:bookmarkEnd w:id="588"/>
      <w:bookmarkEnd w:id="589"/>
      <w:bookmarkEnd w:id="590"/>
      <w:bookmarkEnd w:id="591"/>
      <w:bookmarkEnd w:id="592"/>
    </w:p>
    <w:tbl>
      <w:tblPr>
        <w:tblStyle w:val="20"/>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8"/>
        <w:gridCol w:w="1523"/>
        <w:gridCol w:w="2007"/>
        <w:gridCol w:w="4832"/>
      </w:tblGrid>
      <w:tr w14:paraId="21D04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651" w:type="dxa"/>
            <w:gridSpan w:val="2"/>
            <w:tcBorders>
              <w:top w:val="single" w:color="auto" w:sz="4" w:space="0"/>
              <w:bottom w:val="single" w:color="auto" w:sz="4" w:space="0"/>
              <w:right w:val="single" w:color="auto" w:sz="4" w:space="0"/>
            </w:tcBorders>
            <w:noWrap w:val="0"/>
            <w:vAlign w:val="center"/>
          </w:tcPr>
          <w:p w14:paraId="495D62BC">
            <w:pPr>
              <w:adjustRightInd w:val="0"/>
              <w:spacing w:line="360" w:lineRule="exact"/>
              <w:jc w:val="center"/>
              <w:textAlignment w:val="baseline"/>
              <w:rPr>
                <w:rFonts w:hint="eastAsia" w:ascii="宋体" w:hAnsi="宋体" w:eastAsia="宋体" w:cs="宋体"/>
                <w:b/>
                <w:sz w:val="21"/>
                <w:szCs w:val="21"/>
              </w:rPr>
            </w:pPr>
            <w:r>
              <w:rPr>
                <w:rFonts w:hint="eastAsia" w:ascii="宋体" w:hAnsi="宋体" w:eastAsia="宋体" w:cs="宋体"/>
                <w:b/>
                <w:sz w:val="21"/>
                <w:szCs w:val="21"/>
              </w:rPr>
              <w:t>条款号</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7414472A">
            <w:pPr>
              <w:adjustRightInd w:val="0"/>
              <w:spacing w:line="360" w:lineRule="exact"/>
              <w:jc w:val="center"/>
              <w:textAlignment w:val="baseline"/>
              <w:rPr>
                <w:rFonts w:hint="eastAsia" w:ascii="宋体" w:hAnsi="宋体" w:eastAsia="宋体" w:cs="宋体"/>
                <w:b/>
                <w:sz w:val="21"/>
                <w:szCs w:val="21"/>
              </w:rPr>
            </w:pPr>
            <w:r>
              <w:rPr>
                <w:rFonts w:hint="eastAsia" w:ascii="宋体" w:hAnsi="宋体" w:eastAsia="宋体" w:cs="宋体"/>
                <w:b/>
                <w:sz w:val="21"/>
                <w:szCs w:val="21"/>
              </w:rPr>
              <w:t>评审因素</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1EF363EA">
            <w:pPr>
              <w:adjustRightInd w:val="0"/>
              <w:spacing w:line="360" w:lineRule="exact"/>
              <w:jc w:val="center"/>
              <w:textAlignment w:val="baseline"/>
              <w:rPr>
                <w:rFonts w:hint="eastAsia" w:ascii="宋体" w:hAnsi="宋体" w:eastAsia="宋体" w:cs="宋体"/>
                <w:b/>
                <w:sz w:val="21"/>
                <w:szCs w:val="21"/>
              </w:rPr>
            </w:pPr>
            <w:r>
              <w:rPr>
                <w:rFonts w:hint="eastAsia" w:ascii="宋体" w:hAnsi="宋体" w:eastAsia="宋体" w:cs="宋体"/>
                <w:b/>
                <w:sz w:val="21"/>
                <w:szCs w:val="21"/>
              </w:rPr>
              <w:t>评审标准</w:t>
            </w:r>
          </w:p>
        </w:tc>
      </w:tr>
      <w:tr w14:paraId="7D26C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restart"/>
            <w:tcBorders>
              <w:top w:val="single" w:color="auto" w:sz="4" w:space="0"/>
              <w:right w:val="single" w:color="auto" w:sz="4" w:space="0"/>
            </w:tcBorders>
            <w:noWrap w:val="0"/>
            <w:vAlign w:val="center"/>
          </w:tcPr>
          <w:p w14:paraId="275F2263">
            <w:pPr>
              <w:pStyle w:val="39"/>
              <w:spacing w:line="360" w:lineRule="auto"/>
              <w:jc w:val="center"/>
              <w:rPr>
                <w:rFonts w:hint="eastAsia" w:ascii="宋体" w:hAnsi="宋体" w:eastAsia="宋体" w:cs="宋体"/>
                <w:b/>
                <w:sz w:val="21"/>
                <w:szCs w:val="21"/>
              </w:rPr>
            </w:pPr>
            <w:r>
              <w:rPr>
                <w:rFonts w:hint="eastAsia" w:ascii="宋体" w:hAnsi="宋体" w:eastAsia="宋体" w:cs="宋体"/>
                <w:color w:val="auto"/>
                <w:sz w:val="21"/>
                <w:szCs w:val="21"/>
                <w:lang w:val="en-US" w:eastAsia="zh-CN"/>
              </w:rPr>
              <w:t>2.1.1</w:t>
            </w:r>
          </w:p>
        </w:tc>
        <w:tc>
          <w:tcPr>
            <w:tcW w:w="1523" w:type="dxa"/>
            <w:vMerge w:val="restart"/>
            <w:tcBorders>
              <w:top w:val="single" w:color="auto" w:sz="4" w:space="0"/>
              <w:right w:val="single" w:color="auto" w:sz="4" w:space="0"/>
            </w:tcBorders>
            <w:noWrap w:val="0"/>
            <w:vAlign w:val="center"/>
          </w:tcPr>
          <w:p w14:paraId="252E58E7">
            <w:pPr>
              <w:pStyle w:val="39"/>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rPr>
              <w:t>形式评审标准</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6BA2F4C4">
            <w:pPr>
              <w:pStyle w:val="39"/>
              <w:spacing w:line="360" w:lineRule="exact"/>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7B174A20">
            <w:pPr>
              <w:pStyle w:val="39"/>
              <w:spacing w:line="360" w:lineRule="exact"/>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rPr>
              <w:t>与营业执照</w:t>
            </w:r>
            <w:r>
              <w:rPr>
                <w:rFonts w:hint="eastAsia" w:hAnsi="宋体" w:cs="宋体"/>
                <w:color w:val="auto"/>
                <w:sz w:val="21"/>
                <w:szCs w:val="21"/>
                <w:lang w:eastAsia="zh-CN"/>
              </w:rPr>
              <w:t>、</w:t>
            </w:r>
            <w:r>
              <w:rPr>
                <w:rFonts w:hint="eastAsia" w:hAnsi="宋体" w:cs="宋体"/>
                <w:color w:val="auto"/>
                <w:sz w:val="21"/>
                <w:szCs w:val="21"/>
                <w:lang w:val="en-US" w:eastAsia="zh-CN"/>
              </w:rPr>
              <w:t>资质证书</w:t>
            </w:r>
            <w:r>
              <w:rPr>
                <w:rFonts w:hint="eastAsia" w:ascii="宋体" w:hAnsi="宋体" w:eastAsia="宋体" w:cs="宋体"/>
                <w:color w:val="auto"/>
                <w:sz w:val="21"/>
                <w:szCs w:val="21"/>
              </w:rPr>
              <w:t>一致</w:t>
            </w:r>
          </w:p>
        </w:tc>
      </w:tr>
      <w:tr w14:paraId="49FD5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right w:val="single" w:color="auto" w:sz="4" w:space="0"/>
            </w:tcBorders>
            <w:noWrap w:val="0"/>
            <w:vAlign w:val="center"/>
          </w:tcPr>
          <w:p w14:paraId="1745CF9B">
            <w:pPr>
              <w:adjustRightInd w:val="0"/>
              <w:spacing w:line="360" w:lineRule="exact"/>
              <w:jc w:val="center"/>
              <w:textAlignment w:val="baseline"/>
              <w:rPr>
                <w:rFonts w:hint="eastAsia" w:ascii="宋体" w:hAnsi="宋体" w:eastAsia="宋体" w:cs="宋体"/>
                <w:b/>
                <w:sz w:val="21"/>
                <w:szCs w:val="21"/>
              </w:rPr>
            </w:pPr>
          </w:p>
        </w:tc>
        <w:tc>
          <w:tcPr>
            <w:tcW w:w="1523" w:type="dxa"/>
            <w:vMerge w:val="continue"/>
            <w:tcBorders>
              <w:right w:val="single" w:color="auto" w:sz="4" w:space="0"/>
            </w:tcBorders>
            <w:noWrap w:val="0"/>
            <w:vAlign w:val="center"/>
          </w:tcPr>
          <w:p w14:paraId="5722CEC7">
            <w:pPr>
              <w:adjustRightInd w:val="0"/>
              <w:spacing w:line="360" w:lineRule="exact"/>
              <w:jc w:val="center"/>
              <w:textAlignment w:val="baseline"/>
              <w:rPr>
                <w:rFonts w:hint="eastAsia" w:ascii="宋体" w:hAnsi="宋体" w:eastAsia="宋体" w:cs="宋体"/>
                <w:b/>
                <w:sz w:val="21"/>
                <w:szCs w:val="21"/>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6A583EA2">
            <w:pPr>
              <w:pStyle w:val="39"/>
              <w:spacing w:line="360" w:lineRule="exact"/>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rPr>
              <w:t>2.磋商函签字盖章</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6802EE97">
            <w:pPr>
              <w:pStyle w:val="39"/>
              <w:spacing w:line="360" w:lineRule="exact"/>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auto"/>
                <w:sz w:val="21"/>
                <w:szCs w:val="21"/>
                <w:highlight w:val="none"/>
              </w:rPr>
              <w:t>有法定代表人或其委托代理人签字或盖章并加盖单位</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rPr>
              <w:t>章</w:t>
            </w:r>
          </w:p>
        </w:tc>
      </w:tr>
      <w:tr w14:paraId="5827B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right w:val="single" w:color="auto" w:sz="4" w:space="0"/>
            </w:tcBorders>
            <w:noWrap w:val="0"/>
            <w:vAlign w:val="center"/>
          </w:tcPr>
          <w:p w14:paraId="189950E5">
            <w:pPr>
              <w:adjustRightInd w:val="0"/>
              <w:spacing w:line="360" w:lineRule="exact"/>
              <w:jc w:val="center"/>
              <w:textAlignment w:val="baseline"/>
              <w:rPr>
                <w:rFonts w:hint="eastAsia" w:ascii="宋体" w:hAnsi="宋体" w:eastAsia="宋体" w:cs="宋体"/>
                <w:b/>
                <w:sz w:val="21"/>
                <w:szCs w:val="21"/>
              </w:rPr>
            </w:pPr>
          </w:p>
        </w:tc>
        <w:tc>
          <w:tcPr>
            <w:tcW w:w="1523" w:type="dxa"/>
            <w:vMerge w:val="continue"/>
            <w:tcBorders>
              <w:right w:val="single" w:color="auto" w:sz="4" w:space="0"/>
            </w:tcBorders>
            <w:noWrap w:val="0"/>
            <w:vAlign w:val="center"/>
          </w:tcPr>
          <w:p w14:paraId="6E758C82">
            <w:pPr>
              <w:adjustRightInd w:val="0"/>
              <w:spacing w:line="360" w:lineRule="exact"/>
              <w:jc w:val="center"/>
              <w:textAlignment w:val="baseline"/>
              <w:rPr>
                <w:rFonts w:hint="eastAsia" w:ascii="宋体" w:hAnsi="宋体" w:eastAsia="宋体" w:cs="宋体"/>
                <w:b/>
                <w:sz w:val="21"/>
                <w:szCs w:val="21"/>
              </w:rPr>
            </w:pPr>
          </w:p>
        </w:tc>
        <w:tc>
          <w:tcPr>
            <w:tcW w:w="2007" w:type="dxa"/>
            <w:tcBorders>
              <w:top w:val="single" w:color="auto" w:sz="4" w:space="0"/>
              <w:left w:val="single" w:color="auto" w:sz="4" w:space="0"/>
              <w:bottom w:val="single" w:color="auto" w:sz="4" w:space="0"/>
              <w:right w:val="single" w:color="auto" w:sz="4" w:space="0"/>
            </w:tcBorders>
            <w:noWrap w:val="0"/>
            <w:vAlign w:val="center"/>
          </w:tcPr>
          <w:p w14:paraId="11968C4A">
            <w:pPr>
              <w:pStyle w:val="39"/>
              <w:spacing w:line="360" w:lineRule="exact"/>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rPr>
              <w:t>3.响应文件格式</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7F582129">
            <w:pPr>
              <w:pStyle w:val="39"/>
              <w:spacing w:line="360" w:lineRule="exact"/>
              <w:rPr>
                <w:rFonts w:hint="eastAsia" w:ascii="宋体" w:hAnsi="宋体" w:eastAsia="宋体" w:cs="宋体"/>
                <w:color w:val="000000"/>
                <w:sz w:val="21"/>
                <w:szCs w:val="21"/>
                <w:lang w:val="en-US" w:eastAsia="zh-CN" w:bidi="ar-SA"/>
              </w:rPr>
            </w:pPr>
            <w:r>
              <w:rPr>
                <w:rFonts w:hint="eastAsia" w:ascii="宋体" w:hAnsi="宋体" w:eastAsia="宋体" w:cs="宋体"/>
                <w:color w:val="auto"/>
                <w:sz w:val="21"/>
                <w:szCs w:val="21"/>
              </w:rPr>
              <w:t>符合第</w:t>
            </w:r>
            <w:r>
              <w:rPr>
                <w:rFonts w:hint="eastAsia" w:hAnsi="宋体" w:cs="宋体"/>
                <w:color w:val="auto"/>
                <w:sz w:val="21"/>
                <w:szCs w:val="21"/>
                <w:lang w:val="en-US" w:eastAsia="zh-CN"/>
              </w:rPr>
              <w:t>六</w:t>
            </w:r>
            <w:r>
              <w:rPr>
                <w:rFonts w:hint="eastAsia" w:ascii="宋体" w:hAnsi="宋体" w:eastAsia="宋体" w:cs="宋体"/>
                <w:color w:val="auto"/>
                <w:sz w:val="21"/>
                <w:szCs w:val="21"/>
              </w:rPr>
              <w:t>章“竞争性磋商响应文件格式”的要求</w:t>
            </w:r>
          </w:p>
        </w:tc>
      </w:tr>
      <w:tr w14:paraId="39CDA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restart"/>
            <w:tcBorders>
              <w:top w:val="single" w:color="auto" w:sz="4" w:space="0"/>
              <w:right w:val="single" w:color="auto" w:sz="4" w:space="0"/>
            </w:tcBorders>
            <w:noWrap w:val="0"/>
            <w:vAlign w:val="center"/>
          </w:tcPr>
          <w:p w14:paraId="6E22F365">
            <w:pPr>
              <w:pStyle w:val="39"/>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p>
        </w:tc>
        <w:tc>
          <w:tcPr>
            <w:tcW w:w="1523" w:type="dxa"/>
            <w:vMerge w:val="restart"/>
            <w:tcBorders>
              <w:top w:val="single" w:color="auto" w:sz="4" w:space="0"/>
              <w:right w:val="single" w:color="auto" w:sz="4" w:space="0"/>
            </w:tcBorders>
            <w:noWrap w:val="0"/>
            <w:vAlign w:val="center"/>
          </w:tcPr>
          <w:p w14:paraId="09D53948">
            <w:pPr>
              <w:pStyle w:val="39"/>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2007" w:type="dxa"/>
            <w:tcBorders>
              <w:top w:val="single" w:color="auto" w:sz="4" w:space="0"/>
              <w:left w:val="single" w:color="auto" w:sz="4" w:space="0"/>
              <w:right w:val="single" w:color="auto" w:sz="4" w:space="0"/>
            </w:tcBorders>
            <w:noWrap w:val="0"/>
            <w:vAlign w:val="center"/>
          </w:tcPr>
          <w:p w14:paraId="24E3D98E">
            <w:pPr>
              <w:pStyle w:val="39"/>
              <w:keepNext w:val="0"/>
              <w:keepLines w:val="0"/>
              <w:pageBreakBefore w:val="0"/>
              <w:kinsoku/>
              <w:wordWrap/>
              <w:overflowPunct/>
              <w:topLinePunct w:val="0"/>
              <w:bidi w:val="0"/>
              <w:snapToGrid/>
              <w:spacing w:line="340" w:lineRule="exact"/>
              <w:jc w:val="left"/>
              <w:textAlignment w:val="auto"/>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1.</w:t>
            </w:r>
            <w:r>
              <w:rPr>
                <w:rFonts w:hint="eastAsia" w:hAnsi="宋体" w:cs="宋体"/>
                <w:sz w:val="21"/>
                <w:szCs w:val="21"/>
                <w:lang w:val="en-US" w:eastAsia="zh-CN"/>
              </w:rPr>
              <w:t>供应商资质要求</w:t>
            </w:r>
          </w:p>
        </w:tc>
        <w:tc>
          <w:tcPr>
            <w:tcW w:w="4832" w:type="dxa"/>
            <w:tcBorders>
              <w:top w:val="single" w:color="auto" w:sz="4" w:space="0"/>
              <w:left w:val="single" w:color="auto" w:sz="4" w:space="0"/>
              <w:right w:val="single" w:color="auto" w:sz="4" w:space="0"/>
            </w:tcBorders>
            <w:noWrap w:val="0"/>
            <w:vAlign w:val="center"/>
          </w:tcPr>
          <w:p w14:paraId="34F45CA5">
            <w:pPr>
              <w:keepNext w:val="0"/>
              <w:keepLines w:val="0"/>
              <w:pageBreakBefore w:val="0"/>
              <w:kinsoku/>
              <w:wordWrap/>
              <w:overflowPunct/>
              <w:topLinePunct w:val="0"/>
              <w:bidi w:val="0"/>
              <w:snapToGrid/>
              <w:spacing w:line="340" w:lineRule="exact"/>
              <w:jc w:val="left"/>
              <w:textAlignment w:val="auto"/>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lang w:val="en-US" w:eastAsia="zh-CN" w:bidi="ar-SA"/>
              </w:rPr>
              <w:t>符合第二章“</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须知前附表1.4.1”规定</w:t>
            </w:r>
          </w:p>
        </w:tc>
      </w:tr>
      <w:tr w14:paraId="59CF8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right w:val="single" w:color="auto" w:sz="4" w:space="0"/>
            </w:tcBorders>
            <w:noWrap w:val="0"/>
            <w:vAlign w:val="center"/>
          </w:tcPr>
          <w:p w14:paraId="1238CC27">
            <w:pPr>
              <w:pStyle w:val="39"/>
              <w:spacing w:line="360" w:lineRule="auto"/>
              <w:jc w:val="left"/>
              <w:rPr>
                <w:rFonts w:hint="eastAsia" w:ascii="宋体" w:hAnsi="宋体" w:eastAsia="宋体" w:cs="宋体"/>
                <w:color w:val="auto"/>
                <w:sz w:val="21"/>
                <w:szCs w:val="21"/>
              </w:rPr>
            </w:pPr>
          </w:p>
        </w:tc>
        <w:tc>
          <w:tcPr>
            <w:tcW w:w="1523" w:type="dxa"/>
            <w:vMerge w:val="continue"/>
            <w:tcBorders>
              <w:right w:val="single" w:color="auto" w:sz="4" w:space="0"/>
            </w:tcBorders>
            <w:noWrap w:val="0"/>
            <w:vAlign w:val="center"/>
          </w:tcPr>
          <w:p w14:paraId="59F32D9C">
            <w:pPr>
              <w:pStyle w:val="39"/>
              <w:spacing w:line="360" w:lineRule="exact"/>
              <w:jc w:val="left"/>
              <w:rPr>
                <w:rFonts w:hint="eastAsia" w:ascii="宋体" w:hAnsi="宋体" w:eastAsia="宋体" w:cs="宋体"/>
                <w:color w:val="auto"/>
                <w:sz w:val="21"/>
                <w:szCs w:val="21"/>
              </w:rPr>
            </w:pPr>
          </w:p>
        </w:tc>
        <w:tc>
          <w:tcPr>
            <w:tcW w:w="2007" w:type="dxa"/>
            <w:tcBorders>
              <w:top w:val="single" w:color="auto" w:sz="4" w:space="0"/>
              <w:left w:val="single" w:color="auto" w:sz="4" w:space="0"/>
              <w:right w:val="single" w:color="auto" w:sz="4" w:space="0"/>
            </w:tcBorders>
            <w:noWrap w:val="0"/>
            <w:vAlign w:val="center"/>
          </w:tcPr>
          <w:p w14:paraId="71058186">
            <w:pPr>
              <w:pStyle w:val="39"/>
              <w:keepNext w:val="0"/>
              <w:keepLines w:val="0"/>
              <w:pageBreakBefore w:val="0"/>
              <w:kinsoku/>
              <w:wordWrap/>
              <w:overflowPunct/>
              <w:topLinePunct w:val="0"/>
              <w:bidi w:val="0"/>
              <w:snapToGrid/>
              <w:spacing w:line="340" w:lineRule="exact"/>
              <w:jc w:val="left"/>
              <w:textAlignment w:val="auto"/>
              <w:rPr>
                <w:rFonts w:hint="default" w:ascii="宋体" w:hAnsi="宋体" w:eastAsia="宋体" w:cs="宋体"/>
                <w:i w:val="0"/>
                <w:iCs w:val="0"/>
                <w:color w:val="000000"/>
                <w:sz w:val="21"/>
                <w:szCs w:val="21"/>
                <w:highlight w:val="none"/>
                <w:u w:val="none"/>
                <w:lang w:val="en-US" w:eastAsia="zh-CN" w:bidi="ar-SA"/>
              </w:rPr>
            </w:pPr>
            <w:r>
              <w:rPr>
                <w:rFonts w:hint="eastAsia" w:ascii="宋体" w:hAnsi="宋体" w:eastAsia="宋体" w:cs="宋体"/>
                <w:sz w:val="21"/>
                <w:szCs w:val="21"/>
                <w:lang w:val="en-US" w:eastAsia="zh-CN"/>
              </w:rPr>
              <w:t>2.</w:t>
            </w:r>
            <w:r>
              <w:rPr>
                <w:rFonts w:hint="eastAsia" w:hAnsi="宋体" w:cs="宋体"/>
                <w:sz w:val="21"/>
                <w:szCs w:val="21"/>
                <w:lang w:val="en-US" w:eastAsia="zh-CN"/>
              </w:rPr>
              <w:t>项目总监要求</w:t>
            </w:r>
          </w:p>
        </w:tc>
        <w:tc>
          <w:tcPr>
            <w:tcW w:w="4832" w:type="dxa"/>
            <w:tcBorders>
              <w:top w:val="single" w:color="auto" w:sz="4" w:space="0"/>
              <w:left w:val="single" w:color="auto" w:sz="4" w:space="0"/>
              <w:right w:val="single" w:color="auto" w:sz="4" w:space="0"/>
            </w:tcBorders>
            <w:noWrap w:val="0"/>
            <w:vAlign w:val="center"/>
          </w:tcPr>
          <w:p w14:paraId="645A70C0">
            <w:pPr>
              <w:keepNext w:val="0"/>
              <w:keepLines w:val="0"/>
              <w:pageBreakBefore w:val="0"/>
              <w:kinsoku/>
              <w:wordWrap/>
              <w:overflowPunct/>
              <w:topLinePunct w:val="0"/>
              <w:bidi w:val="0"/>
              <w:snapToGrid/>
              <w:spacing w:line="34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符合第二章“</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须知前附表1.4.1”规定</w:t>
            </w:r>
          </w:p>
        </w:tc>
      </w:tr>
      <w:tr w14:paraId="75BC2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right w:val="single" w:color="auto" w:sz="4" w:space="0"/>
            </w:tcBorders>
            <w:noWrap w:val="0"/>
            <w:vAlign w:val="center"/>
          </w:tcPr>
          <w:p w14:paraId="0959F9FE">
            <w:pPr>
              <w:pStyle w:val="39"/>
              <w:spacing w:line="360" w:lineRule="auto"/>
              <w:jc w:val="left"/>
              <w:rPr>
                <w:rFonts w:hint="eastAsia" w:ascii="宋体" w:hAnsi="宋体" w:eastAsia="宋体" w:cs="宋体"/>
                <w:color w:val="auto"/>
                <w:sz w:val="21"/>
                <w:szCs w:val="21"/>
              </w:rPr>
            </w:pPr>
          </w:p>
        </w:tc>
        <w:tc>
          <w:tcPr>
            <w:tcW w:w="1523" w:type="dxa"/>
            <w:vMerge w:val="continue"/>
            <w:tcBorders>
              <w:right w:val="single" w:color="auto" w:sz="4" w:space="0"/>
            </w:tcBorders>
            <w:noWrap w:val="0"/>
            <w:vAlign w:val="center"/>
          </w:tcPr>
          <w:p w14:paraId="0541009F">
            <w:pPr>
              <w:pStyle w:val="39"/>
              <w:spacing w:line="360" w:lineRule="exact"/>
              <w:jc w:val="left"/>
              <w:rPr>
                <w:rFonts w:hint="eastAsia" w:ascii="宋体" w:hAnsi="宋体" w:eastAsia="宋体" w:cs="宋体"/>
                <w:color w:val="auto"/>
                <w:sz w:val="21"/>
                <w:szCs w:val="21"/>
              </w:rPr>
            </w:pPr>
          </w:p>
        </w:tc>
        <w:tc>
          <w:tcPr>
            <w:tcW w:w="2007" w:type="dxa"/>
            <w:tcBorders>
              <w:top w:val="single" w:color="auto" w:sz="4" w:space="0"/>
              <w:left w:val="single" w:color="auto" w:sz="4" w:space="0"/>
              <w:right w:val="single" w:color="auto" w:sz="4" w:space="0"/>
            </w:tcBorders>
            <w:noWrap w:val="0"/>
            <w:vAlign w:val="center"/>
          </w:tcPr>
          <w:p w14:paraId="251E2B8C">
            <w:pPr>
              <w:spacing w:line="360" w:lineRule="exact"/>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.信誉</w:t>
            </w:r>
            <w:r>
              <w:rPr>
                <w:rFonts w:hint="eastAsia" w:ascii="宋体" w:hAnsi="宋体" w:eastAsia="宋体" w:cs="宋体"/>
                <w:kern w:val="0"/>
                <w:sz w:val="21"/>
                <w:szCs w:val="21"/>
                <w:lang w:val="en-US" w:eastAsia="zh-CN"/>
              </w:rPr>
              <w:t>要求</w:t>
            </w:r>
          </w:p>
        </w:tc>
        <w:tc>
          <w:tcPr>
            <w:tcW w:w="4832" w:type="dxa"/>
            <w:tcBorders>
              <w:top w:val="single" w:color="auto" w:sz="4" w:space="0"/>
              <w:left w:val="single" w:color="auto" w:sz="4" w:space="0"/>
              <w:right w:val="single" w:color="auto" w:sz="4" w:space="0"/>
            </w:tcBorders>
            <w:noWrap w:val="0"/>
            <w:vAlign w:val="center"/>
          </w:tcPr>
          <w:p w14:paraId="5744E299">
            <w:pPr>
              <w:widowControl/>
              <w:shd w:val="clear"/>
              <w:adjustRightInd w:val="0"/>
              <w:spacing w:line="360" w:lineRule="exact"/>
              <w:jc w:val="left"/>
              <w:rPr>
                <w:rFonts w:hint="eastAsia" w:ascii="宋体" w:hAnsi="宋体" w:eastAsia="宋体" w:cs="宋体"/>
                <w:sz w:val="21"/>
                <w:szCs w:val="21"/>
                <w:lang w:bidi="ar"/>
              </w:rPr>
            </w:pPr>
            <w:r>
              <w:rPr>
                <w:rFonts w:hint="eastAsia" w:ascii="宋体" w:hAnsi="宋体" w:eastAsia="宋体" w:cs="宋体"/>
                <w:color w:val="auto"/>
                <w:kern w:val="0"/>
                <w:sz w:val="21"/>
                <w:szCs w:val="21"/>
                <w:highlight w:val="none"/>
                <w:lang w:val="en-US" w:eastAsia="zh-CN" w:bidi="ar-SA"/>
              </w:rPr>
              <w:t>符合第二章“</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须知前附表1.4.1”规定</w:t>
            </w:r>
          </w:p>
        </w:tc>
      </w:tr>
      <w:tr w14:paraId="4A879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restart"/>
            <w:tcBorders>
              <w:top w:val="single" w:color="auto" w:sz="4" w:space="0"/>
              <w:bottom w:val="single" w:color="auto" w:sz="4" w:space="0"/>
              <w:right w:val="single" w:color="auto" w:sz="4" w:space="0"/>
            </w:tcBorders>
            <w:noWrap w:val="0"/>
            <w:vAlign w:val="center"/>
          </w:tcPr>
          <w:p w14:paraId="021E3E95">
            <w:pPr>
              <w:pStyle w:val="39"/>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3</w:t>
            </w:r>
          </w:p>
        </w:tc>
        <w:tc>
          <w:tcPr>
            <w:tcW w:w="1523" w:type="dxa"/>
            <w:vMerge w:val="restart"/>
            <w:tcBorders>
              <w:top w:val="single" w:color="auto" w:sz="4" w:space="0"/>
              <w:bottom w:val="single" w:color="auto" w:sz="4" w:space="0"/>
              <w:right w:val="single" w:color="auto" w:sz="4" w:space="0"/>
            </w:tcBorders>
            <w:noWrap w:val="0"/>
            <w:vAlign w:val="center"/>
          </w:tcPr>
          <w:p w14:paraId="22D3EDE9">
            <w:pPr>
              <w:pStyle w:val="39"/>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响应性评审标准</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4239F0E9">
            <w:pPr>
              <w:pStyle w:val="39"/>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磋商报价</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6C7E0539">
            <w:pPr>
              <w:pStyle w:val="39"/>
              <w:spacing w:line="36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磋商报价在规定的报价要求范围之内，未超出控制价</w:t>
            </w:r>
            <w:r>
              <w:rPr>
                <w:rFonts w:hint="eastAsia" w:ascii="宋体" w:hAnsi="宋体" w:eastAsia="宋体" w:cs="宋体"/>
                <w:color w:val="auto"/>
                <w:sz w:val="21"/>
                <w:szCs w:val="21"/>
                <w:lang w:eastAsia="zh-CN"/>
              </w:rPr>
              <w:t>，每轮只能有一个有效报价</w:t>
            </w:r>
          </w:p>
        </w:tc>
      </w:tr>
      <w:tr w14:paraId="599EC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top w:val="single" w:color="auto" w:sz="4" w:space="0"/>
              <w:right w:val="single" w:color="auto" w:sz="4" w:space="0"/>
            </w:tcBorders>
            <w:noWrap w:val="0"/>
            <w:vAlign w:val="center"/>
          </w:tcPr>
          <w:p w14:paraId="37AC0BA9">
            <w:pPr>
              <w:pStyle w:val="39"/>
              <w:spacing w:line="360" w:lineRule="auto"/>
              <w:jc w:val="center"/>
              <w:rPr>
                <w:rFonts w:hint="eastAsia" w:ascii="宋体" w:hAnsi="宋体" w:eastAsia="宋体" w:cs="宋体"/>
                <w:color w:val="auto"/>
                <w:sz w:val="21"/>
                <w:szCs w:val="21"/>
              </w:rPr>
            </w:pPr>
          </w:p>
        </w:tc>
        <w:tc>
          <w:tcPr>
            <w:tcW w:w="1523" w:type="dxa"/>
            <w:vMerge w:val="continue"/>
            <w:tcBorders>
              <w:top w:val="single" w:color="auto" w:sz="4" w:space="0"/>
              <w:right w:val="single" w:color="auto" w:sz="4" w:space="0"/>
            </w:tcBorders>
            <w:noWrap w:val="0"/>
            <w:vAlign w:val="center"/>
          </w:tcPr>
          <w:p w14:paraId="18301455">
            <w:pPr>
              <w:pStyle w:val="39"/>
              <w:spacing w:line="360" w:lineRule="exact"/>
              <w:jc w:val="center"/>
              <w:rPr>
                <w:rFonts w:hint="eastAsia" w:ascii="宋体" w:hAnsi="宋体" w:eastAsia="宋体" w:cs="宋体"/>
                <w:color w:val="auto"/>
                <w:sz w:val="21"/>
                <w:szCs w:val="21"/>
              </w:rPr>
            </w:pPr>
          </w:p>
        </w:tc>
        <w:tc>
          <w:tcPr>
            <w:tcW w:w="2007" w:type="dxa"/>
            <w:tcBorders>
              <w:top w:val="single" w:color="auto" w:sz="4" w:space="0"/>
              <w:left w:val="single" w:color="auto" w:sz="4" w:space="0"/>
              <w:right w:val="single" w:color="auto" w:sz="4" w:space="0"/>
            </w:tcBorders>
            <w:noWrap w:val="0"/>
            <w:vAlign w:val="center"/>
          </w:tcPr>
          <w:p w14:paraId="29867453">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磋商</w:t>
            </w:r>
            <w:r>
              <w:rPr>
                <w:rFonts w:hint="eastAsia" w:ascii="宋体" w:hAnsi="宋体" w:eastAsia="宋体" w:cs="宋体"/>
                <w:sz w:val="21"/>
                <w:szCs w:val="21"/>
              </w:rPr>
              <w:t>范围</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7BAEF33B">
            <w:pPr>
              <w:adjustRightInd w:val="0"/>
              <w:spacing w:line="360" w:lineRule="exact"/>
              <w:jc w:val="left"/>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符合第二章“</w:t>
            </w:r>
            <w:r>
              <w:rPr>
                <w:rFonts w:hint="eastAsia" w:ascii="宋体" w:hAnsi="宋体" w:eastAsia="宋体" w:cs="宋体"/>
                <w:sz w:val="21"/>
                <w:szCs w:val="21"/>
                <w:lang w:eastAsia="zh-CN"/>
              </w:rPr>
              <w:t>供应商</w:t>
            </w:r>
            <w:r>
              <w:rPr>
                <w:rFonts w:hint="eastAsia" w:ascii="宋体" w:hAnsi="宋体" w:eastAsia="宋体" w:cs="宋体"/>
                <w:sz w:val="21"/>
                <w:szCs w:val="21"/>
              </w:rPr>
              <w:t>须知</w:t>
            </w:r>
            <w:r>
              <w:rPr>
                <w:rFonts w:hint="eastAsia" w:ascii="宋体" w:hAnsi="宋体" w:eastAsia="宋体" w:cs="宋体"/>
                <w:sz w:val="21"/>
                <w:szCs w:val="21"/>
                <w:lang w:eastAsia="zh-CN"/>
              </w:rPr>
              <w:t>前附表</w:t>
            </w:r>
            <w:r>
              <w:rPr>
                <w:rFonts w:hint="eastAsia" w:ascii="宋体" w:hAnsi="宋体" w:eastAsia="宋体" w:cs="宋体"/>
                <w:sz w:val="21"/>
                <w:szCs w:val="21"/>
              </w:rPr>
              <w:t>”第1.3.1项规定</w:t>
            </w:r>
          </w:p>
        </w:tc>
      </w:tr>
      <w:tr w14:paraId="3EFD0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right w:val="single" w:color="auto" w:sz="4" w:space="0"/>
            </w:tcBorders>
            <w:noWrap w:val="0"/>
            <w:vAlign w:val="center"/>
          </w:tcPr>
          <w:p w14:paraId="3857B870">
            <w:pPr>
              <w:pStyle w:val="39"/>
              <w:spacing w:line="360" w:lineRule="auto"/>
              <w:jc w:val="center"/>
              <w:rPr>
                <w:rFonts w:hint="eastAsia" w:ascii="宋体" w:hAnsi="宋体" w:eastAsia="宋体" w:cs="宋体"/>
                <w:color w:val="auto"/>
                <w:sz w:val="21"/>
                <w:szCs w:val="21"/>
              </w:rPr>
            </w:pPr>
          </w:p>
        </w:tc>
        <w:tc>
          <w:tcPr>
            <w:tcW w:w="1523" w:type="dxa"/>
            <w:vMerge w:val="continue"/>
            <w:tcBorders>
              <w:right w:val="single" w:color="auto" w:sz="4" w:space="0"/>
            </w:tcBorders>
            <w:noWrap w:val="0"/>
            <w:vAlign w:val="center"/>
          </w:tcPr>
          <w:p w14:paraId="7852F197">
            <w:pPr>
              <w:pStyle w:val="39"/>
              <w:spacing w:line="360" w:lineRule="exact"/>
              <w:jc w:val="center"/>
              <w:rPr>
                <w:rFonts w:hint="eastAsia" w:ascii="宋体" w:hAnsi="宋体" w:eastAsia="宋体" w:cs="宋体"/>
                <w:color w:val="auto"/>
                <w:sz w:val="21"/>
                <w:szCs w:val="21"/>
              </w:rPr>
            </w:pPr>
          </w:p>
        </w:tc>
        <w:tc>
          <w:tcPr>
            <w:tcW w:w="2007" w:type="dxa"/>
            <w:tcBorders>
              <w:top w:val="single" w:color="auto" w:sz="4" w:space="0"/>
              <w:left w:val="single" w:color="auto" w:sz="4" w:space="0"/>
              <w:right w:val="single" w:color="auto" w:sz="4" w:space="0"/>
            </w:tcBorders>
            <w:noWrap w:val="0"/>
            <w:vAlign w:val="center"/>
          </w:tcPr>
          <w:p w14:paraId="106C09F2">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监理服务期限</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086779E6">
            <w:pPr>
              <w:adjustRightInd w:val="0"/>
              <w:spacing w:line="360" w:lineRule="exact"/>
              <w:jc w:val="left"/>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符合第二章“</w:t>
            </w:r>
            <w:r>
              <w:rPr>
                <w:rFonts w:hint="eastAsia" w:ascii="宋体" w:hAnsi="宋体" w:eastAsia="宋体" w:cs="宋体"/>
                <w:sz w:val="21"/>
                <w:szCs w:val="21"/>
                <w:lang w:eastAsia="zh-CN"/>
              </w:rPr>
              <w:t>供应商</w:t>
            </w:r>
            <w:r>
              <w:rPr>
                <w:rFonts w:hint="eastAsia" w:ascii="宋体" w:hAnsi="宋体" w:eastAsia="宋体" w:cs="宋体"/>
                <w:sz w:val="21"/>
                <w:szCs w:val="21"/>
              </w:rPr>
              <w:t>须知</w:t>
            </w:r>
            <w:r>
              <w:rPr>
                <w:rFonts w:hint="eastAsia" w:ascii="宋体" w:hAnsi="宋体" w:eastAsia="宋体" w:cs="宋体"/>
                <w:sz w:val="21"/>
                <w:szCs w:val="21"/>
                <w:lang w:eastAsia="zh-CN"/>
              </w:rPr>
              <w:t>前附表</w:t>
            </w:r>
            <w:r>
              <w:rPr>
                <w:rFonts w:hint="eastAsia" w:ascii="宋体" w:hAnsi="宋体" w:eastAsia="宋体" w:cs="宋体"/>
                <w:sz w:val="21"/>
                <w:szCs w:val="21"/>
              </w:rPr>
              <w:t>”第1.3.2项规定</w:t>
            </w:r>
          </w:p>
        </w:tc>
      </w:tr>
      <w:tr w14:paraId="3C772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right w:val="single" w:color="auto" w:sz="4" w:space="0"/>
            </w:tcBorders>
            <w:noWrap w:val="0"/>
            <w:vAlign w:val="center"/>
          </w:tcPr>
          <w:p w14:paraId="7CFB9B4D">
            <w:pPr>
              <w:pStyle w:val="39"/>
              <w:spacing w:line="360" w:lineRule="auto"/>
              <w:jc w:val="center"/>
              <w:rPr>
                <w:rFonts w:hint="eastAsia" w:ascii="宋体" w:hAnsi="宋体" w:eastAsia="宋体" w:cs="宋体"/>
                <w:color w:val="auto"/>
                <w:sz w:val="21"/>
                <w:szCs w:val="21"/>
              </w:rPr>
            </w:pPr>
          </w:p>
        </w:tc>
        <w:tc>
          <w:tcPr>
            <w:tcW w:w="1523" w:type="dxa"/>
            <w:vMerge w:val="continue"/>
            <w:tcBorders>
              <w:right w:val="single" w:color="auto" w:sz="4" w:space="0"/>
            </w:tcBorders>
            <w:noWrap w:val="0"/>
            <w:vAlign w:val="center"/>
          </w:tcPr>
          <w:p w14:paraId="34BE24B5">
            <w:pPr>
              <w:pStyle w:val="39"/>
              <w:spacing w:line="360" w:lineRule="exact"/>
              <w:jc w:val="center"/>
              <w:rPr>
                <w:rFonts w:hint="eastAsia" w:ascii="宋体" w:hAnsi="宋体" w:eastAsia="宋体" w:cs="宋体"/>
                <w:color w:val="auto"/>
                <w:sz w:val="21"/>
                <w:szCs w:val="21"/>
              </w:rPr>
            </w:pPr>
          </w:p>
        </w:tc>
        <w:tc>
          <w:tcPr>
            <w:tcW w:w="2007" w:type="dxa"/>
            <w:tcBorders>
              <w:top w:val="single" w:color="auto" w:sz="4" w:space="0"/>
              <w:left w:val="single" w:color="auto" w:sz="4" w:space="0"/>
              <w:right w:val="single" w:color="auto" w:sz="4" w:space="0"/>
            </w:tcBorders>
            <w:noWrap w:val="0"/>
            <w:vAlign w:val="center"/>
          </w:tcPr>
          <w:p w14:paraId="7FDFB1AF">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.质量</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03E93890">
            <w:pPr>
              <w:adjustRightInd w:val="0"/>
              <w:spacing w:line="360" w:lineRule="exact"/>
              <w:jc w:val="left"/>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符合第二章“</w:t>
            </w:r>
            <w:r>
              <w:rPr>
                <w:rFonts w:hint="eastAsia" w:ascii="宋体" w:hAnsi="宋体" w:eastAsia="宋体" w:cs="宋体"/>
                <w:sz w:val="21"/>
                <w:szCs w:val="21"/>
                <w:lang w:eastAsia="zh-CN"/>
              </w:rPr>
              <w:t>供应商</w:t>
            </w:r>
            <w:r>
              <w:rPr>
                <w:rFonts w:hint="eastAsia" w:ascii="宋体" w:hAnsi="宋体" w:eastAsia="宋体" w:cs="宋体"/>
                <w:sz w:val="21"/>
                <w:szCs w:val="21"/>
              </w:rPr>
              <w:t>须知</w:t>
            </w:r>
            <w:r>
              <w:rPr>
                <w:rFonts w:hint="eastAsia" w:ascii="宋体" w:hAnsi="宋体" w:eastAsia="宋体" w:cs="宋体"/>
                <w:sz w:val="21"/>
                <w:szCs w:val="21"/>
                <w:lang w:eastAsia="zh-CN"/>
              </w:rPr>
              <w:t>前附表</w:t>
            </w:r>
            <w:r>
              <w:rPr>
                <w:rFonts w:hint="eastAsia" w:ascii="宋体" w:hAnsi="宋体" w:eastAsia="宋体" w:cs="宋体"/>
                <w:sz w:val="21"/>
                <w:szCs w:val="21"/>
              </w:rPr>
              <w:t>”第1.3.3项规定</w:t>
            </w:r>
          </w:p>
        </w:tc>
      </w:tr>
      <w:tr w14:paraId="0E63B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28" w:type="dxa"/>
            <w:vMerge w:val="continue"/>
            <w:tcBorders>
              <w:right w:val="single" w:color="auto" w:sz="4" w:space="0"/>
            </w:tcBorders>
            <w:noWrap w:val="0"/>
            <w:vAlign w:val="center"/>
          </w:tcPr>
          <w:p w14:paraId="78F8BA9F">
            <w:pPr>
              <w:pStyle w:val="39"/>
              <w:spacing w:line="360" w:lineRule="auto"/>
              <w:jc w:val="center"/>
              <w:rPr>
                <w:rFonts w:hint="eastAsia" w:ascii="宋体" w:hAnsi="宋体" w:eastAsia="宋体" w:cs="宋体"/>
                <w:color w:val="auto"/>
                <w:sz w:val="21"/>
                <w:szCs w:val="21"/>
              </w:rPr>
            </w:pPr>
          </w:p>
        </w:tc>
        <w:tc>
          <w:tcPr>
            <w:tcW w:w="1523" w:type="dxa"/>
            <w:vMerge w:val="continue"/>
            <w:tcBorders>
              <w:right w:val="single" w:color="auto" w:sz="4" w:space="0"/>
            </w:tcBorders>
            <w:noWrap w:val="0"/>
            <w:vAlign w:val="center"/>
          </w:tcPr>
          <w:p w14:paraId="3E03C0A2">
            <w:pPr>
              <w:pStyle w:val="39"/>
              <w:spacing w:line="360" w:lineRule="exact"/>
              <w:jc w:val="center"/>
              <w:rPr>
                <w:rFonts w:hint="eastAsia" w:ascii="宋体" w:hAnsi="宋体" w:eastAsia="宋体" w:cs="宋体"/>
                <w:color w:val="auto"/>
                <w:sz w:val="21"/>
                <w:szCs w:val="21"/>
              </w:rPr>
            </w:pPr>
          </w:p>
        </w:tc>
        <w:tc>
          <w:tcPr>
            <w:tcW w:w="2007" w:type="dxa"/>
            <w:tcBorders>
              <w:top w:val="single" w:color="auto" w:sz="4" w:space="0"/>
              <w:left w:val="single" w:color="auto" w:sz="4" w:space="0"/>
              <w:right w:val="single" w:color="auto" w:sz="4" w:space="0"/>
            </w:tcBorders>
            <w:noWrap w:val="0"/>
            <w:vAlign w:val="center"/>
          </w:tcPr>
          <w:p w14:paraId="5FDFB8DD">
            <w:pPr>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r>
              <w:rPr>
                <w:rFonts w:hint="eastAsia" w:ascii="宋体" w:hAnsi="宋体" w:eastAsia="宋体" w:cs="宋体"/>
                <w:sz w:val="21"/>
                <w:szCs w:val="21"/>
              </w:rPr>
              <w:t>.磋商有效期</w:t>
            </w:r>
          </w:p>
        </w:tc>
        <w:tc>
          <w:tcPr>
            <w:tcW w:w="4832" w:type="dxa"/>
            <w:tcBorders>
              <w:top w:val="single" w:color="auto" w:sz="4" w:space="0"/>
              <w:left w:val="single" w:color="auto" w:sz="4" w:space="0"/>
              <w:bottom w:val="single" w:color="auto" w:sz="4" w:space="0"/>
              <w:right w:val="single" w:color="auto" w:sz="4" w:space="0"/>
            </w:tcBorders>
            <w:noWrap w:val="0"/>
            <w:vAlign w:val="center"/>
          </w:tcPr>
          <w:p w14:paraId="3B2EA805">
            <w:pPr>
              <w:adjustRightInd w:val="0"/>
              <w:spacing w:line="360" w:lineRule="exact"/>
              <w:jc w:val="left"/>
              <w:textAlignment w:val="baseline"/>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符合第二章“</w:t>
            </w:r>
            <w:r>
              <w:rPr>
                <w:rFonts w:hint="eastAsia" w:ascii="宋体" w:hAnsi="宋体" w:eastAsia="宋体" w:cs="宋体"/>
                <w:sz w:val="21"/>
                <w:szCs w:val="21"/>
                <w:lang w:eastAsia="zh-CN"/>
              </w:rPr>
              <w:t>供应商</w:t>
            </w:r>
            <w:r>
              <w:rPr>
                <w:rFonts w:hint="eastAsia" w:ascii="宋体" w:hAnsi="宋体" w:eastAsia="宋体" w:cs="宋体"/>
                <w:sz w:val="21"/>
                <w:szCs w:val="21"/>
              </w:rPr>
              <w:t>须知</w:t>
            </w:r>
            <w:r>
              <w:rPr>
                <w:rFonts w:hint="eastAsia" w:ascii="宋体" w:hAnsi="宋体" w:eastAsia="宋体" w:cs="宋体"/>
                <w:sz w:val="21"/>
                <w:szCs w:val="21"/>
                <w:lang w:eastAsia="zh-CN"/>
              </w:rPr>
              <w:t>前附表</w:t>
            </w:r>
            <w:r>
              <w:rPr>
                <w:rFonts w:hint="eastAsia" w:ascii="宋体" w:hAnsi="宋体" w:eastAsia="宋体" w:cs="宋体"/>
                <w:sz w:val="21"/>
                <w:szCs w:val="21"/>
              </w:rPr>
              <w:t>”第3.3.1项规定</w:t>
            </w:r>
          </w:p>
        </w:tc>
      </w:tr>
    </w:tbl>
    <w:p w14:paraId="03CFBA47">
      <w:pPr>
        <w:pStyle w:val="39"/>
        <w:spacing w:line="360" w:lineRule="auto"/>
        <w:jc w:val="both"/>
        <w:rPr>
          <w:rFonts w:hint="eastAsia" w:ascii="宋体" w:hAnsi="宋体" w:eastAsia="宋体" w:cs="宋体"/>
          <w:b/>
          <w:color w:val="auto"/>
          <w:sz w:val="24"/>
          <w:szCs w:val="24"/>
        </w:rPr>
      </w:pPr>
    </w:p>
    <w:p w14:paraId="4E841271">
      <w:pPr>
        <w:pStyle w:val="39"/>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2.2评分细则</w:t>
      </w:r>
    </w:p>
    <w:tbl>
      <w:tblPr>
        <w:tblStyle w:val="20"/>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0"/>
        <w:gridCol w:w="2537"/>
        <w:gridCol w:w="5336"/>
      </w:tblGrid>
      <w:tr w14:paraId="191C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205" w:type="dxa"/>
            <w:gridSpan w:val="2"/>
            <w:noWrap w:val="0"/>
            <w:vAlign w:val="center"/>
          </w:tcPr>
          <w:p w14:paraId="6DC5DBEE">
            <w:pPr>
              <w:pStyle w:val="39"/>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2537" w:type="dxa"/>
            <w:noWrap w:val="0"/>
            <w:vAlign w:val="center"/>
          </w:tcPr>
          <w:p w14:paraId="0686F966">
            <w:pPr>
              <w:pStyle w:val="39"/>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条款内容</w:t>
            </w:r>
          </w:p>
        </w:tc>
        <w:tc>
          <w:tcPr>
            <w:tcW w:w="5336" w:type="dxa"/>
            <w:noWrap w:val="0"/>
            <w:vAlign w:val="center"/>
          </w:tcPr>
          <w:p w14:paraId="4281882C">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编列内容</w:t>
            </w:r>
          </w:p>
        </w:tc>
      </w:tr>
      <w:tr w14:paraId="4CBB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205" w:type="dxa"/>
            <w:gridSpan w:val="2"/>
            <w:noWrap w:val="0"/>
            <w:vAlign w:val="center"/>
          </w:tcPr>
          <w:p w14:paraId="2BF378F2">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2537" w:type="dxa"/>
            <w:noWrap w:val="0"/>
            <w:vAlign w:val="center"/>
          </w:tcPr>
          <w:p w14:paraId="3614E8FB">
            <w:pPr>
              <w:pStyle w:val="3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1A2BE0AE">
            <w:pPr>
              <w:pStyle w:val="3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5336" w:type="dxa"/>
            <w:noWrap w:val="0"/>
            <w:vAlign w:val="center"/>
          </w:tcPr>
          <w:p w14:paraId="532AE7AB">
            <w:pPr>
              <w:spacing w:line="240" w:lineRule="auto"/>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磋商</w:t>
            </w:r>
            <w:r>
              <w:rPr>
                <w:rFonts w:hint="eastAsia" w:ascii="宋体" w:hAnsi="宋体" w:eastAsia="宋体" w:cs="宋体"/>
                <w:sz w:val="21"/>
                <w:szCs w:val="21"/>
                <w:highlight w:val="none"/>
              </w:rPr>
              <w:t>报价：</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 xml:space="preserve">分 </w:t>
            </w:r>
            <w:r>
              <w:rPr>
                <w:rFonts w:hint="eastAsia" w:ascii="宋体" w:hAnsi="宋体" w:eastAsia="宋体" w:cs="宋体"/>
                <w:b/>
                <w:sz w:val="21"/>
                <w:szCs w:val="21"/>
                <w:highlight w:val="none"/>
              </w:rPr>
              <w:t xml:space="preserve"> </w:t>
            </w:r>
          </w:p>
          <w:p w14:paraId="177071B2">
            <w:pPr>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技术部分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 xml:space="preserve">分  </w:t>
            </w:r>
          </w:p>
          <w:p w14:paraId="62E694B7">
            <w:pPr>
              <w:spacing w:line="240" w:lineRule="auto"/>
              <w:rPr>
                <w:rFonts w:hint="eastAsia" w:ascii="宋体" w:hAnsi="宋体" w:eastAsia="宋体" w:cs="宋体"/>
                <w:b/>
                <w:sz w:val="21"/>
                <w:szCs w:val="21"/>
                <w:highlight w:val="none"/>
              </w:rPr>
            </w:pPr>
            <w:r>
              <w:rPr>
                <w:rFonts w:hint="eastAsia" w:ascii="宋体" w:hAnsi="宋体" w:eastAsia="宋体" w:cs="宋体"/>
                <w:sz w:val="21"/>
                <w:szCs w:val="21"/>
                <w:highlight w:val="none"/>
                <w:lang w:val="en-US" w:eastAsia="zh-CN"/>
              </w:rPr>
              <w:t>综合部分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 xml:space="preserve">分 </w:t>
            </w:r>
            <w:r>
              <w:rPr>
                <w:rFonts w:hint="eastAsia" w:ascii="宋体" w:hAnsi="宋体" w:eastAsia="宋体" w:cs="宋体"/>
                <w:b/>
                <w:sz w:val="21"/>
                <w:szCs w:val="21"/>
                <w:highlight w:val="none"/>
              </w:rPr>
              <w:t xml:space="preserve"> </w:t>
            </w:r>
            <w:r>
              <w:rPr>
                <w:rFonts w:hint="eastAsia" w:ascii="宋体" w:hAnsi="宋体" w:eastAsia="宋体" w:cs="宋体"/>
                <w:sz w:val="21"/>
                <w:szCs w:val="21"/>
                <w:highlight w:val="none"/>
              </w:rPr>
              <w:t xml:space="preserve"> </w:t>
            </w:r>
          </w:p>
          <w:p w14:paraId="09041878">
            <w:pPr>
              <w:spacing w:line="240" w:lineRule="auto"/>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评委集体评议分别打分后的算术平均值，即为该单位最终得分。</w:t>
            </w:r>
          </w:p>
        </w:tc>
      </w:tr>
      <w:tr w14:paraId="27A4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205" w:type="dxa"/>
            <w:gridSpan w:val="2"/>
            <w:noWrap w:val="0"/>
            <w:vAlign w:val="center"/>
          </w:tcPr>
          <w:p w14:paraId="5F36294E">
            <w:pPr>
              <w:pStyle w:val="39"/>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2537" w:type="dxa"/>
            <w:noWrap w:val="0"/>
            <w:vAlign w:val="center"/>
          </w:tcPr>
          <w:p w14:paraId="5875B27D">
            <w:pPr>
              <w:pStyle w:val="39"/>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评分因素</w:t>
            </w:r>
          </w:p>
        </w:tc>
        <w:tc>
          <w:tcPr>
            <w:tcW w:w="5336" w:type="dxa"/>
            <w:noWrap w:val="0"/>
            <w:vAlign w:val="center"/>
          </w:tcPr>
          <w:p w14:paraId="60B7825D">
            <w:pPr>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评分标准</w:t>
            </w:r>
          </w:p>
        </w:tc>
      </w:tr>
      <w:tr w14:paraId="6E39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36659A1C">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2.2.2</w:t>
            </w:r>
          </w:p>
          <w:p w14:paraId="26A49204">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70" w:type="dxa"/>
            <w:noWrap w:val="0"/>
            <w:vAlign w:val="center"/>
          </w:tcPr>
          <w:p w14:paraId="6F9A2126">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磋商报价</w:t>
            </w:r>
          </w:p>
          <w:p w14:paraId="4C6F6464">
            <w:pPr>
              <w:spacing w:line="240" w:lineRule="auto"/>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14:paraId="46ACCD48">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3C2748F1">
            <w:pPr>
              <w:pStyle w:val="39"/>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p>
          <w:p w14:paraId="49C86EAF">
            <w:pPr>
              <w:spacing w:line="240" w:lineRule="auto"/>
              <w:ind w:firstLine="735" w:firstLineChars="350"/>
              <w:rPr>
                <w:rFonts w:hint="eastAsia" w:ascii="宋体" w:hAnsi="宋体" w:eastAsia="宋体" w:cs="宋体"/>
                <w:b/>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kern w:val="0"/>
                <w:sz w:val="21"/>
                <w:szCs w:val="21"/>
                <w:highlight w:val="none"/>
                <w:lang w:val="en-US" w:eastAsia="zh-CN" w:bidi="ar-SA"/>
              </w:rPr>
              <w:t>30分</w:t>
            </w:r>
            <w:r>
              <w:rPr>
                <w:rFonts w:hint="eastAsia" w:ascii="宋体" w:hAnsi="宋体" w:eastAsia="宋体" w:cs="宋体"/>
                <w:sz w:val="21"/>
                <w:szCs w:val="21"/>
                <w:highlight w:val="none"/>
              </w:rPr>
              <w:t>）</w:t>
            </w:r>
          </w:p>
          <w:p w14:paraId="4E3D219F">
            <w:pPr>
              <w:pStyle w:val="39"/>
              <w:spacing w:line="240" w:lineRule="auto"/>
              <w:jc w:val="center"/>
              <w:rPr>
                <w:rFonts w:hint="eastAsia" w:ascii="宋体" w:hAnsi="宋体" w:eastAsia="宋体" w:cs="宋体"/>
                <w:color w:val="auto"/>
                <w:sz w:val="21"/>
                <w:szCs w:val="21"/>
                <w:highlight w:val="green"/>
              </w:rPr>
            </w:pPr>
          </w:p>
        </w:tc>
        <w:tc>
          <w:tcPr>
            <w:tcW w:w="5336" w:type="dxa"/>
            <w:noWrap w:val="0"/>
            <w:vAlign w:val="center"/>
          </w:tcPr>
          <w:p w14:paraId="725F4CB8">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满足磋商文件要求且最后报价最低的供应商的价格为磋商基准价，其价格分为满分。其他供应商的价格分统一按照下列公式计算：</w:t>
            </w:r>
          </w:p>
          <w:p w14:paraId="342C8F46">
            <w:pPr>
              <w:keepNext w:val="0"/>
              <w:keepLines w:val="0"/>
              <w:pageBreakBefore w:val="0"/>
              <w:widowControl w:val="0"/>
              <w:kinsoku/>
              <w:wordWrap/>
              <w:overflowPunct/>
              <w:topLinePunct w:val="0"/>
              <w:bidi w:val="0"/>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磋商报价得分=（磋商基准价/最后磋商报价）×</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p w14:paraId="18BD7D45">
            <w:pPr>
              <w:keepNext w:val="0"/>
              <w:keepLines w:val="0"/>
              <w:pageBreakBefore w:val="0"/>
              <w:widowControl w:val="0"/>
              <w:kinsoku/>
              <w:wordWrap/>
              <w:overflowPunct/>
              <w:topLinePunct w:val="0"/>
              <w:autoSpaceDE w:val="0"/>
              <w:autoSpaceDN w:val="0"/>
              <w:bidi w:val="0"/>
              <w:adjustRightInd w:val="0"/>
              <w:snapToGrid/>
              <w:spacing w:line="240" w:lineRule="auto"/>
              <w:ind w:right="97"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sz w:val="21"/>
                <w:szCs w:val="21"/>
                <w:highlight w:val="none"/>
              </w:rPr>
              <w:t>有效供应商是指实质上响应磋商文件要求并通过实质性审核未被作为无效投标处理的供应商。</w:t>
            </w:r>
          </w:p>
          <w:p w14:paraId="7EAECDC7">
            <w:pPr>
              <w:keepNext w:val="0"/>
              <w:keepLines w:val="0"/>
              <w:pageBreakBefore w:val="0"/>
              <w:widowControl w:val="0"/>
              <w:kinsoku/>
              <w:wordWrap/>
              <w:overflowPunct/>
              <w:topLinePunct w:val="0"/>
              <w:autoSpaceDE w:val="0"/>
              <w:autoSpaceDN w:val="0"/>
              <w:bidi w:val="0"/>
              <w:adjustRightInd w:val="0"/>
              <w:snapToGrid/>
              <w:spacing w:line="240" w:lineRule="auto"/>
              <w:ind w:right="97"/>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注：①本项目为专门面向中小企业，评审中价格将均不予扣除。 </w:t>
            </w:r>
          </w:p>
          <w:p w14:paraId="72C910D3">
            <w:pPr>
              <w:keepNext w:val="0"/>
              <w:keepLines w:val="0"/>
              <w:pageBreakBefore w:val="0"/>
              <w:widowControl w:val="0"/>
              <w:kinsoku/>
              <w:wordWrap/>
              <w:overflowPunct/>
              <w:topLinePunct w:val="0"/>
              <w:autoSpaceDE w:val="0"/>
              <w:autoSpaceDN w:val="0"/>
              <w:bidi w:val="0"/>
              <w:adjustRightInd w:val="0"/>
              <w:snapToGrid/>
              <w:spacing w:line="240" w:lineRule="auto"/>
              <w:ind w:right="97"/>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②根据财政部司法部《关于政府采购支持监狱企业发展有关问题的通知》（财库〔2014〕68 号）规定，监狱企业视同小型、微型企业。 </w:t>
            </w:r>
          </w:p>
          <w:p w14:paraId="4CF9BDE6">
            <w:pPr>
              <w:keepNext w:val="0"/>
              <w:keepLines w:val="0"/>
              <w:pageBreakBefore w:val="0"/>
              <w:widowControl w:val="0"/>
              <w:kinsoku/>
              <w:wordWrap/>
              <w:overflowPunct/>
              <w:topLinePunct w:val="0"/>
              <w:autoSpaceDE w:val="0"/>
              <w:autoSpaceDN w:val="0"/>
              <w:bidi w:val="0"/>
              <w:adjustRightInd w:val="0"/>
              <w:snapToGrid/>
              <w:spacing w:line="240" w:lineRule="auto"/>
              <w:ind w:right="9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③根据财政部民政部中国残疾人联合会《关于促进残疾人就业政府采购政策的通知》（财库〔2017〕141 号）规定，残疾人福利性单位视同小型、微型企业。 </w:t>
            </w:r>
          </w:p>
          <w:p w14:paraId="505D29E9">
            <w:pPr>
              <w:keepNext w:val="0"/>
              <w:keepLines w:val="0"/>
              <w:pageBreakBefore w:val="0"/>
              <w:widowControl w:val="0"/>
              <w:kinsoku/>
              <w:wordWrap/>
              <w:overflowPunct/>
              <w:topLinePunct w:val="0"/>
              <w:autoSpaceDE w:val="0"/>
              <w:autoSpaceDN w:val="0"/>
              <w:bidi w:val="0"/>
              <w:adjustRightInd w:val="0"/>
              <w:snapToGrid/>
              <w:spacing w:line="240" w:lineRule="auto"/>
              <w:ind w:right="97"/>
              <w:jc w:val="left"/>
              <w:textAlignment w:val="auto"/>
              <w:rPr>
                <w:rFonts w:hint="default" w:eastAsia="宋体"/>
                <w:lang w:val="en-US" w:eastAsia="zh-CN"/>
              </w:rPr>
            </w:pPr>
            <w:r>
              <w:rPr>
                <w:rFonts w:hint="eastAsia" w:ascii="宋体" w:hAnsi="宋体" w:eastAsia="宋体" w:cs="宋体"/>
                <w:sz w:val="21"/>
                <w:szCs w:val="21"/>
                <w:highlight w:val="none"/>
                <w:lang w:val="en-US" w:eastAsia="zh-CN"/>
              </w:rPr>
              <w:t>若磋商小组认为供应商的报价明显低于成本，有可能影响产品质量或者不能诚信履约的，磋商小组有权要求供应商代表在</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现场合理的时间内提供书面说明，并提交相关证明资料；磋商小组认为供应商代表所提交相关证明资料不能证明其报价合理性的，磋商小组应当否决其投标。</w:t>
            </w:r>
          </w:p>
        </w:tc>
      </w:tr>
      <w:tr w14:paraId="0C8E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Merge w:val="restart"/>
            <w:noWrap w:val="0"/>
            <w:vAlign w:val="center"/>
          </w:tcPr>
          <w:p w14:paraId="5A199180">
            <w:pPr>
              <w:pStyle w:val="39"/>
              <w:spacing w:line="240" w:lineRule="auto"/>
              <w:jc w:val="center"/>
              <w:rPr>
                <w:rFonts w:hint="eastAsia" w:ascii="宋体" w:hAnsi="宋体" w:eastAsia="宋体" w:cs="宋体"/>
                <w:color w:val="auto"/>
                <w:sz w:val="21"/>
                <w:szCs w:val="21"/>
              </w:rPr>
            </w:pPr>
          </w:p>
          <w:p w14:paraId="77A3D158">
            <w:pPr>
              <w:pStyle w:val="39"/>
              <w:spacing w:line="240" w:lineRule="auto"/>
              <w:jc w:val="center"/>
              <w:rPr>
                <w:rFonts w:hint="eastAsia" w:ascii="宋体" w:hAnsi="宋体" w:eastAsia="宋体" w:cs="宋体"/>
                <w:color w:val="auto"/>
                <w:sz w:val="21"/>
                <w:szCs w:val="21"/>
              </w:rPr>
            </w:pPr>
          </w:p>
          <w:p w14:paraId="778E023C">
            <w:pPr>
              <w:pStyle w:val="39"/>
              <w:spacing w:line="240" w:lineRule="auto"/>
              <w:jc w:val="center"/>
              <w:rPr>
                <w:rFonts w:hint="eastAsia" w:ascii="宋体" w:hAnsi="宋体" w:eastAsia="宋体" w:cs="宋体"/>
                <w:color w:val="auto"/>
                <w:sz w:val="21"/>
                <w:szCs w:val="21"/>
              </w:rPr>
            </w:pPr>
          </w:p>
          <w:p w14:paraId="1AB648A3">
            <w:pPr>
              <w:pStyle w:val="39"/>
              <w:spacing w:line="240" w:lineRule="auto"/>
              <w:jc w:val="center"/>
              <w:rPr>
                <w:rFonts w:hint="eastAsia" w:ascii="宋体" w:hAnsi="宋体" w:eastAsia="宋体" w:cs="宋体"/>
                <w:color w:val="auto"/>
                <w:sz w:val="21"/>
                <w:szCs w:val="21"/>
              </w:rPr>
            </w:pPr>
          </w:p>
          <w:p w14:paraId="3C9AD20F">
            <w:pPr>
              <w:pStyle w:val="39"/>
              <w:spacing w:line="240" w:lineRule="auto"/>
              <w:jc w:val="center"/>
              <w:rPr>
                <w:rFonts w:hint="eastAsia" w:ascii="宋体" w:hAnsi="宋体" w:eastAsia="宋体" w:cs="宋体"/>
                <w:color w:val="auto"/>
                <w:sz w:val="21"/>
                <w:szCs w:val="21"/>
              </w:rPr>
            </w:pPr>
          </w:p>
          <w:p w14:paraId="0B4DA1D0">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p w14:paraId="47D97506">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p w14:paraId="3A707AF9">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p w14:paraId="6FF3A189">
            <w:pPr>
              <w:pStyle w:val="39"/>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70" w:type="dxa"/>
            <w:vMerge w:val="restart"/>
            <w:noWrap w:val="0"/>
            <w:vAlign w:val="center"/>
          </w:tcPr>
          <w:p w14:paraId="6DE91563">
            <w:pPr>
              <w:pStyle w:val="39"/>
              <w:spacing w:line="240" w:lineRule="auto"/>
              <w:jc w:val="center"/>
              <w:rPr>
                <w:rFonts w:hint="eastAsia" w:ascii="宋体" w:hAnsi="宋体" w:eastAsia="宋体" w:cs="宋体"/>
                <w:color w:val="auto"/>
                <w:sz w:val="21"/>
                <w:szCs w:val="21"/>
                <w:highlight w:val="none"/>
              </w:rPr>
            </w:pPr>
          </w:p>
          <w:p w14:paraId="1E496AC2">
            <w:pPr>
              <w:pStyle w:val="39"/>
              <w:spacing w:line="240" w:lineRule="auto"/>
              <w:jc w:val="center"/>
              <w:rPr>
                <w:rFonts w:hint="eastAsia" w:ascii="宋体" w:hAnsi="宋体" w:eastAsia="宋体" w:cs="宋体"/>
                <w:color w:val="auto"/>
                <w:sz w:val="21"/>
                <w:szCs w:val="21"/>
                <w:highlight w:val="none"/>
              </w:rPr>
            </w:pPr>
          </w:p>
          <w:p w14:paraId="50175ABB">
            <w:pPr>
              <w:pStyle w:val="39"/>
              <w:spacing w:line="240" w:lineRule="auto"/>
              <w:jc w:val="center"/>
              <w:rPr>
                <w:rFonts w:hint="eastAsia" w:ascii="宋体" w:hAnsi="宋体" w:eastAsia="宋体" w:cs="宋体"/>
                <w:color w:val="auto"/>
                <w:sz w:val="21"/>
                <w:szCs w:val="21"/>
                <w:highlight w:val="none"/>
              </w:rPr>
            </w:pPr>
          </w:p>
          <w:p w14:paraId="06E77C28">
            <w:pPr>
              <w:pStyle w:val="39"/>
              <w:spacing w:line="240" w:lineRule="auto"/>
              <w:jc w:val="center"/>
              <w:rPr>
                <w:rFonts w:hint="eastAsia" w:ascii="宋体" w:hAnsi="宋体" w:eastAsia="宋体" w:cs="宋体"/>
                <w:color w:val="auto"/>
                <w:sz w:val="21"/>
                <w:szCs w:val="21"/>
                <w:highlight w:val="none"/>
              </w:rPr>
            </w:pPr>
          </w:p>
          <w:p w14:paraId="673740CC">
            <w:pPr>
              <w:rPr>
                <w:rFonts w:hint="eastAsia" w:ascii="宋体" w:hAnsi="宋体" w:eastAsia="宋体" w:cs="宋体"/>
                <w:color w:val="auto"/>
                <w:sz w:val="21"/>
                <w:szCs w:val="21"/>
                <w:highlight w:val="none"/>
              </w:rPr>
            </w:pPr>
          </w:p>
          <w:p w14:paraId="1655347D">
            <w:pPr>
              <w:pStyle w:val="10"/>
              <w:rPr>
                <w:rFonts w:hint="eastAsia" w:ascii="宋体" w:hAnsi="宋体" w:eastAsia="宋体" w:cs="宋体"/>
                <w:color w:val="auto"/>
                <w:sz w:val="21"/>
                <w:szCs w:val="21"/>
                <w:highlight w:val="none"/>
              </w:rPr>
            </w:pPr>
          </w:p>
          <w:p w14:paraId="23AA8B8D">
            <w:pPr>
              <w:rPr>
                <w:rFonts w:hint="eastAsia" w:ascii="宋体" w:hAnsi="宋体" w:eastAsia="宋体" w:cs="宋体"/>
                <w:color w:val="auto"/>
                <w:sz w:val="21"/>
                <w:szCs w:val="21"/>
                <w:highlight w:val="none"/>
              </w:rPr>
            </w:pPr>
          </w:p>
          <w:p w14:paraId="297E81FC">
            <w:pPr>
              <w:pStyle w:val="10"/>
              <w:rPr>
                <w:rFonts w:hint="eastAsia" w:ascii="宋体" w:hAnsi="宋体" w:eastAsia="宋体" w:cs="宋体"/>
                <w:color w:val="auto"/>
                <w:sz w:val="21"/>
                <w:szCs w:val="21"/>
                <w:highlight w:val="none"/>
              </w:rPr>
            </w:pPr>
          </w:p>
          <w:p w14:paraId="7BDAA67B">
            <w:pPr>
              <w:rPr>
                <w:rFonts w:hint="eastAsia" w:ascii="宋体" w:hAnsi="宋体" w:eastAsia="宋体" w:cs="宋体"/>
                <w:color w:val="auto"/>
                <w:sz w:val="21"/>
                <w:szCs w:val="21"/>
                <w:highlight w:val="none"/>
              </w:rPr>
            </w:pPr>
          </w:p>
          <w:p w14:paraId="609A9C2C">
            <w:pPr>
              <w:pStyle w:val="10"/>
              <w:rPr>
                <w:rFonts w:hint="eastAsia"/>
              </w:rPr>
            </w:pPr>
          </w:p>
          <w:p w14:paraId="54F1987A">
            <w:pPr>
              <w:pStyle w:val="39"/>
              <w:spacing w:line="240" w:lineRule="auto"/>
              <w:jc w:val="center"/>
              <w:rPr>
                <w:rFonts w:hint="eastAsia" w:ascii="宋体" w:hAnsi="宋体" w:eastAsia="宋体" w:cs="宋体"/>
                <w:color w:val="auto"/>
                <w:sz w:val="21"/>
                <w:szCs w:val="21"/>
                <w:highlight w:val="none"/>
              </w:rPr>
            </w:pPr>
          </w:p>
          <w:p w14:paraId="7ECADCE1">
            <w:pPr>
              <w:pStyle w:val="39"/>
              <w:spacing w:line="240" w:lineRule="auto"/>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监理大纲</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p>
          <w:p w14:paraId="1000A920">
            <w:pPr>
              <w:pStyle w:val="39"/>
              <w:spacing w:line="240" w:lineRule="auto"/>
              <w:jc w:val="center"/>
              <w:rPr>
                <w:rFonts w:hint="eastAsia" w:ascii="宋体" w:hAnsi="宋体" w:eastAsia="宋体" w:cs="宋体"/>
                <w:color w:val="auto"/>
                <w:sz w:val="21"/>
                <w:szCs w:val="21"/>
                <w:highlight w:val="none"/>
              </w:rPr>
            </w:pPr>
          </w:p>
          <w:p w14:paraId="0AA111F0">
            <w:pPr>
              <w:pStyle w:val="39"/>
              <w:spacing w:line="240" w:lineRule="auto"/>
              <w:jc w:val="center"/>
              <w:rPr>
                <w:rFonts w:hint="eastAsia" w:ascii="宋体" w:hAnsi="宋体" w:eastAsia="宋体" w:cs="宋体"/>
                <w:color w:val="auto"/>
                <w:sz w:val="21"/>
                <w:szCs w:val="21"/>
                <w:highlight w:val="none"/>
              </w:rPr>
            </w:pPr>
          </w:p>
          <w:p w14:paraId="7CC917DB">
            <w:pPr>
              <w:pStyle w:val="39"/>
              <w:spacing w:line="240" w:lineRule="auto"/>
              <w:jc w:val="center"/>
              <w:rPr>
                <w:rFonts w:hint="eastAsia" w:ascii="宋体" w:hAnsi="宋体" w:eastAsia="宋体" w:cs="宋体"/>
                <w:color w:val="auto"/>
                <w:sz w:val="21"/>
                <w:szCs w:val="21"/>
                <w:highlight w:val="none"/>
              </w:rPr>
            </w:pPr>
          </w:p>
          <w:p w14:paraId="542F11AA">
            <w:pPr>
              <w:pStyle w:val="39"/>
              <w:spacing w:line="240" w:lineRule="auto"/>
              <w:jc w:val="center"/>
              <w:rPr>
                <w:rFonts w:hint="eastAsia" w:ascii="宋体" w:hAnsi="宋体" w:eastAsia="宋体" w:cs="宋体"/>
                <w:color w:val="auto"/>
                <w:sz w:val="21"/>
                <w:szCs w:val="21"/>
                <w:highlight w:val="none"/>
              </w:rPr>
            </w:pPr>
          </w:p>
          <w:p w14:paraId="4072F6FC">
            <w:pPr>
              <w:pStyle w:val="39"/>
              <w:spacing w:line="240" w:lineRule="auto"/>
              <w:jc w:val="center"/>
              <w:rPr>
                <w:rFonts w:hint="eastAsia" w:ascii="宋体" w:hAnsi="宋体" w:eastAsia="宋体" w:cs="宋体"/>
                <w:color w:val="auto"/>
                <w:sz w:val="21"/>
                <w:szCs w:val="21"/>
                <w:highlight w:val="none"/>
              </w:rPr>
            </w:pPr>
          </w:p>
          <w:p w14:paraId="0945D2C7">
            <w:pPr>
              <w:pStyle w:val="39"/>
              <w:spacing w:line="240" w:lineRule="auto"/>
              <w:jc w:val="center"/>
              <w:rPr>
                <w:rFonts w:hint="eastAsia" w:ascii="宋体" w:hAnsi="宋体" w:eastAsia="宋体" w:cs="宋体"/>
                <w:color w:val="auto"/>
                <w:sz w:val="21"/>
                <w:szCs w:val="21"/>
                <w:highlight w:val="none"/>
              </w:rPr>
            </w:pPr>
          </w:p>
          <w:p w14:paraId="47672273">
            <w:pPr>
              <w:pStyle w:val="39"/>
              <w:spacing w:line="240" w:lineRule="auto"/>
              <w:jc w:val="center"/>
              <w:rPr>
                <w:rFonts w:hint="eastAsia" w:ascii="宋体" w:hAnsi="宋体" w:eastAsia="宋体" w:cs="宋体"/>
                <w:color w:val="auto"/>
                <w:sz w:val="21"/>
                <w:szCs w:val="21"/>
                <w:highlight w:val="none"/>
              </w:rPr>
            </w:pPr>
          </w:p>
          <w:p w14:paraId="0FB7AC74">
            <w:pPr>
              <w:pStyle w:val="39"/>
              <w:spacing w:line="240" w:lineRule="auto"/>
              <w:jc w:val="center"/>
              <w:rPr>
                <w:rFonts w:hint="eastAsia" w:ascii="宋体" w:hAnsi="宋体" w:eastAsia="宋体" w:cs="宋体"/>
                <w:color w:val="auto"/>
                <w:sz w:val="21"/>
                <w:szCs w:val="21"/>
                <w:highlight w:val="none"/>
              </w:rPr>
            </w:pPr>
          </w:p>
          <w:p w14:paraId="4A89F0F0">
            <w:pPr>
              <w:pStyle w:val="39"/>
              <w:spacing w:line="240" w:lineRule="auto"/>
              <w:jc w:val="center"/>
              <w:rPr>
                <w:rFonts w:hint="eastAsia" w:ascii="宋体" w:hAnsi="宋体" w:eastAsia="宋体" w:cs="宋体"/>
                <w:color w:val="auto"/>
                <w:sz w:val="21"/>
                <w:szCs w:val="21"/>
                <w:highlight w:val="none"/>
              </w:rPr>
            </w:pPr>
          </w:p>
          <w:p w14:paraId="562A6C3A">
            <w:pPr>
              <w:pStyle w:val="39"/>
              <w:spacing w:line="240" w:lineRule="auto"/>
              <w:jc w:val="center"/>
              <w:rPr>
                <w:rFonts w:hint="eastAsia" w:ascii="宋体" w:hAnsi="宋体" w:eastAsia="宋体" w:cs="宋体"/>
                <w:color w:val="auto"/>
                <w:sz w:val="21"/>
                <w:szCs w:val="21"/>
                <w:highlight w:val="none"/>
              </w:rPr>
            </w:pPr>
          </w:p>
          <w:p w14:paraId="06B08796">
            <w:pPr>
              <w:pStyle w:val="39"/>
              <w:spacing w:line="240" w:lineRule="auto"/>
              <w:jc w:val="center"/>
              <w:rPr>
                <w:rFonts w:hint="eastAsia" w:ascii="宋体" w:hAnsi="宋体" w:eastAsia="宋体" w:cs="宋体"/>
                <w:color w:val="auto"/>
                <w:sz w:val="21"/>
                <w:szCs w:val="21"/>
                <w:highlight w:val="none"/>
              </w:rPr>
            </w:pPr>
          </w:p>
          <w:p w14:paraId="0B43CB3C">
            <w:pPr>
              <w:pStyle w:val="39"/>
              <w:spacing w:line="240" w:lineRule="auto"/>
              <w:jc w:val="center"/>
              <w:rPr>
                <w:rFonts w:hint="eastAsia" w:ascii="宋体" w:hAnsi="宋体" w:eastAsia="宋体" w:cs="宋体"/>
                <w:color w:val="auto"/>
                <w:sz w:val="21"/>
                <w:szCs w:val="21"/>
                <w:highlight w:val="none"/>
              </w:rPr>
            </w:pPr>
          </w:p>
        </w:tc>
        <w:tc>
          <w:tcPr>
            <w:tcW w:w="2537" w:type="dxa"/>
            <w:noWrap w:val="0"/>
            <w:vAlign w:val="center"/>
          </w:tcPr>
          <w:p w14:paraId="66440B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1、组织机构 （7分）</w:t>
            </w:r>
          </w:p>
        </w:tc>
        <w:tc>
          <w:tcPr>
            <w:tcW w:w="5336" w:type="dxa"/>
            <w:noWrap w:val="0"/>
            <w:vAlign w:val="top"/>
          </w:tcPr>
          <w:p w14:paraId="3159CA72">
            <w:pPr>
              <w:pStyle w:val="3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（1）有现场监理组织机构图得1分；机构设置中考虑公司对现场监理机构监督管理的得1分，此项最多得2分，不提供不得分。 </w:t>
            </w:r>
          </w:p>
          <w:p w14:paraId="57C434EC">
            <w:pPr>
              <w:pStyle w:val="3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（2）有明确的各级监理人员（包括总监、总监代表、专业 监理工程师、监理员、见证员及资料员）岗位职责，得5分， 缺一个岗位职责扣1分，此项扣完为止；</w:t>
            </w:r>
          </w:p>
        </w:tc>
      </w:tr>
      <w:tr w14:paraId="76FD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72653FC0">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66FE77E0">
            <w:pPr>
              <w:pStyle w:val="39"/>
              <w:spacing w:line="240" w:lineRule="auto"/>
              <w:jc w:val="center"/>
              <w:rPr>
                <w:rFonts w:hint="eastAsia" w:ascii="宋体" w:hAnsi="宋体" w:eastAsia="宋体" w:cs="宋体"/>
                <w:color w:val="auto"/>
                <w:sz w:val="21"/>
                <w:szCs w:val="21"/>
                <w:highlight w:val="none"/>
              </w:rPr>
            </w:pPr>
          </w:p>
        </w:tc>
        <w:tc>
          <w:tcPr>
            <w:tcW w:w="2537" w:type="dxa"/>
            <w:noWrap w:val="0"/>
            <w:vAlign w:val="center"/>
          </w:tcPr>
          <w:p w14:paraId="7652E4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2、质量、进度、 造价、安全、 环保监理措施 （10分）</w:t>
            </w:r>
          </w:p>
        </w:tc>
        <w:tc>
          <w:tcPr>
            <w:tcW w:w="5336" w:type="dxa"/>
            <w:noWrap w:val="0"/>
            <w:vAlign w:val="top"/>
          </w:tcPr>
          <w:p w14:paraId="6DF78644">
            <w:pPr>
              <w:pStyle w:val="38"/>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措施合理、可行得10分，基本合理得5分，可行性差的得 1分，不提供不得分</w:t>
            </w:r>
          </w:p>
        </w:tc>
      </w:tr>
      <w:tr w14:paraId="5F70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4AA4CD21">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329603E8">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40CE20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3、合同、信息 管理方案 （3分）</w:t>
            </w:r>
          </w:p>
        </w:tc>
        <w:tc>
          <w:tcPr>
            <w:tcW w:w="5336" w:type="dxa"/>
            <w:noWrap w:val="0"/>
            <w:vAlign w:val="top"/>
          </w:tcPr>
          <w:p w14:paraId="7D6E71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b w:val="0"/>
                <w:bCs w:val="0"/>
                <w:sz w:val="21"/>
                <w:szCs w:val="21"/>
                <w:highlight w:val="none"/>
                <w:lang w:val="en-US" w:eastAsia="zh-CN"/>
              </w:rPr>
              <w:t>有合同、信息管理措施和方法得3分；合同、信息管理措 施方法切实、可行、详尽合理的加1分；没有此项叙述的 不得分。</w:t>
            </w:r>
          </w:p>
        </w:tc>
      </w:tr>
      <w:tr w14:paraId="07CB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469A26CF">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56874F6A">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7B1670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4、监理组织协 调内容及措施 （5分）</w:t>
            </w:r>
          </w:p>
        </w:tc>
        <w:tc>
          <w:tcPr>
            <w:tcW w:w="5336" w:type="dxa"/>
            <w:noWrap w:val="0"/>
            <w:vAlign w:val="top"/>
          </w:tcPr>
          <w:p w14:paraId="00F723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rPr>
            </w:pPr>
            <w:r>
              <w:rPr>
                <w:rFonts w:hint="eastAsia" w:ascii="宋体" w:hAnsi="宋体" w:eastAsia="宋体" w:cs="宋体"/>
                <w:b w:val="0"/>
                <w:bCs w:val="0"/>
                <w:sz w:val="21"/>
                <w:szCs w:val="21"/>
                <w:highlight w:val="none"/>
                <w:lang w:val="en-US" w:eastAsia="zh-CN"/>
              </w:rPr>
              <w:t>有工作协调的措施和方法的得5分；有工作协调的工作方 法和措施详细，技术措施、组织措施、经济措施、合同措 施齐全的加2分；没有此项叙述的不得分。</w:t>
            </w:r>
          </w:p>
        </w:tc>
      </w:tr>
      <w:tr w14:paraId="5F14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07A65DC8">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6CA56814">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58768E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5.旁站监理 措施（5分）</w:t>
            </w:r>
          </w:p>
        </w:tc>
        <w:tc>
          <w:tcPr>
            <w:tcW w:w="5336" w:type="dxa"/>
            <w:noWrap w:val="0"/>
            <w:vAlign w:val="top"/>
          </w:tcPr>
          <w:p w14:paraId="66CE6A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rPr>
            </w:pPr>
            <w:r>
              <w:rPr>
                <w:rFonts w:hint="eastAsia" w:ascii="宋体" w:hAnsi="宋体" w:eastAsia="宋体" w:cs="宋体"/>
                <w:b w:val="0"/>
                <w:bCs w:val="0"/>
                <w:sz w:val="21"/>
                <w:szCs w:val="21"/>
                <w:highlight w:val="none"/>
                <w:lang w:val="en-US" w:eastAsia="zh-CN"/>
              </w:rPr>
              <w:t>有旁站监理措施、设置工程旁站监理部位（过程）的得5 分；旁站监理措施及旁站监理部位设置切实、合理、科学、 有保证的加2分；没有此项叙述的不得分。</w:t>
            </w:r>
          </w:p>
        </w:tc>
      </w:tr>
      <w:tr w14:paraId="6321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0003E369">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082466AF">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5DF66E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6.采用见证取 样、巡视和平 行检验等方式 的措施（5分）</w:t>
            </w:r>
          </w:p>
        </w:tc>
        <w:tc>
          <w:tcPr>
            <w:tcW w:w="5336" w:type="dxa"/>
            <w:noWrap w:val="0"/>
            <w:vAlign w:val="top"/>
          </w:tcPr>
          <w:p w14:paraId="3FDB46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rPr>
            </w:pPr>
            <w:r>
              <w:rPr>
                <w:rFonts w:hint="eastAsia" w:ascii="宋体" w:hAnsi="宋体" w:eastAsia="宋体" w:cs="宋体"/>
                <w:b w:val="0"/>
                <w:bCs w:val="0"/>
                <w:sz w:val="21"/>
                <w:szCs w:val="21"/>
                <w:highlight w:val="none"/>
                <w:lang w:val="en-US" w:eastAsia="zh-CN"/>
              </w:rPr>
              <w:t>措施合理、可行得5分，基本合理得3分，可行性差的得1 分，不提供不得分；</w:t>
            </w:r>
          </w:p>
        </w:tc>
      </w:tr>
      <w:tr w14:paraId="4A97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6888CA3B">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2004A670">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23FC71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7.监理工作 重点、难点分 析（5分）</w:t>
            </w:r>
          </w:p>
        </w:tc>
        <w:tc>
          <w:tcPr>
            <w:tcW w:w="5336" w:type="dxa"/>
            <w:noWrap w:val="0"/>
            <w:vAlign w:val="top"/>
          </w:tcPr>
          <w:p w14:paraId="755E322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rPr>
            </w:pPr>
            <w:r>
              <w:rPr>
                <w:rFonts w:hint="eastAsia" w:ascii="宋体" w:hAnsi="宋体" w:eastAsia="宋体" w:cs="宋体"/>
                <w:b w:val="0"/>
                <w:bCs w:val="0"/>
                <w:sz w:val="21"/>
                <w:szCs w:val="21"/>
                <w:highlight w:val="none"/>
                <w:lang w:val="en-US" w:eastAsia="zh-CN"/>
              </w:rPr>
              <w:t>针对本项目全过程监理内容和时间、周期，提出本次监理 工作的重点、难点分析，并制定应对措施得5分，不能很 好解决监理工作的重点、难点分析，并制定应对措施得2 分，不提供不得分。</w:t>
            </w:r>
          </w:p>
        </w:tc>
      </w:tr>
      <w:tr w14:paraId="3957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60CE9339">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14530F33">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6401C7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8.对本工程 监理的合理化 建议（5分）</w:t>
            </w:r>
          </w:p>
        </w:tc>
        <w:tc>
          <w:tcPr>
            <w:tcW w:w="5336" w:type="dxa"/>
            <w:noWrap w:val="0"/>
            <w:vAlign w:val="top"/>
          </w:tcPr>
          <w:p w14:paraId="73497E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rPr>
            </w:pPr>
            <w:r>
              <w:rPr>
                <w:rFonts w:hint="eastAsia" w:ascii="宋体" w:hAnsi="宋体" w:eastAsia="宋体" w:cs="宋体"/>
                <w:b w:val="0"/>
                <w:bCs w:val="0"/>
                <w:sz w:val="21"/>
                <w:szCs w:val="21"/>
                <w:highlight w:val="none"/>
                <w:lang w:val="en-US" w:eastAsia="zh-CN"/>
              </w:rPr>
              <w:t>针对本项目全过程监理范围及内容、专业，提出监理工作 的合理化建议，得5分，提出监理工作的合理化建议不突 出，不完善的得2分，不提供不得分。</w:t>
            </w:r>
          </w:p>
        </w:tc>
      </w:tr>
      <w:tr w14:paraId="2756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7B45DEB7">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5BF45178">
            <w:pPr>
              <w:pStyle w:val="39"/>
              <w:spacing w:line="240" w:lineRule="auto"/>
              <w:jc w:val="center"/>
              <w:rPr>
                <w:rFonts w:hint="eastAsia" w:ascii="宋体" w:hAnsi="宋体" w:eastAsia="宋体" w:cs="宋体"/>
                <w:color w:val="auto"/>
                <w:sz w:val="21"/>
                <w:szCs w:val="21"/>
              </w:rPr>
            </w:pPr>
          </w:p>
        </w:tc>
        <w:tc>
          <w:tcPr>
            <w:tcW w:w="2537" w:type="dxa"/>
            <w:noWrap w:val="0"/>
            <w:vAlign w:val="center"/>
          </w:tcPr>
          <w:p w14:paraId="2353F1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9.项目后评价（3分）</w:t>
            </w:r>
          </w:p>
        </w:tc>
        <w:tc>
          <w:tcPr>
            <w:tcW w:w="5336" w:type="dxa"/>
            <w:noWrap w:val="0"/>
            <w:vAlign w:val="top"/>
          </w:tcPr>
          <w:p w14:paraId="3A050A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24"/>
                <w:szCs w:val="24"/>
              </w:rPr>
            </w:pPr>
            <w:r>
              <w:rPr>
                <w:rFonts w:hint="eastAsia" w:ascii="宋体" w:hAnsi="宋体" w:eastAsia="宋体" w:cs="宋体"/>
                <w:b w:val="0"/>
                <w:bCs w:val="0"/>
                <w:sz w:val="21"/>
                <w:szCs w:val="21"/>
                <w:highlight w:val="none"/>
                <w:lang w:val="en-US" w:eastAsia="zh-CN"/>
              </w:rPr>
              <w:t>配合采购人做好项目后期评估的各项工作的方案及措施， 合理、可行的得3分，不提供不得分。</w:t>
            </w:r>
          </w:p>
        </w:tc>
      </w:tr>
      <w:tr w14:paraId="7B06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3F93344D">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4DB2D493">
            <w:pPr>
              <w:pStyle w:val="39"/>
              <w:spacing w:line="240" w:lineRule="auto"/>
              <w:jc w:val="center"/>
              <w:rPr>
                <w:rFonts w:hint="eastAsia" w:ascii="宋体" w:hAnsi="宋体" w:eastAsia="宋体" w:cs="宋体"/>
                <w:color w:val="auto"/>
                <w:sz w:val="21"/>
                <w:szCs w:val="21"/>
              </w:rPr>
            </w:pPr>
          </w:p>
        </w:tc>
        <w:tc>
          <w:tcPr>
            <w:tcW w:w="2537" w:type="dxa"/>
            <w:shd w:val="clear" w:color="auto" w:fill="auto"/>
            <w:noWrap w:val="0"/>
            <w:vAlign w:val="center"/>
          </w:tcPr>
          <w:p w14:paraId="115A8638">
            <w:pPr>
              <w:spacing w:line="288" w:lineRule="auto"/>
              <w:jc w:val="center"/>
              <w:rPr>
                <w:rFonts w:hint="eastAsia" w:ascii="宋体" w:hAnsi="宋体" w:eastAsia="宋体" w:cs="宋体"/>
                <w:kern w:val="0"/>
                <w:sz w:val="21"/>
                <w:szCs w:val="21"/>
                <w:lang w:val="en-US" w:eastAsia="zh-CN" w:bidi="ar-SA"/>
              </w:rPr>
            </w:pPr>
            <w:r>
              <w:rPr>
                <w:rFonts w:hint="eastAsia" w:ascii="宋体" w:hAnsi="宋体" w:eastAsia="宋体" w:cs="宋体"/>
                <w:b w:val="0"/>
                <w:bCs w:val="0"/>
                <w:sz w:val="21"/>
                <w:szCs w:val="21"/>
                <w:highlight w:val="none"/>
                <w:lang w:val="en-US" w:eastAsia="zh-CN"/>
              </w:rPr>
              <w:t>10.监理部投入的检测设 备、仪器（2分）</w:t>
            </w:r>
          </w:p>
        </w:tc>
        <w:tc>
          <w:tcPr>
            <w:tcW w:w="5336" w:type="dxa"/>
            <w:shd w:val="clear" w:color="auto" w:fill="auto"/>
            <w:noWrap w:val="0"/>
            <w:vAlign w:val="top"/>
          </w:tcPr>
          <w:p w14:paraId="7348F2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val="0"/>
                <w:bCs w:val="0"/>
                <w:sz w:val="21"/>
                <w:szCs w:val="21"/>
                <w:highlight w:val="none"/>
                <w:lang w:val="en-US" w:eastAsia="zh-CN"/>
              </w:rPr>
              <w:t>根据拟投入的设备如全站仪、经纬仪、水准仪、计算机、 摄像机、照相机、打印机、复印机、综合测量尺及监理管 理软件等，结合各投标单位配备的设备数量及物品齐全程 度，综合考量，设备齐全的得2分，不齐全不得分。</w:t>
            </w:r>
          </w:p>
        </w:tc>
      </w:tr>
      <w:tr w14:paraId="3FFF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5" w:type="dxa"/>
            <w:vMerge w:val="continue"/>
            <w:noWrap w:val="0"/>
            <w:vAlign w:val="center"/>
          </w:tcPr>
          <w:p w14:paraId="4676F438">
            <w:pPr>
              <w:pStyle w:val="39"/>
              <w:spacing w:line="240" w:lineRule="auto"/>
              <w:jc w:val="center"/>
              <w:rPr>
                <w:rFonts w:hint="eastAsia" w:ascii="宋体" w:hAnsi="宋体" w:eastAsia="宋体" w:cs="宋体"/>
                <w:color w:val="auto"/>
                <w:sz w:val="21"/>
                <w:szCs w:val="21"/>
              </w:rPr>
            </w:pPr>
          </w:p>
        </w:tc>
        <w:tc>
          <w:tcPr>
            <w:tcW w:w="1470" w:type="dxa"/>
            <w:vMerge w:val="continue"/>
            <w:noWrap w:val="0"/>
            <w:vAlign w:val="center"/>
          </w:tcPr>
          <w:p w14:paraId="660872CE">
            <w:pPr>
              <w:pStyle w:val="39"/>
              <w:spacing w:line="240" w:lineRule="auto"/>
              <w:jc w:val="center"/>
              <w:rPr>
                <w:rFonts w:hint="eastAsia" w:ascii="宋体" w:hAnsi="宋体" w:eastAsia="宋体" w:cs="宋体"/>
                <w:color w:val="auto"/>
                <w:sz w:val="21"/>
                <w:szCs w:val="21"/>
              </w:rPr>
            </w:pPr>
          </w:p>
        </w:tc>
        <w:tc>
          <w:tcPr>
            <w:tcW w:w="7873" w:type="dxa"/>
            <w:gridSpan w:val="2"/>
            <w:noWrap w:val="0"/>
            <w:vAlign w:val="center"/>
          </w:tcPr>
          <w:p w14:paraId="711384E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1"/>
                <w:szCs w:val="21"/>
                <w:lang w:eastAsia="zh-CN"/>
              </w:rPr>
            </w:pPr>
            <w:r>
              <w:rPr>
                <w:rFonts w:hint="eastAsia" w:ascii="宋体" w:hAnsi="宋体" w:eastAsia="宋体" w:cs="宋体"/>
                <w:b w:val="0"/>
                <w:bCs w:val="0"/>
                <w:sz w:val="21"/>
                <w:szCs w:val="21"/>
                <w:highlight w:val="none"/>
                <w:lang w:val="en-US" w:eastAsia="zh-CN"/>
              </w:rPr>
              <w:t>备注：以上各评审项中，如单项内容未结合本项目条款、明细、内容进行编 制，不满足所评审项要求，缺少项目条款、明细、内容要求的此项目评审均不得分。</w:t>
            </w:r>
          </w:p>
        </w:tc>
      </w:tr>
      <w:tr w14:paraId="6F7A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35" w:type="dxa"/>
            <w:vMerge w:val="restart"/>
            <w:noWrap w:val="0"/>
            <w:vAlign w:val="center"/>
          </w:tcPr>
          <w:p w14:paraId="5F29E72F">
            <w:pPr>
              <w:spacing w:line="240" w:lineRule="auto"/>
              <w:rPr>
                <w:rFonts w:hint="eastAsia" w:ascii="宋体" w:hAnsi="宋体" w:eastAsia="宋体" w:cs="宋体"/>
                <w:sz w:val="21"/>
                <w:szCs w:val="21"/>
              </w:rPr>
            </w:pPr>
            <w:r>
              <w:rPr>
                <w:rFonts w:hint="eastAsia" w:ascii="宋体" w:hAnsi="宋体" w:eastAsia="宋体" w:cs="宋体"/>
                <w:sz w:val="21"/>
                <w:szCs w:val="21"/>
              </w:rPr>
              <w:t>2.2.2（3）</w:t>
            </w:r>
          </w:p>
        </w:tc>
        <w:tc>
          <w:tcPr>
            <w:tcW w:w="1470" w:type="dxa"/>
            <w:vMerge w:val="restart"/>
            <w:noWrap w:val="0"/>
            <w:vAlign w:val="center"/>
          </w:tcPr>
          <w:p w14:paraId="7619216B">
            <w:pPr>
              <w:spacing w:line="240" w:lineRule="auto"/>
              <w:jc w:val="left"/>
              <w:rPr>
                <w:rFonts w:hint="eastAsia" w:ascii="宋体" w:hAnsi="宋体" w:eastAsia="宋体" w:cs="宋体"/>
                <w:kern w:val="0"/>
                <w:sz w:val="21"/>
                <w:szCs w:val="21"/>
                <w:highlight w:val="none"/>
              </w:rPr>
            </w:pPr>
          </w:p>
          <w:p w14:paraId="3FD014C1">
            <w:pPr>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综合部分</w:t>
            </w:r>
            <w:r>
              <w:rPr>
                <w:rFonts w:hint="eastAsia" w:ascii="宋体" w:hAnsi="宋体" w:eastAsia="宋体" w:cs="宋体"/>
                <w:kern w:val="0"/>
                <w:sz w:val="21"/>
                <w:szCs w:val="21"/>
                <w:highlight w:val="none"/>
              </w:rPr>
              <w:t>评分因素</w:t>
            </w:r>
            <w:r>
              <w:rPr>
                <w:rFonts w:hint="eastAsia" w:ascii="宋体" w:hAnsi="宋体" w:eastAsia="宋体" w:cs="宋体"/>
                <w:kern w:val="0"/>
                <w:sz w:val="21"/>
                <w:szCs w:val="21"/>
                <w:highlight w:val="none"/>
                <w:lang w:val="en-US" w:eastAsia="zh-CN"/>
              </w:rPr>
              <w:t>20</w:t>
            </w:r>
            <w:r>
              <w:rPr>
                <w:rFonts w:hint="eastAsia" w:ascii="宋体" w:hAnsi="宋体" w:eastAsia="宋体" w:cs="宋体"/>
                <w:kern w:val="0"/>
                <w:sz w:val="21"/>
                <w:szCs w:val="21"/>
                <w:highlight w:val="none"/>
              </w:rPr>
              <w:t>分</w:t>
            </w:r>
          </w:p>
        </w:tc>
        <w:tc>
          <w:tcPr>
            <w:tcW w:w="2537" w:type="dxa"/>
            <w:noWrap w:val="0"/>
            <w:vAlign w:val="center"/>
          </w:tcPr>
          <w:p w14:paraId="1AA619E2">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1.项目管理机构 </w:t>
            </w:r>
          </w:p>
          <w:p w14:paraId="35A99C18">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配备（5分）</w:t>
            </w:r>
          </w:p>
          <w:p w14:paraId="640F0377">
            <w:pPr>
              <w:spacing w:line="240" w:lineRule="auto"/>
              <w:jc w:val="center"/>
              <w:rPr>
                <w:rFonts w:hint="default" w:ascii="宋体" w:hAnsi="宋体" w:eastAsia="宋体" w:cs="宋体"/>
                <w:color w:val="auto"/>
                <w:kern w:val="0"/>
                <w:sz w:val="21"/>
                <w:szCs w:val="21"/>
                <w:highlight w:val="none"/>
                <w:lang w:val="en-US" w:eastAsia="zh-CN"/>
              </w:rPr>
            </w:pPr>
          </w:p>
        </w:tc>
        <w:tc>
          <w:tcPr>
            <w:tcW w:w="5336" w:type="dxa"/>
            <w:noWrap w:val="0"/>
            <w:vAlign w:val="center"/>
          </w:tcPr>
          <w:p w14:paraId="0651CA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拟投入本项目监理部成员，除项目总监理工程师外，有国家注册类监理工程师或专业监理工程师的，有一个加 1 分，最多得5分。 </w:t>
            </w:r>
          </w:p>
          <w:p w14:paraId="3889EA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sz w:val="21"/>
                <w:szCs w:val="21"/>
                <w:highlight w:val="none"/>
                <w:lang w:eastAsia="zh-CN"/>
              </w:rPr>
            </w:pPr>
            <w:r>
              <w:rPr>
                <w:rFonts w:hint="eastAsia" w:ascii="宋体" w:hAnsi="宋体" w:eastAsia="宋体" w:cs="宋体"/>
                <w:b/>
                <w:bCs/>
                <w:sz w:val="21"/>
                <w:szCs w:val="21"/>
                <w:highlight w:val="none"/>
                <w:lang w:val="en-US" w:eastAsia="zh-CN"/>
              </w:rPr>
              <w:t>（响应文件中附证书原件扫描件、缴纳的社保证明，否则不得分）</w:t>
            </w:r>
          </w:p>
        </w:tc>
      </w:tr>
      <w:tr w14:paraId="6246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735" w:type="dxa"/>
            <w:vMerge w:val="continue"/>
            <w:noWrap w:val="0"/>
            <w:vAlign w:val="center"/>
          </w:tcPr>
          <w:p w14:paraId="0FE8CFA8">
            <w:pPr>
              <w:spacing w:line="240" w:lineRule="auto"/>
              <w:jc w:val="left"/>
            </w:pPr>
          </w:p>
        </w:tc>
        <w:tc>
          <w:tcPr>
            <w:tcW w:w="1470" w:type="dxa"/>
            <w:vMerge w:val="continue"/>
            <w:noWrap w:val="0"/>
            <w:vAlign w:val="center"/>
          </w:tcPr>
          <w:p w14:paraId="705B5969">
            <w:pPr>
              <w:spacing w:line="240" w:lineRule="auto"/>
              <w:jc w:val="left"/>
            </w:pPr>
          </w:p>
        </w:tc>
        <w:tc>
          <w:tcPr>
            <w:tcW w:w="2537" w:type="dxa"/>
            <w:shd w:val="clear" w:color="auto" w:fill="auto"/>
            <w:noWrap w:val="0"/>
            <w:vAlign w:val="center"/>
          </w:tcPr>
          <w:p w14:paraId="61588D3E">
            <w:pPr>
              <w:spacing w:line="24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sz w:val="21"/>
                <w:szCs w:val="21"/>
                <w:highlight w:val="none"/>
              </w:rPr>
              <w:t>服务承诺</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15分）</w:t>
            </w:r>
          </w:p>
        </w:tc>
        <w:tc>
          <w:tcPr>
            <w:tcW w:w="5336" w:type="dxa"/>
            <w:shd w:val="clear" w:color="auto" w:fill="auto"/>
            <w:noWrap w:val="0"/>
            <w:vAlign w:val="center"/>
          </w:tcPr>
          <w:p w14:paraId="565364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（1）现场监理人员到位上岗及不准兼职，且有缺勤处罚措施的承诺，不提供不得分。（</w:t>
            </w:r>
            <w:r>
              <w:rPr>
                <w:rFonts w:hint="eastAsia" w:ascii="宋体" w:hAnsi="宋体" w:cs="宋体"/>
                <w:b w:val="0"/>
                <w:bCs w:val="0"/>
                <w:sz w:val="21"/>
                <w:szCs w:val="21"/>
                <w:highlight w:val="none"/>
                <w:lang w:val="en-US" w:eastAsia="zh-CN"/>
              </w:rPr>
              <w:t>0-3</w:t>
            </w:r>
            <w:r>
              <w:rPr>
                <w:rFonts w:hint="eastAsia" w:ascii="宋体" w:hAnsi="宋体" w:eastAsia="宋体" w:cs="宋体"/>
                <w:b w:val="0"/>
                <w:bCs w:val="0"/>
                <w:sz w:val="21"/>
                <w:szCs w:val="21"/>
                <w:highlight w:val="none"/>
                <w:lang w:val="en-US" w:eastAsia="zh-CN"/>
              </w:rPr>
              <w:t xml:space="preserve"> 分） </w:t>
            </w:r>
          </w:p>
          <w:p w14:paraId="3577B8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（2）因监理方失职，在质量管理、投资控制、进度控制等方面给采购人带来损失的，有处罚措施的承诺，不提供不得分。（</w:t>
            </w:r>
            <w:r>
              <w:rPr>
                <w:rFonts w:hint="eastAsia" w:ascii="宋体" w:hAnsi="宋体" w:cs="宋体"/>
                <w:b w:val="0"/>
                <w:bCs w:val="0"/>
                <w:sz w:val="21"/>
                <w:szCs w:val="21"/>
                <w:highlight w:val="none"/>
                <w:lang w:val="en-US" w:eastAsia="zh-CN"/>
              </w:rPr>
              <w:t>0-4</w:t>
            </w:r>
            <w:r>
              <w:rPr>
                <w:rFonts w:hint="eastAsia" w:ascii="宋体" w:hAnsi="宋体" w:eastAsia="宋体" w:cs="宋体"/>
                <w:b w:val="0"/>
                <w:bCs w:val="0"/>
                <w:sz w:val="21"/>
                <w:szCs w:val="21"/>
                <w:highlight w:val="none"/>
                <w:lang w:val="en-US" w:eastAsia="zh-CN"/>
              </w:rPr>
              <w:t xml:space="preserve">分） </w:t>
            </w:r>
          </w:p>
          <w:p w14:paraId="461C1E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（3）企业在人员、管理、技术等方面的实质性服务承诺，不提供不得分。（</w:t>
            </w:r>
            <w:r>
              <w:rPr>
                <w:rFonts w:hint="eastAsia" w:ascii="宋体" w:hAnsi="宋体" w:cs="宋体"/>
                <w:b w:val="0"/>
                <w:bCs w:val="0"/>
                <w:sz w:val="21"/>
                <w:szCs w:val="21"/>
                <w:highlight w:val="none"/>
                <w:lang w:val="en-US" w:eastAsia="zh-CN"/>
              </w:rPr>
              <w:t>0-4</w:t>
            </w:r>
            <w:r>
              <w:rPr>
                <w:rFonts w:hint="eastAsia" w:ascii="宋体" w:hAnsi="宋体" w:eastAsia="宋体" w:cs="宋体"/>
                <w:b w:val="0"/>
                <w:bCs w:val="0"/>
                <w:sz w:val="21"/>
                <w:szCs w:val="21"/>
                <w:highlight w:val="none"/>
                <w:lang w:val="en-US" w:eastAsia="zh-CN"/>
              </w:rPr>
              <w:t xml:space="preserve">分） </w:t>
            </w:r>
          </w:p>
          <w:p w14:paraId="70F08C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（4）对业主的其他实质性承诺（如按施工阶段不同配备满足要求的相应专业监理技术人员）的，不提供不得分。（</w:t>
            </w:r>
            <w:r>
              <w:rPr>
                <w:rFonts w:hint="eastAsia" w:ascii="宋体" w:hAnsi="宋体" w:cs="宋体"/>
                <w:b w:val="0"/>
                <w:bCs w:val="0"/>
                <w:sz w:val="21"/>
                <w:szCs w:val="21"/>
                <w:highlight w:val="none"/>
                <w:lang w:val="en-US" w:eastAsia="zh-CN"/>
              </w:rPr>
              <w:t>0-4</w:t>
            </w:r>
            <w:r>
              <w:rPr>
                <w:rFonts w:hint="eastAsia" w:ascii="宋体" w:hAnsi="宋体" w:eastAsia="宋体" w:cs="宋体"/>
                <w:b w:val="0"/>
                <w:bCs w:val="0"/>
                <w:sz w:val="21"/>
                <w:szCs w:val="21"/>
                <w:highlight w:val="none"/>
                <w:lang w:val="en-US" w:eastAsia="zh-CN"/>
              </w:rPr>
              <w:t>分）</w:t>
            </w:r>
          </w:p>
        </w:tc>
      </w:tr>
      <w:tr w14:paraId="5FFB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5" w:type="dxa"/>
            <w:noWrap w:val="0"/>
            <w:vAlign w:val="center"/>
          </w:tcPr>
          <w:p w14:paraId="099EC614">
            <w:pPr>
              <w:spacing w:line="240" w:lineRule="auto"/>
              <w:rPr>
                <w:rFonts w:hint="eastAsia" w:ascii="宋体" w:hAnsi="宋体" w:eastAsia="宋体" w:cs="宋体"/>
                <w:sz w:val="21"/>
                <w:szCs w:val="21"/>
              </w:rPr>
            </w:pPr>
          </w:p>
        </w:tc>
        <w:tc>
          <w:tcPr>
            <w:tcW w:w="1470" w:type="dxa"/>
            <w:noWrap w:val="0"/>
            <w:vAlign w:val="center"/>
          </w:tcPr>
          <w:p w14:paraId="38294CFC">
            <w:pPr>
              <w:spacing w:line="240" w:lineRule="auto"/>
              <w:jc w:val="left"/>
              <w:rPr>
                <w:rFonts w:hint="eastAsia" w:ascii="宋体" w:hAnsi="宋体" w:eastAsia="宋体" w:cs="宋体"/>
                <w:kern w:val="0"/>
                <w:sz w:val="21"/>
                <w:szCs w:val="21"/>
                <w:highlight w:val="none"/>
              </w:rPr>
            </w:pPr>
          </w:p>
        </w:tc>
        <w:tc>
          <w:tcPr>
            <w:tcW w:w="7873" w:type="dxa"/>
            <w:gridSpan w:val="2"/>
            <w:noWrap w:val="0"/>
            <w:vAlign w:val="center"/>
          </w:tcPr>
          <w:p w14:paraId="2B71249A">
            <w:pPr>
              <w:tabs>
                <w:tab w:val="left" w:pos="803"/>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注：以上各项若缺项，则该小项按0分计算。</w:t>
            </w:r>
          </w:p>
        </w:tc>
      </w:tr>
    </w:tbl>
    <w:p w14:paraId="585A6999">
      <w:pPr>
        <w:spacing w:line="360" w:lineRule="auto"/>
        <w:rPr>
          <w:rFonts w:hint="eastAsia" w:ascii="宋体" w:hAnsi="宋体" w:eastAsia="宋体" w:cs="宋体"/>
          <w:sz w:val="21"/>
          <w:szCs w:val="21"/>
        </w:rPr>
      </w:pPr>
      <w:bookmarkStart w:id="593" w:name="_Toc144974567"/>
      <w:bookmarkStart w:id="594" w:name="_Toc152045600"/>
      <w:bookmarkStart w:id="595" w:name="_Toc318450722"/>
      <w:bookmarkStart w:id="596" w:name="_Toc152042377"/>
      <w:bookmarkStart w:id="597" w:name="_Toc281405528"/>
      <w:r>
        <w:rPr>
          <w:rFonts w:hint="eastAsia" w:ascii="宋体" w:hAnsi="宋体" w:eastAsia="宋体" w:cs="宋体"/>
          <w:sz w:val="21"/>
          <w:szCs w:val="21"/>
        </w:rPr>
        <w:t xml:space="preserve">1. </w:t>
      </w:r>
      <w:r>
        <w:rPr>
          <w:rFonts w:hint="eastAsia" w:ascii="宋体" w:hAnsi="宋体" w:cs="宋体"/>
          <w:sz w:val="21"/>
          <w:szCs w:val="21"/>
          <w:lang w:eastAsia="zh-CN"/>
        </w:rPr>
        <w:t>评审</w:t>
      </w:r>
      <w:r>
        <w:rPr>
          <w:rFonts w:hint="eastAsia" w:ascii="宋体" w:hAnsi="宋体" w:eastAsia="宋体" w:cs="宋体"/>
          <w:sz w:val="21"/>
          <w:szCs w:val="21"/>
        </w:rPr>
        <w:t>方法</w:t>
      </w:r>
      <w:bookmarkEnd w:id="593"/>
      <w:bookmarkEnd w:id="594"/>
      <w:bookmarkEnd w:id="595"/>
      <w:bookmarkEnd w:id="596"/>
      <w:bookmarkEnd w:id="597"/>
    </w:p>
    <w:p w14:paraId="4ECE6B7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bidi="en-US"/>
        </w:rPr>
        <w:t>本次</w:t>
      </w:r>
      <w:r>
        <w:rPr>
          <w:rFonts w:hint="eastAsia" w:ascii="宋体" w:hAnsi="宋体" w:cs="宋体"/>
          <w:sz w:val="21"/>
          <w:szCs w:val="21"/>
          <w:lang w:eastAsia="zh-CN" w:bidi="en-US"/>
        </w:rPr>
        <w:t>评审</w:t>
      </w:r>
      <w:r>
        <w:rPr>
          <w:rFonts w:hint="eastAsia" w:ascii="宋体" w:hAnsi="宋体" w:eastAsia="宋体" w:cs="宋体"/>
          <w:sz w:val="21"/>
          <w:szCs w:val="21"/>
          <w:lang w:bidi="en-US"/>
        </w:rPr>
        <w:t>采用综合评分法。磋商小组对满足磋商文件实质性要求的响应文件</w:t>
      </w:r>
      <w:r>
        <w:rPr>
          <w:rFonts w:hint="eastAsia" w:ascii="宋体" w:hAnsi="宋体" w:eastAsia="宋体" w:cs="宋体"/>
          <w:sz w:val="21"/>
          <w:szCs w:val="21"/>
        </w:rPr>
        <w:t>，按照本章规定的评分标准进行打分，并按得分由高到低顺序推荐成交候选人，</w:t>
      </w:r>
      <w:r>
        <w:rPr>
          <w:rFonts w:hint="eastAsia" w:ascii="宋体" w:hAnsi="宋体" w:eastAsia="宋体" w:cs="宋体"/>
          <w:kern w:val="0"/>
          <w:sz w:val="21"/>
          <w:szCs w:val="21"/>
        </w:rPr>
        <w:t>综合评分相等时，以报价得分高的优先；报价得分也相等的，由采购人自行确定。</w:t>
      </w:r>
    </w:p>
    <w:p w14:paraId="3CEE64B5">
      <w:pPr>
        <w:spacing w:line="360" w:lineRule="auto"/>
        <w:rPr>
          <w:rFonts w:hint="eastAsia" w:ascii="宋体" w:hAnsi="宋体" w:eastAsia="宋体" w:cs="宋体"/>
          <w:sz w:val="21"/>
          <w:szCs w:val="21"/>
        </w:rPr>
      </w:pPr>
      <w:bookmarkStart w:id="598" w:name="_Toc152042378"/>
      <w:bookmarkStart w:id="599" w:name="_Toc455867817"/>
      <w:bookmarkStart w:id="600" w:name="_Toc485131201"/>
      <w:bookmarkStart w:id="601" w:name="_Toc318450723"/>
      <w:bookmarkStart w:id="602" w:name="_Toc455080157"/>
      <w:bookmarkStart w:id="603" w:name="_Toc466298140"/>
      <w:bookmarkStart w:id="604" w:name="_Toc281405529"/>
      <w:bookmarkStart w:id="605" w:name="_Toc152045601"/>
      <w:bookmarkStart w:id="606" w:name="_Toc24936"/>
      <w:bookmarkStart w:id="607" w:name="_Toc144974568"/>
      <w:r>
        <w:rPr>
          <w:rFonts w:hint="eastAsia" w:ascii="宋体" w:hAnsi="宋体" w:eastAsia="宋体" w:cs="宋体"/>
          <w:sz w:val="21"/>
          <w:szCs w:val="21"/>
        </w:rPr>
        <w:t>2. 评审标准</w:t>
      </w:r>
      <w:bookmarkEnd w:id="598"/>
      <w:bookmarkEnd w:id="599"/>
      <w:bookmarkEnd w:id="600"/>
      <w:bookmarkEnd w:id="601"/>
      <w:bookmarkEnd w:id="602"/>
      <w:bookmarkEnd w:id="603"/>
      <w:bookmarkEnd w:id="604"/>
      <w:bookmarkEnd w:id="605"/>
      <w:bookmarkEnd w:id="606"/>
      <w:bookmarkEnd w:id="607"/>
    </w:p>
    <w:p w14:paraId="404614CE">
      <w:pPr>
        <w:spacing w:line="360" w:lineRule="auto"/>
        <w:rPr>
          <w:rFonts w:hint="eastAsia" w:ascii="宋体" w:hAnsi="宋体" w:eastAsia="宋体" w:cs="宋体"/>
          <w:sz w:val="21"/>
          <w:szCs w:val="21"/>
        </w:rPr>
      </w:pPr>
      <w:bookmarkStart w:id="608" w:name="_Toc455080158"/>
      <w:bookmarkStart w:id="609" w:name="_Toc25637"/>
      <w:bookmarkStart w:id="610" w:name="_Toc455867818"/>
      <w:bookmarkStart w:id="611" w:name="_Toc466298141"/>
      <w:bookmarkStart w:id="612" w:name="_Toc152042379"/>
      <w:bookmarkStart w:id="613" w:name="_Toc30809"/>
      <w:bookmarkStart w:id="614" w:name="_Toc485131202"/>
      <w:bookmarkStart w:id="615" w:name="_Toc144974569"/>
      <w:bookmarkStart w:id="616" w:name="_Toc281405530"/>
      <w:bookmarkStart w:id="617" w:name="_Toc318450724"/>
      <w:bookmarkStart w:id="618" w:name="_Toc21120"/>
      <w:bookmarkStart w:id="619" w:name="_Toc152045602"/>
      <w:bookmarkStart w:id="620" w:name="_Toc31037"/>
      <w:bookmarkStart w:id="621" w:name="_Toc19934"/>
      <w:bookmarkStart w:id="622" w:name="_Toc15813"/>
      <w:r>
        <w:rPr>
          <w:rFonts w:hint="eastAsia" w:ascii="宋体" w:hAnsi="宋体" w:eastAsia="宋体" w:cs="宋体"/>
          <w:sz w:val="21"/>
          <w:szCs w:val="21"/>
        </w:rPr>
        <w:t>2.1 初步评审标准</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11CF9DF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w:t>
      </w:r>
      <w:r>
        <w:rPr>
          <w:rFonts w:hint="eastAsia" w:ascii="宋体" w:hAnsi="宋体" w:eastAsia="宋体" w:cs="宋体"/>
          <w:sz w:val="21"/>
          <w:szCs w:val="21"/>
          <w:lang w:eastAsia="zh-CN"/>
        </w:rPr>
        <w:t>形式</w:t>
      </w:r>
      <w:r>
        <w:rPr>
          <w:rFonts w:hint="eastAsia" w:ascii="宋体" w:hAnsi="宋体" w:eastAsia="宋体" w:cs="宋体"/>
          <w:sz w:val="21"/>
          <w:szCs w:val="21"/>
        </w:rPr>
        <w:t>评审标准：见</w:t>
      </w:r>
      <w:r>
        <w:rPr>
          <w:rFonts w:hint="eastAsia" w:ascii="宋体" w:hAnsi="宋体" w:cs="宋体"/>
          <w:sz w:val="21"/>
          <w:szCs w:val="21"/>
          <w:lang w:eastAsia="zh-CN"/>
        </w:rPr>
        <w:t>评审</w:t>
      </w:r>
      <w:r>
        <w:rPr>
          <w:rFonts w:hint="eastAsia" w:ascii="宋体" w:hAnsi="宋体" w:eastAsia="宋体" w:cs="宋体"/>
          <w:sz w:val="21"/>
          <w:szCs w:val="21"/>
        </w:rPr>
        <w:t>办法前附表。</w:t>
      </w:r>
    </w:p>
    <w:p w14:paraId="4A47A9B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2</w:t>
      </w:r>
      <w:r>
        <w:rPr>
          <w:rFonts w:hint="eastAsia" w:ascii="宋体" w:hAnsi="宋体" w:eastAsia="宋体" w:cs="宋体"/>
          <w:sz w:val="21"/>
          <w:szCs w:val="21"/>
        </w:rPr>
        <w:t>资格评审标准：见</w:t>
      </w:r>
      <w:r>
        <w:rPr>
          <w:rFonts w:hint="eastAsia" w:ascii="宋体" w:hAnsi="宋体" w:cs="宋体"/>
          <w:sz w:val="21"/>
          <w:szCs w:val="21"/>
          <w:lang w:eastAsia="zh-CN"/>
        </w:rPr>
        <w:t>评审</w:t>
      </w:r>
      <w:r>
        <w:rPr>
          <w:rFonts w:hint="eastAsia" w:ascii="宋体" w:hAnsi="宋体" w:eastAsia="宋体" w:cs="宋体"/>
          <w:sz w:val="21"/>
          <w:szCs w:val="21"/>
        </w:rPr>
        <w:t>办法前附表。</w:t>
      </w:r>
    </w:p>
    <w:p w14:paraId="0B9262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响应性评审标准：见</w:t>
      </w:r>
      <w:r>
        <w:rPr>
          <w:rFonts w:hint="eastAsia" w:ascii="宋体" w:hAnsi="宋体" w:cs="宋体"/>
          <w:sz w:val="21"/>
          <w:szCs w:val="21"/>
          <w:lang w:eastAsia="zh-CN"/>
        </w:rPr>
        <w:t>评审</w:t>
      </w:r>
      <w:r>
        <w:rPr>
          <w:rFonts w:hint="eastAsia" w:ascii="宋体" w:hAnsi="宋体" w:eastAsia="宋体" w:cs="宋体"/>
          <w:sz w:val="21"/>
          <w:szCs w:val="21"/>
        </w:rPr>
        <w:t>办法前附表。</w:t>
      </w:r>
    </w:p>
    <w:p w14:paraId="1E9A1B64">
      <w:pPr>
        <w:spacing w:line="360" w:lineRule="auto"/>
        <w:rPr>
          <w:rFonts w:hint="eastAsia" w:ascii="宋体" w:hAnsi="宋体" w:eastAsia="宋体" w:cs="宋体"/>
          <w:sz w:val="21"/>
          <w:szCs w:val="21"/>
        </w:rPr>
      </w:pPr>
      <w:bookmarkStart w:id="623" w:name="_Toc25492"/>
      <w:bookmarkStart w:id="624" w:name="_Toc152045603"/>
      <w:bookmarkStart w:id="625" w:name="_Toc12013"/>
      <w:bookmarkStart w:id="626" w:name="_Toc281405531"/>
      <w:bookmarkStart w:id="627" w:name="_Toc485131203"/>
      <w:bookmarkStart w:id="628" w:name="_Toc455867819"/>
      <w:bookmarkStart w:id="629" w:name="_Toc318450725"/>
      <w:bookmarkStart w:id="630" w:name="_Toc22439"/>
      <w:bookmarkStart w:id="631" w:name="_Toc30189"/>
      <w:bookmarkStart w:id="632" w:name="_Toc152042380"/>
      <w:bookmarkStart w:id="633" w:name="_Toc22128"/>
      <w:bookmarkStart w:id="634" w:name="_Toc455080159"/>
      <w:bookmarkStart w:id="635" w:name="_Toc11061"/>
      <w:bookmarkStart w:id="636" w:name="_Toc466298142"/>
      <w:bookmarkStart w:id="637" w:name="_Toc144974570"/>
      <w:r>
        <w:rPr>
          <w:rFonts w:hint="eastAsia" w:ascii="宋体" w:hAnsi="宋体" w:eastAsia="宋体" w:cs="宋体"/>
          <w:sz w:val="21"/>
          <w:szCs w:val="21"/>
        </w:rPr>
        <w:t>2.2 分值构成与评分标准</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8BBEA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2.2.1磋商报价：见</w:t>
      </w:r>
      <w:r>
        <w:rPr>
          <w:rFonts w:hint="eastAsia" w:ascii="宋体" w:hAnsi="宋体" w:cs="宋体"/>
          <w:sz w:val="21"/>
          <w:szCs w:val="21"/>
          <w:lang w:eastAsia="zh-CN"/>
        </w:rPr>
        <w:t>评审</w:t>
      </w:r>
      <w:r>
        <w:rPr>
          <w:rFonts w:hint="eastAsia" w:ascii="宋体" w:hAnsi="宋体" w:eastAsia="宋体" w:cs="宋体"/>
          <w:sz w:val="21"/>
          <w:szCs w:val="21"/>
        </w:rPr>
        <w:t>办法前附表</w:t>
      </w:r>
    </w:p>
    <w:p w14:paraId="387DB66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2.2.2</w:t>
      </w:r>
      <w:r>
        <w:rPr>
          <w:rFonts w:hint="eastAsia" w:ascii="宋体" w:hAnsi="宋体" w:cs="宋体"/>
          <w:sz w:val="21"/>
          <w:szCs w:val="21"/>
          <w:lang w:val="en-US" w:eastAsia="zh-CN"/>
        </w:rPr>
        <w:t>技术部分</w:t>
      </w:r>
      <w:r>
        <w:rPr>
          <w:rFonts w:hint="eastAsia" w:ascii="宋体" w:hAnsi="宋体" w:eastAsia="宋体" w:cs="宋体"/>
          <w:sz w:val="21"/>
          <w:szCs w:val="21"/>
        </w:rPr>
        <w:t>：见</w:t>
      </w:r>
      <w:r>
        <w:rPr>
          <w:rFonts w:hint="eastAsia" w:ascii="宋体" w:hAnsi="宋体" w:cs="宋体"/>
          <w:sz w:val="21"/>
          <w:szCs w:val="21"/>
          <w:lang w:eastAsia="zh-CN"/>
        </w:rPr>
        <w:t>评审</w:t>
      </w:r>
      <w:r>
        <w:rPr>
          <w:rFonts w:hint="eastAsia" w:ascii="宋体" w:hAnsi="宋体" w:eastAsia="宋体" w:cs="宋体"/>
          <w:sz w:val="21"/>
          <w:szCs w:val="21"/>
        </w:rPr>
        <w:t>办法前附表；</w:t>
      </w:r>
    </w:p>
    <w:p w14:paraId="42FDACE0">
      <w:pPr>
        <w:spacing w:line="360" w:lineRule="auto"/>
        <w:ind w:firstLine="424" w:firstLineChars="202"/>
        <w:rPr>
          <w:rFonts w:hint="eastAsia" w:ascii="宋体" w:hAnsi="宋体" w:eastAsia="宋体" w:cs="宋体"/>
          <w:kern w:val="0"/>
          <w:sz w:val="21"/>
          <w:szCs w:val="21"/>
        </w:rPr>
      </w:pPr>
      <w:r>
        <w:rPr>
          <w:rFonts w:hint="eastAsia" w:ascii="宋体" w:hAnsi="宋体" w:eastAsia="宋体" w:cs="宋体"/>
          <w:sz w:val="21"/>
          <w:szCs w:val="21"/>
        </w:rPr>
        <w:t>2.2.3</w:t>
      </w:r>
      <w:r>
        <w:rPr>
          <w:rFonts w:hint="eastAsia" w:ascii="宋体" w:hAnsi="宋体" w:cs="宋体"/>
          <w:kern w:val="0"/>
          <w:sz w:val="21"/>
          <w:szCs w:val="21"/>
          <w:lang w:val="en-US" w:eastAsia="zh-CN"/>
        </w:rPr>
        <w:t>综合部分</w:t>
      </w:r>
      <w:r>
        <w:rPr>
          <w:rFonts w:hint="eastAsia" w:ascii="宋体" w:hAnsi="宋体" w:eastAsia="宋体" w:cs="宋体"/>
          <w:kern w:val="0"/>
          <w:sz w:val="21"/>
          <w:szCs w:val="21"/>
        </w:rPr>
        <w:t>：</w:t>
      </w:r>
      <w:r>
        <w:rPr>
          <w:rFonts w:hint="eastAsia" w:ascii="宋体" w:hAnsi="宋体" w:eastAsia="宋体" w:cs="宋体"/>
          <w:sz w:val="21"/>
          <w:szCs w:val="21"/>
        </w:rPr>
        <w:t>见</w:t>
      </w:r>
      <w:r>
        <w:rPr>
          <w:rFonts w:hint="eastAsia" w:ascii="宋体" w:hAnsi="宋体" w:cs="宋体"/>
          <w:sz w:val="21"/>
          <w:szCs w:val="21"/>
          <w:lang w:eastAsia="zh-CN"/>
        </w:rPr>
        <w:t>评审</w:t>
      </w:r>
      <w:r>
        <w:rPr>
          <w:rFonts w:hint="eastAsia" w:ascii="宋体" w:hAnsi="宋体" w:eastAsia="宋体" w:cs="宋体"/>
          <w:sz w:val="21"/>
          <w:szCs w:val="21"/>
        </w:rPr>
        <w:t>办法前附表；</w:t>
      </w:r>
    </w:p>
    <w:p w14:paraId="05329325">
      <w:pPr>
        <w:spacing w:line="360" w:lineRule="auto"/>
        <w:rPr>
          <w:rFonts w:hint="eastAsia" w:ascii="宋体" w:hAnsi="宋体" w:eastAsia="宋体" w:cs="宋体"/>
          <w:sz w:val="21"/>
          <w:szCs w:val="21"/>
        </w:rPr>
      </w:pPr>
      <w:bookmarkStart w:id="638" w:name="_Toc455867820"/>
      <w:bookmarkStart w:id="639" w:name="_Toc281405532"/>
      <w:bookmarkStart w:id="640" w:name="_Toc318450726"/>
      <w:bookmarkStart w:id="641" w:name="_Toc466298143"/>
      <w:bookmarkStart w:id="642" w:name="_Toc485131204"/>
      <w:bookmarkStart w:id="643" w:name="_Toc455080160"/>
      <w:bookmarkStart w:id="644" w:name="_Toc17308"/>
      <w:r>
        <w:rPr>
          <w:rFonts w:hint="eastAsia" w:ascii="宋体" w:hAnsi="宋体" w:eastAsia="宋体" w:cs="宋体"/>
          <w:sz w:val="21"/>
          <w:szCs w:val="21"/>
        </w:rPr>
        <w:t>3. 评审程序</w:t>
      </w:r>
      <w:bookmarkEnd w:id="638"/>
      <w:bookmarkEnd w:id="639"/>
      <w:bookmarkEnd w:id="640"/>
      <w:bookmarkEnd w:id="641"/>
      <w:bookmarkEnd w:id="642"/>
      <w:bookmarkEnd w:id="643"/>
      <w:bookmarkEnd w:id="644"/>
    </w:p>
    <w:p w14:paraId="497DED23">
      <w:pPr>
        <w:spacing w:line="360" w:lineRule="auto"/>
        <w:rPr>
          <w:rFonts w:hint="eastAsia" w:ascii="宋体" w:hAnsi="宋体" w:eastAsia="宋体" w:cs="宋体"/>
          <w:sz w:val="21"/>
          <w:szCs w:val="21"/>
        </w:rPr>
      </w:pPr>
      <w:bookmarkStart w:id="645" w:name="_Toc29614"/>
      <w:bookmarkStart w:id="646" w:name="_Toc30986"/>
      <w:bookmarkStart w:id="647" w:name="_Toc18886"/>
      <w:bookmarkStart w:id="648" w:name="_Toc5427"/>
      <w:bookmarkStart w:id="649" w:name="_Toc466298144"/>
      <w:bookmarkStart w:id="650" w:name="_Toc455867821"/>
      <w:bookmarkStart w:id="651" w:name="_Toc455080161"/>
      <w:bookmarkStart w:id="652" w:name="_Toc13315"/>
      <w:bookmarkStart w:id="653" w:name="_Toc318450727"/>
      <w:bookmarkStart w:id="654" w:name="_Toc485131205"/>
      <w:bookmarkStart w:id="655" w:name="_Toc281405533"/>
      <w:bookmarkStart w:id="656" w:name="_Toc14633"/>
      <w:bookmarkStart w:id="657" w:name="_Toc7272"/>
      <w:r>
        <w:rPr>
          <w:rFonts w:hint="eastAsia" w:ascii="宋体" w:hAnsi="宋体" w:eastAsia="宋体" w:cs="宋体"/>
          <w:sz w:val="21"/>
          <w:szCs w:val="21"/>
        </w:rPr>
        <w:t>3.1 初步评审</w:t>
      </w:r>
      <w:bookmarkEnd w:id="645"/>
      <w:bookmarkEnd w:id="646"/>
      <w:bookmarkEnd w:id="647"/>
      <w:bookmarkEnd w:id="648"/>
      <w:bookmarkEnd w:id="649"/>
      <w:bookmarkEnd w:id="650"/>
      <w:bookmarkEnd w:id="651"/>
      <w:bookmarkEnd w:id="652"/>
      <w:bookmarkEnd w:id="653"/>
      <w:bookmarkEnd w:id="654"/>
      <w:bookmarkEnd w:id="655"/>
      <w:bookmarkEnd w:id="656"/>
      <w:bookmarkEnd w:id="657"/>
    </w:p>
    <w:p w14:paraId="425D48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3.1.1 磋商小组依据本章第2.1款规定的标准对响应文件进行初步评审。有一项不符合评审标准的，作废标处理。</w:t>
      </w:r>
    </w:p>
    <w:p w14:paraId="423FBF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3.1.2 </w:t>
      </w:r>
      <w:r>
        <w:rPr>
          <w:rFonts w:hint="eastAsia" w:ascii="宋体" w:hAnsi="宋体" w:eastAsia="宋体" w:cs="宋体"/>
          <w:sz w:val="21"/>
          <w:szCs w:val="21"/>
          <w:lang w:eastAsia="zh-CN"/>
        </w:rPr>
        <w:t>供应商</w:t>
      </w:r>
      <w:r>
        <w:rPr>
          <w:rFonts w:hint="eastAsia" w:ascii="宋体" w:hAnsi="宋体" w:eastAsia="宋体" w:cs="宋体"/>
          <w:sz w:val="21"/>
          <w:szCs w:val="21"/>
        </w:rPr>
        <w:t>有以下情形之一的，其投标作废标处理：</w:t>
      </w:r>
    </w:p>
    <w:p w14:paraId="3E0E1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658" w:name="_Toc281405534"/>
      <w:bookmarkStart w:id="659" w:name="_Toc7121"/>
      <w:bookmarkStart w:id="660" w:name="_Toc12406"/>
      <w:bookmarkStart w:id="661" w:name="_Toc466298145"/>
      <w:bookmarkStart w:id="662" w:name="_Toc455867822"/>
      <w:bookmarkStart w:id="663" w:name="_Toc21570"/>
      <w:bookmarkStart w:id="664" w:name="_Toc2825"/>
      <w:bookmarkStart w:id="665" w:name="_Toc455080162"/>
      <w:bookmarkStart w:id="666" w:name="_Toc10692"/>
      <w:bookmarkStart w:id="667" w:name="_Toc26049"/>
      <w:bookmarkStart w:id="668" w:name="_Toc21032"/>
      <w:bookmarkStart w:id="669" w:name="_Toc318450728"/>
      <w:bookmarkStart w:id="670" w:name="_Toc485131206"/>
      <w:r>
        <w:rPr>
          <w:rFonts w:hint="eastAsia" w:ascii="宋体" w:hAnsi="宋体" w:eastAsia="宋体" w:cs="宋体"/>
          <w:sz w:val="21"/>
          <w:szCs w:val="21"/>
        </w:rPr>
        <w:t>（1）串通响应或弄虚作假或有其他违法行为的；</w:t>
      </w:r>
    </w:p>
    <w:p w14:paraId="245A84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（2）不按磋商小组要求澄清、说明或补正的；</w:t>
      </w:r>
    </w:p>
    <w:p w14:paraId="3B5FC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（3）未按规定格式填写、内容不全或关键字迹模糊、无法辨认的；</w:t>
      </w:r>
    </w:p>
    <w:p w14:paraId="6E563E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（4）响应文件附有采购人不能接受的条件；</w:t>
      </w:r>
    </w:p>
    <w:p w14:paraId="5EE330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（5）不符合磋商文件规定的其他实质性要求</w:t>
      </w:r>
      <w:r>
        <w:rPr>
          <w:rFonts w:hint="eastAsia" w:ascii="宋体" w:hAnsi="宋体" w:eastAsia="宋体" w:cs="宋体"/>
          <w:sz w:val="21"/>
          <w:szCs w:val="21"/>
          <w:lang w:eastAsia="zh-CN"/>
        </w:rPr>
        <w:t>。</w:t>
      </w:r>
    </w:p>
    <w:p w14:paraId="74442C21">
      <w:pPr>
        <w:spacing w:line="360" w:lineRule="auto"/>
        <w:rPr>
          <w:rFonts w:hint="eastAsia" w:ascii="宋体" w:hAnsi="宋体" w:cs="宋体"/>
          <w:sz w:val="21"/>
          <w:szCs w:val="21"/>
          <w:lang w:val="en-US" w:eastAsia="zh-CN"/>
        </w:rPr>
      </w:pPr>
      <w:r>
        <w:rPr>
          <w:rFonts w:hint="eastAsia" w:ascii="宋体" w:hAnsi="宋体" w:eastAsia="宋体" w:cs="宋体"/>
          <w:sz w:val="21"/>
          <w:szCs w:val="21"/>
        </w:rPr>
        <w:t xml:space="preserve">3.2 </w:t>
      </w:r>
      <w:r>
        <w:rPr>
          <w:rFonts w:hint="eastAsia" w:ascii="宋体" w:hAnsi="宋体" w:cs="宋体"/>
          <w:sz w:val="21"/>
          <w:szCs w:val="21"/>
          <w:lang w:val="en-US" w:eastAsia="zh-CN"/>
        </w:rPr>
        <w:t>最终（二次）报价及磋商</w:t>
      </w:r>
    </w:p>
    <w:p w14:paraId="07D89F0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通过资格审查及符合性审查的供应商，进行第二轮报价，第二轮报价将予以远程报价。供应商登录远程开标项目，在评审过程中收到远程报价通知时，即可远程在线报价，第二轮报价时间为 30 分钟因逾期或超时报价，将默认初次报价为最终报价。</w:t>
      </w:r>
    </w:p>
    <w:p w14:paraId="22354439">
      <w:pPr>
        <w:spacing w:line="360" w:lineRule="auto"/>
        <w:rPr>
          <w:rFonts w:hint="eastAsia" w:ascii="宋体" w:hAnsi="宋体" w:eastAsia="宋体" w:cs="宋体"/>
          <w:sz w:val="21"/>
          <w:szCs w:val="21"/>
        </w:rPr>
      </w:pPr>
      <w:r>
        <w:rPr>
          <w:rFonts w:hint="eastAsia" w:ascii="宋体" w:hAnsi="宋体" w:cs="宋体"/>
          <w:sz w:val="21"/>
          <w:szCs w:val="21"/>
          <w:lang w:val="en-US" w:eastAsia="zh-CN"/>
        </w:rPr>
        <w:t>3.3</w:t>
      </w:r>
      <w:r>
        <w:rPr>
          <w:rFonts w:hint="eastAsia" w:ascii="宋体" w:hAnsi="宋体" w:eastAsia="宋体" w:cs="宋体"/>
          <w:sz w:val="21"/>
          <w:szCs w:val="21"/>
        </w:rPr>
        <w:t>详细评审</w:t>
      </w:r>
      <w:bookmarkEnd w:id="658"/>
      <w:bookmarkEnd w:id="659"/>
      <w:bookmarkEnd w:id="660"/>
      <w:bookmarkEnd w:id="661"/>
      <w:bookmarkEnd w:id="662"/>
      <w:bookmarkEnd w:id="663"/>
      <w:bookmarkEnd w:id="664"/>
      <w:bookmarkEnd w:id="665"/>
      <w:bookmarkEnd w:id="666"/>
      <w:bookmarkEnd w:id="667"/>
      <w:bookmarkEnd w:id="668"/>
      <w:bookmarkEnd w:id="669"/>
      <w:bookmarkEnd w:id="670"/>
    </w:p>
    <w:p w14:paraId="600376C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3</w:t>
      </w:r>
      <w:r>
        <w:rPr>
          <w:rFonts w:hint="eastAsia" w:ascii="宋体" w:hAnsi="宋体" w:eastAsia="宋体" w:cs="宋体"/>
          <w:sz w:val="21"/>
          <w:szCs w:val="21"/>
        </w:rPr>
        <w:t>.1 磋商小组按本章第2.2款规定的量化因素和分值进行打分，并计算出综合评分得分。</w:t>
      </w:r>
    </w:p>
    <w:p w14:paraId="7F71CFA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3</w:t>
      </w:r>
      <w:r>
        <w:rPr>
          <w:rFonts w:hint="eastAsia" w:ascii="宋体" w:hAnsi="宋体" w:eastAsia="宋体" w:cs="宋体"/>
          <w:sz w:val="21"/>
          <w:szCs w:val="21"/>
        </w:rPr>
        <w:t>.2 评分分值计算保留小数点后两位，小数点后第三位“四舍五入”。</w:t>
      </w:r>
    </w:p>
    <w:p w14:paraId="29CC89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3</w:t>
      </w:r>
      <w:r>
        <w:rPr>
          <w:rFonts w:hint="eastAsia" w:ascii="宋体" w:hAnsi="宋体" w:eastAsia="宋体" w:cs="宋体"/>
          <w:sz w:val="21"/>
          <w:szCs w:val="21"/>
        </w:rPr>
        <w:t>.3</w:t>
      </w:r>
      <w:r>
        <w:rPr>
          <w:rFonts w:hint="eastAsia" w:ascii="宋体" w:hAnsi="宋体" w:eastAsia="宋体" w:cs="宋体"/>
          <w:sz w:val="21"/>
          <w:szCs w:val="21"/>
          <w:lang w:eastAsia="zh-CN"/>
        </w:rPr>
        <w:t>供应商</w:t>
      </w:r>
      <w:r>
        <w:rPr>
          <w:rFonts w:hint="eastAsia" w:ascii="宋体" w:hAnsi="宋体" w:eastAsia="宋体" w:cs="宋体"/>
          <w:sz w:val="21"/>
          <w:szCs w:val="21"/>
        </w:rPr>
        <w:t>的最终得分以全部小组成员打分的算术平均值为准，作为该</w:t>
      </w:r>
      <w:r>
        <w:rPr>
          <w:rFonts w:hint="eastAsia" w:ascii="宋体" w:hAnsi="宋体" w:eastAsia="宋体" w:cs="宋体"/>
          <w:sz w:val="21"/>
          <w:szCs w:val="21"/>
          <w:lang w:eastAsia="zh-CN"/>
        </w:rPr>
        <w:t>供应商</w:t>
      </w:r>
      <w:r>
        <w:rPr>
          <w:rFonts w:hint="eastAsia" w:ascii="宋体" w:hAnsi="宋体" w:eastAsia="宋体" w:cs="宋体"/>
          <w:sz w:val="21"/>
          <w:szCs w:val="21"/>
        </w:rPr>
        <w:t>的最终得分。</w:t>
      </w:r>
    </w:p>
    <w:p w14:paraId="4A11380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3</w:t>
      </w:r>
      <w:r>
        <w:rPr>
          <w:rFonts w:hint="eastAsia" w:ascii="宋体" w:hAnsi="宋体" w:eastAsia="宋体" w:cs="宋体"/>
          <w:sz w:val="21"/>
          <w:szCs w:val="21"/>
        </w:rPr>
        <w:t>.4在磋商过程中，凡遇到磋商文件中无界定或界定不清、前后不一致使磋商小组意见有分歧且又难以协商一致的问题，均由磋商小组予以表决，获半数以上同意的即为通过，未获半数同意的即为否决。</w:t>
      </w:r>
    </w:p>
    <w:p w14:paraId="48D894E4">
      <w:pPr>
        <w:spacing w:line="360" w:lineRule="auto"/>
        <w:rPr>
          <w:rFonts w:hint="eastAsia" w:ascii="宋体" w:hAnsi="宋体" w:eastAsia="宋体" w:cs="宋体"/>
          <w:sz w:val="21"/>
          <w:szCs w:val="21"/>
        </w:rPr>
      </w:pPr>
      <w:bookmarkStart w:id="671" w:name="_Toc8813"/>
      <w:bookmarkStart w:id="672" w:name="_Toc466298146"/>
      <w:bookmarkStart w:id="673" w:name="_Toc11958"/>
      <w:bookmarkStart w:id="674" w:name="_Toc24862"/>
      <w:bookmarkStart w:id="675" w:name="_Toc28633"/>
      <w:bookmarkStart w:id="676" w:name="_Toc318450729"/>
      <w:bookmarkStart w:id="677" w:name="_Toc10153"/>
      <w:bookmarkStart w:id="678" w:name="_Toc8342"/>
      <w:bookmarkStart w:id="679" w:name="_Toc455867823"/>
      <w:bookmarkStart w:id="680" w:name="_Toc485131207"/>
      <w:bookmarkStart w:id="681" w:name="_Toc23896"/>
      <w:bookmarkStart w:id="682" w:name="_Toc281405535"/>
      <w:bookmarkStart w:id="683" w:name="_Toc455080163"/>
      <w:r>
        <w:rPr>
          <w:rFonts w:hint="eastAsia" w:ascii="宋体" w:hAnsi="宋体" w:eastAsia="宋体" w:cs="宋体"/>
          <w:sz w:val="21"/>
          <w:szCs w:val="21"/>
        </w:rPr>
        <w:t>3.</w:t>
      </w:r>
      <w:r>
        <w:rPr>
          <w:rFonts w:hint="eastAsia" w:ascii="宋体" w:hAnsi="宋体" w:cs="宋体"/>
          <w:sz w:val="21"/>
          <w:szCs w:val="21"/>
          <w:lang w:val="en-US" w:eastAsia="zh-CN"/>
        </w:rPr>
        <w:t>4</w:t>
      </w:r>
      <w:r>
        <w:rPr>
          <w:rFonts w:hint="eastAsia" w:ascii="宋体" w:hAnsi="宋体" w:eastAsia="宋体" w:cs="宋体"/>
          <w:sz w:val="21"/>
          <w:szCs w:val="21"/>
        </w:rPr>
        <w:t xml:space="preserve"> 响应文件的澄清和补正</w:t>
      </w:r>
      <w:bookmarkEnd w:id="671"/>
      <w:bookmarkEnd w:id="672"/>
      <w:bookmarkEnd w:id="673"/>
      <w:bookmarkEnd w:id="674"/>
      <w:bookmarkEnd w:id="675"/>
      <w:bookmarkEnd w:id="676"/>
      <w:bookmarkEnd w:id="677"/>
      <w:bookmarkEnd w:id="678"/>
      <w:bookmarkEnd w:id="679"/>
      <w:bookmarkEnd w:id="680"/>
      <w:bookmarkEnd w:id="681"/>
      <w:bookmarkEnd w:id="682"/>
      <w:bookmarkEnd w:id="683"/>
    </w:p>
    <w:p w14:paraId="69AAF89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4</w:t>
      </w:r>
      <w:r>
        <w:rPr>
          <w:rFonts w:hint="eastAsia" w:ascii="宋体" w:hAnsi="宋体" w:eastAsia="宋体" w:cs="宋体"/>
          <w:sz w:val="21"/>
          <w:szCs w:val="21"/>
        </w:rPr>
        <w:t>.1在磋商过程中，磋商小组可以书面形式要求</w:t>
      </w:r>
      <w:r>
        <w:rPr>
          <w:rFonts w:hint="eastAsia" w:ascii="宋体" w:hAnsi="宋体" w:eastAsia="宋体" w:cs="宋体"/>
          <w:sz w:val="21"/>
          <w:szCs w:val="21"/>
          <w:lang w:eastAsia="zh-CN"/>
        </w:rPr>
        <w:t>供应商</w:t>
      </w:r>
      <w:r>
        <w:rPr>
          <w:rFonts w:hint="eastAsia" w:ascii="宋体" w:hAnsi="宋体" w:eastAsia="宋体" w:cs="宋体"/>
          <w:sz w:val="21"/>
          <w:szCs w:val="21"/>
        </w:rPr>
        <w:t>对所提交的响应文件中不明确的内容进行书面澄清或说明，或者对细微偏离进行补正。磋商小组不接受</w:t>
      </w:r>
      <w:r>
        <w:rPr>
          <w:rFonts w:hint="eastAsia" w:ascii="宋体" w:hAnsi="宋体" w:eastAsia="宋体" w:cs="宋体"/>
          <w:sz w:val="21"/>
          <w:szCs w:val="21"/>
          <w:lang w:eastAsia="zh-CN"/>
        </w:rPr>
        <w:t>供应商</w:t>
      </w:r>
      <w:r>
        <w:rPr>
          <w:rFonts w:hint="eastAsia" w:ascii="宋体" w:hAnsi="宋体" w:eastAsia="宋体" w:cs="宋体"/>
          <w:sz w:val="21"/>
          <w:szCs w:val="21"/>
        </w:rPr>
        <w:t>主动提出的澄清、说明或补正。</w:t>
      </w:r>
    </w:p>
    <w:p w14:paraId="651EA8C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4</w:t>
      </w:r>
      <w:r>
        <w:rPr>
          <w:rFonts w:hint="eastAsia" w:ascii="宋体" w:hAnsi="宋体" w:eastAsia="宋体" w:cs="宋体"/>
          <w:sz w:val="21"/>
          <w:szCs w:val="21"/>
        </w:rPr>
        <w:t>.2 澄清、说明和补正不得超出响应文件的范围或者改变响应文件的实质性内容（算术性错误修正的除外）。</w:t>
      </w:r>
      <w:r>
        <w:rPr>
          <w:rFonts w:hint="eastAsia" w:ascii="宋体" w:hAnsi="宋体" w:eastAsia="宋体" w:cs="宋体"/>
          <w:sz w:val="21"/>
          <w:szCs w:val="21"/>
          <w:lang w:eastAsia="zh-CN"/>
        </w:rPr>
        <w:t>供应商</w:t>
      </w:r>
      <w:r>
        <w:rPr>
          <w:rFonts w:hint="eastAsia" w:ascii="宋体" w:hAnsi="宋体" w:eastAsia="宋体" w:cs="宋体"/>
          <w:sz w:val="21"/>
          <w:szCs w:val="21"/>
        </w:rPr>
        <w:t>的书面澄清、说明和补正属于响应文件的组成部分。</w:t>
      </w:r>
    </w:p>
    <w:p w14:paraId="08D8AA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4</w:t>
      </w:r>
      <w:r>
        <w:rPr>
          <w:rFonts w:hint="eastAsia" w:ascii="宋体" w:hAnsi="宋体" w:eastAsia="宋体" w:cs="宋体"/>
          <w:sz w:val="21"/>
          <w:szCs w:val="21"/>
        </w:rPr>
        <w:t>.3 磋商小组对</w:t>
      </w:r>
      <w:r>
        <w:rPr>
          <w:rFonts w:hint="eastAsia" w:ascii="宋体" w:hAnsi="宋体" w:eastAsia="宋体" w:cs="宋体"/>
          <w:sz w:val="21"/>
          <w:szCs w:val="21"/>
          <w:lang w:eastAsia="zh-CN"/>
        </w:rPr>
        <w:t>供应商</w:t>
      </w:r>
      <w:r>
        <w:rPr>
          <w:rFonts w:hint="eastAsia" w:ascii="宋体" w:hAnsi="宋体" w:eastAsia="宋体" w:cs="宋体"/>
          <w:sz w:val="21"/>
          <w:szCs w:val="21"/>
        </w:rPr>
        <w:t>提交的澄清、说明或补正有疑问的，可以要求</w:t>
      </w:r>
      <w:r>
        <w:rPr>
          <w:rFonts w:hint="eastAsia" w:ascii="宋体" w:hAnsi="宋体" w:eastAsia="宋体" w:cs="宋体"/>
          <w:sz w:val="21"/>
          <w:szCs w:val="21"/>
          <w:lang w:eastAsia="zh-CN"/>
        </w:rPr>
        <w:t>供应商</w:t>
      </w:r>
      <w:r>
        <w:rPr>
          <w:rFonts w:hint="eastAsia" w:ascii="宋体" w:hAnsi="宋体" w:eastAsia="宋体" w:cs="宋体"/>
          <w:sz w:val="21"/>
          <w:szCs w:val="21"/>
        </w:rPr>
        <w:t>进一步澄清、说明或补正，直至满足磋商小组的要求。</w:t>
      </w:r>
    </w:p>
    <w:p w14:paraId="5B0D44EC">
      <w:pPr>
        <w:spacing w:line="360" w:lineRule="auto"/>
        <w:rPr>
          <w:rFonts w:hint="eastAsia" w:ascii="宋体" w:hAnsi="宋体" w:eastAsia="宋体" w:cs="宋体"/>
          <w:sz w:val="21"/>
          <w:szCs w:val="21"/>
        </w:rPr>
      </w:pPr>
      <w:bookmarkStart w:id="684" w:name="_Toc30708"/>
      <w:bookmarkStart w:id="685" w:name="_Toc281405536"/>
      <w:bookmarkStart w:id="686" w:name="_Toc466298147"/>
      <w:bookmarkStart w:id="687" w:name="_Toc22986"/>
      <w:bookmarkStart w:id="688" w:name="_Toc19453"/>
      <w:bookmarkStart w:id="689" w:name="_Toc455867824"/>
      <w:bookmarkStart w:id="690" w:name="_Toc5903"/>
      <w:bookmarkStart w:id="691" w:name="_Toc485131208"/>
      <w:bookmarkStart w:id="692" w:name="_Toc318450730"/>
      <w:bookmarkStart w:id="693" w:name="_Toc26894"/>
      <w:bookmarkStart w:id="694" w:name="_Toc1857"/>
      <w:bookmarkStart w:id="695" w:name="_Toc32183"/>
      <w:bookmarkStart w:id="696" w:name="_Toc455080164"/>
      <w:r>
        <w:rPr>
          <w:rFonts w:hint="eastAsia" w:ascii="宋体" w:hAnsi="宋体" w:eastAsia="宋体" w:cs="宋体"/>
          <w:sz w:val="21"/>
          <w:szCs w:val="21"/>
        </w:rPr>
        <w:t>3.</w:t>
      </w:r>
      <w:r>
        <w:rPr>
          <w:rFonts w:hint="eastAsia" w:ascii="宋体" w:hAnsi="宋体" w:cs="宋体"/>
          <w:sz w:val="21"/>
          <w:szCs w:val="21"/>
          <w:lang w:val="en-US" w:eastAsia="zh-CN"/>
        </w:rPr>
        <w:t>5</w:t>
      </w:r>
      <w:r>
        <w:rPr>
          <w:rFonts w:hint="eastAsia" w:ascii="宋体" w:hAnsi="宋体" w:eastAsia="宋体" w:cs="宋体"/>
          <w:sz w:val="21"/>
          <w:szCs w:val="21"/>
        </w:rPr>
        <w:t xml:space="preserve"> </w:t>
      </w:r>
      <w:r>
        <w:rPr>
          <w:rFonts w:hint="eastAsia" w:ascii="宋体" w:hAnsi="宋体" w:cs="宋体"/>
          <w:sz w:val="21"/>
          <w:szCs w:val="21"/>
          <w:lang w:eastAsia="zh-CN"/>
        </w:rPr>
        <w:t>评审</w:t>
      </w:r>
      <w:r>
        <w:rPr>
          <w:rFonts w:hint="eastAsia" w:ascii="宋体" w:hAnsi="宋体" w:eastAsia="宋体" w:cs="宋体"/>
          <w:sz w:val="21"/>
          <w:szCs w:val="21"/>
        </w:rPr>
        <w:t>结果</w:t>
      </w:r>
      <w:bookmarkEnd w:id="684"/>
      <w:bookmarkEnd w:id="685"/>
      <w:bookmarkEnd w:id="686"/>
      <w:bookmarkEnd w:id="687"/>
      <w:bookmarkEnd w:id="688"/>
      <w:bookmarkEnd w:id="689"/>
      <w:bookmarkEnd w:id="690"/>
      <w:bookmarkEnd w:id="691"/>
      <w:bookmarkEnd w:id="692"/>
      <w:bookmarkEnd w:id="693"/>
      <w:bookmarkEnd w:id="694"/>
      <w:bookmarkEnd w:id="695"/>
      <w:bookmarkEnd w:id="696"/>
    </w:p>
    <w:p w14:paraId="65DFEF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cs="宋体"/>
          <w:sz w:val="21"/>
          <w:szCs w:val="21"/>
          <w:lang w:val="en-US" w:eastAsia="zh-CN"/>
        </w:rPr>
        <w:t>5</w:t>
      </w:r>
      <w:r>
        <w:rPr>
          <w:rFonts w:hint="eastAsia" w:ascii="宋体" w:hAnsi="宋体" w:eastAsia="宋体" w:cs="宋体"/>
          <w:sz w:val="21"/>
          <w:szCs w:val="21"/>
        </w:rPr>
        <w:t>.1除第二章“</w:t>
      </w:r>
      <w:r>
        <w:rPr>
          <w:rFonts w:hint="eastAsia" w:ascii="宋体" w:hAnsi="宋体" w:eastAsia="宋体" w:cs="宋体"/>
          <w:sz w:val="21"/>
          <w:szCs w:val="21"/>
          <w:lang w:eastAsia="zh-CN"/>
        </w:rPr>
        <w:t>供应商</w:t>
      </w:r>
      <w:r>
        <w:rPr>
          <w:rFonts w:hint="eastAsia" w:ascii="宋体" w:hAnsi="宋体" w:eastAsia="宋体" w:cs="宋体"/>
          <w:sz w:val="21"/>
          <w:szCs w:val="21"/>
        </w:rPr>
        <w:t>须知”前附表授权直接确定成交人外，磋商小组按照得分由高到低的顺序推荐成交候选人。</w:t>
      </w:r>
    </w:p>
    <w:p w14:paraId="650B9E8B">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w:t>
      </w:r>
      <w:r>
        <w:rPr>
          <w:rFonts w:hint="eastAsia" w:ascii="宋体" w:hAnsi="宋体" w:cs="宋体"/>
          <w:sz w:val="21"/>
          <w:szCs w:val="21"/>
          <w:lang w:val="en-US" w:eastAsia="zh-CN"/>
        </w:rPr>
        <w:t>5</w:t>
      </w:r>
      <w:r>
        <w:rPr>
          <w:rFonts w:hint="eastAsia" w:ascii="宋体" w:hAnsi="宋体" w:eastAsia="宋体" w:cs="宋体"/>
          <w:sz w:val="21"/>
          <w:szCs w:val="21"/>
        </w:rPr>
        <w:t>.2 磋商小组完成</w:t>
      </w:r>
      <w:r>
        <w:rPr>
          <w:rFonts w:hint="eastAsia" w:ascii="宋体" w:hAnsi="宋体" w:cs="宋体"/>
          <w:sz w:val="21"/>
          <w:szCs w:val="21"/>
          <w:lang w:eastAsia="zh-CN"/>
        </w:rPr>
        <w:t>评审</w:t>
      </w:r>
      <w:r>
        <w:rPr>
          <w:rFonts w:hint="eastAsia" w:ascii="宋体" w:hAnsi="宋体" w:eastAsia="宋体" w:cs="宋体"/>
          <w:sz w:val="21"/>
          <w:szCs w:val="21"/>
        </w:rPr>
        <w:t>后，应当向采购人提交书面评审报告。</w:t>
      </w:r>
    </w:p>
    <w:p w14:paraId="5C3E1891">
      <w:pPr>
        <w:spacing w:line="360" w:lineRule="auto"/>
        <w:rPr>
          <w:rFonts w:hint="eastAsia" w:ascii="宋体" w:hAnsi="宋体" w:eastAsia="宋体" w:cs="宋体"/>
          <w:sz w:val="24"/>
          <w:szCs w:val="24"/>
        </w:rPr>
      </w:pPr>
    </w:p>
    <w:p w14:paraId="5FA9B8AA">
      <w:pPr>
        <w:spacing w:line="360" w:lineRule="auto"/>
        <w:rPr>
          <w:rFonts w:hint="eastAsia" w:ascii="宋体" w:hAnsi="宋体" w:eastAsia="宋体" w:cs="宋体"/>
          <w:sz w:val="24"/>
          <w:szCs w:val="24"/>
        </w:rPr>
      </w:pPr>
    </w:p>
    <w:p w14:paraId="5E30C4C9">
      <w:pPr>
        <w:spacing w:line="360" w:lineRule="auto"/>
        <w:rPr>
          <w:rFonts w:hint="eastAsia" w:ascii="宋体" w:hAnsi="宋体" w:eastAsia="宋体" w:cs="宋体"/>
          <w:sz w:val="24"/>
          <w:szCs w:val="24"/>
        </w:rPr>
      </w:pPr>
    </w:p>
    <w:p w14:paraId="197265EF">
      <w:pPr>
        <w:rPr>
          <w:rFonts w:hint="eastAsia" w:ascii="宋体" w:hAnsi="宋体" w:eastAsia="宋体" w:cs="宋体"/>
          <w:bCs w:val="0"/>
          <w:sz w:val="24"/>
          <w:szCs w:val="24"/>
          <w:highlight w:val="none"/>
        </w:rPr>
      </w:pPr>
      <w:bookmarkStart w:id="697" w:name="_Toc152045609"/>
      <w:bookmarkStart w:id="698" w:name="_Toc152042387"/>
      <w:bookmarkStart w:id="699" w:name="_Toc144974577"/>
      <w:bookmarkStart w:id="700" w:name="_Toc28377"/>
    </w:p>
    <w:p w14:paraId="6DE70F2A">
      <w:pPr>
        <w:pStyle w:val="2"/>
        <w:spacing w:before="120" w:after="120" w:line="360" w:lineRule="auto"/>
        <w:jc w:val="both"/>
        <w:rPr>
          <w:rFonts w:hint="eastAsia" w:ascii="宋体" w:hAnsi="宋体" w:eastAsia="宋体" w:cs="宋体"/>
          <w:bCs w:val="0"/>
          <w:sz w:val="32"/>
          <w:szCs w:val="32"/>
          <w:highlight w:val="none"/>
        </w:rPr>
        <w:sectPr>
          <w:headerReference r:id="rId11" w:type="default"/>
          <w:footerReference r:id="rId12" w:type="default"/>
          <w:pgSz w:w="11906" w:h="16838"/>
          <w:pgMar w:top="1440" w:right="1489" w:bottom="1440" w:left="1797" w:header="851" w:footer="992" w:gutter="0"/>
          <w:pgNumType w:fmt="decimal"/>
          <w:cols w:space="720" w:num="1"/>
          <w:docGrid w:type="linesAndChars" w:linePitch="312" w:charSpace="0"/>
        </w:sectPr>
      </w:pPr>
    </w:p>
    <w:p w14:paraId="3287BA7A">
      <w:pPr>
        <w:pStyle w:val="2"/>
        <w:spacing w:before="120" w:after="120" w:line="360" w:lineRule="auto"/>
        <w:jc w:val="center"/>
        <w:rPr>
          <w:rFonts w:hint="eastAsia" w:ascii="宋体" w:hAnsi="宋体" w:eastAsia="宋体" w:cs="宋体"/>
          <w:bCs w:val="0"/>
          <w:sz w:val="32"/>
          <w:szCs w:val="32"/>
          <w:highlight w:val="none"/>
        </w:rPr>
      </w:pPr>
      <w:r>
        <w:rPr>
          <w:rFonts w:hint="eastAsia" w:ascii="宋体" w:hAnsi="宋体" w:eastAsia="宋体" w:cs="宋体"/>
          <w:bCs w:val="0"/>
          <w:sz w:val="32"/>
          <w:szCs w:val="32"/>
          <w:highlight w:val="none"/>
        </w:rPr>
        <w:t>第四章  合同</w:t>
      </w:r>
      <w:bookmarkEnd w:id="697"/>
      <w:bookmarkEnd w:id="698"/>
      <w:bookmarkEnd w:id="699"/>
      <w:r>
        <w:rPr>
          <w:rFonts w:hint="eastAsia" w:ascii="宋体" w:hAnsi="宋体" w:eastAsia="宋体" w:cs="宋体"/>
          <w:bCs w:val="0"/>
          <w:sz w:val="32"/>
          <w:szCs w:val="32"/>
          <w:highlight w:val="none"/>
        </w:rPr>
        <w:t>文本</w:t>
      </w:r>
      <w:bookmarkEnd w:id="700"/>
    </w:p>
    <w:p w14:paraId="1206CB58">
      <w:pPr>
        <w:jc w:val="center"/>
        <w:rPr>
          <w:rFonts w:hint="eastAsia" w:ascii="宋体" w:hAnsi="宋体" w:eastAsia="宋体" w:cs="宋体"/>
          <w:sz w:val="24"/>
          <w:szCs w:val="24"/>
        </w:rPr>
      </w:pPr>
      <w:r>
        <w:rPr>
          <w:rFonts w:hint="eastAsia" w:ascii="宋体" w:hAnsi="宋体" w:eastAsia="宋体" w:cs="宋体"/>
          <w:sz w:val="24"/>
          <w:szCs w:val="24"/>
        </w:rPr>
        <w:t>（仅做参考，具体内容</w:t>
      </w:r>
      <w:r>
        <w:rPr>
          <w:rFonts w:hint="eastAsia" w:ascii="宋体" w:hAnsi="宋体" w:cs="宋体"/>
          <w:sz w:val="24"/>
          <w:szCs w:val="24"/>
          <w:lang w:val="en-US" w:eastAsia="zh-CN"/>
        </w:rPr>
        <w:t>以</w:t>
      </w:r>
      <w:r>
        <w:rPr>
          <w:rFonts w:hint="eastAsia" w:ascii="宋体" w:hAnsi="宋体" w:eastAsia="宋体" w:cs="宋体"/>
          <w:sz w:val="24"/>
          <w:szCs w:val="24"/>
        </w:rPr>
        <w:t>签订合同</w:t>
      </w:r>
      <w:r>
        <w:rPr>
          <w:rFonts w:hint="eastAsia" w:ascii="宋体" w:hAnsi="宋体" w:cs="宋体"/>
          <w:sz w:val="24"/>
          <w:szCs w:val="24"/>
          <w:lang w:val="en-US" w:eastAsia="zh-CN"/>
        </w:rPr>
        <w:t>为准</w:t>
      </w:r>
      <w:r>
        <w:rPr>
          <w:rFonts w:hint="eastAsia" w:ascii="宋体" w:hAnsi="宋体" w:eastAsia="宋体" w:cs="宋体"/>
          <w:sz w:val="24"/>
          <w:szCs w:val="24"/>
        </w:rPr>
        <w:t>）</w:t>
      </w:r>
    </w:p>
    <w:p w14:paraId="26C6C4FD">
      <w:pPr>
        <w:spacing w:line="360" w:lineRule="auto"/>
        <w:rPr>
          <w:rFonts w:hint="eastAsia" w:ascii="宋体" w:hAnsi="宋体" w:eastAsia="宋体" w:cs="宋体"/>
          <w:sz w:val="24"/>
          <w:szCs w:val="24"/>
        </w:rPr>
      </w:pPr>
      <w:bookmarkStart w:id="701" w:name="_Toc144974855"/>
      <w:bookmarkStart w:id="702" w:name="_Toc152045786"/>
      <w:bookmarkStart w:id="703" w:name="_Toc152042575"/>
    </w:p>
    <w:p w14:paraId="07EC0FC0">
      <w:pPr>
        <w:spacing w:before="100" w:line="229" w:lineRule="auto"/>
        <w:ind w:left="66"/>
        <w:rPr>
          <w:rFonts w:ascii="仿宋" w:hAnsi="仿宋" w:eastAsia="仿宋" w:cs="仿宋"/>
          <w:sz w:val="31"/>
          <w:szCs w:val="31"/>
        </w:rPr>
      </w:pPr>
      <w:r>
        <w:rPr>
          <w:rFonts w:ascii="仿宋" w:hAnsi="仿宋" w:eastAsia="仿宋" w:cs="仿宋"/>
          <w:b/>
          <w:bCs/>
          <w:spacing w:val="-2"/>
          <w:sz w:val="31"/>
          <w:szCs w:val="31"/>
        </w:rPr>
        <w:t>(GF-2012－0202)</w:t>
      </w:r>
    </w:p>
    <w:p w14:paraId="42E7E69F">
      <w:pPr>
        <w:spacing w:line="242" w:lineRule="auto"/>
        <w:rPr>
          <w:rFonts w:ascii="Arial"/>
          <w:sz w:val="21"/>
        </w:rPr>
      </w:pPr>
    </w:p>
    <w:p w14:paraId="16C49599">
      <w:pPr>
        <w:spacing w:line="242" w:lineRule="auto"/>
        <w:rPr>
          <w:rFonts w:ascii="Arial"/>
          <w:sz w:val="21"/>
        </w:rPr>
      </w:pPr>
    </w:p>
    <w:p w14:paraId="5DDC11B2">
      <w:pPr>
        <w:spacing w:line="242" w:lineRule="auto"/>
        <w:rPr>
          <w:rFonts w:ascii="Arial"/>
          <w:sz w:val="21"/>
        </w:rPr>
      </w:pPr>
    </w:p>
    <w:p w14:paraId="61F076D9">
      <w:pPr>
        <w:spacing w:line="242" w:lineRule="auto"/>
        <w:rPr>
          <w:rFonts w:ascii="Arial"/>
          <w:sz w:val="21"/>
        </w:rPr>
      </w:pPr>
    </w:p>
    <w:p w14:paraId="471A5D7C">
      <w:pPr>
        <w:spacing w:line="243" w:lineRule="auto"/>
        <w:rPr>
          <w:rFonts w:ascii="Arial"/>
          <w:sz w:val="21"/>
        </w:rPr>
      </w:pPr>
    </w:p>
    <w:p w14:paraId="7865269D">
      <w:pPr>
        <w:pStyle w:val="10"/>
        <w:spacing w:before="169" w:line="220" w:lineRule="auto"/>
        <w:ind w:left="2473"/>
        <w:rPr>
          <w:sz w:val="52"/>
          <w:szCs w:val="52"/>
        </w:rPr>
      </w:pPr>
      <w:r>
        <w:rPr>
          <w:b/>
          <w:bCs/>
          <w:spacing w:val="-7"/>
          <w:sz w:val="52"/>
          <w:szCs w:val="52"/>
        </w:rPr>
        <w:t>建设工程监理合同</w:t>
      </w:r>
    </w:p>
    <w:p w14:paraId="74907C29">
      <w:pPr>
        <w:spacing w:line="255" w:lineRule="auto"/>
        <w:rPr>
          <w:rFonts w:ascii="Arial"/>
          <w:sz w:val="21"/>
        </w:rPr>
      </w:pPr>
    </w:p>
    <w:p w14:paraId="5B5F2EA8">
      <w:pPr>
        <w:spacing w:line="255" w:lineRule="auto"/>
        <w:rPr>
          <w:rFonts w:hint="eastAsia" w:ascii="Arial" w:eastAsia="宋体"/>
          <w:sz w:val="21"/>
          <w:lang w:eastAsia="zh-CN"/>
        </w:rPr>
      </w:pPr>
    </w:p>
    <w:p w14:paraId="6219EBC4">
      <w:pPr>
        <w:spacing w:line="255" w:lineRule="auto"/>
        <w:rPr>
          <w:rFonts w:hint="eastAsia" w:ascii="Arial" w:eastAsia="宋体"/>
          <w:sz w:val="21"/>
          <w:lang w:eastAsia="zh-CN"/>
        </w:rPr>
      </w:pPr>
    </w:p>
    <w:p w14:paraId="77F012A2">
      <w:pPr>
        <w:spacing w:line="255" w:lineRule="auto"/>
        <w:rPr>
          <w:rFonts w:hint="eastAsia" w:ascii="Arial" w:eastAsia="宋体"/>
          <w:sz w:val="21"/>
          <w:lang w:eastAsia="zh-CN"/>
        </w:rPr>
      </w:pPr>
    </w:p>
    <w:p w14:paraId="7928D4DF">
      <w:pPr>
        <w:spacing w:line="255" w:lineRule="auto"/>
        <w:rPr>
          <w:rFonts w:hint="eastAsia" w:ascii="Arial" w:eastAsia="宋体"/>
          <w:sz w:val="21"/>
          <w:lang w:eastAsia="zh-CN"/>
        </w:rPr>
      </w:pPr>
    </w:p>
    <w:p w14:paraId="15C1EC4C">
      <w:pPr>
        <w:spacing w:line="255" w:lineRule="auto"/>
        <w:rPr>
          <w:rFonts w:hint="eastAsia" w:ascii="Arial" w:eastAsia="宋体"/>
          <w:sz w:val="21"/>
          <w:lang w:eastAsia="zh-CN"/>
        </w:rPr>
      </w:pPr>
    </w:p>
    <w:p w14:paraId="63A3CD1F">
      <w:pPr>
        <w:spacing w:line="255" w:lineRule="auto"/>
        <w:rPr>
          <w:rFonts w:hint="eastAsia" w:ascii="Arial" w:eastAsia="宋体"/>
          <w:sz w:val="21"/>
          <w:lang w:eastAsia="zh-CN"/>
        </w:rPr>
      </w:pPr>
    </w:p>
    <w:p w14:paraId="543D5758">
      <w:pPr>
        <w:spacing w:line="255" w:lineRule="auto"/>
        <w:rPr>
          <w:rFonts w:hint="eastAsia" w:ascii="Arial" w:eastAsia="宋体"/>
          <w:sz w:val="21"/>
          <w:lang w:eastAsia="zh-CN"/>
        </w:rPr>
      </w:pPr>
    </w:p>
    <w:p w14:paraId="407B21F9">
      <w:pPr>
        <w:spacing w:line="255" w:lineRule="auto"/>
        <w:rPr>
          <w:rFonts w:hint="eastAsia" w:ascii="Arial" w:eastAsia="宋体"/>
          <w:sz w:val="21"/>
          <w:lang w:eastAsia="zh-CN"/>
        </w:rPr>
      </w:pPr>
    </w:p>
    <w:p w14:paraId="42437CE9">
      <w:pPr>
        <w:spacing w:line="255" w:lineRule="auto"/>
        <w:rPr>
          <w:rFonts w:hint="eastAsia" w:ascii="Arial" w:eastAsia="宋体"/>
          <w:sz w:val="21"/>
          <w:lang w:eastAsia="zh-CN"/>
        </w:rPr>
      </w:pPr>
    </w:p>
    <w:p w14:paraId="78424194">
      <w:pPr>
        <w:spacing w:line="255" w:lineRule="auto"/>
        <w:rPr>
          <w:rFonts w:hint="eastAsia" w:ascii="Arial" w:eastAsia="宋体"/>
          <w:sz w:val="21"/>
          <w:lang w:eastAsia="zh-CN"/>
        </w:rPr>
      </w:pPr>
    </w:p>
    <w:p w14:paraId="31720EE3">
      <w:pPr>
        <w:spacing w:line="255" w:lineRule="auto"/>
        <w:rPr>
          <w:rFonts w:hint="eastAsia" w:ascii="Arial" w:eastAsia="宋体"/>
          <w:sz w:val="21"/>
          <w:lang w:eastAsia="zh-CN"/>
        </w:rPr>
      </w:pPr>
    </w:p>
    <w:p w14:paraId="722746B3">
      <w:pPr>
        <w:spacing w:line="255" w:lineRule="auto"/>
        <w:rPr>
          <w:rFonts w:hint="eastAsia" w:ascii="Arial" w:eastAsia="宋体"/>
          <w:sz w:val="21"/>
          <w:lang w:eastAsia="zh-CN"/>
        </w:rPr>
      </w:pPr>
    </w:p>
    <w:p w14:paraId="4CAE5791">
      <w:pPr>
        <w:spacing w:line="255" w:lineRule="auto"/>
        <w:rPr>
          <w:rFonts w:ascii="Arial"/>
          <w:sz w:val="21"/>
        </w:rPr>
      </w:pPr>
    </w:p>
    <w:p w14:paraId="711507C4">
      <w:pPr>
        <w:kinsoku w:val="0"/>
        <w:autoSpaceDE w:val="0"/>
        <w:autoSpaceDN w:val="0"/>
        <w:adjustRightInd w:val="0"/>
        <w:snapToGrid w:val="0"/>
        <w:spacing w:before="101" w:line="225" w:lineRule="auto"/>
        <w:jc w:val="center"/>
        <w:textAlignment w:val="baseline"/>
        <w:rPr>
          <w:rFonts w:ascii="宋体" w:hAnsi="宋体" w:eastAsia="宋体" w:cs="宋体"/>
          <w:snapToGrid w:val="0"/>
          <w:color w:val="000000"/>
          <w:kern w:val="0"/>
          <w:sz w:val="31"/>
          <w:szCs w:val="31"/>
          <w:lang w:val="en-US" w:eastAsia="en-US" w:bidi="ar-SA"/>
        </w:rPr>
      </w:pPr>
      <w:r>
        <w:rPr>
          <w:rFonts w:ascii="宋体" w:hAnsi="宋体" w:eastAsia="宋体" w:cs="宋体"/>
          <w:b/>
          <w:bCs/>
          <w:snapToGrid w:val="0"/>
          <w:color w:val="000000"/>
          <w:spacing w:val="6"/>
          <w:kern w:val="0"/>
          <w:sz w:val="31"/>
          <w:szCs w:val="31"/>
          <w:lang w:val="en-US" w:eastAsia="en-US" w:bidi="ar-SA"/>
        </w:rPr>
        <w:t>住房和城乡建设部</w:t>
      </w:r>
    </w:p>
    <w:p w14:paraId="7D1043E6">
      <w:pPr>
        <w:kinsoku w:val="0"/>
        <w:autoSpaceDE w:val="0"/>
        <w:autoSpaceDN w:val="0"/>
        <w:adjustRightInd w:val="0"/>
        <w:snapToGrid w:val="0"/>
        <w:spacing w:before="247" w:line="373" w:lineRule="auto"/>
        <w:ind w:right="1160"/>
        <w:jc w:val="right"/>
        <w:textAlignment w:val="baseline"/>
        <w:rPr>
          <w:rFonts w:ascii="宋体" w:hAnsi="宋体" w:eastAsia="宋体" w:cs="宋体"/>
          <w:b/>
          <w:bCs/>
          <w:snapToGrid w:val="0"/>
          <w:color w:val="000000"/>
          <w:kern w:val="0"/>
          <w:sz w:val="31"/>
          <w:szCs w:val="31"/>
          <w:lang w:val="en-US" w:eastAsia="en-US" w:bidi="ar-SA"/>
        </w:rPr>
      </w:pPr>
      <w:r>
        <w:rPr>
          <w:rFonts w:hint="eastAsia" w:ascii="宋体" w:hAnsi="宋体" w:eastAsia="宋体" w:cs="宋体"/>
          <w:b/>
          <w:bCs/>
          <w:snapToGrid w:val="0"/>
          <w:color w:val="000000"/>
          <w:kern w:val="0"/>
          <w:sz w:val="31"/>
          <w:szCs w:val="31"/>
          <w:lang w:val="en-US" w:eastAsia="zh-CN" w:bidi="ar-SA"/>
        </w:rPr>
        <w:t>制</w:t>
      </w:r>
      <w:r>
        <w:rPr>
          <w:rFonts w:ascii="宋体" w:hAnsi="宋体" w:eastAsia="宋体" w:cs="宋体"/>
          <w:b/>
          <w:bCs/>
          <w:snapToGrid w:val="0"/>
          <w:color w:val="000000"/>
          <w:kern w:val="0"/>
          <w:sz w:val="31"/>
          <w:szCs w:val="31"/>
          <w:lang w:val="en-US" w:eastAsia="en-US" w:bidi="ar-SA"/>
        </w:rPr>
        <w:t>定</w:t>
      </w:r>
    </w:p>
    <w:p w14:paraId="64B6ECB5">
      <w:pPr>
        <w:kinsoku w:val="0"/>
        <w:autoSpaceDE w:val="0"/>
        <w:autoSpaceDN w:val="0"/>
        <w:adjustRightInd w:val="0"/>
        <w:snapToGrid w:val="0"/>
        <w:spacing w:before="247" w:line="373" w:lineRule="auto"/>
        <w:ind w:right="1160"/>
        <w:jc w:val="center"/>
        <w:textAlignment w:val="baseline"/>
        <w:rPr>
          <w:rFonts w:ascii="宋体" w:hAnsi="宋体" w:eastAsia="宋体" w:cs="宋体"/>
          <w:snapToGrid w:val="0"/>
          <w:color w:val="000000"/>
          <w:kern w:val="0"/>
          <w:sz w:val="31"/>
          <w:szCs w:val="31"/>
          <w:lang w:val="en-US" w:eastAsia="en-US" w:bidi="ar-SA"/>
        </w:rPr>
      </w:pPr>
      <w:r>
        <w:rPr>
          <w:rFonts w:hint="eastAsia" w:ascii="宋体" w:hAnsi="宋体" w:eastAsia="宋体" w:cs="宋体"/>
          <w:b/>
          <w:bCs/>
          <w:snapToGrid w:val="0"/>
          <w:color w:val="000000"/>
          <w:spacing w:val="3"/>
          <w:kern w:val="0"/>
          <w:sz w:val="31"/>
          <w:szCs w:val="31"/>
          <w:lang w:val="en-US" w:eastAsia="zh-CN" w:bidi="ar-SA"/>
        </w:rPr>
        <w:t xml:space="preserve">        </w:t>
      </w:r>
      <w:r>
        <w:rPr>
          <w:rFonts w:ascii="宋体" w:hAnsi="宋体" w:eastAsia="宋体" w:cs="宋体"/>
          <w:b/>
          <w:bCs/>
          <w:snapToGrid w:val="0"/>
          <w:color w:val="000000"/>
          <w:spacing w:val="3"/>
          <w:kern w:val="0"/>
          <w:sz w:val="31"/>
          <w:szCs w:val="31"/>
          <w:lang w:val="en-US" w:eastAsia="en-US" w:bidi="ar-SA"/>
        </w:rPr>
        <w:t>国家工商行政管理总局</w:t>
      </w:r>
    </w:p>
    <w:p w14:paraId="4AFCEE21">
      <w:pPr>
        <w:spacing w:line="255" w:lineRule="auto"/>
        <w:rPr>
          <w:rFonts w:ascii="Arial"/>
          <w:sz w:val="21"/>
        </w:rPr>
      </w:pPr>
    </w:p>
    <w:p w14:paraId="1FF3DEB6">
      <w:pPr>
        <w:spacing w:line="255" w:lineRule="auto"/>
        <w:rPr>
          <w:rFonts w:ascii="Arial"/>
          <w:sz w:val="21"/>
        </w:rPr>
      </w:pPr>
    </w:p>
    <w:p w14:paraId="299E60F5">
      <w:pPr>
        <w:spacing w:line="255" w:lineRule="auto"/>
        <w:rPr>
          <w:rFonts w:ascii="Arial"/>
          <w:sz w:val="21"/>
        </w:rPr>
      </w:pPr>
    </w:p>
    <w:p w14:paraId="3678961C">
      <w:pPr>
        <w:spacing w:line="256" w:lineRule="auto"/>
        <w:rPr>
          <w:rFonts w:ascii="Arial"/>
          <w:sz w:val="21"/>
        </w:rPr>
      </w:pPr>
    </w:p>
    <w:p w14:paraId="778DE814">
      <w:pPr>
        <w:pStyle w:val="2"/>
        <w:spacing w:before="120" w:after="120" w:line="360" w:lineRule="auto"/>
        <w:jc w:val="center"/>
        <w:rPr>
          <w:rFonts w:hint="eastAsia" w:ascii="宋体" w:hAnsi="宋体" w:eastAsia="宋体" w:cs="宋体"/>
          <w:bCs w:val="0"/>
          <w:sz w:val="32"/>
          <w:szCs w:val="32"/>
        </w:rPr>
        <w:sectPr>
          <w:pgSz w:w="11906" w:h="16838"/>
          <w:pgMar w:top="1440" w:right="1706" w:bottom="1440" w:left="1800" w:header="851" w:footer="992" w:gutter="0"/>
          <w:pgNumType w:fmt="decimal"/>
          <w:cols w:space="720" w:num="1"/>
          <w:docGrid w:type="lines" w:linePitch="312" w:charSpace="0"/>
        </w:sectPr>
      </w:pPr>
      <w:bookmarkStart w:id="704" w:name="_Toc29292"/>
    </w:p>
    <w:p w14:paraId="7F9F1CA0">
      <w:pPr>
        <w:kinsoku w:val="0"/>
        <w:autoSpaceDE w:val="0"/>
        <w:autoSpaceDN w:val="0"/>
        <w:adjustRightInd w:val="0"/>
        <w:snapToGrid w:val="0"/>
        <w:spacing w:before="114" w:line="224" w:lineRule="auto"/>
        <w:ind w:left="3104"/>
        <w:jc w:val="left"/>
        <w:textAlignment w:val="baseline"/>
        <w:rPr>
          <w:rFonts w:ascii="宋体" w:hAnsi="宋体" w:eastAsia="宋体" w:cs="宋体"/>
          <w:snapToGrid w:val="0"/>
          <w:color w:val="000000"/>
          <w:kern w:val="0"/>
          <w:sz w:val="35"/>
          <w:szCs w:val="35"/>
          <w:lang w:val="en-US" w:eastAsia="en-US" w:bidi="ar-SA"/>
        </w:rPr>
      </w:pPr>
      <w:r>
        <w:rPr>
          <w:rFonts w:ascii="宋体" w:hAnsi="宋体" w:eastAsia="宋体" w:cs="宋体"/>
          <w:b/>
          <w:bCs/>
          <w:snapToGrid w:val="0"/>
          <w:color w:val="000000"/>
          <w:spacing w:val="5"/>
          <w:kern w:val="0"/>
          <w:sz w:val="35"/>
          <w:szCs w:val="35"/>
          <w:lang w:val="en-US" w:eastAsia="en-US" w:bidi="ar-SA"/>
        </w:rPr>
        <w:t>第一部分</w:t>
      </w:r>
      <w:r>
        <w:rPr>
          <w:rFonts w:ascii="宋体" w:hAnsi="宋体" w:eastAsia="宋体" w:cs="宋体"/>
          <w:snapToGrid w:val="0"/>
          <w:color w:val="000000"/>
          <w:spacing w:val="5"/>
          <w:kern w:val="0"/>
          <w:sz w:val="35"/>
          <w:szCs w:val="35"/>
          <w:lang w:val="en-US" w:eastAsia="en-US" w:bidi="ar-SA"/>
        </w:rPr>
        <w:t xml:space="preserve">  </w:t>
      </w:r>
      <w:r>
        <w:rPr>
          <w:rFonts w:ascii="宋体" w:hAnsi="宋体" w:eastAsia="宋体" w:cs="宋体"/>
          <w:b/>
          <w:bCs/>
          <w:snapToGrid w:val="0"/>
          <w:color w:val="000000"/>
          <w:spacing w:val="5"/>
          <w:kern w:val="0"/>
          <w:sz w:val="35"/>
          <w:szCs w:val="35"/>
          <w:lang w:val="en-US" w:eastAsia="en-US" w:bidi="ar-SA"/>
        </w:rPr>
        <w:t>协议书</w:t>
      </w:r>
    </w:p>
    <w:p w14:paraId="15195BD9">
      <w:pPr>
        <w:kinsoku w:val="0"/>
        <w:autoSpaceDE w:val="0"/>
        <w:autoSpaceDN w:val="0"/>
        <w:adjustRightInd w:val="0"/>
        <w:snapToGrid w:val="0"/>
        <w:spacing w:before="187" w:line="221"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委托人（全称</w:t>
      </w:r>
      <w:r>
        <w:rPr>
          <w:rFonts w:ascii="宋体" w:hAnsi="宋体" w:eastAsia="宋体" w:cs="宋体"/>
          <w:b/>
          <w:bCs/>
          <w:snapToGrid w:val="0"/>
          <w:color w:val="000000"/>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p>
    <w:p w14:paraId="1ACFAB3B">
      <w:pPr>
        <w:kinsoku w:val="0"/>
        <w:autoSpaceDE w:val="0"/>
        <w:autoSpaceDN w:val="0"/>
        <w:adjustRightInd w:val="0"/>
        <w:snapToGrid w:val="0"/>
        <w:spacing w:before="112" w:line="221" w:lineRule="auto"/>
        <w:ind w:left="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监理人（全称</w:t>
      </w:r>
      <w:r>
        <w:rPr>
          <w:rFonts w:ascii="宋体" w:hAnsi="宋体" w:eastAsia="宋体" w:cs="宋体"/>
          <w:b/>
          <w:bCs/>
          <w:snapToGrid w:val="0"/>
          <w:color w:val="000000"/>
          <w:spacing w:val="-1"/>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p>
    <w:p w14:paraId="2CA71AAE">
      <w:pPr>
        <w:kinsoku w:val="0"/>
        <w:autoSpaceDE w:val="0"/>
        <w:autoSpaceDN w:val="0"/>
        <w:adjustRightInd w:val="0"/>
        <w:snapToGrid w:val="0"/>
        <w:spacing w:before="111" w:line="308" w:lineRule="auto"/>
        <w:ind w:left="9" w:right="58" w:firstLine="479"/>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根据《中华人民共和国民法典》、《中华人民共和国建筑法》及其他有关法律、法规，遵循平等、自愿、公平和诚信的原则，双方就下述工程委托监理与相关服务事项协商一致，订立本合同。</w:t>
      </w:r>
    </w:p>
    <w:p w14:paraId="66992EED">
      <w:pPr>
        <w:kinsoku w:val="0"/>
        <w:autoSpaceDE w:val="0"/>
        <w:autoSpaceDN w:val="0"/>
        <w:adjustRightInd w:val="0"/>
        <w:snapToGrid w:val="0"/>
        <w:spacing w:line="219"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一、工程概况</w:t>
      </w:r>
    </w:p>
    <w:p w14:paraId="465F736A">
      <w:pPr>
        <w:kinsoku w:val="0"/>
        <w:autoSpaceDE w:val="0"/>
        <w:autoSpaceDN w:val="0"/>
        <w:adjustRightInd w:val="0"/>
        <w:snapToGrid w:val="0"/>
        <w:spacing w:before="115" w:line="220" w:lineRule="auto"/>
        <w:ind w:left="5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1.</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工程名称</w:t>
      </w:r>
      <w:r>
        <w:rPr>
          <w:rFonts w:ascii="宋体" w:hAnsi="宋体" w:eastAsia="宋体" w:cs="宋体"/>
          <w:snapToGrid w:val="0"/>
          <w:color w:val="000000"/>
          <w:kern w:val="0"/>
          <w:sz w:val="24"/>
          <w:szCs w:val="24"/>
          <w:lang w:val="en-US" w:eastAsia="en-US" w:bidi="ar-SA"/>
        </w:rPr>
        <w:t>：</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kern w:val="0"/>
          <w:sz w:val="24"/>
          <w:szCs w:val="24"/>
          <w:lang w:val="en-US" w:eastAsia="en-US" w:bidi="ar-SA"/>
        </w:rPr>
        <w:t>；</w:t>
      </w:r>
    </w:p>
    <w:p w14:paraId="04EE31FA">
      <w:pPr>
        <w:kinsoku w:val="0"/>
        <w:autoSpaceDE w:val="0"/>
        <w:autoSpaceDN w:val="0"/>
        <w:adjustRightInd w:val="0"/>
        <w:snapToGrid w:val="0"/>
        <w:spacing w:before="112" w:line="220" w:lineRule="auto"/>
        <w:ind w:left="48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2.</w:t>
      </w:r>
      <w:r>
        <w:rPr>
          <w:rFonts w:ascii="宋体" w:hAnsi="宋体" w:eastAsia="宋体" w:cs="宋体"/>
          <w:snapToGrid w:val="0"/>
          <w:color w:val="000000"/>
          <w:spacing w:val="12"/>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工程地点</w:t>
      </w:r>
      <w:r>
        <w:rPr>
          <w:rFonts w:ascii="宋体" w:hAnsi="宋体" w:eastAsia="宋体" w:cs="宋体"/>
          <w:snapToGrid w:val="0"/>
          <w:color w:val="000000"/>
          <w:spacing w:val="2"/>
          <w:kern w:val="0"/>
          <w:sz w:val="24"/>
          <w:szCs w:val="24"/>
          <w:lang w:val="en-US" w:eastAsia="en-US" w:bidi="ar-SA"/>
        </w:rPr>
        <w:t>：</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spacing w:val="2"/>
          <w:kern w:val="0"/>
          <w:sz w:val="24"/>
          <w:szCs w:val="24"/>
          <w:lang w:val="en-US" w:eastAsia="en-US" w:bidi="ar-SA"/>
        </w:rPr>
        <w:t>；</w:t>
      </w:r>
    </w:p>
    <w:p w14:paraId="7C0EFC1C">
      <w:pPr>
        <w:kinsoku w:val="0"/>
        <w:autoSpaceDE w:val="0"/>
        <w:autoSpaceDN w:val="0"/>
        <w:adjustRightInd w:val="0"/>
        <w:snapToGrid w:val="0"/>
        <w:spacing w:before="115" w:line="219" w:lineRule="auto"/>
        <w:ind w:left="4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3.</w:t>
      </w:r>
      <w:r>
        <w:rPr>
          <w:rFonts w:ascii="宋体" w:hAnsi="宋体" w:eastAsia="宋体" w:cs="宋体"/>
          <w:snapToGrid w:val="0"/>
          <w:color w:val="000000"/>
          <w:spacing w:val="12"/>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工程规模</w:t>
      </w:r>
      <w:r>
        <w:rPr>
          <w:rFonts w:ascii="宋体" w:hAnsi="宋体" w:eastAsia="宋体" w:cs="宋体"/>
          <w:snapToGrid w:val="0"/>
          <w:color w:val="000000"/>
          <w:spacing w:val="1"/>
          <w:kern w:val="0"/>
          <w:sz w:val="24"/>
          <w:szCs w:val="24"/>
          <w:lang w:val="en-US" w:eastAsia="en-US" w:bidi="ar-SA"/>
        </w:rPr>
        <w:t>：</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2629AF81">
      <w:pPr>
        <w:kinsoku w:val="0"/>
        <w:autoSpaceDE w:val="0"/>
        <w:autoSpaceDN w:val="0"/>
        <w:adjustRightInd w:val="0"/>
        <w:snapToGrid w:val="0"/>
        <w:spacing w:before="116" w:line="219" w:lineRule="auto"/>
        <w:ind w:left="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4. 工程概算投资额或建筑安装工程费：</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7D2E7FAD">
      <w:pPr>
        <w:kinsoku w:val="0"/>
        <w:autoSpaceDE w:val="0"/>
        <w:autoSpaceDN w:val="0"/>
        <w:adjustRightInd w:val="0"/>
        <w:snapToGrid w:val="0"/>
        <w:spacing w:before="114" w:line="220"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二、词语限定</w:t>
      </w:r>
    </w:p>
    <w:p w14:paraId="27FB085D">
      <w:pPr>
        <w:kinsoku w:val="0"/>
        <w:autoSpaceDE w:val="0"/>
        <w:autoSpaceDN w:val="0"/>
        <w:adjustRightInd w:val="0"/>
        <w:snapToGrid w:val="0"/>
        <w:spacing w:before="114" w:line="219" w:lineRule="auto"/>
        <w:ind w:left="4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协议书中相关词语的含义与通用条件中的定义与解释相同。</w:t>
      </w:r>
    </w:p>
    <w:p w14:paraId="686B0D84">
      <w:pPr>
        <w:kinsoku w:val="0"/>
        <w:autoSpaceDE w:val="0"/>
        <w:autoSpaceDN w:val="0"/>
        <w:adjustRightInd w:val="0"/>
        <w:snapToGrid w:val="0"/>
        <w:spacing w:before="116" w:line="219" w:lineRule="auto"/>
        <w:ind w:left="48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三、组成本合同的文件</w:t>
      </w:r>
    </w:p>
    <w:p w14:paraId="58B3CE1F">
      <w:pPr>
        <w:kinsoku w:val="0"/>
        <w:autoSpaceDE w:val="0"/>
        <w:autoSpaceDN w:val="0"/>
        <w:adjustRightInd w:val="0"/>
        <w:snapToGrid w:val="0"/>
        <w:spacing w:before="114" w:line="219" w:lineRule="auto"/>
        <w:ind w:left="5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1.</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协议书；</w:t>
      </w:r>
    </w:p>
    <w:p w14:paraId="17D1B5DF">
      <w:pPr>
        <w:kinsoku w:val="0"/>
        <w:autoSpaceDE w:val="0"/>
        <w:autoSpaceDN w:val="0"/>
        <w:adjustRightInd w:val="0"/>
        <w:snapToGrid w:val="0"/>
        <w:spacing w:before="116" w:line="219" w:lineRule="auto"/>
        <w:ind w:left="48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w:t>
      </w:r>
      <w:r>
        <w:rPr>
          <w:rFonts w:ascii="宋体" w:hAnsi="宋体" w:eastAsia="宋体" w:cs="宋体"/>
          <w:snapToGrid w:val="0"/>
          <w:color w:val="000000"/>
          <w:spacing w:val="32"/>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中标通知书（适用于招标工程）或委托书（适用于非招标工程</w:t>
      </w:r>
      <w:r>
        <w:rPr>
          <w:rFonts w:ascii="宋体" w:hAnsi="宋体" w:eastAsia="宋体" w:cs="宋体"/>
          <w:snapToGrid w:val="0"/>
          <w:color w:val="000000"/>
          <w:spacing w:val="6"/>
          <w:kern w:val="0"/>
          <w:sz w:val="24"/>
          <w:szCs w:val="24"/>
          <w:lang w:val="en-US" w:eastAsia="en-US" w:bidi="ar-SA"/>
        </w:rPr>
        <w:t>）；</w:t>
      </w:r>
    </w:p>
    <w:p w14:paraId="60DEE7B8">
      <w:pPr>
        <w:kinsoku w:val="0"/>
        <w:autoSpaceDE w:val="0"/>
        <w:autoSpaceDN w:val="0"/>
        <w:adjustRightInd w:val="0"/>
        <w:snapToGrid w:val="0"/>
        <w:spacing w:before="116" w:line="219" w:lineRule="auto"/>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 xml:space="preserve">3. </w:t>
      </w:r>
      <w:r>
        <w:rPr>
          <w:rFonts w:hint="eastAsia" w:ascii="宋体" w:hAnsi="宋体" w:cs="宋体"/>
          <w:snapToGrid w:val="0"/>
          <w:color w:val="000000"/>
          <w:spacing w:val="-1"/>
          <w:kern w:val="0"/>
          <w:sz w:val="24"/>
          <w:szCs w:val="24"/>
          <w:lang w:val="en-US" w:eastAsia="zh-CN" w:bidi="ar-SA"/>
        </w:rPr>
        <w:t>响应文件</w:t>
      </w:r>
      <w:r>
        <w:rPr>
          <w:rFonts w:ascii="宋体" w:hAnsi="宋体" w:eastAsia="宋体" w:cs="宋体"/>
          <w:snapToGrid w:val="0"/>
          <w:color w:val="000000"/>
          <w:spacing w:val="-1"/>
          <w:kern w:val="0"/>
          <w:sz w:val="24"/>
          <w:szCs w:val="24"/>
          <w:lang w:val="en-US" w:eastAsia="en-US" w:bidi="ar-SA"/>
        </w:rPr>
        <w:t>（适用于招标工程）或监理与相关服务建</w:t>
      </w:r>
      <w:r>
        <w:rPr>
          <w:rFonts w:ascii="宋体" w:hAnsi="宋体" w:eastAsia="宋体" w:cs="宋体"/>
          <w:snapToGrid w:val="0"/>
          <w:color w:val="000000"/>
          <w:spacing w:val="-2"/>
          <w:kern w:val="0"/>
          <w:sz w:val="24"/>
          <w:szCs w:val="24"/>
          <w:lang w:val="en-US" w:eastAsia="en-US" w:bidi="ar-SA"/>
        </w:rPr>
        <w:t>议书（适用于非招标工程</w:t>
      </w:r>
      <w:r>
        <w:rPr>
          <w:rFonts w:ascii="宋体" w:hAnsi="宋体" w:eastAsia="宋体" w:cs="宋体"/>
          <w:snapToGrid w:val="0"/>
          <w:color w:val="000000"/>
          <w:spacing w:val="-37"/>
          <w:kern w:val="0"/>
          <w:sz w:val="24"/>
          <w:szCs w:val="24"/>
          <w:lang w:val="en-US" w:eastAsia="en-US" w:bidi="ar-SA"/>
        </w:rPr>
        <w:t>）；</w:t>
      </w:r>
    </w:p>
    <w:p w14:paraId="3015BFEA">
      <w:pPr>
        <w:kinsoku w:val="0"/>
        <w:autoSpaceDE w:val="0"/>
        <w:autoSpaceDN w:val="0"/>
        <w:adjustRightInd w:val="0"/>
        <w:snapToGrid w:val="0"/>
        <w:spacing w:before="115" w:line="219"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4. 专用条件；</w:t>
      </w:r>
    </w:p>
    <w:p w14:paraId="2BADAF99">
      <w:pPr>
        <w:kinsoku w:val="0"/>
        <w:autoSpaceDE w:val="0"/>
        <w:autoSpaceDN w:val="0"/>
        <w:adjustRightInd w:val="0"/>
        <w:snapToGrid w:val="0"/>
        <w:spacing w:before="116" w:line="219" w:lineRule="auto"/>
        <w:ind w:left="4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5. 通用条件；</w:t>
      </w:r>
    </w:p>
    <w:p w14:paraId="32F74B5D">
      <w:pPr>
        <w:kinsoku w:val="0"/>
        <w:autoSpaceDE w:val="0"/>
        <w:autoSpaceDN w:val="0"/>
        <w:adjustRightInd w:val="0"/>
        <w:snapToGrid w:val="0"/>
        <w:spacing w:before="115" w:line="219"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6.</w:t>
      </w:r>
      <w:r>
        <w:rPr>
          <w:rFonts w:ascii="宋体" w:hAnsi="宋体" w:eastAsia="宋体" w:cs="宋体"/>
          <w:snapToGrid w:val="0"/>
          <w:color w:val="000000"/>
          <w:spacing w:val="29"/>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附录，即：</w:t>
      </w:r>
    </w:p>
    <w:p w14:paraId="32890550">
      <w:pPr>
        <w:kinsoku w:val="0"/>
        <w:autoSpaceDE w:val="0"/>
        <w:autoSpaceDN w:val="0"/>
        <w:adjustRightInd w:val="0"/>
        <w:snapToGrid w:val="0"/>
        <w:spacing w:before="114" w:line="219" w:lineRule="auto"/>
        <w:ind w:left="50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附录</w:t>
      </w:r>
      <w:r>
        <w:rPr>
          <w:rFonts w:ascii="宋体" w:hAnsi="宋体" w:eastAsia="宋体" w:cs="宋体"/>
          <w:snapToGrid w:val="0"/>
          <w:color w:val="000000"/>
          <w:spacing w:val="-59"/>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A  相关服务的范围和内容</w:t>
      </w:r>
    </w:p>
    <w:p w14:paraId="203B4E0D">
      <w:pPr>
        <w:kinsoku w:val="0"/>
        <w:autoSpaceDE w:val="0"/>
        <w:autoSpaceDN w:val="0"/>
        <w:adjustRightInd w:val="0"/>
        <w:snapToGrid w:val="0"/>
        <w:spacing w:before="116" w:line="219" w:lineRule="auto"/>
        <w:ind w:left="50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附录</w:t>
      </w:r>
      <w:r>
        <w:rPr>
          <w:rFonts w:ascii="宋体" w:hAnsi="宋体" w:eastAsia="宋体" w:cs="宋体"/>
          <w:snapToGrid w:val="0"/>
          <w:color w:val="000000"/>
          <w:spacing w:val="-40"/>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B  委托人派遣的人员和提供的房屋、资料、设备</w:t>
      </w:r>
    </w:p>
    <w:p w14:paraId="01ABA8F1">
      <w:pPr>
        <w:kinsoku w:val="0"/>
        <w:autoSpaceDE w:val="0"/>
        <w:autoSpaceDN w:val="0"/>
        <w:adjustRightInd w:val="0"/>
        <w:snapToGrid w:val="0"/>
        <w:spacing w:before="116" w:line="219" w:lineRule="auto"/>
        <w:ind w:left="4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本合同签订后，双方依法签订的补充协议也</w:t>
      </w:r>
      <w:r>
        <w:rPr>
          <w:rFonts w:ascii="宋体" w:hAnsi="宋体" w:eastAsia="宋体" w:cs="宋体"/>
          <w:snapToGrid w:val="0"/>
          <w:color w:val="000000"/>
          <w:spacing w:val="-1"/>
          <w:kern w:val="0"/>
          <w:sz w:val="24"/>
          <w:szCs w:val="24"/>
          <w:lang w:val="en-US" w:eastAsia="en-US" w:bidi="ar-SA"/>
        </w:rPr>
        <w:t>是本合同文件的组成部分。</w:t>
      </w:r>
    </w:p>
    <w:p w14:paraId="209AE21E">
      <w:pPr>
        <w:kinsoku w:val="0"/>
        <w:autoSpaceDE w:val="0"/>
        <w:autoSpaceDN w:val="0"/>
        <w:adjustRightInd w:val="0"/>
        <w:snapToGrid w:val="0"/>
        <w:spacing w:before="114" w:line="219" w:lineRule="auto"/>
        <w:ind w:left="50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6"/>
          <w:kern w:val="0"/>
          <w:sz w:val="24"/>
          <w:szCs w:val="24"/>
          <w:lang w:val="en-US" w:eastAsia="en-US" w:bidi="ar-SA"/>
        </w:rPr>
        <w:t>四、总监理工程师</w:t>
      </w:r>
    </w:p>
    <w:p w14:paraId="0B41580A">
      <w:pPr>
        <w:kinsoku w:val="0"/>
        <w:autoSpaceDE w:val="0"/>
        <w:autoSpaceDN w:val="0"/>
        <w:adjustRightInd w:val="0"/>
        <w:snapToGrid w:val="0"/>
        <w:spacing w:before="117" w:line="307" w:lineRule="auto"/>
        <w:ind w:left="14" w:right="58" w:firstLine="47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2"/>
          <w:kern w:val="0"/>
          <w:sz w:val="24"/>
          <w:szCs w:val="24"/>
          <w:lang w:val="en-US" w:eastAsia="en-US" w:bidi="ar-SA"/>
        </w:rPr>
        <w:t>总监理工程师姓名</w:t>
      </w:r>
      <w:r>
        <w:rPr>
          <w:rFonts w:ascii="宋体" w:hAnsi="宋体" w:eastAsia="宋体" w:cs="宋体"/>
          <w:snapToGrid w:val="0"/>
          <w:color w:val="000000"/>
          <w:spacing w:val="7"/>
          <w:kern w:val="0"/>
          <w:sz w:val="24"/>
          <w:szCs w:val="24"/>
          <w:lang w:val="en-US" w:eastAsia="en-US" w:bidi="ar-SA"/>
        </w:rPr>
        <w:t>：</w:t>
      </w:r>
      <w:r>
        <w:rPr>
          <w:rFonts w:ascii="宋体" w:hAnsi="宋体" w:eastAsia="宋体" w:cs="宋体"/>
          <w:snapToGrid w:val="0"/>
          <w:color w:val="000000"/>
          <w:spacing w:val="-54"/>
          <w:kern w:val="0"/>
          <w:sz w:val="24"/>
          <w:szCs w:val="24"/>
          <w:lang w:val="en-US" w:eastAsia="en-US" w:bidi="ar-SA"/>
        </w:rPr>
        <w:t xml:space="preserve"> </w:t>
      </w:r>
      <w:r>
        <w:rPr>
          <w:rFonts w:ascii="宋体" w:hAnsi="宋体" w:eastAsia="宋体" w:cs="宋体"/>
          <w:snapToGrid w:val="0"/>
          <w:color w:val="000000"/>
          <w:spacing w:val="7"/>
          <w:kern w:val="0"/>
          <w:sz w:val="24"/>
          <w:szCs w:val="24"/>
          <w:u w:val="single" w:color="auto"/>
          <w:lang w:val="en-US" w:eastAsia="en-US" w:bidi="ar-SA"/>
        </w:rPr>
        <w:t xml:space="preserve">             </w:t>
      </w:r>
      <w:r>
        <w:rPr>
          <w:rFonts w:ascii="宋体" w:hAnsi="宋体" w:eastAsia="宋体" w:cs="宋体"/>
          <w:snapToGrid w:val="0"/>
          <w:color w:val="000000"/>
          <w:spacing w:val="-81"/>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w:t>
      </w:r>
      <w:r>
        <w:rPr>
          <w:rFonts w:ascii="宋体" w:hAnsi="宋体" w:eastAsia="宋体" w:cs="宋体"/>
          <w:snapToGrid w:val="0"/>
          <w:color w:val="000000"/>
          <w:spacing w:val="22"/>
          <w:kern w:val="0"/>
          <w:sz w:val="24"/>
          <w:szCs w:val="24"/>
          <w:lang w:val="en-US" w:eastAsia="en-US" w:bidi="ar-SA"/>
        </w:rPr>
        <w:t>身份证号码</w:t>
      </w:r>
      <w:r>
        <w:rPr>
          <w:rFonts w:ascii="宋体" w:hAnsi="宋体" w:eastAsia="宋体" w:cs="宋体"/>
          <w:snapToGrid w:val="0"/>
          <w:color w:val="000000"/>
          <w:spacing w:val="7"/>
          <w:kern w:val="0"/>
          <w:sz w:val="24"/>
          <w:szCs w:val="24"/>
          <w:lang w:val="en-US" w:eastAsia="en-US" w:bidi="ar-SA"/>
        </w:rPr>
        <w:t>：</w:t>
      </w:r>
      <w:r>
        <w:rPr>
          <w:rFonts w:ascii="宋体" w:hAnsi="宋体" w:eastAsia="宋体" w:cs="宋体"/>
          <w:snapToGrid w:val="0"/>
          <w:color w:val="000000"/>
          <w:spacing w:val="-58"/>
          <w:kern w:val="0"/>
          <w:sz w:val="24"/>
          <w:szCs w:val="24"/>
          <w:lang w:val="en-US" w:eastAsia="en-US" w:bidi="ar-SA"/>
        </w:rPr>
        <w:t xml:space="preserve"> </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77"/>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w:t>
      </w:r>
      <w:r>
        <w:rPr>
          <w:rFonts w:ascii="宋体" w:hAnsi="宋体" w:eastAsia="宋体" w:cs="宋体"/>
          <w:snapToGrid w:val="0"/>
          <w:color w:val="000000"/>
          <w:spacing w:val="22"/>
          <w:kern w:val="0"/>
          <w:sz w:val="24"/>
          <w:szCs w:val="24"/>
          <w:lang w:val="en-US" w:eastAsia="en-US" w:bidi="ar-SA"/>
        </w:rPr>
        <w:t>注册</w:t>
      </w:r>
      <w:r>
        <w:rPr>
          <w:rFonts w:ascii="宋体" w:hAnsi="宋体" w:eastAsia="宋体" w:cs="宋体"/>
          <w:snapToGrid w:val="0"/>
          <w:color w:val="000000"/>
          <w:spacing w:val="-6"/>
          <w:kern w:val="0"/>
          <w:sz w:val="24"/>
          <w:szCs w:val="24"/>
          <w:lang w:val="en-US" w:eastAsia="en-US" w:bidi="ar-SA"/>
        </w:rPr>
        <w:t>号：</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6"/>
          <w:kern w:val="0"/>
          <w:sz w:val="24"/>
          <w:szCs w:val="24"/>
          <w:lang w:val="en-US" w:eastAsia="en-US" w:bidi="ar-SA"/>
        </w:rPr>
        <w:t>。</w:t>
      </w:r>
    </w:p>
    <w:p w14:paraId="11EF61F7">
      <w:pPr>
        <w:kinsoku w:val="0"/>
        <w:autoSpaceDE w:val="0"/>
        <w:autoSpaceDN w:val="0"/>
        <w:adjustRightInd w:val="0"/>
        <w:snapToGrid w:val="0"/>
        <w:spacing w:before="1" w:line="219"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五、签约酬金</w:t>
      </w:r>
    </w:p>
    <w:p w14:paraId="2F249F96">
      <w:pPr>
        <w:kinsoku w:val="0"/>
        <w:autoSpaceDE w:val="0"/>
        <w:autoSpaceDN w:val="0"/>
        <w:adjustRightInd w:val="0"/>
        <w:snapToGrid w:val="0"/>
        <w:spacing w:before="116" w:line="219" w:lineRule="auto"/>
        <w:ind w:left="48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签约酬金（大写</w:t>
      </w:r>
      <w:r>
        <w:rPr>
          <w:rFonts w:ascii="宋体" w:hAnsi="宋体" w:eastAsia="宋体" w:cs="宋体"/>
          <w:snapToGrid w:val="0"/>
          <w:color w:val="000000"/>
          <w:spacing w:val="-1"/>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6"/>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w:t>
      </w:r>
      <w:r>
        <w:rPr>
          <w:rFonts w:ascii="宋体" w:hAnsi="宋体" w:eastAsia="宋体" w:cs="宋体"/>
          <w:snapToGrid w:val="0"/>
          <w:color w:val="000000"/>
          <w:spacing w:val="4"/>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 。</w:t>
      </w:r>
    </w:p>
    <w:p w14:paraId="2512CB29">
      <w:pPr>
        <w:kinsoku w:val="0"/>
        <w:autoSpaceDE w:val="0"/>
        <w:autoSpaceDN w:val="0"/>
        <w:adjustRightInd w:val="0"/>
        <w:snapToGrid w:val="0"/>
        <w:spacing w:before="116" w:line="222" w:lineRule="auto"/>
        <w:ind w:left="48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包括：</w:t>
      </w:r>
    </w:p>
    <w:p w14:paraId="521F9977">
      <w:pPr>
        <w:kinsoku w:val="0"/>
        <w:autoSpaceDE w:val="0"/>
        <w:autoSpaceDN w:val="0"/>
        <w:adjustRightInd w:val="0"/>
        <w:snapToGrid w:val="0"/>
        <w:spacing w:before="110" w:line="219" w:lineRule="auto"/>
        <w:ind w:left="62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1. 监理酬金：</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spacing w:val="-4"/>
          <w:kern w:val="0"/>
          <w:sz w:val="24"/>
          <w:szCs w:val="24"/>
          <w:lang w:val="en-US" w:eastAsia="en-US" w:bidi="ar-SA"/>
        </w:rPr>
        <w:t>。</w:t>
      </w:r>
    </w:p>
    <w:p w14:paraId="2E6C9C62">
      <w:pPr>
        <w:kinsoku w:val="0"/>
        <w:autoSpaceDE w:val="0"/>
        <w:autoSpaceDN w:val="0"/>
        <w:adjustRightInd w:val="0"/>
        <w:snapToGrid w:val="0"/>
        <w:spacing w:before="116" w:line="219" w:lineRule="auto"/>
        <w:ind w:left="61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 相关服务酬金：</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4578F88D">
      <w:pPr>
        <w:kinsoku w:val="0"/>
        <w:autoSpaceDE w:val="0"/>
        <w:autoSpaceDN w:val="0"/>
        <w:adjustRightInd w:val="0"/>
        <w:snapToGrid w:val="0"/>
        <w:spacing w:before="115" w:line="220" w:lineRule="auto"/>
        <w:ind w:left="60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其中：</w:t>
      </w:r>
    </w:p>
    <w:p w14:paraId="10977B2C">
      <w:pPr>
        <w:kinsoku w:val="0"/>
        <w:autoSpaceDE w:val="0"/>
        <w:autoSpaceDN w:val="0"/>
        <w:adjustRightInd w:val="0"/>
        <w:snapToGrid w:val="0"/>
        <w:spacing w:before="113" w:line="219" w:lineRule="auto"/>
        <w:ind w:firstLine="952" w:firstLineChars="40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（1）勘察阶段服务酬金：</w:t>
      </w:r>
      <w:r>
        <w:rPr>
          <w:rFonts w:ascii="宋体" w:hAnsi="宋体" w:eastAsia="宋体" w:cs="宋体"/>
          <w:snapToGrid w:val="0"/>
          <w:color w:val="000000"/>
          <w:spacing w:val="-1"/>
          <w:kern w:val="0"/>
          <w:sz w:val="24"/>
          <w:szCs w:val="24"/>
          <w:u w:val="non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633CC6C8">
      <w:pPr>
        <w:ind w:firstLine="952" w:firstLineChars="40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（2）设计阶段服务酬金：</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258EA8EE">
      <w:pPr>
        <w:kinsoku w:val="0"/>
        <w:autoSpaceDE w:val="0"/>
        <w:autoSpaceDN w:val="0"/>
        <w:adjustRightInd w:val="0"/>
        <w:snapToGrid w:val="0"/>
        <w:spacing w:before="78" w:line="219" w:lineRule="auto"/>
        <w:ind w:left="97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（3）保修阶段服务酬金：</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71D8F63D">
      <w:pPr>
        <w:kinsoku w:val="0"/>
        <w:autoSpaceDE w:val="0"/>
        <w:autoSpaceDN w:val="0"/>
        <w:adjustRightInd w:val="0"/>
        <w:snapToGrid w:val="0"/>
        <w:spacing w:before="113" w:line="219" w:lineRule="auto"/>
        <w:ind w:left="97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（4）其他相关服务酬金：</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1AEB5A12">
      <w:pPr>
        <w:kinsoku w:val="0"/>
        <w:autoSpaceDE w:val="0"/>
        <w:autoSpaceDN w:val="0"/>
        <w:adjustRightInd w:val="0"/>
        <w:snapToGrid w:val="0"/>
        <w:spacing w:before="115" w:line="220" w:lineRule="auto"/>
        <w:ind w:left="48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5"/>
          <w:kern w:val="0"/>
          <w:sz w:val="24"/>
          <w:szCs w:val="24"/>
          <w:lang w:val="en-US" w:eastAsia="en-US" w:bidi="ar-SA"/>
        </w:rPr>
        <w:t>六、期限</w:t>
      </w:r>
    </w:p>
    <w:p w14:paraId="34E65961">
      <w:pPr>
        <w:kinsoku w:val="0"/>
        <w:autoSpaceDE w:val="0"/>
        <w:autoSpaceDN w:val="0"/>
        <w:adjustRightInd w:val="0"/>
        <w:snapToGrid w:val="0"/>
        <w:spacing w:before="114" w:line="220" w:lineRule="auto"/>
        <w:ind w:left="62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1. 监理期限：</w:t>
      </w:r>
    </w:p>
    <w:p w14:paraId="7888707A">
      <w:pPr>
        <w:kinsoku w:val="0"/>
        <w:autoSpaceDE w:val="0"/>
        <w:autoSpaceDN w:val="0"/>
        <w:adjustRightInd w:val="0"/>
        <w:snapToGrid w:val="0"/>
        <w:spacing w:before="113" w:line="219" w:lineRule="auto"/>
        <w:ind w:left="64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4"/>
          <w:kern w:val="0"/>
          <w:sz w:val="24"/>
          <w:szCs w:val="24"/>
          <w:lang w:val="en-US" w:eastAsia="en-US" w:bidi="ar-SA"/>
        </w:rPr>
        <w:t>自</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09"/>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年</w:t>
      </w:r>
      <w:r>
        <w:rPr>
          <w:rFonts w:ascii="宋体" w:hAnsi="宋体" w:eastAsia="宋体" w:cs="宋体"/>
          <w:snapToGrid w:val="0"/>
          <w:color w:val="000000"/>
          <w:spacing w:val="-14"/>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月</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日始，至</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10"/>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年</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月</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日止。</w:t>
      </w:r>
    </w:p>
    <w:p w14:paraId="21F87D09">
      <w:pPr>
        <w:kinsoku w:val="0"/>
        <w:autoSpaceDE w:val="0"/>
        <w:autoSpaceDN w:val="0"/>
        <w:adjustRightInd w:val="0"/>
        <w:snapToGrid w:val="0"/>
        <w:spacing w:before="116" w:line="219" w:lineRule="auto"/>
        <w:ind w:left="61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 相关服务期限：</w:t>
      </w:r>
    </w:p>
    <w:p w14:paraId="2D45DABE">
      <w:pPr>
        <w:kinsoku w:val="0"/>
        <w:autoSpaceDE w:val="0"/>
        <w:autoSpaceDN w:val="0"/>
        <w:adjustRightInd w:val="0"/>
        <w:snapToGrid w:val="0"/>
        <w:spacing w:before="116" w:line="219" w:lineRule="auto"/>
        <w:ind w:left="6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（1）勘察阶段服务期限自</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109"/>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年</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月</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日始，至</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110"/>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年</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月</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日止。</w:t>
      </w:r>
    </w:p>
    <w:p w14:paraId="224C17B0">
      <w:pPr>
        <w:kinsoku w:val="0"/>
        <w:autoSpaceDE w:val="0"/>
        <w:autoSpaceDN w:val="0"/>
        <w:adjustRightInd w:val="0"/>
        <w:snapToGrid w:val="0"/>
        <w:spacing w:before="114" w:line="219" w:lineRule="auto"/>
        <w:ind w:left="6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（2）设计阶段服务期限自</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109"/>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年</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月</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日始，至</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110"/>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年</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月</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日止。</w:t>
      </w:r>
    </w:p>
    <w:p w14:paraId="08EAF976">
      <w:pPr>
        <w:kinsoku w:val="0"/>
        <w:autoSpaceDE w:val="0"/>
        <w:autoSpaceDN w:val="0"/>
        <w:adjustRightInd w:val="0"/>
        <w:snapToGrid w:val="0"/>
        <w:spacing w:before="116" w:line="219" w:lineRule="auto"/>
        <w:ind w:left="6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（3）保修阶段服务期限自</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94"/>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年</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月</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日始，至</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10"/>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年</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月</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日止。</w:t>
      </w:r>
    </w:p>
    <w:p w14:paraId="07555E90">
      <w:pPr>
        <w:kinsoku w:val="0"/>
        <w:autoSpaceDE w:val="0"/>
        <w:autoSpaceDN w:val="0"/>
        <w:adjustRightInd w:val="0"/>
        <w:snapToGrid w:val="0"/>
        <w:spacing w:before="116" w:line="219" w:lineRule="auto"/>
        <w:ind w:left="61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（4）其他相关服务期限自</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109"/>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年</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月</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日始，至</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110"/>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年</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月</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日止。</w:t>
      </w:r>
    </w:p>
    <w:p w14:paraId="184A9BD7">
      <w:pPr>
        <w:kinsoku w:val="0"/>
        <w:autoSpaceDE w:val="0"/>
        <w:autoSpaceDN w:val="0"/>
        <w:adjustRightInd w:val="0"/>
        <w:snapToGrid w:val="0"/>
        <w:spacing w:before="114" w:line="219" w:lineRule="auto"/>
        <w:ind w:left="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七、双方承诺</w:t>
      </w:r>
    </w:p>
    <w:p w14:paraId="03E9C090">
      <w:pPr>
        <w:kinsoku w:val="0"/>
        <w:autoSpaceDE w:val="0"/>
        <w:autoSpaceDN w:val="0"/>
        <w:adjustRightInd w:val="0"/>
        <w:snapToGrid w:val="0"/>
        <w:spacing w:before="115" w:line="219" w:lineRule="auto"/>
        <w:ind w:left="5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 监理人向委托人承诺，按照本合同约定提供监理与相关服务。</w:t>
      </w:r>
    </w:p>
    <w:p w14:paraId="2BCFE95B">
      <w:pPr>
        <w:kinsoku w:val="0"/>
        <w:autoSpaceDE w:val="0"/>
        <w:autoSpaceDN w:val="0"/>
        <w:adjustRightInd w:val="0"/>
        <w:snapToGrid w:val="0"/>
        <w:spacing w:before="118" w:line="307" w:lineRule="auto"/>
        <w:ind w:left="11" w:right="1" w:firstLine="47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 委托人向监理人承诺，按照本合同约定派遣相应的人</w:t>
      </w:r>
      <w:r>
        <w:rPr>
          <w:rFonts w:ascii="宋体" w:hAnsi="宋体" w:eastAsia="宋体" w:cs="宋体"/>
          <w:snapToGrid w:val="0"/>
          <w:color w:val="000000"/>
          <w:spacing w:val="1"/>
          <w:kern w:val="0"/>
          <w:sz w:val="24"/>
          <w:szCs w:val="24"/>
          <w:lang w:val="en-US" w:eastAsia="en-US" w:bidi="ar-SA"/>
        </w:rPr>
        <w:t>员，提供房屋、资料、设</w:t>
      </w:r>
      <w:r>
        <w:rPr>
          <w:rFonts w:ascii="宋体" w:hAnsi="宋体" w:eastAsia="宋体" w:cs="宋体"/>
          <w:snapToGrid w:val="0"/>
          <w:color w:val="000000"/>
          <w:spacing w:val="-1"/>
          <w:kern w:val="0"/>
          <w:sz w:val="24"/>
          <w:szCs w:val="24"/>
          <w:lang w:val="en-US" w:eastAsia="en-US" w:bidi="ar-SA"/>
        </w:rPr>
        <w:t>备，并按本合同约定支付酬金。</w:t>
      </w:r>
    </w:p>
    <w:p w14:paraId="04E70DA2">
      <w:pPr>
        <w:kinsoku w:val="0"/>
        <w:autoSpaceDE w:val="0"/>
        <w:autoSpaceDN w:val="0"/>
        <w:adjustRightInd w:val="0"/>
        <w:snapToGrid w:val="0"/>
        <w:spacing w:line="220"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八、合同订立</w:t>
      </w:r>
    </w:p>
    <w:p w14:paraId="599F3289">
      <w:pPr>
        <w:kinsoku w:val="0"/>
        <w:autoSpaceDE w:val="0"/>
        <w:autoSpaceDN w:val="0"/>
        <w:adjustRightInd w:val="0"/>
        <w:snapToGrid w:val="0"/>
        <w:spacing w:before="115" w:line="219" w:lineRule="auto"/>
        <w:ind w:left="50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9"/>
          <w:kern w:val="0"/>
          <w:sz w:val="24"/>
          <w:szCs w:val="24"/>
          <w:lang w:val="en-US" w:eastAsia="en-US" w:bidi="ar-SA"/>
        </w:rPr>
        <w:t>1. 订立时间：</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06"/>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年</w:t>
      </w:r>
      <w:r>
        <w:rPr>
          <w:rFonts w:ascii="宋体" w:hAnsi="宋体" w:eastAsia="宋体" w:cs="宋体"/>
          <w:snapToGrid w:val="0"/>
          <w:color w:val="000000"/>
          <w:spacing w:val="19"/>
          <w:kern w:val="0"/>
          <w:sz w:val="24"/>
          <w:szCs w:val="24"/>
          <w:u w:val="single" w:color="auto"/>
          <w:lang w:val="en-US" w:eastAsia="en-US" w:bidi="ar-SA"/>
        </w:rPr>
        <w:t xml:space="preserve">      </w:t>
      </w:r>
      <w:r>
        <w:rPr>
          <w:rFonts w:ascii="宋体" w:hAnsi="宋体" w:eastAsia="宋体" w:cs="宋体"/>
          <w:snapToGrid w:val="0"/>
          <w:color w:val="000000"/>
          <w:spacing w:val="-99"/>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月</w:t>
      </w:r>
      <w:r>
        <w:rPr>
          <w:rFonts w:ascii="宋体" w:hAnsi="宋体" w:eastAsia="宋体" w:cs="宋体"/>
          <w:snapToGrid w:val="0"/>
          <w:color w:val="000000"/>
          <w:spacing w:val="24"/>
          <w:kern w:val="0"/>
          <w:sz w:val="24"/>
          <w:szCs w:val="24"/>
          <w:u w:val="single" w:color="auto"/>
          <w:lang w:val="en-US" w:eastAsia="en-US" w:bidi="ar-SA"/>
        </w:rPr>
        <w:t xml:space="preserve">     </w:t>
      </w:r>
      <w:r>
        <w:rPr>
          <w:rFonts w:ascii="宋体" w:hAnsi="宋体" w:eastAsia="宋体" w:cs="宋体"/>
          <w:snapToGrid w:val="0"/>
          <w:color w:val="000000"/>
          <w:spacing w:val="-70"/>
          <w:kern w:val="0"/>
          <w:sz w:val="24"/>
          <w:szCs w:val="24"/>
          <w:lang w:val="en-US" w:eastAsia="en-US" w:bidi="ar-SA"/>
        </w:rPr>
        <w:t xml:space="preserve"> </w:t>
      </w:r>
      <w:r>
        <w:rPr>
          <w:rFonts w:ascii="宋体" w:hAnsi="宋体" w:eastAsia="宋体" w:cs="宋体"/>
          <w:snapToGrid w:val="0"/>
          <w:color w:val="000000"/>
          <w:spacing w:val="-9"/>
          <w:kern w:val="0"/>
          <w:sz w:val="24"/>
          <w:szCs w:val="24"/>
          <w:lang w:val="en-US" w:eastAsia="en-US" w:bidi="ar-SA"/>
        </w:rPr>
        <w:t>日。</w:t>
      </w:r>
    </w:p>
    <w:p w14:paraId="1CFB31AC">
      <w:pPr>
        <w:kinsoku w:val="0"/>
        <w:autoSpaceDE w:val="0"/>
        <w:autoSpaceDN w:val="0"/>
        <w:adjustRightInd w:val="0"/>
        <w:snapToGrid w:val="0"/>
        <w:spacing w:before="113" w:line="222" w:lineRule="auto"/>
        <w:ind w:left="48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 订立地点：</w:t>
      </w:r>
      <w:r>
        <w:rPr>
          <w:rFonts w:ascii="宋体" w:hAnsi="宋体" w:eastAsia="宋体" w:cs="宋体"/>
          <w:snapToGrid w:val="0"/>
          <w:color w:val="000000"/>
          <w:spacing w:val="4"/>
          <w:kern w:val="0"/>
          <w:sz w:val="24"/>
          <w:szCs w:val="24"/>
          <w:u w:val="single" w:color="auto"/>
          <w:lang w:val="en-US" w:eastAsia="en-US" w:bidi="ar-SA"/>
        </w:rPr>
        <w:t xml:space="preserve">                           </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spacing w:val="-2"/>
          <w:kern w:val="0"/>
          <w:sz w:val="24"/>
          <w:szCs w:val="24"/>
          <w:lang w:val="en-US" w:eastAsia="en-US" w:bidi="ar-SA"/>
        </w:rPr>
        <w:t>。</w:t>
      </w:r>
    </w:p>
    <w:p w14:paraId="2181434A">
      <w:pPr>
        <w:kinsoku w:val="0"/>
        <w:autoSpaceDE w:val="0"/>
        <w:autoSpaceDN w:val="0"/>
        <w:adjustRightInd w:val="0"/>
        <w:snapToGrid w:val="0"/>
        <w:spacing w:before="112" w:line="219" w:lineRule="auto"/>
        <w:ind w:left="4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3. 本合同一式</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1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份，具有同等法律效力，双方各执</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11"/>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份。</w:t>
      </w:r>
    </w:p>
    <w:p w14:paraId="284801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14:paraId="182717AF">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kern w:val="0"/>
          <w:sz w:val="21"/>
          <w:szCs w:val="21"/>
          <w:lang w:eastAsia="en-US"/>
        </w:rPr>
      </w:pPr>
    </w:p>
    <w:p w14:paraId="0F27380C">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14:paraId="779E4CCA">
      <w:pPr>
        <w:kinsoku w:val="0"/>
        <w:autoSpaceDE w:val="0"/>
        <w:autoSpaceDN w:val="0"/>
        <w:adjustRightInd w:val="0"/>
        <w:snapToGrid w:val="0"/>
        <w:spacing w:before="78" w:line="219" w:lineRule="auto"/>
        <w:ind w:left="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委托人</w:t>
      </w:r>
      <w:r>
        <w:rPr>
          <w:rFonts w:ascii="宋体" w:hAnsi="宋体" w:eastAsia="宋体" w:cs="宋体"/>
          <w:snapToGrid w:val="0"/>
          <w:color w:val="000000"/>
          <w:spacing w:val="-15"/>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5"/>
          <w:kern w:val="0"/>
          <w:sz w:val="24"/>
          <w:szCs w:val="24"/>
          <w:u w:val="single" w:color="auto"/>
          <w:lang w:val="en-US" w:eastAsia="en-US" w:bidi="ar-SA"/>
        </w:rPr>
        <w:t>（</w:t>
      </w:r>
      <w:r>
        <w:rPr>
          <w:rFonts w:ascii="宋体" w:hAnsi="宋体" w:eastAsia="宋体" w:cs="宋体"/>
          <w:snapToGrid w:val="0"/>
          <w:color w:val="000000"/>
          <w:spacing w:val="3"/>
          <w:kern w:val="0"/>
          <w:sz w:val="24"/>
          <w:szCs w:val="24"/>
          <w:u w:val="single" w:color="auto"/>
          <w:lang w:val="en-US" w:eastAsia="en-US" w:bidi="ar-SA"/>
        </w:rPr>
        <w:t>盖章）</w:t>
      </w:r>
      <w:r>
        <w:rPr>
          <w:rFonts w:ascii="宋体" w:hAnsi="宋体" w:eastAsia="宋体" w:cs="宋体"/>
          <w:snapToGrid w:val="0"/>
          <w:color w:val="000000"/>
          <w:spacing w:val="15"/>
          <w:kern w:val="0"/>
          <w:sz w:val="24"/>
          <w:szCs w:val="24"/>
          <w:u w:val="single" w:color="auto"/>
          <w:lang w:val="en-US" w:eastAsia="en-US" w:bidi="ar-SA"/>
        </w:rPr>
        <w:t xml:space="preserve">        </w:t>
      </w:r>
      <w:r>
        <w:rPr>
          <w:rFonts w:ascii="宋体" w:hAnsi="宋体" w:eastAsia="宋体" w:cs="宋体"/>
          <w:snapToGrid w:val="0"/>
          <w:color w:val="000000"/>
          <w:spacing w:val="3"/>
          <w:kern w:val="0"/>
          <w:sz w:val="24"/>
          <w:szCs w:val="24"/>
          <w:lang w:val="en-US" w:eastAsia="en-US" w:bidi="ar-SA"/>
        </w:rPr>
        <w:t xml:space="preserve">    监理人</w:t>
      </w:r>
      <w:r>
        <w:rPr>
          <w:rFonts w:ascii="宋体" w:hAnsi="宋体" w:eastAsia="宋体" w:cs="宋体"/>
          <w:snapToGrid w:val="0"/>
          <w:color w:val="000000"/>
          <w:spacing w:val="-15"/>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5"/>
          <w:kern w:val="0"/>
          <w:sz w:val="24"/>
          <w:szCs w:val="24"/>
          <w:u w:val="single" w:color="auto"/>
          <w:lang w:val="en-US" w:eastAsia="en-US" w:bidi="ar-SA"/>
        </w:rPr>
        <w:t>（</w:t>
      </w:r>
      <w:r>
        <w:rPr>
          <w:rFonts w:ascii="宋体" w:hAnsi="宋体" w:eastAsia="宋体" w:cs="宋体"/>
          <w:snapToGrid w:val="0"/>
          <w:color w:val="000000"/>
          <w:spacing w:val="3"/>
          <w:kern w:val="0"/>
          <w:sz w:val="24"/>
          <w:szCs w:val="24"/>
          <w:u w:val="single" w:color="auto"/>
          <w:lang w:val="en-US" w:eastAsia="en-US" w:bidi="ar-SA"/>
        </w:rPr>
        <w:t>盖章）</w:t>
      </w:r>
      <w:r>
        <w:rPr>
          <w:rFonts w:ascii="宋体" w:hAnsi="宋体" w:eastAsia="宋体" w:cs="宋体"/>
          <w:snapToGrid w:val="0"/>
          <w:color w:val="000000"/>
          <w:kern w:val="0"/>
          <w:sz w:val="24"/>
          <w:szCs w:val="24"/>
          <w:u w:val="single" w:color="auto"/>
          <w:lang w:val="en-US" w:eastAsia="en-US" w:bidi="ar-SA"/>
        </w:rPr>
        <w:t xml:space="preserve">     </w:t>
      </w:r>
    </w:p>
    <w:p w14:paraId="391BA5BE">
      <w:pPr>
        <w:kinsoku w:val="0"/>
        <w:autoSpaceDE w:val="0"/>
        <w:autoSpaceDN w:val="0"/>
        <w:adjustRightInd w:val="0"/>
        <w:snapToGrid w:val="0"/>
        <w:spacing w:before="117" w:line="220" w:lineRule="auto"/>
        <w:ind w:left="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 xml:space="preserve">住所： </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spacing w:val="6"/>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 xml:space="preserve">住所： </w:t>
      </w:r>
      <w:r>
        <w:rPr>
          <w:rFonts w:ascii="宋体" w:hAnsi="宋体" w:eastAsia="宋体" w:cs="宋体"/>
          <w:snapToGrid w:val="0"/>
          <w:color w:val="000000"/>
          <w:spacing w:val="-3"/>
          <w:kern w:val="0"/>
          <w:sz w:val="24"/>
          <w:szCs w:val="24"/>
          <w:u w:val="single" w:color="auto"/>
          <w:lang w:val="en-US" w:eastAsia="en-US" w:bidi="ar-SA"/>
        </w:rPr>
        <w:t xml:space="preserve">                       </w:t>
      </w:r>
    </w:p>
    <w:p w14:paraId="289C16A8">
      <w:pPr>
        <w:kinsoku w:val="0"/>
        <w:autoSpaceDE w:val="0"/>
        <w:autoSpaceDN w:val="0"/>
        <w:adjustRightInd w:val="0"/>
        <w:snapToGrid w:val="0"/>
        <w:spacing w:before="113" w:line="219" w:lineRule="auto"/>
        <w:ind w:left="50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邮政编码：</w:t>
      </w:r>
      <w:r>
        <w:rPr>
          <w:rFonts w:ascii="宋体" w:hAnsi="宋体" w:eastAsia="宋体" w:cs="宋体"/>
          <w:snapToGrid w:val="0"/>
          <w:color w:val="000000"/>
          <w:spacing w:val="7"/>
          <w:kern w:val="0"/>
          <w:sz w:val="24"/>
          <w:szCs w:val="24"/>
          <w:u w:val="single" w:color="auto"/>
          <w:lang w:val="en-US" w:eastAsia="en-US" w:bidi="ar-SA"/>
        </w:rPr>
        <w:t xml:space="preserve">                </w:t>
      </w:r>
      <w:r>
        <w:rPr>
          <w:rFonts w:ascii="宋体" w:hAnsi="宋体" w:eastAsia="宋体" w:cs="宋体"/>
          <w:snapToGrid w:val="0"/>
          <w:color w:val="000000"/>
          <w:spacing w:val="7"/>
          <w:kern w:val="0"/>
          <w:sz w:val="24"/>
          <w:szCs w:val="24"/>
          <w:lang w:val="en-US" w:eastAsia="en-US" w:bidi="ar-SA"/>
        </w:rPr>
        <w:t xml:space="preserve">     </w:t>
      </w:r>
      <w:r>
        <w:rPr>
          <w:rFonts w:ascii="宋体" w:hAnsi="宋体" w:eastAsia="宋体" w:cs="宋体"/>
          <w:snapToGrid w:val="0"/>
          <w:color w:val="000000"/>
          <w:spacing w:val="-6"/>
          <w:kern w:val="0"/>
          <w:sz w:val="24"/>
          <w:szCs w:val="24"/>
          <w:lang w:val="en-US" w:eastAsia="en-US" w:bidi="ar-SA"/>
        </w:rPr>
        <w:t>邮政编码：</w:t>
      </w:r>
      <w:r>
        <w:rPr>
          <w:rFonts w:ascii="宋体" w:hAnsi="宋体" w:eastAsia="宋体" w:cs="宋体"/>
          <w:snapToGrid w:val="0"/>
          <w:color w:val="000000"/>
          <w:kern w:val="0"/>
          <w:sz w:val="24"/>
          <w:szCs w:val="24"/>
          <w:u w:val="single" w:color="auto"/>
          <w:lang w:val="en-US" w:eastAsia="en-US" w:bidi="ar-SA"/>
        </w:rPr>
        <w:t xml:space="preserve">                  </w:t>
      </w:r>
    </w:p>
    <w:p w14:paraId="3452F71F">
      <w:pPr>
        <w:kinsoku w:val="0"/>
        <w:autoSpaceDE w:val="0"/>
        <w:autoSpaceDN w:val="0"/>
        <w:adjustRightInd w:val="0"/>
        <w:snapToGrid w:val="0"/>
        <w:spacing w:before="116" w:line="219" w:lineRule="auto"/>
        <w:ind w:left="4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 xml:space="preserve">法定代表人或其授权           </w:t>
      </w:r>
      <w:r>
        <w:rPr>
          <w:rFonts w:ascii="宋体" w:hAnsi="宋体" w:eastAsia="宋体" w:cs="宋体"/>
          <w:snapToGrid w:val="0"/>
          <w:color w:val="000000"/>
          <w:spacing w:val="-1"/>
          <w:kern w:val="0"/>
          <w:sz w:val="24"/>
          <w:szCs w:val="24"/>
          <w:lang w:val="en-US" w:eastAsia="en-US" w:bidi="ar-SA"/>
        </w:rPr>
        <w:t xml:space="preserve">   法定代表人或其授权</w:t>
      </w:r>
    </w:p>
    <w:p w14:paraId="6F2C0B8C">
      <w:pPr>
        <w:kinsoku w:val="0"/>
        <w:autoSpaceDE w:val="0"/>
        <w:autoSpaceDN w:val="0"/>
        <w:adjustRightInd w:val="0"/>
        <w:snapToGrid w:val="0"/>
        <w:spacing w:before="116" w:line="219" w:lineRule="auto"/>
        <w:ind w:left="50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的代理人</w:t>
      </w:r>
      <w:r>
        <w:rPr>
          <w:rFonts w:ascii="宋体" w:hAnsi="宋体" w:eastAsia="宋体" w:cs="宋体"/>
          <w:snapToGrid w:val="0"/>
          <w:color w:val="000000"/>
          <w:spacing w:val="-13"/>
          <w:kern w:val="0"/>
          <w:sz w:val="24"/>
          <w:szCs w:val="24"/>
          <w:lang w:val="en-US" w:eastAsia="en-US" w:bidi="ar-SA"/>
        </w:rPr>
        <w:t>：</w:t>
      </w:r>
      <w:r>
        <w:rPr>
          <w:rFonts w:ascii="宋体" w:hAnsi="宋体" w:eastAsia="宋体" w:cs="宋体"/>
          <w:snapToGrid w:val="0"/>
          <w:color w:val="000000"/>
          <w:spacing w:val="-13"/>
          <w:kern w:val="0"/>
          <w:sz w:val="24"/>
          <w:szCs w:val="24"/>
          <w:u w:val="single" w:color="auto"/>
          <w:lang w:val="en-US" w:eastAsia="en-US" w:bidi="ar-SA"/>
        </w:rPr>
        <w:t>（</w:t>
      </w:r>
      <w:r>
        <w:rPr>
          <w:rFonts w:ascii="宋体" w:hAnsi="宋体" w:eastAsia="宋体" w:cs="宋体"/>
          <w:snapToGrid w:val="0"/>
          <w:color w:val="000000"/>
          <w:spacing w:val="1"/>
          <w:kern w:val="0"/>
          <w:sz w:val="24"/>
          <w:szCs w:val="24"/>
          <w:u w:val="single" w:color="auto"/>
          <w:lang w:val="en-US" w:eastAsia="en-US" w:bidi="ar-SA"/>
        </w:rPr>
        <w:t>签字）</w:t>
      </w:r>
      <w:r>
        <w:rPr>
          <w:rFonts w:ascii="宋体" w:hAnsi="宋体" w:eastAsia="宋体" w:cs="宋体"/>
          <w:snapToGrid w:val="0"/>
          <w:color w:val="000000"/>
          <w:spacing w:val="23"/>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 xml:space="preserve">        的代理人</w:t>
      </w:r>
      <w:r>
        <w:rPr>
          <w:rFonts w:ascii="宋体" w:hAnsi="宋体" w:eastAsia="宋体" w:cs="宋体"/>
          <w:snapToGrid w:val="0"/>
          <w:color w:val="000000"/>
          <w:spacing w:val="-13"/>
          <w:kern w:val="0"/>
          <w:sz w:val="24"/>
          <w:szCs w:val="24"/>
          <w:lang w:val="en-US" w:eastAsia="en-US" w:bidi="ar-SA"/>
        </w:rPr>
        <w:t>：</w:t>
      </w:r>
      <w:r>
        <w:rPr>
          <w:rFonts w:ascii="宋体" w:hAnsi="宋体" w:eastAsia="宋体" w:cs="宋体"/>
          <w:snapToGrid w:val="0"/>
          <w:color w:val="000000"/>
          <w:spacing w:val="-13"/>
          <w:kern w:val="0"/>
          <w:sz w:val="24"/>
          <w:szCs w:val="24"/>
          <w:u w:val="single" w:color="auto"/>
          <w:lang w:val="en-US" w:eastAsia="en-US" w:bidi="ar-SA"/>
        </w:rPr>
        <w:t>（</w:t>
      </w:r>
      <w:r>
        <w:rPr>
          <w:rFonts w:ascii="宋体" w:hAnsi="宋体" w:eastAsia="宋体" w:cs="宋体"/>
          <w:snapToGrid w:val="0"/>
          <w:color w:val="000000"/>
          <w:spacing w:val="1"/>
          <w:kern w:val="0"/>
          <w:sz w:val="24"/>
          <w:szCs w:val="24"/>
          <w:u w:val="single" w:color="auto"/>
          <w:lang w:val="en-US" w:eastAsia="en-US" w:bidi="ar-SA"/>
        </w:rPr>
        <w:t>签字）</w:t>
      </w:r>
      <w:r>
        <w:rPr>
          <w:rFonts w:ascii="宋体" w:hAnsi="宋体" w:eastAsia="宋体" w:cs="宋体"/>
          <w:snapToGrid w:val="0"/>
          <w:color w:val="000000"/>
          <w:kern w:val="0"/>
          <w:sz w:val="24"/>
          <w:szCs w:val="24"/>
          <w:u w:val="single" w:color="auto"/>
          <w:lang w:val="en-US" w:eastAsia="en-US" w:bidi="ar-SA"/>
        </w:rPr>
        <w:t xml:space="preserve">           </w:t>
      </w:r>
    </w:p>
    <w:p w14:paraId="2C66358C">
      <w:pPr>
        <w:kinsoku w:val="0"/>
        <w:autoSpaceDE w:val="0"/>
        <w:autoSpaceDN w:val="0"/>
        <w:adjustRightInd w:val="0"/>
        <w:snapToGrid w:val="0"/>
        <w:spacing w:before="113" w:line="220" w:lineRule="auto"/>
        <w:ind w:left="48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开户银行：</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 xml:space="preserve">     开户银行：</w:t>
      </w:r>
      <w:r>
        <w:rPr>
          <w:rFonts w:ascii="宋体" w:hAnsi="宋体" w:eastAsia="宋体" w:cs="宋体"/>
          <w:snapToGrid w:val="0"/>
          <w:color w:val="000000"/>
          <w:kern w:val="0"/>
          <w:sz w:val="24"/>
          <w:szCs w:val="24"/>
          <w:u w:val="single" w:color="auto"/>
          <w:lang w:val="en-US" w:eastAsia="en-US" w:bidi="ar-SA"/>
        </w:rPr>
        <w:t xml:space="preserve">                  </w:t>
      </w:r>
    </w:p>
    <w:p w14:paraId="222941A7">
      <w:pPr>
        <w:kinsoku w:val="0"/>
        <w:autoSpaceDE w:val="0"/>
        <w:autoSpaceDN w:val="0"/>
        <w:adjustRightInd w:val="0"/>
        <w:snapToGrid w:val="0"/>
        <w:spacing w:before="114" w:line="221"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账号：</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5"/>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账号：</w:t>
      </w:r>
      <w:r>
        <w:rPr>
          <w:rFonts w:ascii="宋体" w:hAnsi="宋体" w:eastAsia="宋体" w:cs="宋体"/>
          <w:snapToGrid w:val="0"/>
          <w:color w:val="000000"/>
          <w:kern w:val="0"/>
          <w:sz w:val="24"/>
          <w:szCs w:val="24"/>
          <w:u w:val="single" w:color="auto"/>
          <w:lang w:val="en-US" w:eastAsia="en-US" w:bidi="ar-SA"/>
        </w:rPr>
        <w:t xml:space="preserve">                       </w:t>
      </w:r>
    </w:p>
    <w:p w14:paraId="11A70270">
      <w:pPr>
        <w:kinsoku w:val="0"/>
        <w:autoSpaceDE w:val="0"/>
        <w:autoSpaceDN w:val="0"/>
        <w:adjustRightInd w:val="0"/>
        <w:snapToGrid w:val="0"/>
        <w:spacing w:before="115" w:line="221" w:lineRule="auto"/>
        <w:ind w:left="51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电话：</w:t>
      </w:r>
      <w:r>
        <w:rPr>
          <w:rFonts w:ascii="宋体" w:hAnsi="宋体" w:eastAsia="宋体" w:cs="宋体"/>
          <w:snapToGrid w:val="0"/>
          <w:color w:val="000000"/>
          <w:spacing w:val="-7"/>
          <w:kern w:val="0"/>
          <w:sz w:val="24"/>
          <w:szCs w:val="24"/>
          <w:u w:val="single" w:color="auto"/>
          <w:lang w:val="en-US" w:eastAsia="en-US" w:bidi="ar-SA"/>
        </w:rPr>
        <w:t xml:space="preserve">                       </w:t>
      </w:r>
      <w:r>
        <w:rPr>
          <w:rFonts w:ascii="宋体" w:hAnsi="宋体" w:eastAsia="宋体" w:cs="宋体"/>
          <w:snapToGrid w:val="0"/>
          <w:color w:val="000000"/>
          <w:spacing w:val="7"/>
          <w:kern w:val="0"/>
          <w:sz w:val="24"/>
          <w:szCs w:val="24"/>
          <w:lang w:val="en-US" w:eastAsia="en-US" w:bidi="ar-SA"/>
        </w:rPr>
        <w:t xml:space="preserve">      </w:t>
      </w:r>
      <w:r>
        <w:rPr>
          <w:rFonts w:ascii="宋体" w:hAnsi="宋体" w:eastAsia="宋体" w:cs="宋体"/>
          <w:snapToGrid w:val="0"/>
          <w:color w:val="000000"/>
          <w:spacing w:val="-7"/>
          <w:kern w:val="0"/>
          <w:sz w:val="24"/>
          <w:szCs w:val="24"/>
          <w:lang w:val="en-US" w:eastAsia="en-US" w:bidi="ar-SA"/>
        </w:rPr>
        <w:t>电话：</w:t>
      </w:r>
      <w:r>
        <w:rPr>
          <w:rFonts w:ascii="宋体" w:hAnsi="宋体" w:eastAsia="宋体" w:cs="宋体"/>
          <w:snapToGrid w:val="0"/>
          <w:color w:val="000000"/>
          <w:kern w:val="0"/>
          <w:sz w:val="24"/>
          <w:szCs w:val="24"/>
          <w:u w:val="single" w:color="auto"/>
          <w:lang w:val="en-US" w:eastAsia="en-US" w:bidi="ar-SA"/>
        </w:rPr>
        <w:t xml:space="preserve">                       </w:t>
      </w:r>
    </w:p>
    <w:p w14:paraId="4FA11BAA">
      <w:pPr>
        <w:kinsoku w:val="0"/>
        <w:autoSpaceDE w:val="0"/>
        <w:autoSpaceDN w:val="0"/>
        <w:adjustRightInd w:val="0"/>
        <w:snapToGrid w:val="0"/>
        <w:spacing w:before="110" w:line="219" w:lineRule="auto"/>
        <w:ind w:left="48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传真：</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2"/>
          <w:kern w:val="0"/>
          <w:sz w:val="24"/>
          <w:szCs w:val="24"/>
          <w:lang w:val="en-US" w:eastAsia="en-US" w:bidi="ar-SA"/>
        </w:rPr>
        <w:t xml:space="preserve">      传真：</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3"/>
          <w:kern w:val="0"/>
          <w:sz w:val="24"/>
          <w:szCs w:val="24"/>
          <w:u w:val="single" w:color="auto"/>
          <w:lang w:val="en-US" w:eastAsia="en-US" w:bidi="ar-SA"/>
        </w:rPr>
        <w:t xml:space="preserve">             </w:t>
      </w:r>
    </w:p>
    <w:p w14:paraId="1D9FD8BB">
      <w:pPr>
        <w:ind w:firstLine="896" w:firstLineChars="40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电子邮箱：</w:t>
      </w:r>
      <w:r>
        <w:rPr>
          <w:rFonts w:ascii="宋体" w:hAnsi="宋体" w:eastAsia="宋体" w:cs="宋体"/>
          <w:snapToGrid w:val="0"/>
          <w:color w:val="000000"/>
          <w:spacing w:val="7"/>
          <w:kern w:val="0"/>
          <w:sz w:val="24"/>
          <w:szCs w:val="24"/>
          <w:u w:val="single" w:color="auto"/>
          <w:lang w:val="en-US" w:eastAsia="en-US" w:bidi="ar-SA"/>
        </w:rPr>
        <w:t xml:space="preserve">                </w:t>
      </w:r>
      <w:r>
        <w:rPr>
          <w:rFonts w:ascii="宋体" w:hAnsi="宋体" w:eastAsia="宋体" w:cs="宋体"/>
          <w:snapToGrid w:val="0"/>
          <w:color w:val="000000"/>
          <w:spacing w:val="7"/>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电子邮箱：</w:t>
      </w:r>
      <w:r>
        <w:rPr>
          <w:rFonts w:ascii="宋体" w:hAnsi="宋体" w:eastAsia="宋体" w:cs="宋体"/>
          <w:snapToGrid w:val="0"/>
          <w:color w:val="000000"/>
          <w:kern w:val="0"/>
          <w:sz w:val="24"/>
          <w:szCs w:val="24"/>
          <w:u w:val="single" w:color="auto"/>
          <w:lang w:val="en-US" w:eastAsia="en-US" w:bidi="ar-SA"/>
        </w:rPr>
        <w:t xml:space="preserve">                  </w:t>
      </w:r>
    </w:p>
    <w:p w14:paraId="59B2F64E">
      <w:pPr>
        <w:ind w:firstLine="952" w:firstLineChars="400"/>
        <w:rPr>
          <w:rFonts w:hint="eastAsia" w:ascii="宋体" w:hAnsi="宋体" w:eastAsia="宋体" w:cs="宋体"/>
          <w:snapToGrid w:val="0"/>
          <w:color w:val="000000"/>
          <w:spacing w:val="-1"/>
          <w:kern w:val="0"/>
          <w:sz w:val="24"/>
          <w:szCs w:val="24"/>
          <w:lang w:val="en-US" w:eastAsia="en-US" w:bidi="ar-SA"/>
        </w:rPr>
      </w:pPr>
    </w:p>
    <w:p w14:paraId="4BAE59BC">
      <w:pPr>
        <w:ind w:firstLine="952" w:firstLineChars="400"/>
        <w:rPr>
          <w:rFonts w:hint="eastAsia" w:ascii="宋体" w:hAnsi="宋体" w:eastAsia="宋体" w:cs="宋体"/>
          <w:snapToGrid w:val="0"/>
          <w:color w:val="000000"/>
          <w:spacing w:val="-1"/>
          <w:kern w:val="0"/>
          <w:sz w:val="24"/>
          <w:szCs w:val="24"/>
          <w:lang w:val="en-US" w:eastAsia="en-US" w:bidi="ar-SA"/>
        </w:rPr>
      </w:pPr>
    </w:p>
    <w:p w14:paraId="3113BDA5">
      <w:pPr>
        <w:ind w:firstLine="952" w:firstLineChars="400"/>
        <w:rPr>
          <w:rFonts w:hint="eastAsia" w:ascii="宋体" w:hAnsi="宋体" w:eastAsia="宋体" w:cs="宋体"/>
          <w:snapToGrid w:val="0"/>
          <w:color w:val="000000"/>
          <w:spacing w:val="-1"/>
          <w:kern w:val="0"/>
          <w:sz w:val="24"/>
          <w:szCs w:val="24"/>
          <w:lang w:val="en-US" w:eastAsia="en-US" w:bidi="ar-SA"/>
        </w:rPr>
        <w:sectPr>
          <w:pgSz w:w="11906" w:h="16838"/>
          <w:pgMar w:top="1440" w:right="1706" w:bottom="1440" w:left="1800" w:header="851" w:footer="992" w:gutter="0"/>
          <w:pgNumType w:fmt="decimal"/>
          <w:cols w:space="720" w:num="1"/>
          <w:docGrid w:type="lines" w:linePitch="312" w:charSpace="0"/>
        </w:sectPr>
      </w:pPr>
    </w:p>
    <w:p w14:paraId="69CEEDA5">
      <w:pPr>
        <w:jc w:val="center"/>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b/>
          <w:bCs/>
          <w:snapToGrid w:val="0"/>
          <w:color w:val="000000"/>
          <w:spacing w:val="5"/>
          <w:kern w:val="0"/>
          <w:sz w:val="35"/>
          <w:szCs w:val="35"/>
          <w:lang w:val="en-US" w:eastAsia="en-US" w:bidi="ar-SA"/>
        </w:rPr>
        <w:t>第二部分  通用条件</w:t>
      </w:r>
    </w:p>
    <w:p w14:paraId="0E1B3DCE">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 定义与解释</w:t>
      </w:r>
    </w:p>
    <w:p w14:paraId="6F02FA31">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 定义</w:t>
      </w:r>
    </w:p>
    <w:p w14:paraId="01CDC21D">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除根据上下文另有其意义外，组成本合同的全部文件中的下列名词和用语应具有本款所赋予的含义：</w:t>
      </w:r>
    </w:p>
    <w:p w14:paraId="1F89D283">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 “工程 ”是指按照本合同约定实施监理与相关服务的建设工程。</w:t>
      </w:r>
    </w:p>
    <w:p w14:paraId="5A9FE1E6">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1.1.2 “委托人 ”是指本合同中委托监理与相关服务的一方，及其合法的继承人或受让人。</w:t>
      </w:r>
    </w:p>
    <w:p w14:paraId="72FE8970">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1.1.3 “监理人 ”是指本合同中提供监理与相关服务的一方，及其合法的继承人。</w:t>
      </w:r>
    </w:p>
    <w:p w14:paraId="0D6A2020">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1.1.4 “承包人 ”是指在工程范围内与委托人签订勘察、设计、施工等有关合同的当事人，及其合法的继承人。</w:t>
      </w:r>
    </w:p>
    <w:p w14:paraId="7B9369EC">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1.1.5 “监理 ”是指监理人受委托人的委托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F155D5A">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1.1.6 “相关服务 ”是指监理人受委托人的委托 ，按照本合同约定，在勘察、设计、保修等阶段提供的服务活动。</w:t>
      </w:r>
    </w:p>
    <w:p w14:paraId="021F136B">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1.1.7 “正常工作 ”指本合同订立时通用条件和专用条件中约定的监理人的工作。</w:t>
      </w:r>
    </w:p>
    <w:p w14:paraId="2BD68E9D">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1.1.8 “ 附加工作 ”是指本合同约定的正常工作以外监理人的工作。</w:t>
      </w:r>
    </w:p>
    <w:p w14:paraId="0DB5AA5D">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1.1.9 “项目监理机构 ”是指监理人派驻工程负责履行本合同的组织机构。</w:t>
      </w:r>
    </w:p>
    <w:p w14:paraId="3153DE01">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1.1.10 “总监理工程师 ”是指由监理人的法定代表人书面授权，全面负责履行本合同、主持项目监理机构工作的注册监理工程师。</w:t>
      </w:r>
    </w:p>
    <w:p w14:paraId="0B2C8C18">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1.1.11 “酬金 ”是指监理人履行本合同义务，委托人按照本合同约定给付监理人的金额。</w:t>
      </w:r>
    </w:p>
    <w:p w14:paraId="21341BFC">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1.1.12 “正常工作酬金 ”是指监理人完成正常工作，委托人应给付监理人并在协议书中载明的签约酬金额。</w:t>
      </w:r>
    </w:p>
    <w:p w14:paraId="24217091">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1.1.13 “ 附加工作酬金 ”是指监理人完成附加工作，委托人应给付监理人的金额。</w:t>
      </w:r>
    </w:p>
    <w:p w14:paraId="64225734">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1.1.14 “一方 ”是指委托人或监理人；“双方 ”是指委托人和监理人；“第三方 ”是指除委托人和监理人以外的有关方。</w:t>
      </w:r>
    </w:p>
    <w:p w14:paraId="71BE891E">
      <w:pPr>
        <w:ind w:firstLine="952" w:firstLineChars="400"/>
        <w:rPr>
          <w:rFonts w:hint="eastAsia" w:ascii="宋体" w:hAnsi="宋体" w:eastAsia="宋体" w:cs="宋体"/>
          <w:snapToGrid w:val="0"/>
          <w:color w:val="000000"/>
          <w:spacing w:val="-1"/>
          <w:kern w:val="0"/>
          <w:sz w:val="24"/>
          <w:szCs w:val="24"/>
          <w:lang w:val="en-US" w:eastAsia="en-US" w:bidi="ar-SA"/>
        </w:rPr>
      </w:pPr>
    </w:p>
    <w:p w14:paraId="7FBECCB4">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1.1.15 “书面形式 ”是指合同书、信件和数据电文（包括电报、电传、传真、电子数据交换和电子邮件）等可以有形地表现所载内容的形式。</w:t>
      </w:r>
    </w:p>
    <w:p w14:paraId="292571E0">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1.1.16 “天 ”是指第一天零时至第二天零时的时间。</w:t>
      </w:r>
    </w:p>
    <w:p w14:paraId="3A150CC6">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1.1.17“月 ”是指按公历从一个月中任何一天开始的一个公历月时间。</w:t>
      </w:r>
    </w:p>
    <w:p w14:paraId="24B97D70">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1.1.18 “不可抗力 ”是指委托人和监理人在订立本合同时不可预见，在工程施工过程中不可避免发生并不能克服的自然灾害和社会性突发事件，如地震、海啸、瘟疫、水灾、骚乱、暴动、战争和专用条件约定的其他情形。</w:t>
      </w:r>
    </w:p>
    <w:p w14:paraId="4F1D9AB1">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1.2 解释</w:t>
      </w:r>
    </w:p>
    <w:p w14:paraId="1191D3D9">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1.2.1 本合同使用中文书写、解释和说明。如专用条件约定使用两种及以上语言文字时，应以中文为准。</w:t>
      </w:r>
    </w:p>
    <w:p w14:paraId="7E4100E6">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1.2.2 组成本合同的下列文件彼此应能相互解释、互为说明。除专用条件另有约定外，本合同文件的解释顺序如下：</w:t>
      </w:r>
    </w:p>
    <w:p w14:paraId="3FCC0F3F">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（1）协议书；</w:t>
      </w:r>
    </w:p>
    <w:p w14:paraId="7DEFA8DB">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（2）中标通知书（适用于招标工程）或委托书（适用于非招标工程）；</w:t>
      </w:r>
    </w:p>
    <w:p w14:paraId="27DEA3C9">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（3）专用条件及附录 A、附录B；</w:t>
      </w:r>
    </w:p>
    <w:p w14:paraId="180AB4E9">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（4）通用条件；</w:t>
      </w:r>
    </w:p>
    <w:p w14:paraId="732ACD27">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（5）</w:t>
      </w:r>
      <w:r>
        <w:rPr>
          <w:rFonts w:hint="eastAsia" w:ascii="宋体" w:hAnsi="宋体" w:cs="宋体"/>
          <w:snapToGrid w:val="0"/>
          <w:color w:val="000000"/>
          <w:spacing w:val="-1"/>
          <w:kern w:val="0"/>
          <w:sz w:val="24"/>
          <w:szCs w:val="24"/>
          <w:lang w:val="en-US" w:eastAsia="zh-CN" w:bidi="ar-SA"/>
        </w:rPr>
        <w:t>响应文件</w:t>
      </w:r>
      <w:r>
        <w:rPr>
          <w:rFonts w:hint="eastAsia" w:ascii="宋体" w:hAnsi="宋体" w:eastAsia="宋体" w:cs="宋体"/>
          <w:snapToGrid w:val="0"/>
          <w:color w:val="000000"/>
          <w:spacing w:val="-1"/>
          <w:kern w:val="0"/>
          <w:sz w:val="24"/>
          <w:szCs w:val="24"/>
          <w:lang w:val="en-US" w:eastAsia="en-US" w:bidi="ar-SA"/>
        </w:rPr>
        <w:t>（适用于招标工程）或监理与相关服务建议书（适用于非招标工程）。</w:t>
      </w:r>
    </w:p>
    <w:p w14:paraId="0EAE15EE">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双方签订的补充协议与其他文件发生矛盾或歧义时，属于同一类内容的文件，应以最新签署的为准。</w:t>
      </w:r>
    </w:p>
    <w:p w14:paraId="4156E52F">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 监理人的义务</w:t>
      </w:r>
    </w:p>
    <w:p w14:paraId="29F3CF9F">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2.1 监理的范围和工作内容</w:t>
      </w:r>
    </w:p>
    <w:p w14:paraId="05A1AAE1">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2.1.1 监理范围在专用条件中约定。</w:t>
      </w:r>
    </w:p>
    <w:p w14:paraId="13DEF7B6">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2.1.2 除专用条件另有约定外，监理工作内容包括：</w:t>
      </w:r>
    </w:p>
    <w:p w14:paraId="12A03F2D">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（1）收到工程设计文件后编制监理规划，并在第一次工地会议 7 天前报委托人。根据有关规定和监理工作需要，编制监理实施细则；</w:t>
      </w:r>
    </w:p>
    <w:p w14:paraId="50BD987E">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（2）熟悉工程设计文件，并参加由委托人主持的图纸会审和设计交底会议；</w:t>
      </w:r>
    </w:p>
    <w:p w14:paraId="465D8334">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（3）参加由委托人主持的第一次工地会议；主持监理例会并根据工程需要主持或参加专题会议；</w:t>
      </w:r>
    </w:p>
    <w:p w14:paraId="019E529F">
      <w:pPr>
        <w:ind w:firstLine="952" w:firstLineChars="400"/>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（4）审查施工承包人提交的施工组织设计，重点审查其中的质量安全技术措施、专项施工方案与工程建设强制性标准的符合性；</w:t>
      </w:r>
    </w:p>
    <w:p w14:paraId="53A3BF58">
      <w:pPr>
        <w:ind w:firstLine="952" w:firstLineChars="400"/>
        <w:rPr>
          <w:rFonts w:hint="eastAsia" w:ascii="宋体" w:hAnsi="宋体" w:eastAsia="宋体" w:cs="宋体"/>
          <w:snapToGrid w:val="0"/>
          <w:color w:val="000000"/>
          <w:spacing w:val="-1"/>
          <w:kern w:val="0"/>
          <w:sz w:val="24"/>
          <w:szCs w:val="24"/>
          <w:lang w:val="en-US" w:eastAsia="en-US" w:bidi="ar-SA"/>
        </w:rPr>
      </w:pPr>
    </w:p>
    <w:p w14:paraId="09564766">
      <w:pPr>
        <w:kinsoku w:val="0"/>
        <w:autoSpaceDE w:val="0"/>
        <w:autoSpaceDN w:val="0"/>
        <w:adjustRightInd w:val="0"/>
        <w:snapToGrid w:val="0"/>
        <w:spacing w:before="265" w:line="219" w:lineRule="auto"/>
        <w:ind w:left="7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（5）检查施工承包人工程质量、安全生产管理制度及组织机构和人员资格；</w:t>
      </w:r>
    </w:p>
    <w:p w14:paraId="71AF1248">
      <w:pPr>
        <w:kinsoku w:val="0"/>
        <w:autoSpaceDE w:val="0"/>
        <w:autoSpaceDN w:val="0"/>
        <w:adjustRightInd w:val="0"/>
        <w:snapToGrid w:val="0"/>
        <w:spacing w:before="181"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（6）检查施工承包人专职安全生产管理人员的配备情况；</w:t>
      </w:r>
    </w:p>
    <w:p w14:paraId="4D9D36BE">
      <w:pPr>
        <w:kinsoku w:val="0"/>
        <w:autoSpaceDE w:val="0"/>
        <w:autoSpaceDN w:val="0"/>
        <w:adjustRightInd w:val="0"/>
        <w:snapToGrid w:val="0"/>
        <w:spacing w:before="183"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（7）审查施工承包人提交的施工进度计划，核查承包人对施工进度计划的调整；</w:t>
      </w:r>
    </w:p>
    <w:p w14:paraId="0CC1B9D2">
      <w:pPr>
        <w:kinsoku w:val="0"/>
        <w:autoSpaceDE w:val="0"/>
        <w:autoSpaceDN w:val="0"/>
        <w:adjustRightInd w:val="0"/>
        <w:snapToGrid w:val="0"/>
        <w:spacing w:before="180" w:line="219" w:lineRule="auto"/>
        <w:ind w:left="7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（8）检查施工承包人的试验室；</w:t>
      </w:r>
    </w:p>
    <w:p w14:paraId="572305A9">
      <w:pPr>
        <w:kinsoku w:val="0"/>
        <w:autoSpaceDE w:val="0"/>
        <w:autoSpaceDN w:val="0"/>
        <w:adjustRightInd w:val="0"/>
        <w:snapToGrid w:val="0"/>
        <w:spacing w:before="183"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（9）审核施工分包人资质条件；</w:t>
      </w:r>
    </w:p>
    <w:p w14:paraId="364EA00E">
      <w:pPr>
        <w:kinsoku w:val="0"/>
        <w:autoSpaceDE w:val="0"/>
        <w:autoSpaceDN w:val="0"/>
        <w:adjustRightInd w:val="0"/>
        <w:snapToGrid w:val="0"/>
        <w:spacing w:before="260"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（10）查验施工承包人的施工测量放线成果；</w:t>
      </w:r>
    </w:p>
    <w:p w14:paraId="7C01F955">
      <w:pPr>
        <w:kinsoku w:val="0"/>
        <w:autoSpaceDE w:val="0"/>
        <w:autoSpaceDN w:val="0"/>
        <w:adjustRightInd w:val="0"/>
        <w:snapToGrid w:val="0"/>
        <w:spacing w:before="103" w:line="219" w:lineRule="auto"/>
        <w:ind w:left="7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（11）审查工程开工条件，对条件具备的签发开工令；</w:t>
      </w:r>
    </w:p>
    <w:p w14:paraId="0184C6DB">
      <w:pPr>
        <w:kinsoku w:val="0"/>
        <w:autoSpaceDE w:val="0"/>
        <w:autoSpaceDN w:val="0"/>
        <w:adjustRightInd w:val="0"/>
        <w:snapToGrid w:val="0"/>
        <w:spacing w:before="184" w:line="359" w:lineRule="auto"/>
        <w:ind w:left="98" w:right="5" w:firstLine="65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（12）审查施工承包人报送的工程材料、构配件、设备质量证明文件的有效性和符合性，并按规定对用于工程的材料采取平行检</w:t>
      </w:r>
      <w:r>
        <w:rPr>
          <w:rFonts w:ascii="宋体" w:hAnsi="宋体" w:eastAsia="宋体" w:cs="宋体"/>
          <w:snapToGrid w:val="0"/>
          <w:color w:val="000000"/>
          <w:spacing w:val="-1"/>
          <w:kern w:val="0"/>
          <w:sz w:val="24"/>
          <w:szCs w:val="24"/>
          <w:lang w:val="en-US" w:eastAsia="en-US" w:bidi="ar-SA"/>
        </w:rPr>
        <w:t>验或见证取样方式进行抽检；</w:t>
      </w:r>
    </w:p>
    <w:p w14:paraId="2F1CB4CF">
      <w:pPr>
        <w:kinsoku w:val="0"/>
        <w:autoSpaceDE w:val="0"/>
        <w:autoSpaceDN w:val="0"/>
        <w:adjustRightInd w:val="0"/>
        <w:snapToGrid w:val="0"/>
        <w:spacing w:line="359" w:lineRule="auto"/>
        <w:ind w:right="8" w:firstLine="61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（13）审核施工承包人提交的工程款支付申请，签发或出具工程款支付证书，并报</w:t>
      </w:r>
      <w:r>
        <w:rPr>
          <w:rFonts w:ascii="宋体" w:hAnsi="宋体" w:eastAsia="宋体" w:cs="宋体"/>
          <w:snapToGrid w:val="0"/>
          <w:color w:val="000000"/>
          <w:spacing w:val="-1"/>
          <w:kern w:val="0"/>
          <w:sz w:val="24"/>
          <w:szCs w:val="24"/>
          <w:lang w:val="en-US" w:eastAsia="en-US" w:bidi="ar-SA"/>
        </w:rPr>
        <w:t>委托人审核、批准；</w:t>
      </w:r>
    </w:p>
    <w:p w14:paraId="6B959236">
      <w:pPr>
        <w:kinsoku w:val="0"/>
        <w:autoSpaceDE w:val="0"/>
        <w:autoSpaceDN w:val="0"/>
        <w:adjustRightInd w:val="0"/>
        <w:snapToGrid w:val="0"/>
        <w:spacing w:before="1" w:line="359" w:lineRule="auto"/>
        <w:ind w:left="97" w:right="64" w:firstLine="65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（14）在巡视、旁站和检验过程中，发现工</w:t>
      </w:r>
      <w:r>
        <w:rPr>
          <w:rFonts w:ascii="宋体" w:hAnsi="宋体" w:eastAsia="宋体" w:cs="宋体"/>
          <w:snapToGrid w:val="0"/>
          <w:color w:val="000000"/>
          <w:spacing w:val="-2"/>
          <w:kern w:val="0"/>
          <w:sz w:val="24"/>
          <w:szCs w:val="24"/>
          <w:lang w:val="en-US" w:eastAsia="en-US" w:bidi="ar-SA"/>
        </w:rPr>
        <w:t>程质量、施工安全存在事故隐患的，</w:t>
      </w:r>
      <w:r>
        <w:rPr>
          <w:rFonts w:ascii="宋体" w:hAnsi="宋体" w:eastAsia="宋体" w:cs="宋体"/>
          <w:snapToGrid w:val="0"/>
          <w:color w:val="000000"/>
          <w:spacing w:val="-1"/>
          <w:kern w:val="0"/>
          <w:sz w:val="24"/>
          <w:szCs w:val="24"/>
          <w:lang w:val="en-US" w:eastAsia="en-US" w:bidi="ar-SA"/>
        </w:rPr>
        <w:t>要求施工承包人整改并报委托人；</w:t>
      </w:r>
    </w:p>
    <w:p w14:paraId="62414357">
      <w:pPr>
        <w:kinsoku w:val="0"/>
        <w:autoSpaceDE w:val="0"/>
        <w:autoSpaceDN w:val="0"/>
        <w:adjustRightInd w:val="0"/>
        <w:snapToGrid w:val="0"/>
        <w:spacing w:line="218"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（15）经委托人同意，签发工程暂停令和复工令；</w:t>
      </w:r>
    </w:p>
    <w:p w14:paraId="63A7EEFF">
      <w:pPr>
        <w:kinsoku w:val="0"/>
        <w:autoSpaceDE w:val="0"/>
        <w:autoSpaceDN w:val="0"/>
        <w:adjustRightInd w:val="0"/>
        <w:snapToGrid w:val="0"/>
        <w:spacing w:before="184" w:line="359" w:lineRule="auto"/>
        <w:ind w:left="96" w:right="8" w:firstLine="4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（16）审查施工承包人提交的采用新材料、新工艺、新技术、新设备的论证材料及相关验收标准；</w:t>
      </w:r>
    </w:p>
    <w:p w14:paraId="36577C91">
      <w:pPr>
        <w:kinsoku w:val="0"/>
        <w:autoSpaceDE w:val="0"/>
        <w:autoSpaceDN w:val="0"/>
        <w:adjustRightInd w:val="0"/>
        <w:snapToGrid w:val="0"/>
        <w:spacing w:before="1" w:line="219" w:lineRule="auto"/>
        <w:ind w:left="76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（17）验收隐蔽工程、分部分项工程；</w:t>
      </w:r>
    </w:p>
    <w:p w14:paraId="112FCC15">
      <w:pPr>
        <w:kinsoku w:val="0"/>
        <w:autoSpaceDE w:val="0"/>
        <w:autoSpaceDN w:val="0"/>
        <w:adjustRightInd w:val="0"/>
        <w:snapToGrid w:val="0"/>
        <w:spacing w:before="181" w:line="359" w:lineRule="auto"/>
        <w:ind w:left="97" w:firstLine="49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（18）审查施工承包人提交的工程变更申请，协调处理施工进度调整、费用索赔、合同争议等事项；</w:t>
      </w:r>
    </w:p>
    <w:p w14:paraId="68ACE8B1">
      <w:pPr>
        <w:kinsoku w:val="0"/>
        <w:autoSpaceDE w:val="0"/>
        <w:autoSpaceDN w:val="0"/>
        <w:adjustRightInd w:val="0"/>
        <w:snapToGrid w:val="0"/>
        <w:spacing w:before="1" w:line="217" w:lineRule="auto"/>
        <w:ind w:left="7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（19）审查施工承包人提交的竣工验收申请，编写工程质量评估报告；</w:t>
      </w:r>
    </w:p>
    <w:p w14:paraId="5E71E3CB">
      <w:pPr>
        <w:kinsoku w:val="0"/>
        <w:autoSpaceDE w:val="0"/>
        <w:autoSpaceDN w:val="0"/>
        <w:adjustRightInd w:val="0"/>
        <w:snapToGrid w:val="0"/>
        <w:spacing w:before="185"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（20）参加工程竣工验收，签署竣工验收意见；</w:t>
      </w:r>
    </w:p>
    <w:p w14:paraId="2919DA70">
      <w:pPr>
        <w:kinsoku w:val="0"/>
        <w:autoSpaceDE w:val="0"/>
        <w:autoSpaceDN w:val="0"/>
        <w:adjustRightInd w:val="0"/>
        <w:snapToGrid w:val="0"/>
        <w:spacing w:before="181"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（21）审查施工承包人提交的竣工结算申请并报委托人；</w:t>
      </w:r>
    </w:p>
    <w:p w14:paraId="791330A1">
      <w:pPr>
        <w:kinsoku w:val="0"/>
        <w:autoSpaceDE w:val="0"/>
        <w:autoSpaceDN w:val="0"/>
        <w:adjustRightInd w:val="0"/>
        <w:snapToGrid w:val="0"/>
        <w:spacing w:before="183"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（22）编制、整理工程监理归档文件并报委托人。</w:t>
      </w:r>
    </w:p>
    <w:p w14:paraId="4D1C8C73">
      <w:pPr>
        <w:kinsoku w:val="0"/>
        <w:autoSpaceDE w:val="0"/>
        <w:autoSpaceDN w:val="0"/>
        <w:adjustRightInd w:val="0"/>
        <w:snapToGrid w:val="0"/>
        <w:spacing w:before="259" w:line="219" w:lineRule="auto"/>
        <w:ind w:left="63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2.1.3 相关服务的范围和内容在附录</w:t>
      </w:r>
      <w:r>
        <w:rPr>
          <w:rFonts w:ascii="宋体" w:hAnsi="宋体" w:eastAsia="宋体" w:cs="宋体"/>
          <w:snapToGrid w:val="0"/>
          <w:color w:val="000000"/>
          <w:spacing w:val="-5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A</w:t>
      </w:r>
      <w:r>
        <w:rPr>
          <w:rFonts w:ascii="宋体" w:hAnsi="宋体" w:eastAsia="宋体" w:cs="宋体"/>
          <w:snapToGrid w:val="0"/>
          <w:color w:val="000000"/>
          <w:spacing w:val="-2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中约定。</w:t>
      </w:r>
    </w:p>
    <w:p w14:paraId="2161EDCB">
      <w:pPr>
        <w:kinsoku w:val="0"/>
        <w:autoSpaceDE w:val="0"/>
        <w:autoSpaceDN w:val="0"/>
        <w:adjustRightInd w:val="0"/>
        <w:snapToGrid w:val="0"/>
        <w:spacing w:before="184" w:line="219" w:lineRule="auto"/>
        <w:ind w:left="33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2.2 监理与相关服务依据</w:t>
      </w:r>
    </w:p>
    <w:p w14:paraId="6F8E9FCA">
      <w:pPr>
        <w:kinsoku w:val="0"/>
        <w:autoSpaceDE w:val="0"/>
        <w:autoSpaceDN w:val="0"/>
        <w:adjustRightInd w:val="0"/>
        <w:snapToGrid w:val="0"/>
        <w:spacing w:before="104" w:line="219" w:lineRule="auto"/>
        <w:ind w:left="57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2.2.1 监理依据包括：</w:t>
      </w:r>
    </w:p>
    <w:p w14:paraId="6DEF8F82">
      <w:pPr>
        <w:kinsoku w:val="0"/>
        <w:autoSpaceDE w:val="0"/>
        <w:autoSpaceDN w:val="0"/>
        <w:adjustRightInd w:val="0"/>
        <w:snapToGrid w:val="0"/>
        <w:spacing w:before="183" w:line="219" w:lineRule="auto"/>
        <w:ind w:left="7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（1）适用的法律、行政法规及部门规章；</w:t>
      </w:r>
    </w:p>
    <w:p w14:paraId="5E7D2B8F">
      <w:pPr>
        <w:kinsoku w:val="0"/>
        <w:autoSpaceDE w:val="0"/>
        <w:autoSpaceDN w:val="0"/>
        <w:adjustRightInd w:val="0"/>
        <w:snapToGrid w:val="0"/>
        <w:spacing w:before="184" w:line="220" w:lineRule="auto"/>
        <w:ind w:left="7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（2）与工程有关的标准；</w:t>
      </w:r>
    </w:p>
    <w:p w14:paraId="3CE8E42A">
      <w:pPr>
        <w:kinsoku w:val="0"/>
        <w:autoSpaceDE w:val="0"/>
        <w:autoSpaceDN w:val="0"/>
        <w:adjustRightInd w:val="0"/>
        <w:snapToGrid w:val="0"/>
        <w:spacing w:before="180" w:line="219" w:lineRule="auto"/>
        <w:ind w:left="7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（3）工程设计及有关文件；</w:t>
      </w:r>
    </w:p>
    <w:p w14:paraId="07AFB410">
      <w:pPr>
        <w:ind w:firstLine="952" w:firstLineChars="400"/>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（4）本合同及委托人与第三方签订的与实施工程有关的其他合同</w:t>
      </w:r>
      <w:r>
        <w:rPr>
          <w:rFonts w:hint="eastAsia" w:ascii="宋体" w:hAnsi="宋体" w:eastAsia="宋体" w:cs="宋体"/>
          <w:snapToGrid w:val="0"/>
          <w:color w:val="000000"/>
          <w:spacing w:val="-1"/>
          <w:kern w:val="0"/>
          <w:sz w:val="24"/>
          <w:szCs w:val="24"/>
          <w:lang w:val="en-US" w:eastAsia="zh-CN" w:bidi="ar-SA"/>
        </w:rPr>
        <w:t>。</w:t>
      </w:r>
    </w:p>
    <w:p w14:paraId="419E6900">
      <w:pPr>
        <w:ind w:firstLine="952" w:firstLineChars="400"/>
        <w:rPr>
          <w:rFonts w:hint="eastAsia" w:ascii="宋体" w:hAnsi="宋体" w:eastAsia="宋体" w:cs="宋体"/>
          <w:snapToGrid w:val="0"/>
          <w:color w:val="000000"/>
          <w:spacing w:val="-1"/>
          <w:kern w:val="0"/>
          <w:sz w:val="24"/>
          <w:szCs w:val="24"/>
          <w:lang w:val="en-US" w:eastAsia="zh-CN" w:bidi="ar-SA"/>
        </w:rPr>
      </w:pPr>
    </w:p>
    <w:p w14:paraId="128027C1">
      <w:pPr>
        <w:kinsoku w:val="0"/>
        <w:autoSpaceDE w:val="0"/>
        <w:autoSpaceDN w:val="0"/>
        <w:adjustRightInd w:val="0"/>
        <w:snapToGrid w:val="0"/>
        <w:spacing w:before="78" w:line="219" w:lineRule="auto"/>
        <w:ind w:left="6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双方根据工程的行业和地域特点，在专用条</w:t>
      </w:r>
      <w:r>
        <w:rPr>
          <w:rFonts w:ascii="宋体" w:hAnsi="宋体" w:eastAsia="宋体" w:cs="宋体"/>
          <w:snapToGrid w:val="0"/>
          <w:color w:val="000000"/>
          <w:spacing w:val="-1"/>
          <w:kern w:val="0"/>
          <w:sz w:val="24"/>
          <w:szCs w:val="24"/>
          <w:lang w:val="en-US" w:eastAsia="en-US" w:bidi="ar-SA"/>
        </w:rPr>
        <w:t>件中具体约定监理依据。</w:t>
      </w:r>
    </w:p>
    <w:p w14:paraId="79E0C9A8">
      <w:pPr>
        <w:kinsoku w:val="0"/>
        <w:autoSpaceDE w:val="0"/>
        <w:autoSpaceDN w:val="0"/>
        <w:adjustRightInd w:val="0"/>
        <w:snapToGrid w:val="0"/>
        <w:spacing w:before="104" w:line="219" w:lineRule="auto"/>
        <w:ind w:left="4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2.2.2 相关服务依据在专用条件中约定。</w:t>
      </w:r>
    </w:p>
    <w:p w14:paraId="134695A9">
      <w:pPr>
        <w:kinsoku w:val="0"/>
        <w:autoSpaceDE w:val="0"/>
        <w:autoSpaceDN w:val="0"/>
        <w:adjustRightInd w:val="0"/>
        <w:snapToGrid w:val="0"/>
        <w:spacing w:before="260" w:line="219" w:lineRule="auto"/>
        <w:ind w:left="25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2.3 项目监理机构和人员</w:t>
      </w:r>
    </w:p>
    <w:p w14:paraId="2C4411AF">
      <w:pPr>
        <w:kinsoku w:val="0"/>
        <w:autoSpaceDE w:val="0"/>
        <w:autoSpaceDN w:val="0"/>
        <w:adjustRightInd w:val="0"/>
        <w:snapToGrid w:val="0"/>
        <w:spacing w:before="104" w:line="359" w:lineRule="auto"/>
        <w:ind w:left="9" w:right="1" w:firstLine="64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2.3.1 监理人应组建满足工作需要的项目监理机构，配备必要的检测设备。项目</w:t>
      </w:r>
      <w:r>
        <w:rPr>
          <w:rFonts w:ascii="宋体" w:hAnsi="宋体" w:eastAsia="宋体" w:cs="宋体"/>
          <w:snapToGrid w:val="0"/>
          <w:color w:val="000000"/>
          <w:spacing w:val="-1"/>
          <w:kern w:val="0"/>
          <w:sz w:val="24"/>
          <w:szCs w:val="24"/>
          <w:lang w:val="en-US" w:eastAsia="en-US" w:bidi="ar-SA"/>
        </w:rPr>
        <w:t>监理机构的主要人员应具有相应的资格条件。</w:t>
      </w:r>
    </w:p>
    <w:p w14:paraId="72B425AB">
      <w:pPr>
        <w:kinsoku w:val="0"/>
        <w:autoSpaceDE w:val="0"/>
        <w:autoSpaceDN w:val="0"/>
        <w:adjustRightInd w:val="0"/>
        <w:snapToGrid w:val="0"/>
        <w:spacing w:line="359" w:lineRule="auto"/>
        <w:ind w:left="9" w:right="1" w:firstLine="48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2.3.2</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本合同履行过程中，总监理工程师及重要岗位监</w:t>
      </w:r>
      <w:r>
        <w:rPr>
          <w:rFonts w:ascii="宋体" w:hAnsi="宋体" w:eastAsia="宋体" w:cs="宋体"/>
          <w:snapToGrid w:val="0"/>
          <w:color w:val="000000"/>
          <w:spacing w:val="-1"/>
          <w:kern w:val="0"/>
          <w:sz w:val="24"/>
          <w:szCs w:val="24"/>
          <w:lang w:val="en-US" w:eastAsia="en-US" w:bidi="ar-SA"/>
        </w:rPr>
        <w:t>理人员应保持相对稳定，以保证监理工作正常进行。</w:t>
      </w:r>
    </w:p>
    <w:p w14:paraId="3842B44D">
      <w:pPr>
        <w:kinsoku w:val="0"/>
        <w:autoSpaceDE w:val="0"/>
        <w:autoSpaceDN w:val="0"/>
        <w:adjustRightInd w:val="0"/>
        <w:snapToGrid w:val="0"/>
        <w:spacing w:before="1" w:line="359" w:lineRule="auto"/>
        <w:ind w:left="11" w:right="1"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2.3.3</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监理人可根据工程进展和工作需要调整项目监理</w:t>
      </w:r>
      <w:r>
        <w:rPr>
          <w:rFonts w:ascii="宋体" w:hAnsi="宋体" w:eastAsia="宋体" w:cs="宋体"/>
          <w:snapToGrid w:val="0"/>
          <w:color w:val="000000"/>
          <w:spacing w:val="-1"/>
          <w:kern w:val="0"/>
          <w:sz w:val="24"/>
          <w:szCs w:val="24"/>
          <w:lang w:val="en-US" w:eastAsia="en-US" w:bidi="ar-SA"/>
        </w:rPr>
        <w:t>机构人员。监理人更换总监</w:t>
      </w:r>
      <w:r>
        <w:rPr>
          <w:rFonts w:ascii="宋体" w:hAnsi="宋体" w:eastAsia="宋体" w:cs="宋体"/>
          <w:snapToGrid w:val="0"/>
          <w:color w:val="000000"/>
          <w:spacing w:val="-2"/>
          <w:kern w:val="0"/>
          <w:sz w:val="24"/>
          <w:szCs w:val="24"/>
          <w:lang w:val="en-US" w:eastAsia="en-US" w:bidi="ar-SA"/>
        </w:rPr>
        <w:t>理工程师时，应提前</w:t>
      </w:r>
      <w:r>
        <w:rPr>
          <w:rFonts w:ascii="宋体" w:hAnsi="宋体" w:eastAsia="宋体" w:cs="宋体"/>
          <w:snapToGrid w:val="0"/>
          <w:color w:val="000000"/>
          <w:spacing w:val="-45"/>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7</w:t>
      </w:r>
      <w:r>
        <w:rPr>
          <w:rFonts w:ascii="宋体" w:hAnsi="宋体" w:eastAsia="宋体" w:cs="宋体"/>
          <w:snapToGrid w:val="0"/>
          <w:color w:val="000000"/>
          <w:spacing w:val="-46"/>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天向委托人书面报告，经委托</w:t>
      </w:r>
      <w:r>
        <w:rPr>
          <w:rFonts w:ascii="宋体" w:hAnsi="宋体" w:eastAsia="宋体" w:cs="宋体"/>
          <w:snapToGrid w:val="0"/>
          <w:color w:val="000000"/>
          <w:spacing w:val="-3"/>
          <w:kern w:val="0"/>
          <w:sz w:val="24"/>
          <w:szCs w:val="24"/>
          <w:lang w:val="en-US" w:eastAsia="en-US" w:bidi="ar-SA"/>
        </w:rPr>
        <w:t>人同意后方可更换；监理人更换项</w:t>
      </w:r>
      <w:r>
        <w:rPr>
          <w:rFonts w:ascii="宋体" w:hAnsi="宋体" w:eastAsia="宋体" w:cs="宋体"/>
          <w:snapToGrid w:val="0"/>
          <w:color w:val="000000"/>
          <w:kern w:val="0"/>
          <w:sz w:val="24"/>
          <w:szCs w:val="24"/>
          <w:lang w:val="en-US" w:eastAsia="en-US" w:bidi="ar-SA"/>
        </w:rPr>
        <w:t>目监理机构其他监理人员，应以相当资格与能</w:t>
      </w:r>
      <w:r>
        <w:rPr>
          <w:rFonts w:ascii="宋体" w:hAnsi="宋体" w:eastAsia="宋体" w:cs="宋体"/>
          <w:snapToGrid w:val="0"/>
          <w:color w:val="000000"/>
          <w:spacing w:val="-1"/>
          <w:kern w:val="0"/>
          <w:sz w:val="24"/>
          <w:szCs w:val="24"/>
          <w:lang w:val="en-US" w:eastAsia="en-US" w:bidi="ar-SA"/>
        </w:rPr>
        <w:t>力的人员替换，并通知委托人。</w:t>
      </w:r>
    </w:p>
    <w:p w14:paraId="3F13BF39">
      <w:pPr>
        <w:kinsoku w:val="0"/>
        <w:autoSpaceDE w:val="0"/>
        <w:autoSpaceDN w:val="0"/>
        <w:adjustRightInd w:val="0"/>
        <w:snapToGrid w:val="0"/>
        <w:spacing w:line="220" w:lineRule="auto"/>
        <w:ind w:left="4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2.3.4 监理人应及时更换有下列情形之一的监理人员：</w:t>
      </w:r>
    </w:p>
    <w:p w14:paraId="70E18A6C">
      <w:pPr>
        <w:kinsoku w:val="0"/>
        <w:autoSpaceDE w:val="0"/>
        <w:autoSpaceDN w:val="0"/>
        <w:adjustRightInd w:val="0"/>
        <w:snapToGrid w:val="0"/>
        <w:spacing w:before="180" w:line="220" w:lineRule="auto"/>
        <w:ind w:left="4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（1）严重过失行为的；</w:t>
      </w:r>
    </w:p>
    <w:p w14:paraId="1FE8B59D">
      <w:pPr>
        <w:kinsoku w:val="0"/>
        <w:autoSpaceDE w:val="0"/>
        <w:autoSpaceDN w:val="0"/>
        <w:adjustRightInd w:val="0"/>
        <w:snapToGrid w:val="0"/>
        <w:spacing w:before="182" w:line="220" w:lineRule="auto"/>
        <w:ind w:left="4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（2）有违法行为不能履行职责的；</w:t>
      </w:r>
    </w:p>
    <w:p w14:paraId="5B8638C6">
      <w:pPr>
        <w:kinsoku w:val="0"/>
        <w:autoSpaceDE w:val="0"/>
        <w:autoSpaceDN w:val="0"/>
        <w:adjustRightInd w:val="0"/>
        <w:snapToGrid w:val="0"/>
        <w:spacing w:before="179" w:line="220" w:lineRule="auto"/>
        <w:ind w:left="4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（3）涉嫌犯罪的；</w:t>
      </w:r>
    </w:p>
    <w:p w14:paraId="31F5BA9A">
      <w:pPr>
        <w:kinsoku w:val="0"/>
        <w:autoSpaceDE w:val="0"/>
        <w:autoSpaceDN w:val="0"/>
        <w:adjustRightInd w:val="0"/>
        <w:snapToGrid w:val="0"/>
        <w:spacing w:before="183" w:line="219" w:lineRule="auto"/>
        <w:ind w:left="4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（4）不能胜任岗位职责的；</w:t>
      </w:r>
    </w:p>
    <w:p w14:paraId="7F9CB38B">
      <w:pPr>
        <w:kinsoku w:val="0"/>
        <w:autoSpaceDE w:val="0"/>
        <w:autoSpaceDN w:val="0"/>
        <w:adjustRightInd w:val="0"/>
        <w:snapToGrid w:val="0"/>
        <w:spacing w:before="182" w:line="220" w:lineRule="auto"/>
        <w:ind w:left="4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（5）严重违反职业道德的；</w:t>
      </w:r>
    </w:p>
    <w:p w14:paraId="43D80738">
      <w:pPr>
        <w:kinsoku w:val="0"/>
        <w:autoSpaceDE w:val="0"/>
        <w:autoSpaceDN w:val="0"/>
        <w:adjustRightInd w:val="0"/>
        <w:snapToGrid w:val="0"/>
        <w:spacing w:before="180" w:line="219" w:lineRule="auto"/>
        <w:ind w:left="4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（6）专用条件约定的其他情形。</w:t>
      </w:r>
    </w:p>
    <w:p w14:paraId="1B6AF4AC">
      <w:pPr>
        <w:kinsoku w:val="0"/>
        <w:autoSpaceDE w:val="0"/>
        <w:autoSpaceDN w:val="0"/>
        <w:adjustRightInd w:val="0"/>
        <w:snapToGrid w:val="0"/>
        <w:spacing w:before="262" w:line="219" w:lineRule="auto"/>
        <w:ind w:left="4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2.3.5 委托人可要求监理人更换不能胜任</w:t>
      </w:r>
      <w:r>
        <w:rPr>
          <w:rFonts w:ascii="宋体" w:hAnsi="宋体" w:eastAsia="宋体" w:cs="宋体"/>
          <w:snapToGrid w:val="0"/>
          <w:color w:val="000000"/>
          <w:spacing w:val="-1"/>
          <w:kern w:val="0"/>
          <w:sz w:val="24"/>
          <w:szCs w:val="24"/>
          <w:lang w:val="en-US" w:eastAsia="en-US" w:bidi="ar-SA"/>
        </w:rPr>
        <w:t>本职工作的项目监理机构人员。</w:t>
      </w:r>
    </w:p>
    <w:p w14:paraId="40083FCB">
      <w:pPr>
        <w:kinsoku w:val="0"/>
        <w:autoSpaceDE w:val="0"/>
        <w:autoSpaceDN w:val="0"/>
        <w:adjustRightInd w:val="0"/>
        <w:snapToGrid w:val="0"/>
        <w:spacing w:before="184" w:line="220" w:lineRule="auto"/>
        <w:ind w:left="2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2.4</w:t>
      </w:r>
      <w:r>
        <w:rPr>
          <w:rFonts w:ascii="宋体" w:hAnsi="宋体" w:eastAsia="宋体" w:cs="宋体"/>
          <w:snapToGrid w:val="0"/>
          <w:color w:val="000000"/>
          <w:spacing w:val="1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履行职责</w:t>
      </w:r>
    </w:p>
    <w:p w14:paraId="4D7D6A87">
      <w:pPr>
        <w:kinsoku w:val="0"/>
        <w:autoSpaceDE w:val="0"/>
        <w:autoSpaceDN w:val="0"/>
        <w:adjustRightInd w:val="0"/>
        <w:snapToGrid w:val="0"/>
        <w:spacing w:before="103" w:line="358" w:lineRule="auto"/>
        <w:ind w:left="9" w:right="1"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监理人应遵循职业道德准则和行为规范，严格按照法律法规、工程建设有关标准及本合同履行职责。</w:t>
      </w:r>
    </w:p>
    <w:p w14:paraId="5B756B5B">
      <w:pPr>
        <w:kinsoku w:val="0"/>
        <w:autoSpaceDE w:val="0"/>
        <w:autoSpaceDN w:val="0"/>
        <w:adjustRightInd w:val="0"/>
        <w:snapToGrid w:val="0"/>
        <w:spacing w:before="2" w:line="359" w:lineRule="auto"/>
        <w:ind w:left="10" w:right="1"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2.4.1 在监理与相关服务范围内，委托人和承包人提出的意见和要求，监理人应及时提出处置意见。当委托人与承包人之间发生合同争议时，监理人应协助委托人、承包人协商解决。</w:t>
      </w:r>
    </w:p>
    <w:p w14:paraId="088E569F">
      <w:pPr>
        <w:kinsoku w:val="0"/>
        <w:autoSpaceDE w:val="0"/>
        <w:autoSpaceDN w:val="0"/>
        <w:adjustRightInd w:val="0"/>
        <w:snapToGrid w:val="0"/>
        <w:spacing w:line="359" w:lineRule="auto"/>
        <w:ind w:left="11"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2.4.2 当委托人与承包人之间的合同争议提交仲裁机构仲裁或人民法院审理时，监</w:t>
      </w:r>
      <w:r>
        <w:rPr>
          <w:rFonts w:ascii="宋体" w:hAnsi="宋体" w:eastAsia="宋体" w:cs="宋体"/>
          <w:snapToGrid w:val="0"/>
          <w:color w:val="000000"/>
          <w:spacing w:val="-1"/>
          <w:kern w:val="0"/>
          <w:sz w:val="24"/>
          <w:szCs w:val="24"/>
          <w:lang w:val="en-US" w:eastAsia="en-US" w:bidi="ar-SA"/>
        </w:rPr>
        <w:t>理人应提供必要的证明资料。</w:t>
      </w:r>
    </w:p>
    <w:p w14:paraId="3F682A0F">
      <w:pPr>
        <w:kinsoku w:val="0"/>
        <w:autoSpaceDE w:val="0"/>
        <w:autoSpaceDN w:val="0"/>
        <w:adjustRightInd w:val="0"/>
        <w:snapToGrid w:val="0"/>
        <w:spacing w:before="2" w:line="359" w:lineRule="auto"/>
        <w:ind w:left="8" w:right="1" w:firstLine="48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2.4.3 监理人应在专用条件约定的授权范围内，处理委托人与承包人所签订合同的</w:t>
      </w:r>
      <w:r>
        <w:rPr>
          <w:rFonts w:ascii="宋体" w:hAnsi="宋体" w:eastAsia="宋体" w:cs="宋体"/>
          <w:snapToGrid w:val="0"/>
          <w:color w:val="000000"/>
          <w:spacing w:val="-1"/>
          <w:kern w:val="0"/>
          <w:sz w:val="24"/>
          <w:szCs w:val="24"/>
          <w:lang w:val="en-US" w:eastAsia="en-US" w:bidi="ar-SA"/>
        </w:rPr>
        <w:t>变更事宜。如果变更超过授权范围，应以书面形式报委托人批准。</w:t>
      </w:r>
    </w:p>
    <w:p w14:paraId="5EF3B439">
      <w:pPr>
        <w:ind w:firstLine="944" w:firstLineChars="400"/>
        <w:rPr>
          <w:rFonts w:ascii="宋体" w:hAnsi="宋体" w:eastAsia="宋体" w:cs="宋体"/>
          <w:snapToGrid w:val="0"/>
          <w:color w:val="000000"/>
          <w:spacing w:val="-2"/>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在紧急情况下，为了保护财产和人身安全，监理人所发出的指令未能事先报委托人批准时，应在发出指令后的</w:t>
      </w:r>
      <w:r>
        <w:rPr>
          <w:rFonts w:ascii="宋体" w:hAnsi="宋体" w:eastAsia="宋体" w:cs="宋体"/>
          <w:snapToGrid w:val="0"/>
          <w:color w:val="000000"/>
          <w:spacing w:val="-32"/>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24</w:t>
      </w:r>
      <w:r>
        <w:rPr>
          <w:rFonts w:ascii="宋体" w:hAnsi="宋体" w:eastAsia="宋体" w:cs="宋体"/>
          <w:snapToGrid w:val="0"/>
          <w:color w:val="000000"/>
          <w:spacing w:val="-44"/>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小时内以书面形式报委托人。</w:t>
      </w:r>
    </w:p>
    <w:p w14:paraId="2117F421">
      <w:pPr>
        <w:ind w:firstLine="944" w:firstLineChars="400"/>
        <w:rPr>
          <w:rFonts w:ascii="宋体" w:hAnsi="宋体" w:eastAsia="宋体" w:cs="宋体"/>
          <w:snapToGrid w:val="0"/>
          <w:color w:val="000000"/>
          <w:spacing w:val="-2"/>
          <w:kern w:val="0"/>
          <w:sz w:val="24"/>
          <w:szCs w:val="24"/>
          <w:lang w:val="en-US" w:eastAsia="en-US" w:bidi="ar-SA"/>
        </w:rPr>
      </w:pPr>
    </w:p>
    <w:p w14:paraId="2AF925E7">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2.4.4 除专用条件另有约定外，监理人发现承包人的人员不能胜任本职工作的，有权要求承包人予以调换。</w:t>
      </w:r>
    </w:p>
    <w:p w14:paraId="320BF12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2.5 提交报告</w:t>
      </w:r>
    </w:p>
    <w:p w14:paraId="15B5F2A7">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监理人应按专用条件约定的种类、时间和份数向委托人提交监理与相关服务的报告。</w:t>
      </w:r>
    </w:p>
    <w:p w14:paraId="03F79BE1">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2.6 文件资料</w:t>
      </w:r>
    </w:p>
    <w:p w14:paraId="47C283A1">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在本合同履行期内，监理人应在现场保留工作所用的图纸、报告及记录监理工作的相关文件。工程竣工后，应当按照档案管理规定将监理有关文件归档。</w:t>
      </w:r>
    </w:p>
    <w:p w14:paraId="69174F51">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2.7 使用委托人的财产</w:t>
      </w:r>
    </w:p>
    <w:p w14:paraId="31124930">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监理人无偿使用附录 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DB056D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3．委托人的义务</w:t>
      </w:r>
    </w:p>
    <w:p w14:paraId="43E9931C">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3.1 告知</w:t>
      </w:r>
    </w:p>
    <w:p w14:paraId="5A1716F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委托人应在委托人与承包人签订的合同中明确监理人、总监理工程师和授予项目监理机构的权限。如有变更，应及时通知承包人。</w:t>
      </w:r>
    </w:p>
    <w:p w14:paraId="445BC201">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3.2 提供资料</w:t>
      </w:r>
    </w:p>
    <w:p w14:paraId="60423CF0">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委托人应按照附录 B 约定，无偿向监理人提供工程有关的资料。在本合同履行过程中，委托人应及时向监理人提供最新的与工程有关的资料。</w:t>
      </w:r>
    </w:p>
    <w:p w14:paraId="6D660485">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3.3 提供工作条件</w:t>
      </w:r>
    </w:p>
    <w:p w14:paraId="06549093">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委托人应为监理人完成监理与相关服务提供必要的条件。</w:t>
      </w:r>
    </w:p>
    <w:p w14:paraId="1AE62257">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3.3.1 委托人应按照附录 B 约定，派遣相应的人员，提供房屋、设备，供监理人无偿使用。</w:t>
      </w:r>
    </w:p>
    <w:p w14:paraId="61F7BB3C">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3.3.2 委托人应负责协调工程建设中所有外部关系，为监理人履行本合同提供必要的外部条件。</w:t>
      </w:r>
    </w:p>
    <w:p w14:paraId="5536F1E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3.4 委托人代表</w:t>
      </w:r>
    </w:p>
    <w:p w14:paraId="58EA686F">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委托人应授权一名熟悉工程情况的代表，负责与监理人联系。委托人应在双方签订本合同后 7 天内，将委托人代表的姓名和职责书面告知监理人。当委托人更换委托人代表时，应提前 7 天通知监理人。</w:t>
      </w:r>
    </w:p>
    <w:p w14:paraId="2DF4FCCB">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3.5 委托人意见或要求</w:t>
      </w:r>
    </w:p>
    <w:p w14:paraId="3E68295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在本合同约定的监理与相关服务工作范围内，委托人对承包人的任何意见或要求应通知监理人，由监理人向承包人发出相应指令。</w:t>
      </w:r>
    </w:p>
    <w:p w14:paraId="13BA400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3.6 答复</w:t>
      </w:r>
    </w:p>
    <w:p w14:paraId="1FF7F27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委托人应在专用条件约定的时间内，对监理人以书面形式提交并要求作出决定的事宜，给予书面答复。逾期未答复的，视为委托人认可。</w:t>
      </w:r>
    </w:p>
    <w:p w14:paraId="11BB822F">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3.7 支付</w:t>
      </w:r>
    </w:p>
    <w:p w14:paraId="778A1588">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委托人应按本合同约定，向监理人支付酬金。</w:t>
      </w:r>
    </w:p>
    <w:p w14:paraId="0AFD1A43">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 违约责任</w:t>
      </w:r>
    </w:p>
    <w:p w14:paraId="7B1DA461">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4.1 监理人的违约责任</w:t>
      </w:r>
    </w:p>
    <w:p w14:paraId="3D236948">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监理人未履行本合同义务的，应承担相应的责任。</w:t>
      </w:r>
    </w:p>
    <w:p w14:paraId="0BFCD83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4.1.1 因监理人违反本合同约定给委托人造成损失的，监理人应当赔偿委托人损失。赔偿金额的确定方法在专用条件中约定。监理人承担部分赔偿责任的，其承担赔偿金额由双方协商确定。</w:t>
      </w:r>
    </w:p>
    <w:p w14:paraId="1BB54C3F">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4.1.2 监理人向委托人的索赔不成立时，监理人应赔偿委托人由此发生的费用。</w:t>
      </w:r>
    </w:p>
    <w:p w14:paraId="46E6D2B8">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4.2 委托人的违约责任</w:t>
      </w:r>
    </w:p>
    <w:p w14:paraId="507AEBFB">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委托人未履行本合同义务的，应承担相应的责任。</w:t>
      </w:r>
    </w:p>
    <w:p w14:paraId="47EF672B">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4.2.1 委托人违反本合同约定造成监理人损失的，委托人应予以赔偿。</w:t>
      </w:r>
    </w:p>
    <w:p w14:paraId="78F0DBF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4.2.2 委托人向监理人的索赔不成立时，应赔偿监理人由此引起的费用。</w:t>
      </w:r>
    </w:p>
    <w:p w14:paraId="33D0614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4.2.3 委托人未能按期支付酬金超过 28 天，应按专用条件约定支付逾期付款利息。</w:t>
      </w:r>
    </w:p>
    <w:p w14:paraId="1B5068EC">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4.3 除外责任</w:t>
      </w:r>
    </w:p>
    <w:p w14:paraId="708ADC64">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因非监理人的原因，且监理人无过错，发生工程质量事故、安全事故、工期延误等造成的损失，监理人不承担赔偿责任。</w:t>
      </w:r>
    </w:p>
    <w:p w14:paraId="3077EC13">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因不可抗力导致本合同全部或部分不能履行时，双方各自承担其因此而造成的损失、损害。</w:t>
      </w:r>
    </w:p>
    <w:p w14:paraId="5B3E6747">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5. 支付</w:t>
      </w:r>
    </w:p>
    <w:p w14:paraId="77C7F2C4">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5.1 支付货币</w:t>
      </w:r>
    </w:p>
    <w:p w14:paraId="231BE8F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除专用条件另有约定外，酬金均以人民币支付。涉及外币支付的，所采用的货币种类、比例和汇率在专用条件中约定。</w:t>
      </w:r>
    </w:p>
    <w:p w14:paraId="4B531B07">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5.2 支付申请</w:t>
      </w:r>
    </w:p>
    <w:p w14:paraId="5A6EF14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监理人应在本合同约定的每次应付款时间的 7 天前，向委托人提交支付申请书。支付申请书应当说明当期应付款总额，并列出当期应支付的款项及其金额。</w:t>
      </w:r>
    </w:p>
    <w:p w14:paraId="6D804A78">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5.3 支付酬金</w:t>
      </w:r>
    </w:p>
    <w:p w14:paraId="76C613F5">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支付的酬金包括正常工作酬金、附加工作酬金、合理化建议奖励金额及费用。</w:t>
      </w:r>
    </w:p>
    <w:p w14:paraId="39FBE1B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5.4 有争议部分的付款</w:t>
      </w:r>
    </w:p>
    <w:p w14:paraId="73CBBDD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委托人对监理人提交的支付申请书有异议时，应当在收到监理人提交的支付申请书后 7 天内，以书面形式向监理人发出异议通知。无异议部分的款项应按期支付，有异议部分的款项按第 7 条约定办理。</w:t>
      </w:r>
    </w:p>
    <w:p w14:paraId="0222919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 合同生效、变更、暂停、解除与终止</w:t>
      </w:r>
    </w:p>
    <w:p w14:paraId="3AACB3A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6.1 生效</w:t>
      </w:r>
    </w:p>
    <w:p w14:paraId="78E74EF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除法律另有规定或者专用条件另有约定外，委托人和监理人的法定代表人或其授权代理人在协议书上签字并盖单位章后本合同生效。</w:t>
      </w:r>
    </w:p>
    <w:p w14:paraId="5091EF85">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6.2 变更</w:t>
      </w:r>
    </w:p>
    <w:p w14:paraId="034DE9A0">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6.2.1 任何一方提出变更请求时，双方经协商一致后可进行变更。</w:t>
      </w:r>
    </w:p>
    <w:p w14:paraId="1D09716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21C13232">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w:t>
      </w:r>
    </w:p>
    <w:p w14:paraId="410103A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6.2.4 合同签订后，遇有与工程相关的法律法规、标准颁布或修订的，双方应遵照执行。由此引起监理与相关服务的范围、时间、酬金变化的，双方应通过协商进行相应调整。</w:t>
      </w:r>
    </w:p>
    <w:p w14:paraId="28722FE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6.2.5 因非监理人原因造成工程概算投资额或建筑安装工程费增加时，正常工作酬金应作相应调整。调整方法在专用条件中约定。</w:t>
      </w:r>
    </w:p>
    <w:p w14:paraId="57606049">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6.2.6 因工程规模、监理范围的变化导致监理人的正常工作量减少时，正常工作酬金应作相应调整。调整方法在专用条件中约定。</w:t>
      </w:r>
    </w:p>
    <w:p w14:paraId="6E090030">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6.3 暂停与解除</w:t>
      </w:r>
    </w:p>
    <w:p w14:paraId="2A5A44CD">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除双方协商一致可以解除本合同外，当一方无正当理由未履行本合同约定的义务时，另一方可以根据本合同约定暂停履行本合同直至解除本合同。</w:t>
      </w:r>
    </w:p>
    <w:p w14:paraId="39BA6BA1">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6138F6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因解除本合同或解除监理人的部分义务导致监理人遭受的损失，除依法可以免除责任的情况外，应由委托人予以补偿，补偿金额由双方协商确定。</w:t>
      </w:r>
    </w:p>
    <w:p w14:paraId="4465FE38">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解除本合同的协议必须采取书面形式，协议未达成之前，本合同仍然有效。</w:t>
      </w:r>
    </w:p>
    <w:p w14:paraId="68AFCF6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01F459B">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天，监理人可发出解除本合同的通知，本合同自通知到达委托人时解除。委托人应将监理与相关服务的酬金支付至本合同解除日，且应承担第4.2 款约定的责任。</w:t>
      </w:r>
    </w:p>
    <w:p w14:paraId="7F2A4864">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6.3.3 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天内发出解除本合同的通知，自通知到达监理人时本合同解除。委托人应将监理与相关服务的酬金支付至限期改正通知到达监理人之日，但监理人应承担第4.1 款约定的责任。</w:t>
      </w:r>
    </w:p>
    <w:p w14:paraId="329C1FC5">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6.3.4 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天内监理人仍未获得委托人应付酬金或委托人的合理答复，监理人可向委托人发出解除本合同的通知，自通知到达委托人时本合同解除。委托人应承担第4.2.3 款约定的责任。</w:t>
      </w:r>
    </w:p>
    <w:p w14:paraId="55C2F9C2">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6.3.5 因不可抗力致使本合同部分或全部不能履行时，一方应立即通知另一方，可暂停或解除本合同。</w:t>
      </w:r>
    </w:p>
    <w:p w14:paraId="74480F9F">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6.3.6 本合同解除后，本合同约定的有关结算、清理、争议解决方式的条件仍然有效。</w:t>
      </w:r>
    </w:p>
    <w:p w14:paraId="414D5C97">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6.4 终止</w:t>
      </w:r>
    </w:p>
    <w:p w14:paraId="0640BE87">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以下条件全部满足时，本合同即告终止：</w:t>
      </w:r>
    </w:p>
    <w:p w14:paraId="47559756">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（1）监理人完成本合同约定的全部工作；</w:t>
      </w:r>
    </w:p>
    <w:p w14:paraId="280E63F4">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（2）委托人与监理人结清并支付全部酬金。</w:t>
      </w:r>
    </w:p>
    <w:p w14:paraId="5A1AAC6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7. 争议解决</w:t>
      </w:r>
    </w:p>
    <w:p w14:paraId="3BB5E520">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7.1 协商</w:t>
      </w:r>
    </w:p>
    <w:p w14:paraId="6693F349">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双方应本着诚信原则协商解决彼此间的争议。</w:t>
      </w:r>
    </w:p>
    <w:p w14:paraId="50ECE8BD">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7.2 调解</w:t>
      </w:r>
    </w:p>
    <w:p w14:paraId="5B33764B">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如果双方不能在 14 天内或双方商定的其他时间内解决本合同争议，可以将其提交给专用条件约定的或事后达成协议的调解人进行调解。</w:t>
      </w:r>
    </w:p>
    <w:p w14:paraId="7D6D0140">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7.3 仲裁或诉讼</w:t>
      </w:r>
    </w:p>
    <w:p w14:paraId="11293E61">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双方均有权不经调解直接向专用条件约定的仲裁机构申请仲裁或向有管辖权的人民法院提起诉讼。</w:t>
      </w:r>
    </w:p>
    <w:p w14:paraId="7E2C200D">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 其他</w:t>
      </w:r>
    </w:p>
    <w:p w14:paraId="00921EC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8.1 外出考察费用</w:t>
      </w:r>
    </w:p>
    <w:p w14:paraId="3752374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经委托人同意，监理人员外出考察发生的费用由委托人审核后支付。</w:t>
      </w:r>
    </w:p>
    <w:p w14:paraId="5C51EA6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8.2 检测费用</w:t>
      </w:r>
    </w:p>
    <w:p w14:paraId="4CABC7B9">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委托人要求监理人进行的材料和设备检测所发生的费用，由委托人支付，支付时间在专用条件中约定。</w:t>
      </w:r>
    </w:p>
    <w:p w14:paraId="7223993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8.3 咨询费用</w:t>
      </w:r>
    </w:p>
    <w:p w14:paraId="0520752C">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经委托人同意，根据工程需要由监理人组织的相关咨询论证会以及聘请相关专家等发生的费用由委托人支付，支付时间在专用条件中约定。</w:t>
      </w:r>
    </w:p>
    <w:p w14:paraId="7E63550F">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8.4 奖励</w:t>
      </w:r>
    </w:p>
    <w:p w14:paraId="10396FDE">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监理人在服务过程中提出的合理化建议，使委托人获得经济效益的，双方在专用条件中约定奖励金额的确定方法。奖励金额在合理化建议被采纳后，与最近一期的正常工作酬金同期支付。</w:t>
      </w:r>
    </w:p>
    <w:p w14:paraId="79D5BEDB">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8.5 守法诚信</w:t>
      </w:r>
    </w:p>
    <w:p w14:paraId="30D99E39">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监理人及其工作人员不得从与实施工程有关的第三方处获得任何经济利益。</w:t>
      </w:r>
    </w:p>
    <w:p w14:paraId="0E39D3CD">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8.6 保密</w:t>
      </w:r>
    </w:p>
    <w:p w14:paraId="04FDAD8A">
      <w:pPr>
        <w:ind w:firstLine="944" w:firstLineChars="400"/>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双方不得泄露对方申明的保密资料，亦不得泄露与实施工程有关的第三方所提供的保密资料，保密事项在专用条件中约定。</w:t>
      </w:r>
    </w:p>
    <w:p w14:paraId="47E4E024">
      <w:pPr>
        <w:kinsoku w:val="0"/>
        <w:autoSpaceDE w:val="0"/>
        <w:autoSpaceDN w:val="0"/>
        <w:adjustRightInd w:val="0"/>
        <w:snapToGrid w:val="0"/>
        <w:spacing w:before="266" w:line="221" w:lineRule="auto"/>
        <w:ind w:left="2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8.7</w:t>
      </w:r>
      <w:r>
        <w:rPr>
          <w:rFonts w:ascii="宋体" w:hAnsi="宋体" w:eastAsia="宋体" w:cs="宋体"/>
          <w:snapToGrid w:val="0"/>
          <w:color w:val="000000"/>
          <w:spacing w:val="9"/>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通知</w:t>
      </w:r>
    </w:p>
    <w:p w14:paraId="7744A5AC">
      <w:pPr>
        <w:kinsoku w:val="0"/>
        <w:autoSpaceDE w:val="0"/>
        <w:autoSpaceDN w:val="0"/>
        <w:adjustRightInd w:val="0"/>
        <w:snapToGrid w:val="0"/>
        <w:spacing w:before="177" w:line="219" w:lineRule="auto"/>
        <w:jc w:val="righ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本合同涉及的通知均应当采用书面形式，并在送达对方时生效，收件人应书面签收。</w:t>
      </w:r>
    </w:p>
    <w:p w14:paraId="1AB3E08A">
      <w:pPr>
        <w:kinsoku w:val="0"/>
        <w:autoSpaceDE w:val="0"/>
        <w:autoSpaceDN w:val="0"/>
        <w:adjustRightInd w:val="0"/>
        <w:snapToGrid w:val="0"/>
        <w:spacing w:before="184" w:line="219" w:lineRule="auto"/>
        <w:ind w:left="22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8.8</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著作权</w:t>
      </w:r>
    </w:p>
    <w:p w14:paraId="2826E56D">
      <w:pPr>
        <w:kinsoku w:val="0"/>
        <w:autoSpaceDE w:val="0"/>
        <w:autoSpaceDN w:val="0"/>
        <w:adjustRightInd w:val="0"/>
        <w:snapToGrid w:val="0"/>
        <w:spacing w:before="180" w:line="219" w:lineRule="auto"/>
        <w:ind w:left="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监理人对其编制的文件拥有著作权。</w:t>
      </w:r>
    </w:p>
    <w:p w14:paraId="614E5772">
      <w:pPr>
        <w:ind w:firstLine="944" w:firstLineChars="400"/>
        <w:rPr>
          <w:rFonts w:ascii="宋体" w:hAnsi="宋体" w:eastAsia="宋体" w:cs="宋体"/>
          <w:snapToGrid w:val="0"/>
          <w:color w:val="000000"/>
          <w:spacing w:val="-1"/>
          <w:kern w:val="0"/>
          <w:sz w:val="24"/>
          <w:szCs w:val="24"/>
          <w:lang w:val="en-US" w:eastAsia="en-US" w:bidi="ar-SA"/>
        </w:rPr>
        <w:sectPr>
          <w:pgSz w:w="11906" w:h="16838"/>
          <w:pgMar w:top="1440" w:right="1706" w:bottom="1440" w:left="1800" w:header="851" w:footer="992" w:gutter="0"/>
          <w:pgNumType w:fmt="decimal"/>
          <w:cols w:space="720" w:num="1"/>
          <w:docGrid w:type="lines" w:linePitch="312" w:charSpace="0"/>
        </w:sectPr>
      </w:pPr>
      <w:r>
        <w:rPr>
          <w:rFonts w:ascii="宋体" w:hAnsi="宋体" w:eastAsia="宋体" w:cs="宋体"/>
          <w:snapToGrid w:val="0"/>
          <w:color w:val="000000"/>
          <w:spacing w:val="-2"/>
          <w:kern w:val="0"/>
          <w:sz w:val="24"/>
          <w:szCs w:val="24"/>
          <w:lang w:val="en-US" w:eastAsia="en-US" w:bidi="ar-SA"/>
        </w:rPr>
        <w:t>监理人可单独或与他人联合出版有关监理与相关服务的资料。除专用条件另有约定外，如果监理人在本合同履行期间及本合同终止后两年内出版涉及本工程的有关监理与</w:t>
      </w:r>
      <w:r>
        <w:rPr>
          <w:rFonts w:ascii="宋体" w:hAnsi="宋体" w:eastAsia="宋体" w:cs="宋体"/>
          <w:snapToGrid w:val="0"/>
          <w:color w:val="000000"/>
          <w:spacing w:val="-1"/>
          <w:kern w:val="0"/>
          <w:sz w:val="24"/>
          <w:szCs w:val="24"/>
          <w:lang w:val="en-US" w:eastAsia="en-US" w:bidi="ar-SA"/>
        </w:rPr>
        <w:t>相关服务的资料，应当征得委托人的同意。</w:t>
      </w:r>
    </w:p>
    <w:p w14:paraId="7D0434E5">
      <w:pPr>
        <w:kinsoku w:val="0"/>
        <w:autoSpaceDE w:val="0"/>
        <w:autoSpaceDN w:val="0"/>
        <w:adjustRightInd w:val="0"/>
        <w:snapToGrid w:val="0"/>
        <w:spacing w:before="114" w:line="225" w:lineRule="auto"/>
        <w:ind w:left="2922"/>
        <w:jc w:val="left"/>
        <w:textAlignment w:val="baseline"/>
        <w:rPr>
          <w:rFonts w:ascii="宋体" w:hAnsi="宋体" w:eastAsia="宋体" w:cs="宋体"/>
          <w:snapToGrid w:val="0"/>
          <w:color w:val="000000"/>
          <w:kern w:val="0"/>
          <w:sz w:val="35"/>
          <w:szCs w:val="35"/>
          <w:lang w:val="en-US" w:eastAsia="en-US" w:bidi="ar-SA"/>
        </w:rPr>
      </w:pPr>
      <w:r>
        <w:rPr>
          <w:rFonts w:ascii="宋体" w:hAnsi="宋体" w:eastAsia="宋体" w:cs="宋体"/>
          <w:b/>
          <w:bCs/>
          <w:snapToGrid w:val="0"/>
          <w:color w:val="000000"/>
          <w:spacing w:val="5"/>
          <w:kern w:val="0"/>
          <w:sz w:val="35"/>
          <w:szCs w:val="35"/>
          <w:lang w:val="en-US" w:eastAsia="en-US" w:bidi="ar-SA"/>
        </w:rPr>
        <w:t>第三部分</w:t>
      </w:r>
      <w:r>
        <w:rPr>
          <w:rFonts w:ascii="宋体" w:hAnsi="宋体" w:eastAsia="宋体" w:cs="宋体"/>
          <w:snapToGrid w:val="0"/>
          <w:color w:val="000000"/>
          <w:spacing w:val="5"/>
          <w:kern w:val="0"/>
          <w:sz w:val="35"/>
          <w:szCs w:val="35"/>
          <w:lang w:val="en-US" w:eastAsia="en-US" w:bidi="ar-SA"/>
        </w:rPr>
        <w:t xml:space="preserve">  </w:t>
      </w:r>
      <w:r>
        <w:rPr>
          <w:rFonts w:ascii="宋体" w:hAnsi="宋体" w:eastAsia="宋体" w:cs="宋体"/>
          <w:b/>
          <w:bCs/>
          <w:snapToGrid w:val="0"/>
          <w:color w:val="000000"/>
          <w:spacing w:val="5"/>
          <w:kern w:val="0"/>
          <w:sz w:val="35"/>
          <w:szCs w:val="35"/>
          <w:lang w:val="en-US" w:eastAsia="en-US" w:bidi="ar-SA"/>
        </w:rPr>
        <w:t>专用条件</w:t>
      </w:r>
    </w:p>
    <w:p w14:paraId="38966B81">
      <w:pPr>
        <w:kinsoku w:val="0"/>
        <w:autoSpaceDE w:val="0"/>
        <w:autoSpaceDN w:val="0"/>
        <w:adjustRightInd w:val="0"/>
        <w:snapToGrid w:val="0"/>
        <w:spacing w:before="102" w:line="219" w:lineRule="auto"/>
        <w:ind w:left="2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8"/>
          <w:kern w:val="0"/>
          <w:sz w:val="24"/>
          <w:szCs w:val="24"/>
          <w:lang w:val="en-US" w:eastAsia="en-US" w:bidi="ar-SA"/>
        </w:rPr>
        <w:t>1.</w:t>
      </w:r>
      <w:r>
        <w:rPr>
          <w:rFonts w:ascii="宋体" w:hAnsi="宋体" w:eastAsia="宋体" w:cs="宋体"/>
          <w:snapToGrid w:val="0"/>
          <w:color w:val="000000"/>
          <w:spacing w:val="17"/>
          <w:kern w:val="0"/>
          <w:sz w:val="24"/>
          <w:szCs w:val="24"/>
          <w:lang w:val="en-US" w:eastAsia="en-US" w:bidi="ar-SA"/>
        </w:rPr>
        <w:t xml:space="preserve"> </w:t>
      </w:r>
      <w:r>
        <w:rPr>
          <w:rFonts w:ascii="宋体" w:hAnsi="宋体" w:eastAsia="宋体" w:cs="宋体"/>
          <w:b/>
          <w:bCs/>
          <w:snapToGrid w:val="0"/>
          <w:color w:val="000000"/>
          <w:spacing w:val="-8"/>
          <w:kern w:val="0"/>
          <w:sz w:val="24"/>
          <w:szCs w:val="24"/>
          <w:lang w:val="en-US" w:eastAsia="en-US" w:bidi="ar-SA"/>
        </w:rPr>
        <w:t>定义与解释</w:t>
      </w:r>
    </w:p>
    <w:p w14:paraId="171FE09E">
      <w:pPr>
        <w:kinsoku w:val="0"/>
        <w:autoSpaceDE w:val="0"/>
        <w:autoSpaceDN w:val="0"/>
        <w:adjustRightInd w:val="0"/>
        <w:snapToGrid w:val="0"/>
        <w:spacing w:before="180" w:line="219" w:lineRule="auto"/>
        <w:ind w:left="26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rPr>
        <w:t>1.2</w:t>
      </w:r>
      <w:r>
        <w:rPr>
          <w:rFonts w:ascii="宋体" w:hAnsi="宋体" w:eastAsia="宋体" w:cs="宋体"/>
          <w:snapToGrid w:val="0"/>
          <w:color w:val="000000"/>
          <w:spacing w:val="5"/>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解释</w:t>
      </w:r>
    </w:p>
    <w:p w14:paraId="32B2BBAD">
      <w:pPr>
        <w:kinsoku w:val="0"/>
        <w:autoSpaceDE w:val="0"/>
        <w:autoSpaceDN w:val="0"/>
        <w:adjustRightInd w:val="0"/>
        <w:snapToGrid w:val="0"/>
        <w:spacing w:before="182" w:line="219" w:lineRule="auto"/>
        <w:ind w:left="50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1.2.1 本合同文件除使用中文外，还可用</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160023A2">
      <w:pPr>
        <w:kinsoku w:val="0"/>
        <w:autoSpaceDE w:val="0"/>
        <w:autoSpaceDN w:val="0"/>
        <w:adjustRightInd w:val="0"/>
        <w:snapToGrid w:val="0"/>
        <w:spacing w:before="181" w:line="219" w:lineRule="auto"/>
        <w:ind w:left="50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1.2.2 约定本合同文件的解释顺序为：</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27F62BD8">
      <w:pPr>
        <w:kinsoku w:val="0"/>
        <w:autoSpaceDE w:val="0"/>
        <w:autoSpaceDN w:val="0"/>
        <w:adjustRightInd w:val="0"/>
        <w:snapToGrid w:val="0"/>
        <w:spacing w:before="184" w:line="219" w:lineRule="auto"/>
        <w:ind w:left="1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2.</w:t>
      </w:r>
      <w:r>
        <w:rPr>
          <w:rFonts w:ascii="宋体" w:hAnsi="宋体" w:eastAsia="宋体" w:cs="宋体"/>
          <w:snapToGrid w:val="0"/>
          <w:color w:val="000000"/>
          <w:spacing w:val="-3"/>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监理人义务</w:t>
      </w:r>
    </w:p>
    <w:p w14:paraId="00FD7F67">
      <w:pPr>
        <w:kinsoku w:val="0"/>
        <w:autoSpaceDE w:val="0"/>
        <w:autoSpaceDN w:val="0"/>
        <w:adjustRightInd w:val="0"/>
        <w:snapToGrid w:val="0"/>
        <w:spacing w:before="181" w:line="219" w:lineRule="auto"/>
        <w:ind w:left="24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2.1 监理的范围和内容</w:t>
      </w:r>
    </w:p>
    <w:p w14:paraId="1A6EB128">
      <w:pPr>
        <w:kinsoku w:val="0"/>
        <w:autoSpaceDE w:val="0"/>
        <w:autoSpaceDN w:val="0"/>
        <w:adjustRightInd w:val="0"/>
        <w:snapToGrid w:val="0"/>
        <w:spacing w:before="183" w:line="220" w:lineRule="auto"/>
        <w:ind w:left="4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2.1.1 监理范围包括：</w:t>
      </w:r>
      <w:r>
        <w:rPr>
          <w:rFonts w:ascii="宋体" w:hAnsi="宋体" w:eastAsia="宋体" w:cs="宋体"/>
          <w:snapToGrid w:val="0"/>
          <w:color w:val="000000"/>
          <w:kern w:val="0"/>
          <w:sz w:val="24"/>
          <w:szCs w:val="24"/>
          <w:u w:val="single" w:color="auto"/>
          <w:lang w:val="en-US" w:eastAsia="en-US" w:bidi="ar-SA"/>
        </w:rPr>
        <w:t xml:space="preserve">                                   </w:t>
      </w:r>
    </w:p>
    <w:p w14:paraId="6BFF1222">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0A9DA650">
      <w:pPr>
        <w:tabs>
          <w:tab w:val="left" w:pos="5999"/>
        </w:tabs>
        <w:kinsoku w:val="0"/>
        <w:autoSpaceDE w:val="0"/>
        <w:autoSpaceDN w:val="0"/>
        <w:adjustRightInd w:val="0"/>
        <w:snapToGrid w:val="0"/>
        <w:spacing w:before="78" w:line="93" w:lineRule="auto"/>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u w:val="single" w:color="auto"/>
          <w:lang w:val="en-US" w:eastAsia="en-US" w:bidi="ar-SA"/>
        </w:rPr>
        <w:tab/>
      </w:r>
      <w:r>
        <w:rPr>
          <w:rFonts w:ascii="宋体" w:hAnsi="宋体" w:eastAsia="宋体" w:cs="宋体"/>
          <w:snapToGrid w:val="0"/>
          <w:color w:val="000000"/>
          <w:kern w:val="0"/>
          <w:sz w:val="24"/>
          <w:szCs w:val="24"/>
          <w:lang w:val="en-US" w:eastAsia="en-US" w:bidi="ar-SA"/>
        </w:rPr>
        <w:t>。</w:t>
      </w:r>
    </w:p>
    <w:p w14:paraId="3BF9A2C9">
      <w:pPr>
        <w:kinsoku w:val="0"/>
        <w:autoSpaceDE w:val="0"/>
        <w:autoSpaceDN w:val="0"/>
        <w:adjustRightInd w:val="0"/>
        <w:snapToGrid w:val="0"/>
        <w:spacing w:before="193" w:line="219" w:lineRule="auto"/>
        <w:ind w:left="4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2.1.2 监理工作内容还包括：</w:t>
      </w:r>
      <w:r>
        <w:rPr>
          <w:rFonts w:ascii="宋体" w:hAnsi="宋体" w:eastAsia="宋体" w:cs="宋体"/>
          <w:snapToGrid w:val="0"/>
          <w:color w:val="000000"/>
          <w:kern w:val="0"/>
          <w:sz w:val="24"/>
          <w:szCs w:val="24"/>
          <w:u w:val="single" w:color="auto"/>
          <w:lang w:val="en-US" w:eastAsia="en-US" w:bidi="ar-SA"/>
        </w:rPr>
        <w:t xml:space="preserve">                      </w:t>
      </w:r>
    </w:p>
    <w:p w14:paraId="5C8D6A1D">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1783233F">
      <w:pPr>
        <w:tabs>
          <w:tab w:val="left" w:pos="5999"/>
        </w:tabs>
        <w:kinsoku w:val="0"/>
        <w:autoSpaceDE w:val="0"/>
        <w:autoSpaceDN w:val="0"/>
        <w:adjustRightInd w:val="0"/>
        <w:snapToGrid w:val="0"/>
        <w:spacing w:before="27" w:line="173" w:lineRule="auto"/>
        <w:jc w:val="left"/>
        <w:textAlignment w:val="baseline"/>
        <w:rPr>
          <w:rFonts w:ascii="宋体" w:hAnsi="宋体" w:eastAsia="宋体" w:cs="宋体"/>
          <w:snapToGrid w:val="0"/>
          <w:color w:val="000000"/>
          <w:kern w:val="0"/>
          <w:sz w:val="8"/>
          <w:szCs w:val="8"/>
          <w:lang w:val="en-US" w:eastAsia="en-US" w:bidi="ar-SA"/>
        </w:rPr>
      </w:pPr>
      <w:r>
        <w:rPr>
          <w:rFonts w:ascii="宋体" w:hAnsi="宋体" w:eastAsia="宋体" w:cs="宋体"/>
          <w:snapToGrid w:val="0"/>
          <w:color w:val="000000"/>
          <w:kern w:val="0"/>
          <w:sz w:val="8"/>
          <w:szCs w:val="8"/>
          <w:u w:val="single" w:color="auto"/>
          <w:lang w:val="en-US" w:eastAsia="en-US" w:bidi="ar-SA"/>
        </w:rPr>
        <w:tab/>
      </w:r>
      <w:r>
        <w:rPr>
          <w:rFonts w:ascii="宋体" w:hAnsi="宋体" w:eastAsia="宋体" w:cs="宋体"/>
          <w:snapToGrid w:val="0"/>
          <w:color w:val="000000"/>
          <w:spacing w:val="-7"/>
          <w:kern w:val="0"/>
          <w:sz w:val="8"/>
          <w:szCs w:val="8"/>
          <w:lang w:val="en-US" w:eastAsia="en-US" w:bidi="ar-SA"/>
        </w:rPr>
        <w:t xml:space="preserve"> </w:t>
      </w:r>
      <w:r>
        <w:rPr>
          <w:rFonts w:ascii="宋体" w:hAnsi="宋体" w:eastAsia="宋体" w:cs="宋体"/>
          <w:snapToGrid w:val="0"/>
          <w:color w:val="000000"/>
          <w:spacing w:val="12"/>
          <w:kern w:val="0"/>
          <w:sz w:val="8"/>
          <w:szCs w:val="8"/>
          <w:lang w:val="en-US" w:eastAsia="en-US" w:bidi="ar-SA"/>
        </w:rPr>
        <w:t>。</w:t>
      </w:r>
    </w:p>
    <w:p w14:paraId="5EACC4B4">
      <w:pPr>
        <w:kinsoku w:val="0"/>
        <w:autoSpaceDE w:val="0"/>
        <w:autoSpaceDN w:val="0"/>
        <w:adjustRightInd w:val="0"/>
        <w:snapToGrid w:val="0"/>
        <w:spacing w:before="317" w:line="219" w:lineRule="auto"/>
        <w:ind w:left="24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2.2 监理与相关服务依据</w:t>
      </w:r>
    </w:p>
    <w:p w14:paraId="78A57FA9">
      <w:pPr>
        <w:kinsoku w:val="0"/>
        <w:autoSpaceDE w:val="0"/>
        <w:autoSpaceDN w:val="0"/>
        <w:adjustRightInd w:val="0"/>
        <w:snapToGrid w:val="0"/>
        <w:spacing w:before="183" w:line="219" w:lineRule="auto"/>
        <w:ind w:left="4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2.2.1 监理依据包括：</w:t>
      </w:r>
      <w:r>
        <w:rPr>
          <w:rFonts w:ascii="宋体" w:hAnsi="宋体" w:eastAsia="宋体" w:cs="宋体"/>
          <w:snapToGrid w:val="0"/>
          <w:color w:val="000000"/>
          <w:kern w:val="0"/>
          <w:sz w:val="24"/>
          <w:szCs w:val="24"/>
          <w:u w:val="single" w:color="auto"/>
          <w:lang w:val="en-US" w:eastAsia="en-US" w:bidi="ar-SA"/>
        </w:rPr>
        <w:t xml:space="preserve">                          </w:t>
      </w:r>
    </w:p>
    <w:p w14:paraId="5FDC8998">
      <w:pPr>
        <w:tabs>
          <w:tab w:val="left" w:pos="5999"/>
        </w:tabs>
        <w:kinsoku w:val="0"/>
        <w:autoSpaceDE w:val="0"/>
        <w:autoSpaceDN w:val="0"/>
        <w:adjustRightInd w:val="0"/>
        <w:snapToGrid w:val="0"/>
        <w:spacing w:before="259" w:line="173" w:lineRule="auto"/>
        <w:jc w:val="left"/>
        <w:textAlignment w:val="baseline"/>
        <w:rPr>
          <w:rFonts w:ascii="宋体" w:hAnsi="宋体" w:eastAsia="宋体" w:cs="宋体"/>
          <w:snapToGrid w:val="0"/>
          <w:color w:val="000000"/>
          <w:kern w:val="0"/>
          <w:sz w:val="8"/>
          <w:szCs w:val="8"/>
          <w:lang w:val="en-US" w:eastAsia="en-US" w:bidi="ar-SA"/>
        </w:rPr>
      </w:pPr>
      <w:r>
        <w:rPr>
          <w:rFonts w:ascii="宋体" w:hAnsi="宋体" w:eastAsia="宋体" w:cs="宋体"/>
          <w:snapToGrid w:val="0"/>
          <w:color w:val="000000"/>
          <w:kern w:val="0"/>
          <w:sz w:val="8"/>
          <w:szCs w:val="8"/>
          <w:u w:val="single" w:color="auto"/>
          <w:lang w:val="en-US" w:eastAsia="en-US" w:bidi="ar-SA"/>
        </w:rPr>
        <w:tab/>
      </w:r>
      <w:r>
        <w:rPr>
          <w:rFonts w:ascii="宋体" w:hAnsi="宋体" w:eastAsia="宋体" w:cs="宋体"/>
          <w:snapToGrid w:val="0"/>
          <w:color w:val="000000"/>
          <w:spacing w:val="-7"/>
          <w:kern w:val="0"/>
          <w:sz w:val="8"/>
          <w:szCs w:val="8"/>
          <w:lang w:val="en-US" w:eastAsia="en-US" w:bidi="ar-SA"/>
        </w:rPr>
        <w:t xml:space="preserve"> </w:t>
      </w:r>
      <w:r>
        <w:rPr>
          <w:rFonts w:ascii="宋体" w:hAnsi="宋体" w:eastAsia="宋体" w:cs="宋体"/>
          <w:snapToGrid w:val="0"/>
          <w:color w:val="000000"/>
          <w:spacing w:val="12"/>
          <w:kern w:val="0"/>
          <w:sz w:val="8"/>
          <w:szCs w:val="8"/>
          <w:lang w:val="en-US" w:eastAsia="en-US" w:bidi="ar-SA"/>
        </w:rPr>
        <w:t>。</w:t>
      </w:r>
    </w:p>
    <w:p w14:paraId="64AEBB48">
      <w:pPr>
        <w:kinsoku w:val="0"/>
        <w:autoSpaceDE w:val="0"/>
        <w:autoSpaceDN w:val="0"/>
        <w:adjustRightInd w:val="0"/>
        <w:snapToGrid w:val="0"/>
        <w:spacing w:before="236" w:line="219" w:lineRule="auto"/>
        <w:ind w:left="4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2.2.2 相关服务依据包括：</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40B12E21">
      <w:pPr>
        <w:kinsoku w:val="0"/>
        <w:autoSpaceDE w:val="0"/>
        <w:autoSpaceDN w:val="0"/>
        <w:adjustRightInd w:val="0"/>
        <w:snapToGrid w:val="0"/>
        <w:spacing w:before="262" w:line="219" w:lineRule="auto"/>
        <w:ind w:left="25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2.3</w:t>
      </w:r>
      <w:r>
        <w:rPr>
          <w:rFonts w:ascii="宋体" w:hAnsi="宋体" w:eastAsia="宋体" w:cs="宋体"/>
          <w:snapToGrid w:val="0"/>
          <w:color w:val="000000"/>
          <w:spacing w:val="-38"/>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项目监理机构和人员</w:t>
      </w:r>
    </w:p>
    <w:p w14:paraId="453D8E0A">
      <w:pPr>
        <w:kinsoku w:val="0"/>
        <w:autoSpaceDE w:val="0"/>
        <w:autoSpaceDN w:val="0"/>
        <w:adjustRightInd w:val="0"/>
        <w:snapToGrid w:val="0"/>
        <w:spacing w:before="105" w:line="220" w:lineRule="auto"/>
        <w:ind w:left="4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2.3.4 更换监理人员的其他情形：</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6C78F598">
      <w:pPr>
        <w:kinsoku w:val="0"/>
        <w:autoSpaceDE w:val="0"/>
        <w:autoSpaceDN w:val="0"/>
        <w:adjustRightInd w:val="0"/>
        <w:snapToGrid w:val="0"/>
        <w:spacing w:before="259" w:line="220" w:lineRule="auto"/>
        <w:ind w:left="24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2.4</w:t>
      </w:r>
      <w:r>
        <w:rPr>
          <w:rFonts w:ascii="宋体" w:hAnsi="宋体" w:eastAsia="宋体" w:cs="宋体"/>
          <w:snapToGrid w:val="0"/>
          <w:color w:val="000000"/>
          <w:spacing w:val="14"/>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履行职责</w:t>
      </w:r>
    </w:p>
    <w:p w14:paraId="2B48C807">
      <w:pPr>
        <w:kinsoku w:val="0"/>
        <w:autoSpaceDE w:val="0"/>
        <w:autoSpaceDN w:val="0"/>
        <w:adjustRightInd w:val="0"/>
        <w:snapToGrid w:val="0"/>
        <w:spacing w:before="105" w:line="219" w:lineRule="auto"/>
        <w:ind w:left="4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2.4.3 对监理人的授权范围：</w:t>
      </w:r>
      <w:r>
        <w:rPr>
          <w:rFonts w:ascii="宋体" w:hAnsi="宋体" w:eastAsia="宋体" w:cs="宋体"/>
          <w:snapToGrid w:val="0"/>
          <w:color w:val="000000"/>
          <w:kern w:val="0"/>
          <w:sz w:val="24"/>
          <w:szCs w:val="24"/>
          <w:u w:val="single" w:color="auto"/>
          <w:lang w:val="en-US" w:eastAsia="en-US" w:bidi="ar-SA"/>
        </w:rPr>
        <w:t xml:space="preserve">                      </w:t>
      </w:r>
    </w:p>
    <w:p w14:paraId="14A1EA00">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74D1E3D5">
      <w:pPr>
        <w:tabs>
          <w:tab w:val="left" w:pos="5999"/>
        </w:tabs>
        <w:kinsoku w:val="0"/>
        <w:autoSpaceDE w:val="0"/>
        <w:autoSpaceDN w:val="0"/>
        <w:adjustRightInd w:val="0"/>
        <w:snapToGrid w:val="0"/>
        <w:spacing w:before="79" w:line="93" w:lineRule="auto"/>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u w:val="single" w:color="auto"/>
          <w:lang w:val="en-US" w:eastAsia="en-US" w:bidi="ar-SA"/>
        </w:rPr>
        <w:tab/>
      </w:r>
      <w:r>
        <w:rPr>
          <w:rFonts w:ascii="宋体" w:hAnsi="宋体" w:eastAsia="宋体" w:cs="宋体"/>
          <w:snapToGrid w:val="0"/>
          <w:color w:val="000000"/>
          <w:kern w:val="0"/>
          <w:sz w:val="24"/>
          <w:szCs w:val="24"/>
          <w:lang w:val="en-US" w:eastAsia="en-US" w:bidi="ar-SA"/>
        </w:rPr>
        <w:t>。</w:t>
      </w:r>
    </w:p>
    <w:p w14:paraId="1A28C811">
      <w:pPr>
        <w:kinsoku w:val="0"/>
        <w:autoSpaceDE w:val="0"/>
        <w:autoSpaceDN w:val="0"/>
        <w:adjustRightInd w:val="0"/>
        <w:snapToGrid w:val="0"/>
        <w:spacing w:before="193" w:line="358" w:lineRule="auto"/>
        <w:ind w:left="8" w:firstLine="48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在涉及工程延期</w:t>
      </w:r>
      <w:r>
        <w:rPr>
          <w:rFonts w:ascii="宋体" w:hAnsi="宋体" w:eastAsia="宋体" w:cs="宋体"/>
          <w:snapToGrid w:val="0"/>
          <w:color w:val="000000"/>
          <w:spacing w:val="-111"/>
          <w:kern w:val="0"/>
          <w:sz w:val="24"/>
          <w:szCs w:val="24"/>
          <w:lang w:val="en-US" w:eastAsia="en-US" w:bidi="ar-SA"/>
        </w:rPr>
        <w:t xml:space="preserve"> </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106"/>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天内和（或）金额</w:t>
      </w:r>
      <w:r>
        <w:rPr>
          <w:rFonts w:ascii="宋体" w:hAnsi="宋体" w:eastAsia="宋体" w:cs="宋体"/>
          <w:snapToGrid w:val="0"/>
          <w:color w:val="000000"/>
          <w:spacing w:val="-120"/>
          <w:kern w:val="0"/>
          <w:sz w:val="24"/>
          <w:szCs w:val="24"/>
          <w:lang w:val="en-US" w:eastAsia="en-US" w:bidi="ar-SA"/>
        </w:rPr>
        <w:t xml:space="preserve"> </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kern w:val="0"/>
          <w:sz w:val="24"/>
          <w:szCs w:val="24"/>
          <w:lang w:val="en-US" w:eastAsia="en-US" w:bidi="ar-SA"/>
        </w:rPr>
        <w:t>万元内的变更，监理人不需请示</w:t>
      </w:r>
      <w:r>
        <w:rPr>
          <w:rFonts w:ascii="宋体" w:hAnsi="宋体" w:eastAsia="宋体" w:cs="宋体"/>
          <w:snapToGrid w:val="0"/>
          <w:color w:val="000000"/>
          <w:spacing w:val="-1"/>
          <w:kern w:val="0"/>
          <w:sz w:val="24"/>
          <w:szCs w:val="24"/>
          <w:lang w:val="en-US" w:eastAsia="en-US" w:bidi="ar-SA"/>
        </w:rPr>
        <w:t>委托人即可向承包人发布变更通知。</w:t>
      </w:r>
    </w:p>
    <w:p w14:paraId="151D3E04">
      <w:pPr>
        <w:kinsoku w:val="0"/>
        <w:autoSpaceDE w:val="0"/>
        <w:autoSpaceDN w:val="0"/>
        <w:adjustRightInd w:val="0"/>
        <w:snapToGrid w:val="0"/>
        <w:spacing w:before="2" w:line="359" w:lineRule="auto"/>
        <w:ind w:left="8" w:firstLine="36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1"/>
          <w:kern w:val="0"/>
          <w:sz w:val="24"/>
          <w:szCs w:val="24"/>
          <w:lang w:val="en-US" w:eastAsia="en-US" w:bidi="ar-SA"/>
        </w:rPr>
        <w:t>2.4.4</w:t>
      </w:r>
      <w:r>
        <w:rPr>
          <w:rFonts w:ascii="宋体" w:hAnsi="宋体" w:eastAsia="宋体" w:cs="宋体"/>
          <w:snapToGrid w:val="0"/>
          <w:color w:val="000000"/>
          <w:spacing w:val="38"/>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监</w:t>
      </w:r>
      <w:r>
        <w:rPr>
          <w:rFonts w:ascii="宋体" w:hAnsi="宋体" w:eastAsia="宋体" w:cs="宋体"/>
          <w:snapToGrid w:val="0"/>
          <w:color w:val="000000"/>
          <w:spacing w:val="73"/>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理</w:t>
      </w:r>
      <w:r>
        <w:rPr>
          <w:rFonts w:ascii="宋体" w:hAnsi="宋体" w:eastAsia="宋体" w:cs="宋体"/>
          <w:snapToGrid w:val="0"/>
          <w:color w:val="000000"/>
          <w:spacing w:val="74"/>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人</w:t>
      </w:r>
      <w:r>
        <w:rPr>
          <w:rFonts w:ascii="宋体" w:hAnsi="宋体" w:eastAsia="宋体" w:cs="宋体"/>
          <w:snapToGrid w:val="0"/>
          <w:color w:val="000000"/>
          <w:spacing w:val="70"/>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有</w:t>
      </w:r>
      <w:r>
        <w:rPr>
          <w:rFonts w:ascii="宋体" w:hAnsi="宋体" w:eastAsia="宋体" w:cs="宋体"/>
          <w:snapToGrid w:val="0"/>
          <w:color w:val="000000"/>
          <w:spacing w:val="68"/>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权</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要</w:t>
      </w:r>
      <w:r>
        <w:rPr>
          <w:rFonts w:ascii="宋体" w:hAnsi="宋体" w:eastAsia="宋体" w:cs="宋体"/>
          <w:snapToGrid w:val="0"/>
          <w:color w:val="000000"/>
          <w:spacing w:val="73"/>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求</w:t>
      </w:r>
      <w:r>
        <w:rPr>
          <w:rFonts w:ascii="宋体" w:hAnsi="宋体" w:eastAsia="宋体" w:cs="宋体"/>
          <w:snapToGrid w:val="0"/>
          <w:color w:val="000000"/>
          <w:spacing w:val="70"/>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承</w:t>
      </w:r>
      <w:r>
        <w:rPr>
          <w:rFonts w:ascii="宋体" w:hAnsi="宋体" w:eastAsia="宋体" w:cs="宋体"/>
          <w:snapToGrid w:val="0"/>
          <w:color w:val="000000"/>
          <w:spacing w:val="69"/>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包</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人</w:t>
      </w:r>
      <w:r>
        <w:rPr>
          <w:rFonts w:ascii="宋体" w:hAnsi="宋体" w:eastAsia="宋体" w:cs="宋体"/>
          <w:snapToGrid w:val="0"/>
          <w:color w:val="000000"/>
          <w:spacing w:val="74"/>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调</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换</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其</w:t>
      </w:r>
      <w:r>
        <w:rPr>
          <w:rFonts w:ascii="宋体" w:hAnsi="宋体" w:eastAsia="宋体" w:cs="宋体"/>
          <w:snapToGrid w:val="0"/>
          <w:color w:val="000000"/>
          <w:spacing w:val="71"/>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人</w:t>
      </w:r>
      <w:r>
        <w:rPr>
          <w:rFonts w:ascii="宋体" w:hAnsi="宋体" w:eastAsia="宋体" w:cs="宋体"/>
          <w:snapToGrid w:val="0"/>
          <w:color w:val="000000"/>
          <w:spacing w:val="81"/>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员</w:t>
      </w:r>
      <w:r>
        <w:rPr>
          <w:rFonts w:ascii="宋体" w:hAnsi="宋体" w:eastAsia="宋体" w:cs="宋体"/>
          <w:snapToGrid w:val="0"/>
          <w:color w:val="000000"/>
          <w:spacing w:val="91"/>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的</w:t>
      </w:r>
      <w:r>
        <w:rPr>
          <w:rFonts w:ascii="宋体" w:hAnsi="宋体" w:eastAsia="宋体" w:cs="宋体"/>
          <w:snapToGrid w:val="0"/>
          <w:color w:val="000000"/>
          <w:spacing w:val="87"/>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限</w:t>
      </w:r>
      <w:r>
        <w:rPr>
          <w:rFonts w:ascii="宋体" w:hAnsi="宋体" w:eastAsia="宋体" w:cs="宋体"/>
          <w:snapToGrid w:val="0"/>
          <w:color w:val="000000"/>
          <w:spacing w:val="72"/>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制</w:t>
      </w:r>
      <w:r>
        <w:rPr>
          <w:rFonts w:ascii="宋体" w:hAnsi="宋体" w:eastAsia="宋体" w:cs="宋体"/>
          <w:snapToGrid w:val="0"/>
          <w:color w:val="000000"/>
          <w:spacing w:val="72"/>
          <w:kern w:val="0"/>
          <w:sz w:val="24"/>
          <w:szCs w:val="24"/>
          <w:lang w:val="en-US" w:eastAsia="en-US" w:bidi="ar-SA"/>
        </w:rPr>
        <w:t xml:space="preserve"> </w:t>
      </w:r>
      <w:r>
        <w:rPr>
          <w:rFonts w:ascii="宋体" w:hAnsi="宋体" w:eastAsia="宋体" w:cs="宋体"/>
          <w:snapToGrid w:val="0"/>
          <w:color w:val="000000"/>
          <w:spacing w:val="-11"/>
          <w:kern w:val="0"/>
          <w:sz w:val="24"/>
          <w:szCs w:val="24"/>
          <w:lang w:val="en-US" w:eastAsia="en-US" w:bidi="ar-SA"/>
        </w:rPr>
        <w:t>条</w:t>
      </w:r>
      <w:r>
        <w:rPr>
          <w:rFonts w:ascii="宋体" w:hAnsi="宋体" w:eastAsia="宋体" w:cs="宋体"/>
          <w:snapToGrid w:val="0"/>
          <w:color w:val="000000"/>
          <w:spacing w:val="-3"/>
          <w:kern w:val="0"/>
          <w:sz w:val="24"/>
          <w:szCs w:val="24"/>
          <w:lang w:val="en-US" w:eastAsia="en-US" w:bidi="ar-SA"/>
        </w:rPr>
        <w:t>件：</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3"/>
          <w:kern w:val="0"/>
          <w:sz w:val="24"/>
          <w:szCs w:val="24"/>
          <w:lang w:val="en-US" w:eastAsia="en-US" w:bidi="ar-SA"/>
        </w:rPr>
        <w:t>。</w:t>
      </w:r>
    </w:p>
    <w:p w14:paraId="2BD718F3">
      <w:pPr>
        <w:kinsoku w:val="0"/>
        <w:autoSpaceDE w:val="0"/>
        <w:autoSpaceDN w:val="0"/>
        <w:adjustRightInd w:val="0"/>
        <w:snapToGrid w:val="0"/>
        <w:spacing w:before="1" w:line="217" w:lineRule="auto"/>
        <w:ind w:left="13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2.5 提交报告</w:t>
      </w:r>
    </w:p>
    <w:p w14:paraId="62BB01ED">
      <w:pPr>
        <w:kinsoku w:val="0"/>
        <w:autoSpaceDE w:val="0"/>
        <w:autoSpaceDN w:val="0"/>
        <w:adjustRightInd w:val="0"/>
        <w:snapToGrid w:val="0"/>
        <w:spacing w:before="183" w:line="362" w:lineRule="auto"/>
        <w:ind w:left="9" w:right="2" w:firstLine="52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监理人应提交报告的种类（包括监理规划、监理月报及约定的专项报告）、时间和</w:t>
      </w:r>
      <w:r>
        <w:rPr>
          <w:rFonts w:ascii="宋体" w:hAnsi="宋体" w:eastAsia="宋体" w:cs="宋体"/>
          <w:snapToGrid w:val="0"/>
          <w:color w:val="000000"/>
          <w:spacing w:val="-4"/>
          <w:kern w:val="0"/>
          <w:sz w:val="24"/>
          <w:szCs w:val="24"/>
          <w:lang w:val="en-US" w:eastAsia="en-US" w:bidi="ar-SA"/>
        </w:rPr>
        <w:t>份数：</w:t>
      </w:r>
      <w:r>
        <w:rPr>
          <w:rFonts w:ascii="宋体" w:hAnsi="宋体" w:eastAsia="宋体" w:cs="宋体"/>
          <w:snapToGrid w:val="0"/>
          <w:color w:val="000000"/>
          <w:kern w:val="0"/>
          <w:sz w:val="24"/>
          <w:szCs w:val="24"/>
          <w:u w:val="single" w:color="auto"/>
          <w:lang w:val="en-US" w:eastAsia="en-US" w:bidi="ar-SA"/>
        </w:rPr>
        <w:t xml:space="preserve">                                 </w:t>
      </w:r>
    </w:p>
    <w:p w14:paraId="6A0875B4">
      <w:pPr>
        <w:kinsoku w:val="0"/>
        <w:autoSpaceDE w:val="0"/>
        <w:autoSpaceDN w:val="0"/>
        <w:adjustRightInd w:val="0"/>
        <w:snapToGrid w:val="0"/>
        <w:spacing w:before="78" w:line="219" w:lineRule="auto"/>
        <w:ind w:left="13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2.7 使用委托人的财产</w:t>
      </w:r>
    </w:p>
    <w:p w14:paraId="72B0D472">
      <w:pPr>
        <w:kinsoku w:val="0"/>
        <w:autoSpaceDE w:val="0"/>
        <w:autoSpaceDN w:val="0"/>
        <w:adjustRightInd w:val="0"/>
        <w:snapToGrid w:val="0"/>
        <w:spacing w:before="182" w:line="360" w:lineRule="auto"/>
        <w:ind w:left="12" w:right="2" w:firstLine="61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4"/>
          <w:kern w:val="0"/>
          <w:sz w:val="24"/>
          <w:szCs w:val="24"/>
          <w:lang w:val="en-US" w:eastAsia="en-US" w:bidi="ar-SA"/>
        </w:rPr>
        <w:t>附</w:t>
      </w:r>
      <w:r>
        <w:rPr>
          <w:rFonts w:ascii="宋体" w:hAnsi="宋体" w:eastAsia="宋体" w:cs="宋体"/>
          <w:snapToGrid w:val="0"/>
          <w:color w:val="000000"/>
          <w:spacing w:val="42"/>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录</w:t>
      </w:r>
      <w:r>
        <w:rPr>
          <w:rFonts w:ascii="宋体" w:hAnsi="宋体" w:eastAsia="宋体" w:cs="宋体"/>
          <w:snapToGrid w:val="0"/>
          <w:color w:val="000000"/>
          <w:spacing w:val="78"/>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B  中</w:t>
      </w:r>
      <w:r>
        <w:rPr>
          <w:rFonts w:ascii="宋体" w:hAnsi="宋体" w:eastAsia="宋体" w:cs="宋体"/>
          <w:snapToGrid w:val="0"/>
          <w:color w:val="000000"/>
          <w:spacing w:val="53"/>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由</w:t>
      </w:r>
      <w:r>
        <w:rPr>
          <w:rFonts w:ascii="宋体" w:hAnsi="宋体" w:eastAsia="宋体" w:cs="宋体"/>
          <w:snapToGrid w:val="0"/>
          <w:color w:val="000000"/>
          <w:spacing w:val="23"/>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委</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托</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人</w:t>
      </w:r>
      <w:r>
        <w:rPr>
          <w:rFonts w:ascii="宋体" w:hAnsi="宋体" w:eastAsia="宋体" w:cs="宋体"/>
          <w:snapToGrid w:val="0"/>
          <w:color w:val="000000"/>
          <w:spacing w:val="26"/>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无 偿</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提</w:t>
      </w:r>
      <w:r>
        <w:rPr>
          <w:rFonts w:ascii="宋体" w:hAnsi="宋体" w:eastAsia="宋体" w:cs="宋体"/>
          <w:snapToGrid w:val="0"/>
          <w:color w:val="000000"/>
          <w:spacing w:val="24"/>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供</w:t>
      </w:r>
      <w:r>
        <w:rPr>
          <w:rFonts w:ascii="宋体" w:hAnsi="宋体" w:eastAsia="宋体" w:cs="宋体"/>
          <w:snapToGrid w:val="0"/>
          <w:color w:val="000000"/>
          <w:spacing w:val="43"/>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的</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房</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屋</w:t>
      </w:r>
      <w:r>
        <w:rPr>
          <w:rFonts w:ascii="宋体" w:hAnsi="宋体" w:eastAsia="宋体" w:cs="宋体"/>
          <w:snapToGrid w:val="0"/>
          <w:color w:val="000000"/>
          <w:spacing w:val="41"/>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w:t>
      </w:r>
      <w:r>
        <w:rPr>
          <w:rFonts w:ascii="宋体" w:hAnsi="宋体" w:eastAsia="宋体" w:cs="宋体"/>
          <w:snapToGrid w:val="0"/>
          <w:color w:val="000000"/>
          <w:spacing w:val="28"/>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设</w:t>
      </w:r>
      <w:r>
        <w:rPr>
          <w:rFonts w:ascii="宋体" w:hAnsi="宋体" w:eastAsia="宋体" w:cs="宋体"/>
          <w:snapToGrid w:val="0"/>
          <w:color w:val="000000"/>
          <w:spacing w:val="26"/>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备</w:t>
      </w:r>
      <w:r>
        <w:rPr>
          <w:rFonts w:ascii="宋体" w:hAnsi="宋体" w:eastAsia="宋体" w:cs="宋体"/>
          <w:snapToGrid w:val="0"/>
          <w:color w:val="000000"/>
          <w:spacing w:val="44"/>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的</w:t>
      </w:r>
      <w:r>
        <w:rPr>
          <w:rFonts w:ascii="宋体" w:hAnsi="宋体" w:eastAsia="宋体" w:cs="宋体"/>
          <w:snapToGrid w:val="0"/>
          <w:color w:val="000000"/>
          <w:spacing w:val="23"/>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所</w:t>
      </w:r>
      <w:r>
        <w:rPr>
          <w:rFonts w:ascii="宋体" w:hAnsi="宋体" w:eastAsia="宋体" w:cs="宋体"/>
          <w:snapToGrid w:val="0"/>
          <w:color w:val="000000"/>
          <w:spacing w:val="23"/>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有</w:t>
      </w:r>
      <w:r>
        <w:rPr>
          <w:rFonts w:ascii="宋体" w:hAnsi="宋体" w:eastAsia="宋体" w:cs="宋体"/>
          <w:snapToGrid w:val="0"/>
          <w:color w:val="000000"/>
          <w:spacing w:val="23"/>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权</w:t>
      </w:r>
      <w:r>
        <w:rPr>
          <w:rFonts w:ascii="宋体" w:hAnsi="宋体" w:eastAsia="宋体" w:cs="宋体"/>
          <w:snapToGrid w:val="0"/>
          <w:color w:val="000000"/>
          <w:spacing w:val="25"/>
          <w:kern w:val="0"/>
          <w:sz w:val="24"/>
          <w:szCs w:val="24"/>
          <w:lang w:val="en-US" w:eastAsia="en-US" w:bidi="ar-SA"/>
        </w:rPr>
        <w:t xml:space="preserve"> </w:t>
      </w:r>
      <w:r>
        <w:rPr>
          <w:rFonts w:ascii="宋体" w:hAnsi="宋体" w:eastAsia="宋体" w:cs="宋体"/>
          <w:snapToGrid w:val="0"/>
          <w:color w:val="000000"/>
          <w:spacing w:val="-14"/>
          <w:kern w:val="0"/>
          <w:sz w:val="24"/>
          <w:szCs w:val="24"/>
          <w:lang w:val="en-US" w:eastAsia="en-US" w:bidi="ar-SA"/>
        </w:rPr>
        <w:t>属</w:t>
      </w:r>
      <w:r>
        <w:rPr>
          <w:rFonts w:ascii="宋体" w:hAnsi="宋体" w:eastAsia="宋体" w:cs="宋体"/>
          <w:snapToGrid w:val="0"/>
          <w:color w:val="000000"/>
          <w:spacing w:val="-5"/>
          <w:kern w:val="0"/>
          <w:sz w:val="24"/>
          <w:szCs w:val="24"/>
          <w:lang w:val="en-US" w:eastAsia="en-US" w:bidi="ar-SA"/>
        </w:rPr>
        <w:t>于：</w:t>
      </w:r>
      <w:r>
        <w:rPr>
          <w:rFonts w:ascii="宋体" w:hAnsi="宋体" w:eastAsia="宋体" w:cs="宋体"/>
          <w:snapToGrid w:val="0"/>
          <w:color w:val="000000"/>
          <w:spacing w:val="3"/>
          <w:kern w:val="0"/>
          <w:sz w:val="24"/>
          <w:szCs w:val="24"/>
          <w:u w:val="single" w:color="auto"/>
          <w:lang w:val="en-US" w:eastAsia="en-US" w:bidi="ar-SA"/>
        </w:rPr>
        <w:t xml:space="preserve">                                       </w:t>
      </w:r>
      <w:r>
        <w:rPr>
          <w:rFonts w:ascii="宋体" w:hAnsi="宋体" w:eastAsia="宋体" w:cs="宋体"/>
          <w:snapToGrid w:val="0"/>
          <w:color w:val="000000"/>
          <w:spacing w:val="-5"/>
          <w:kern w:val="0"/>
          <w:sz w:val="24"/>
          <w:szCs w:val="24"/>
          <w:lang w:val="en-US" w:eastAsia="en-US" w:bidi="ar-SA"/>
        </w:rPr>
        <w:t>。</w:t>
      </w:r>
    </w:p>
    <w:p w14:paraId="4B31AE65">
      <w:pPr>
        <w:kinsoku w:val="0"/>
        <w:autoSpaceDE w:val="0"/>
        <w:autoSpaceDN w:val="0"/>
        <w:adjustRightInd w:val="0"/>
        <w:snapToGrid w:val="0"/>
        <w:spacing w:before="1" w:line="329" w:lineRule="auto"/>
        <w:ind w:left="19" w:firstLine="46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监理人应在本合同终止后</w:t>
      </w:r>
      <w:r>
        <w:rPr>
          <w:rFonts w:ascii="宋体" w:hAnsi="宋体" w:eastAsia="宋体" w:cs="宋体"/>
          <w:snapToGrid w:val="0"/>
          <w:color w:val="000000"/>
          <w:spacing w:val="-119"/>
          <w:kern w:val="0"/>
          <w:sz w:val="24"/>
          <w:szCs w:val="24"/>
          <w:lang w:val="en-US" w:eastAsia="en-US" w:bidi="ar-SA"/>
        </w:rPr>
        <w:t xml:space="preserve"> </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105"/>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天内移交委托人无偿提供的房屋、设备，移交的</w:t>
      </w:r>
      <w:r>
        <w:rPr>
          <w:rFonts w:ascii="宋体" w:hAnsi="宋体" w:eastAsia="宋体" w:cs="宋体"/>
          <w:snapToGrid w:val="0"/>
          <w:color w:val="000000"/>
          <w:spacing w:val="-1"/>
          <w:kern w:val="0"/>
          <w:sz w:val="24"/>
          <w:szCs w:val="24"/>
          <w:lang w:val="en-US" w:eastAsia="en-US" w:bidi="ar-SA"/>
        </w:rPr>
        <w:t>时间和方式为：</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3C1FD2D1">
      <w:pPr>
        <w:kinsoku w:val="0"/>
        <w:autoSpaceDE w:val="0"/>
        <w:autoSpaceDN w:val="0"/>
        <w:adjustRightInd w:val="0"/>
        <w:snapToGrid w:val="0"/>
        <w:spacing w:line="219" w:lineRule="auto"/>
        <w:ind w:left="1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4"/>
          <w:kern w:val="0"/>
          <w:sz w:val="24"/>
          <w:szCs w:val="24"/>
          <w:lang w:val="en-US" w:eastAsia="en-US" w:bidi="ar-SA"/>
        </w:rPr>
        <w:t>3.</w:t>
      </w:r>
      <w:r>
        <w:rPr>
          <w:rFonts w:ascii="宋体" w:hAnsi="宋体" w:eastAsia="宋体" w:cs="宋体"/>
          <w:snapToGrid w:val="0"/>
          <w:color w:val="000000"/>
          <w:spacing w:val="-4"/>
          <w:kern w:val="0"/>
          <w:sz w:val="24"/>
          <w:szCs w:val="24"/>
          <w:lang w:val="en-US" w:eastAsia="en-US" w:bidi="ar-SA"/>
        </w:rPr>
        <w:t xml:space="preserve"> </w:t>
      </w:r>
      <w:r>
        <w:rPr>
          <w:rFonts w:ascii="宋体" w:hAnsi="宋体" w:eastAsia="宋体" w:cs="宋体"/>
          <w:b/>
          <w:bCs/>
          <w:snapToGrid w:val="0"/>
          <w:color w:val="000000"/>
          <w:spacing w:val="-4"/>
          <w:kern w:val="0"/>
          <w:sz w:val="24"/>
          <w:szCs w:val="24"/>
          <w:lang w:val="en-US" w:eastAsia="en-US" w:bidi="ar-SA"/>
        </w:rPr>
        <w:t>委托人义务</w:t>
      </w:r>
    </w:p>
    <w:p w14:paraId="28578935">
      <w:pPr>
        <w:kinsoku w:val="0"/>
        <w:autoSpaceDE w:val="0"/>
        <w:autoSpaceDN w:val="0"/>
        <w:adjustRightInd w:val="0"/>
        <w:snapToGrid w:val="0"/>
        <w:spacing w:before="181" w:line="219" w:lineRule="auto"/>
        <w:ind w:left="25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3.4 委托人代表</w:t>
      </w:r>
    </w:p>
    <w:p w14:paraId="0FB09FE0">
      <w:pPr>
        <w:kinsoku w:val="0"/>
        <w:autoSpaceDE w:val="0"/>
        <w:autoSpaceDN w:val="0"/>
        <w:adjustRightInd w:val="0"/>
        <w:snapToGrid w:val="0"/>
        <w:spacing w:before="183" w:line="219"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委托人代表为：</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13CCC670">
      <w:pPr>
        <w:kinsoku w:val="0"/>
        <w:autoSpaceDE w:val="0"/>
        <w:autoSpaceDN w:val="0"/>
        <w:adjustRightInd w:val="0"/>
        <w:snapToGrid w:val="0"/>
        <w:spacing w:before="181" w:line="220" w:lineRule="auto"/>
        <w:ind w:left="24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3.6</w:t>
      </w:r>
      <w:r>
        <w:rPr>
          <w:rFonts w:ascii="宋体" w:hAnsi="宋体" w:eastAsia="宋体" w:cs="宋体"/>
          <w:snapToGrid w:val="0"/>
          <w:color w:val="000000"/>
          <w:spacing w:val="9"/>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答复</w:t>
      </w:r>
    </w:p>
    <w:p w14:paraId="669FBB11">
      <w:pPr>
        <w:kinsoku w:val="0"/>
        <w:autoSpaceDE w:val="0"/>
        <w:autoSpaceDN w:val="0"/>
        <w:adjustRightInd w:val="0"/>
        <w:snapToGrid w:val="0"/>
        <w:spacing w:before="182" w:line="359" w:lineRule="auto"/>
        <w:ind w:left="14" w:right="2" w:firstLine="47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委托人同意在</w:t>
      </w:r>
      <w:r>
        <w:rPr>
          <w:rFonts w:ascii="宋体" w:hAnsi="宋体" w:eastAsia="宋体" w:cs="宋体"/>
          <w:snapToGrid w:val="0"/>
          <w:color w:val="000000"/>
          <w:spacing w:val="-2"/>
          <w:kern w:val="0"/>
          <w:sz w:val="24"/>
          <w:szCs w:val="24"/>
          <w:u w:val="single" w:color="auto"/>
          <w:lang w:val="en-US" w:eastAsia="en-US" w:bidi="ar-SA"/>
        </w:rPr>
        <w:t xml:space="preserve">        </w:t>
      </w:r>
      <w:r>
        <w:rPr>
          <w:rFonts w:ascii="宋体" w:hAnsi="宋体" w:eastAsia="宋体" w:cs="宋体"/>
          <w:snapToGrid w:val="0"/>
          <w:color w:val="000000"/>
          <w:spacing w:val="-98"/>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天内，对监理人书面提交并要求做出决定的事宜给予书面答</w:t>
      </w:r>
      <w:r>
        <w:rPr>
          <w:rFonts w:ascii="宋体" w:hAnsi="宋体" w:eastAsia="宋体" w:cs="宋体"/>
          <w:snapToGrid w:val="0"/>
          <w:color w:val="000000"/>
          <w:spacing w:val="-8"/>
          <w:kern w:val="0"/>
          <w:sz w:val="24"/>
          <w:szCs w:val="24"/>
          <w:lang w:val="en-US" w:eastAsia="en-US" w:bidi="ar-SA"/>
        </w:rPr>
        <w:t>复。</w:t>
      </w:r>
    </w:p>
    <w:p w14:paraId="5CA13D25">
      <w:pPr>
        <w:kinsoku w:val="0"/>
        <w:autoSpaceDE w:val="0"/>
        <w:autoSpaceDN w:val="0"/>
        <w:adjustRightInd w:val="0"/>
        <w:snapToGrid w:val="0"/>
        <w:spacing w:line="219" w:lineRule="auto"/>
        <w:ind w:left="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3"/>
          <w:kern w:val="0"/>
          <w:sz w:val="24"/>
          <w:szCs w:val="24"/>
          <w:lang w:val="en-US" w:eastAsia="en-US" w:bidi="ar-SA"/>
        </w:rPr>
        <w:t>4.</w:t>
      </w:r>
      <w:r>
        <w:rPr>
          <w:rFonts w:ascii="宋体" w:hAnsi="宋体" w:eastAsia="宋体" w:cs="宋体"/>
          <w:snapToGrid w:val="0"/>
          <w:color w:val="000000"/>
          <w:spacing w:val="-3"/>
          <w:kern w:val="0"/>
          <w:sz w:val="24"/>
          <w:szCs w:val="24"/>
          <w:lang w:val="en-US" w:eastAsia="en-US" w:bidi="ar-SA"/>
        </w:rPr>
        <w:t xml:space="preserve"> </w:t>
      </w:r>
      <w:r>
        <w:rPr>
          <w:rFonts w:ascii="宋体" w:hAnsi="宋体" w:eastAsia="宋体" w:cs="宋体"/>
          <w:b/>
          <w:bCs/>
          <w:snapToGrid w:val="0"/>
          <w:color w:val="000000"/>
          <w:spacing w:val="-3"/>
          <w:kern w:val="0"/>
          <w:sz w:val="24"/>
          <w:szCs w:val="24"/>
          <w:lang w:val="en-US" w:eastAsia="en-US" w:bidi="ar-SA"/>
        </w:rPr>
        <w:t>违约责任</w:t>
      </w:r>
    </w:p>
    <w:p w14:paraId="3F19195A">
      <w:pPr>
        <w:kinsoku w:val="0"/>
        <w:autoSpaceDE w:val="0"/>
        <w:autoSpaceDN w:val="0"/>
        <w:adjustRightInd w:val="0"/>
        <w:snapToGrid w:val="0"/>
        <w:spacing w:before="260" w:line="219" w:lineRule="auto"/>
        <w:ind w:left="21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4.1 监理人的违约责任</w:t>
      </w:r>
    </w:p>
    <w:p w14:paraId="50796531">
      <w:pPr>
        <w:kinsoku w:val="0"/>
        <w:autoSpaceDE w:val="0"/>
        <w:autoSpaceDN w:val="0"/>
        <w:adjustRightInd w:val="0"/>
        <w:snapToGrid w:val="0"/>
        <w:spacing w:before="104" w:line="219"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4.1.1</w:t>
      </w:r>
      <w:r>
        <w:rPr>
          <w:rFonts w:ascii="宋体" w:hAnsi="宋体" w:eastAsia="宋体" w:cs="宋体"/>
          <w:snapToGrid w:val="0"/>
          <w:color w:val="000000"/>
          <w:spacing w:val="-50"/>
          <w:kern w:val="0"/>
          <w:sz w:val="24"/>
          <w:szCs w:val="24"/>
          <w:lang w:val="en-US" w:eastAsia="en-US" w:bidi="ar-SA"/>
        </w:rPr>
        <w:t xml:space="preserve"> </w:t>
      </w:r>
      <w:r>
        <w:rPr>
          <w:rFonts w:ascii="宋体" w:hAnsi="宋体" w:eastAsia="宋体" w:cs="宋体"/>
          <w:snapToGrid w:val="0"/>
          <w:color w:val="000000"/>
          <w:spacing w:val="-1"/>
          <w:kern w:val="0"/>
          <w:sz w:val="24"/>
          <w:szCs w:val="24"/>
          <w:lang w:val="en-US" w:eastAsia="en-US" w:bidi="ar-SA"/>
        </w:rPr>
        <w:t>监理人赔偿金额按下列方法确定：</w:t>
      </w:r>
    </w:p>
    <w:p w14:paraId="71CFBCB6">
      <w:pPr>
        <w:kinsoku w:val="0"/>
        <w:autoSpaceDE w:val="0"/>
        <w:autoSpaceDN w:val="0"/>
        <w:adjustRightInd w:val="0"/>
        <w:snapToGrid w:val="0"/>
        <w:spacing w:before="184" w:line="219" w:lineRule="auto"/>
        <w:ind w:left="4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赔偿金＝直接经济损失×正常工作酬金÷工程概算投资</w:t>
      </w:r>
      <w:r>
        <w:rPr>
          <w:rFonts w:ascii="宋体" w:hAnsi="宋体" w:eastAsia="宋体" w:cs="宋体"/>
          <w:snapToGrid w:val="0"/>
          <w:color w:val="000000"/>
          <w:spacing w:val="-1"/>
          <w:kern w:val="0"/>
          <w:sz w:val="24"/>
          <w:szCs w:val="24"/>
          <w:lang w:val="en-US" w:eastAsia="en-US" w:bidi="ar-SA"/>
        </w:rPr>
        <w:t>额（或建筑安装工程费）</w:t>
      </w:r>
    </w:p>
    <w:p w14:paraId="5D836EA1">
      <w:pPr>
        <w:kinsoku w:val="0"/>
        <w:autoSpaceDE w:val="0"/>
        <w:autoSpaceDN w:val="0"/>
        <w:adjustRightInd w:val="0"/>
        <w:snapToGrid w:val="0"/>
        <w:spacing w:before="181" w:line="219" w:lineRule="auto"/>
        <w:ind w:left="24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4.2 委托人的违约责任</w:t>
      </w:r>
    </w:p>
    <w:p w14:paraId="6D7E264C">
      <w:pPr>
        <w:kinsoku w:val="0"/>
        <w:autoSpaceDE w:val="0"/>
        <w:autoSpaceDN w:val="0"/>
        <w:adjustRightInd w:val="0"/>
        <w:snapToGrid w:val="0"/>
        <w:spacing w:before="262" w:line="219" w:lineRule="auto"/>
        <w:ind w:left="48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4.2.3 委托人逾期付款利息按下列方法确定：</w:t>
      </w:r>
    </w:p>
    <w:p w14:paraId="4C69D453">
      <w:pPr>
        <w:kinsoku w:val="0"/>
        <w:autoSpaceDE w:val="0"/>
        <w:autoSpaceDN w:val="0"/>
        <w:adjustRightInd w:val="0"/>
        <w:snapToGrid w:val="0"/>
        <w:spacing w:before="183" w:line="219" w:lineRule="auto"/>
        <w:ind w:left="48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逾期付款利息＝当期应付款总额×银行同期贷款</w:t>
      </w:r>
      <w:r>
        <w:rPr>
          <w:rFonts w:ascii="宋体" w:hAnsi="宋体" w:eastAsia="宋体" w:cs="宋体"/>
          <w:snapToGrid w:val="0"/>
          <w:color w:val="000000"/>
          <w:spacing w:val="-1"/>
          <w:kern w:val="0"/>
          <w:sz w:val="24"/>
          <w:szCs w:val="24"/>
          <w:lang w:val="en-US" w:eastAsia="en-US" w:bidi="ar-SA"/>
        </w:rPr>
        <w:t>利率×拖延支付天数</w:t>
      </w:r>
    </w:p>
    <w:p w14:paraId="652C0180">
      <w:pPr>
        <w:kinsoku w:val="0"/>
        <w:autoSpaceDE w:val="0"/>
        <w:autoSpaceDN w:val="0"/>
        <w:adjustRightInd w:val="0"/>
        <w:snapToGrid w:val="0"/>
        <w:spacing w:before="104" w:line="219" w:lineRule="auto"/>
        <w:ind w:left="1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b/>
          <w:bCs/>
          <w:snapToGrid w:val="0"/>
          <w:color w:val="000000"/>
          <w:spacing w:val="-9"/>
          <w:kern w:val="0"/>
          <w:sz w:val="24"/>
          <w:szCs w:val="24"/>
          <w:lang w:val="en-US" w:eastAsia="en-US" w:bidi="ar-SA"/>
        </w:rPr>
        <w:t>5.</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b/>
          <w:bCs/>
          <w:snapToGrid w:val="0"/>
          <w:color w:val="000000"/>
          <w:spacing w:val="-9"/>
          <w:kern w:val="0"/>
          <w:sz w:val="24"/>
          <w:szCs w:val="24"/>
          <w:lang w:val="en-US" w:eastAsia="en-US" w:bidi="ar-SA"/>
        </w:rPr>
        <w:t>支付</w:t>
      </w:r>
    </w:p>
    <w:p w14:paraId="1F768305">
      <w:pPr>
        <w:kinsoku w:val="0"/>
        <w:autoSpaceDE w:val="0"/>
        <w:autoSpaceDN w:val="0"/>
        <w:adjustRightInd w:val="0"/>
        <w:snapToGrid w:val="0"/>
        <w:spacing w:before="180" w:line="219" w:lineRule="auto"/>
        <w:ind w:left="25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5.1 支付货币</w:t>
      </w:r>
    </w:p>
    <w:p w14:paraId="2776F792">
      <w:pPr>
        <w:kinsoku w:val="0"/>
        <w:autoSpaceDE w:val="0"/>
        <w:autoSpaceDN w:val="0"/>
        <w:adjustRightInd w:val="0"/>
        <w:snapToGrid w:val="0"/>
        <w:spacing w:before="184" w:line="219" w:lineRule="auto"/>
        <w:ind w:left="51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币种为</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89"/>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snapToGrid w:val="0"/>
          <w:color w:val="000000"/>
          <w:spacing w:val="-5"/>
          <w:kern w:val="0"/>
          <w:sz w:val="24"/>
          <w:szCs w:val="24"/>
          <w:lang w:val="en-US" w:eastAsia="en-US" w:bidi="ar-SA"/>
        </w:rPr>
        <w:t>比例为</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snapToGrid w:val="0"/>
          <w:color w:val="000000"/>
          <w:spacing w:val="24"/>
          <w:kern w:val="0"/>
          <w:sz w:val="24"/>
          <w:szCs w:val="24"/>
          <w:u w:val="single" w:color="auto"/>
          <w:lang w:val="en-US" w:eastAsia="en-US" w:bidi="ar-SA"/>
        </w:rPr>
        <w:t xml:space="preserve">     </w:t>
      </w:r>
      <w:r>
        <w:rPr>
          <w:rFonts w:ascii="宋体" w:hAnsi="宋体" w:eastAsia="宋体" w:cs="宋体"/>
          <w:snapToGrid w:val="0"/>
          <w:color w:val="000000"/>
          <w:spacing w:val="-91"/>
          <w:kern w:val="0"/>
          <w:sz w:val="24"/>
          <w:szCs w:val="24"/>
          <w:lang w:val="en-US" w:eastAsia="en-US" w:bidi="ar-SA"/>
        </w:rPr>
        <w:t xml:space="preserve"> </w:t>
      </w:r>
      <w:r>
        <w:rPr>
          <w:rFonts w:ascii="宋体" w:hAnsi="宋体" w:eastAsia="宋体" w:cs="宋体"/>
          <w:snapToGrid w:val="0"/>
          <w:color w:val="000000"/>
          <w:spacing w:val="-3"/>
          <w:kern w:val="0"/>
          <w:sz w:val="24"/>
          <w:szCs w:val="24"/>
          <w:lang w:val="en-US" w:eastAsia="en-US" w:bidi="ar-SA"/>
        </w:rPr>
        <w:t>，</w:t>
      </w:r>
      <w:r>
        <w:rPr>
          <w:rFonts w:ascii="宋体" w:hAnsi="宋体" w:eastAsia="宋体" w:cs="宋体"/>
          <w:snapToGrid w:val="0"/>
          <w:color w:val="000000"/>
          <w:spacing w:val="-5"/>
          <w:kern w:val="0"/>
          <w:sz w:val="24"/>
          <w:szCs w:val="24"/>
          <w:lang w:val="en-US" w:eastAsia="en-US" w:bidi="ar-SA"/>
        </w:rPr>
        <w:t>汇率为：</w:t>
      </w:r>
      <w:r>
        <w:rPr>
          <w:rFonts w:ascii="宋体" w:hAnsi="宋体" w:eastAsia="宋体" w:cs="宋体"/>
          <w:snapToGrid w:val="0"/>
          <w:color w:val="000000"/>
          <w:spacing w:val="-5"/>
          <w:kern w:val="0"/>
          <w:sz w:val="24"/>
          <w:szCs w:val="24"/>
          <w:u w:val="single" w:color="auto"/>
          <w:lang w:val="en-US" w:eastAsia="en-US" w:bidi="ar-SA"/>
        </w:rPr>
        <w:t xml:space="preserve">      </w:t>
      </w:r>
      <w:r>
        <w:rPr>
          <w:rFonts w:ascii="宋体" w:hAnsi="宋体" w:eastAsia="宋体" w:cs="宋体"/>
          <w:snapToGrid w:val="0"/>
          <w:color w:val="000000"/>
          <w:spacing w:val="-5"/>
          <w:kern w:val="0"/>
          <w:sz w:val="24"/>
          <w:szCs w:val="24"/>
          <w:lang w:val="en-US" w:eastAsia="en-US" w:bidi="ar-SA"/>
        </w:rPr>
        <w:t>。</w:t>
      </w:r>
    </w:p>
    <w:p w14:paraId="6CBBC0FF">
      <w:pPr>
        <w:kinsoku w:val="0"/>
        <w:autoSpaceDE w:val="0"/>
        <w:autoSpaceDN w:val="0"/>
        <w:adjustRightInd w:val="0"/>
        <w:snapToGrid w:val="0"/>
        <w:spacing w:before="184" w:line="219" w:lineRule="auto"/>
        <w:ind w:left="25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5.3 支付酬金</w:t>
      </w:r>
    </w:p>
    <w:p w14:paraId="0919288F">
      <w:pPr>
        <w:kinsoku w:val="0"/>
        <w:autoSpaceDE w:val="0"/>
        <w:autoSpaceDN w:val="0"/>
        <w:adjustRightInd w:val="0"/>
        <w:snapToGrid w:val="0"/>
        <w:spacing w:before="181" w:line="219" w:lineRule="auto"/>
        <w:ind w:left="49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正常工作酬金的支付：</w:t>
      </w:r>
    </w:p>
    <w:p w14:paraId="2D113FA9">
      <w:pPr>
        <w:widowControl/>
        <w:kinsoku w:val="0"/>
        <w:autoSpaceDE w:val="0"/>
        <w:autoSpaceDN w:val="0"/>
        <w:adjustRightInd w:val="0"/>
        <w:snapToGrid w:val="0"/>
        <w:spacing w:line="146" w:lineRule="exact"/>
        <w:jc w:val="left"/>
        <w:textAlignment w:val="baseline"/>
        <w:rPr>
          <w:rFonts w:ascii="Arial" w:hAnsi="Arial" w:eastAsia="Arial" w:cs="Arial"/>
          <w:snapToGrid w:val="0"/>
          <w:color w:val="000000"/>
          <w:kern w:val="0"/>
          <w:szCs w:val="21"/>
          <w:lang w:eastAsia="en-US"/>
        </w:rPr>
      </w:pPr>
    </w:p>
    <w:tbl>
      <w:tblPr>
        <w:tblStyle w:val="45"/>
        <w:tblW w:w="8084"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3"/>
        <w:gridCol w:w="2125"/>
        <w:gridCol w:w="1558"/>
        <w:gridCol w:w="2838"/>
      </w:tblGrid>
      <w:tr w14:paraId="58DA3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3" w:type="dxa"/>
            <w:vAlign w:val="top"/>
          </w:tcPr>
          <w:p w14:paraId="09CFA562">
            <w:pPr>
              <w:kinsoku w:val="0"/>
              <w:autoSpaceDE w:val="0"/>
              <w:autoSpaceDN w:val="0"/>
              <w:adjustRightInd w:val="0"/>
              <w:snapToGrid w:val="0"/>
              <w:spacing w:before="120" w:line="219" w:lineRule="auto"/>
              <w:ind w:left="3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支付次数</w:t>
            </w:r>
          </w:p>
        </w:tc>
        <w:tc>
          <w:tcPr>
            <w:tcW w:w="2125" w:type="dxa"/>
            <w:vAlign w:val="top"/>
          </w:tcPr>
          <w:p w14:paraId="6613A5C9">
            <w:pPr>
              <w:kinsoku w:val="0"/>
              <w:autoSpaceDE w:val="0"/>
              <w:autoSpaceDN w:val="0"/>
              <w:adjustRightInd w:val="0"/>
              <w:snapToGrid w:val="0"/>
              <w:spacing w:before="120" w:line="219" w:lineRule="auto"/>
              <w:ind w:left="5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支付时间</w:t>
            </w:r>
          </w:p>
        </w:tc>
        <w:tc>
          <w:tcPr>
            <w:tcW w:w="1558" w:type="dxa"/>
            <w:vAlign w:val="top"/>
          </w:tcPr>
          <w:p w14:paraId="371691CF">
            <w:pPr>
              <w:kinsoku w:val="0"/>
              <w:autoSpaceDE w:val="0"/>
              <w:autoSpaceDN w:val="0"/>
              <w:adjustRightInd w:val="0"/>
              <w:snapToGrid w:val="0"/>
              <w:spacing w:before="120" w:line="219" w:lineRule="auto"/>
              <w:ind w:left="30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支付比例</w:t>
            </w:r>
          </w:p>
        </w:tc>
        <w:tc>
          <w:tcPr>
            <w:tcW w:w="2838" w:type="dxa"/>
            <w:vAlign w:val="top"/>
          </w:tcPr>
          <w:p w14:paraId="5756B1DB">
            <w:pPr>
              <w:kinsoku w:val="0"/>
              <w:autoSpaceDE w:val="0"/>
              <w:autoSpaceDN w:val="0"/>
              <w:adjustRightInd w:val="0"/>
              <w:snapToGrid w:val="0"/>
              <w:spacing w:before="120" w:line="219" w:lineRule="auto"/>
              <w:ind w:left="46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支付金额（万元）</w:t>
            </w:r>
          </w:p>
        </w:tc>
      </w:tr>
      <w:tr w14:paraId="009D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563" w:type="dxa"/>
            <w:vAlign w:val="top"/>
          </w:tcPr>
          <w:p w14:paraId="5D543C4B">
            <w:pPr>
              <w:kinsoku w:val="0"/>
              <w:autoSpaceDE w:val="0"/>
              <w:autoSpaceDN w:val="0"/>
              <w:adjustRightInd w:val="0"/>
              <w:snapToGrid w:val="0"/>
              <w:spacing w:before="116" w:line="219" w:lineRule="auto"/>
              <w:ind w:left="12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首付款</w:t>
            </w:r>
          </w:p>
        </w:tc>
        <w:tc>
          <w:tcPr>
            <w:tcW w:w="2125" w:type="dxa"/>
            <w:vAlign w:val="top"/>
          </w:tcPr>
          <w:p w14:paraId="42BB990D">
            <w:pPr>
              <w:kinsoku w:val="0"/>
              <w:autoSpaceDE w:val="0"/>
              <w:autoSpaceDN w:val="0"/>
              <w:adjustRightInd w:val="0"/>
              <w:snapToGrid w:val="0"/>
              <w:spacing w:before="115" w:line="219" w:lineRule="auto"/>
              <w:ind w:left="11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本合同签订后7</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天</w:t>
            </w:r>
          </w:p>
          <w:p w14:paraId="12A77857">
            <w:pPr>
              <w:kinsoku w:val="0"/>
              <w:autoSpaceDE w:val="0"/>
              <w:autoSpaceDN w:val="0"/>
              <w:adjustRightInd w:val="0"/>
              <w:snapToGrid w:val="0"/>
              <w:spacing w:before="184" w:line="219" w:lineRule="auto"/>
              <w:ind w:left="97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内</w:t>
            </w:r>
          </w:p>
        </w:tc>
        <w:tc>
          <w:tcPr>
            <w:tcW w:w="1558" w:type="dxa"/>
            <w:vAlign w:val="top"/>
          </w:tcPr>
          <w:p w14:paraId="1D4A19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8" w:type="dxa"/>
            <w:vAlign w:val="top"/>
          </w:tcPr>
          <w:p w14:paraId="73A6D79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B031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3" w:type="dxa"/>
            <w:vAlign w:val="top"/>
          </w:tcPr>
          <w:p w14:paraId="4403BD85">
            <w:pPr>
              <w:kinsoku w:val="0"/>
              <w:autoSpaceDE w:val="0"/>
              <w:autoSpaceDN w:val="0"/>
              <w:adjustRightInd w:val="0"/>
              <w:snapToGrid w:val="0"/>
              <w:spacing w:before="117" w:line="219" w:lineRule="auto"/>
              <w:ind w:left="11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第二次付款</w:t>
            </w:r>
          </w:p>
        </w:tc>
        <w:tc>
          <w:tcPr>
            <w:tcW w:w="2125" w:type="dxa"/>
            <w:vAlign w:val="top"/>
          </w:tcPr>
          <w:p w14:paraId="19D5AF8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58" w:type="dxa"/>
            <w:vAlign w:val="top"/>
          </w:tcPr>
          <w:p w14:paraId="3550BC2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8" w:type="dxa"/>
            <w:vAlign w:val="top"/>
          </w:tcPr>
          <w:p w14:paraId="73135C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CCC7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3" w:type="dxa"/>
            <w:vAlign w:val="top"/>
          </w:tcPr>
          <w:p w14:paraId="64ED2382">
            <w:pPr>
              <w:kinsoku w:val="0"/>
              <w:autoSpaceDE w:val="0"/>
              <w:autoSpaceDN w:val="0"/>
              <w:adjustRightInd w:val="0"/>
              <w:snapToGrid w:val="0"/>
              <w:spacing w:before="118" w:line="219" w:lineRule="auto"/>
              <w:ind w:left="11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第三次付款</w:t>
            </w:r>
          </w:p>
        </w:tc>
        <w:tc>
          <w:tcPr>
            <w:tcW w:w="2125" w:type="dxa"/>
            <w:vAlign w:val="top"/>
          </w:tcPr>
          <w:p w14:paraId="392A3D1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58" w:type="dxa"/>
            <w:vAlign w:val="top"/>
          </w:tcPr>
          <w:p w14:paraId="55E4EB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8" w:type="dxa"/>
            <w:vAlign w:val="top"/>
          </w:tcPr>
          <w:p w14:paraId="67C32A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11E6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563" w:type="dxa"/>
            <w:vAlign w:val="top"/>
          </w:tcPr>
          <w:p w14:paraId="5637707D">
            <w:pPr>
              <w:kinsoku w:val="0"/>
              <w:autoSpaceDE w:val="0"/>
              <w:autoSpaceDN w:val="0"/>
              <w:adjustRightInd w:val="0"/>
              <w:snapToGrid w:val="0"/>
              <w:spacing w:before="118" w:line="347" w:lineRule="exact"/>
              <w:ind w:left="56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3"/>
                <w:kern w:val="0"/>
                <w:position w:val="2"/>
                <w:sz w:val="24"/>
                <w:szCs w:val="24"/>
                <w:lang w:val="en-US" w:eastAsia="en-US" w:bidi="ar-SA"/>
              </w:rPr>
              <w:t>……</w:t>
            </w:r>
          </w:p>
        </w:tc>
        <w:tc>
          <w:tcPr>
            <w:tcW w:w="2125" w:type="dxa"/>
            <w:vAlign w:val="top"/>
          </w:tcPr>
          <w:p w14:paraId="7EF824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58" w:type="dxa"/>
            <w:vAlign w:val="top"/>
          </w:tcPr>
          <w:p w14:paraId="79CF08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2838" w:type="dxa"/>
            <w:vAlign w:val="top"/>
          </w:tcPr>
          <w:p w14:paraId="6EF89A4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D08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563" w:type="dxa"/>
            <w:vAlign w:val="top"/>
          </w:tcPr>
          <w:p w14:paraId="30C109D7">
            <w:pPr>
              <w:pStyle w:val="46"/>
              <w:spacing w:before="120" w:line="219" w:lineRule="auto"/>
              <w:ind w:left="121"/>
            </w:pPr>
            <w:r>
              <w:rPr>
                <w:spacing w:val="-4"/>
              </w:rPr>
              <w:t>最后付款</w:t>
            </w:r>
          </w:p>
        </w:tc>
        <w:tc>
          <w:tcPr>
            <w:tcW w:w="2125" w:type="dxa"/>
            <w:vAlign w:val="top"/>
          </w:tcPr>
          <w:p w14:paraId="066834BF">
            <w:pPr>
              <w:pStyle w:val="46"/>
              <w:spacing w:before="121" w:line="313" w:lineRule="auto"/>
              <w:ind w:left="114" w:right="106" w:hanging="1"/>
            </w:pPr>
            <w:r>
              <w:rPr>
                <w:spacing w:val="31"/>
              </w:rPr>
              <w:t>监理与相关服务</w:t>
            </w:r>
            <w:r>
              <w:rPr>
                <w:spacing w:val="-8"/>
              </w:rPr>
              <w:t>期届满</w:t>
            </w:r>
            <w:r>
              <w:rPr>
                <w:spacing w:val="-32"/>
              </w:rPr>
              <w:t xml:space="preserve"> </w:t>
            </w:r>
            <w:r>
              <w:rPr>
                <w:spacing w:val="-8"/>
              </w:rPr>
              <w:t>14</w:t>
            </w:r>
            <w:r>
              <w:rPr>
                <w:spacing w:val="-46"/>
              </w:rPr>
              <w:t xml:space="preserve"> </w:t>
            </w:r>
            <w:r>
              <w:rPr>
                <w:spacing w:val="-8"/>
              </w:rPr>
              <w:t>天内</w:t>
            </w:r>
          </w:p>
        </w:tc>
        <w:tc>
          <w:tcPr>
            <w:tcW w:w="1558" w:type="dxa"/>
            <w:vAlign w:val="top"/>
          </w:tcPr>
          <w:p w14:paraId="744366BB">
            <w:pPr>
              <w:rPr>
                <w:rFonts w:ascii="Arial"/>
                <w:sz w:val="21"/>
              </w:rPr>
            </w:pPr>
          </w:p>
        </w:tc>
        <w:tc>
          <w:tcPr>
            <w:tcW w:w="2838" w:type="dxa"/>
            <w:vAlign w:val="top"/>
          </w:tcPr>
          <w:p w14:paraId="32433C6F">
            <w:pPr>
              <w:rPr>
                <w:rFonts w:ascii="Arial"/>
                <w:sz w:val="21"/>
              </w:rPr>
            </w:pPr>
          </w:p>
        </w:tc>
      </w:tr>
    </w:tbl>
    <w:p w14:paraId="572459C8">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 合同生效、变更、暂停、解除与终止</w:t>
      </w:r>
    </w:p>
    <w:p w14:paraId="60769E03">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6.1 生效</w:t>
      </w:r>
    </w:p>
    <w:p w14:paraId="76CBF14B">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本合同生效条件：                               。</w:t>
      </w:r>
    </w:p>
    <w:p w14:paraId="5E67E3B5">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6.2 变更</w:t>
      </w:r>
    </w:p>
    <w:p w14:paraId="7B16E792">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6.2.2 除不可抗力外， 因非监理人原因导致本合同期限延长时，附加工作酬金按下列方法确定：</w:t>
      </w:r>
    </w:p>
    <w:p w14:paraId="6006044C">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附加工作酬金=本合同期限延长时间（天） ×正常工作酬金÷协议书约定的监理与相关服务期限（天）</w:t>
      </w:r>
    </w:p>
    <w:p w14:paraId="68EF35B7">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6.2.3 附加工作酬金按下列方法确定：</w:t>
      </w:r>
    </w:p>
    <w:p w14:paraId="05B81B8C">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附加工作酬金=善后工作及恢复服务的准备工作时间（天） ×正常工作酬金÷协议书约定的监理与相关服务期限（天）</w:t>
      </w:r>
    </w:p>
    <w:p w14:paraId="4D9652E2">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6.2.5 正常工作酬金增加额按下列方法确定：</w:t>
      </w:r>
    </w:p>
    <w:p w14:paraId="721FD3C4">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正常工作酬金增加额=工程投资额或建筑安装工程费增加额×正常工作酬金÷工程概算投资额（或建筑安装工程费）</w:t>
      </w:r>
    </w:p>
    <w:p w14:paraId="58022E1F">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6.2.6 因工程规模、监理范围的变化导致监理人的正常工作量减少时，按减少工作量的比例从协议书约定的正常工作酬金中扣减相同比例的酬金。</w:t>
      </w:r>
    </w:p>
    <w:p w14:paraId="70DF17FD">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7. 争议解决</w:t>
      </w:r>
    </w:p>
    <w:p w14:paraId="1F93CC19">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7.2 调解</w:t>
      </w:r>
    </w:p>
    <w:p w14:paraId="5FE3248D">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本合同争议进行调解时，可提交         进行调解。</w:t>
      </w:r>
    </w:p>
    <w:p w14:paraId="63D01A84">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7.3 仲裁或诉讼</w:t>
      </w:r>
    </w:p>
    <w:p w14:paraId="0AD83C7D">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合同争议的最终解决方式为下列第         种方式：</w:t>
      </w:r>
    </w:p>
    <w:p w14:paraId="526F3EF7">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（1）提请         仲裁委员会进行仲裁。</w:t>
      </w:r>
    </w:p>
    <w:p w14:paraId="0C9FD031">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（2）向         人民法院提起诉讼。</w:t>
      </w:r>
    </w:p>
    <w:p w14:paraId="4B49BDB7">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8. 其他</w:t>
      </w:r>
    </w:p>
    <w:p w14:paraId="3751B86B">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8.2 检测费用</w:t>
      </w:r>
    </w:p>
    <w:p w14:paraId="1B7C8E95">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委托人应在检测工作完成后      天内支付检测费用。</w:t>
      </w:r>
    </w:p>
    <w:p w14:paraId="1B4DFDDB">
      <w:pPr>
        <w:ind w:firstLine="952" w:firstLineChars="400"/>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8.3 咨询费用</w:t>
      </w:r>
    </w:p>
    <w:p w14:paraId="0372FD1F">
      <w:pPr>
        <w:kinsoku w:val="0"/>
        <w:autoSpaceDE w:val="0"/>
        <w:autoSpaceDN w:val="0"/>
        <w:adjustRightInd w:val="0"/>
        <w:snapToGrid w:val="0"/>
        <w:spacing w:before="266" w:line="219" w:lineRule="auto"/>
        <w:ind w:left="4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委托人应在咨询工作完成后</w:t>
      </w:r>
      <w:r>
        <w:rPr>
          <w:rFonts w:ascii="宋体" w:hAnsi="宋体" w:eastAsia="宋体" w:cs="宋体"/>
          <w:snapToGrid w:val="0"/>
          <w:color w:val="000000"/>
          <w:spacing w:val="-102"/>
          <w:kern w:val="0"/>
          <w:sz w:val="24"/>
          <w:szCs w:val="24"/>
          <w:lang w:val="en-US" w:eastAsia="en-US" w:bidi="ar-SA"/>
        </w:rPr>
        <w:t xml:space="preserve"> </w:t>
      </w:r>
      <w:r>
        <w:rPr>
          <w:rFonts w:ascii="宋体" w:hAnsi="宋体" w:eastAsia="宋体" w:cs="宋体"/>
          <w:snapToGrid w:val="0"/>
          <w:color w:val="000000"/>
          <w:spacing w:val="30"/>
          <w:kern w:val="0"/>
          <w:sz w:val="24"/>
          <w:szCs w:val="24"/>
          <w:u w:val="single" w:color="auto"/>
          <w:lang w:val="en-US" w:eastAsia="en-US" w:bidi="ar-SA"/>
        </w:rPr>
        <w:t xml:space="preserve">    </w:t>
      </w:r>
      <w:r>
        <w:rPr>
          <w:rFonts w:ascii="宋体" w:hAnsi="宋体" w:eastAsia="宋体" w:cs="宋体"/>
          <w:snapToGrid w:val="0"/>
          <w:color w:val="000000"/>
          <w:spacing w:val="-106"/>
          <w:kern w:val="0"/>
          <w:sz w:val="24"/>
          <w:szCs w:val="24"/>
          <w:lang w:val="en-US" w:eastAsia="en-US" w:bidi="ar-SA"/>
        </w:rPr>
        <w:t xml:space="preserve"> </w:t>
      </w:r>
      <w:r>
        <w:rPr>
          <w:rFonts w:ascii="宋体" w:hAnsi="宋体" w:eastAsia="宋体" w:cs="宋体"/>
          <w:snapToGrid w:val="0"/>
          <w:color w:val="000000"/>
          <w:spacing w:val="-2"/>
          <w:kern w:val="0"/>
          <w:sz w:val="24"/>
          <w:szCs w:val="24"/>
          <w:lang w:val="en-US" w:eastAsia="en-US" w:bidi="ar-SA"/>
        </w:rPr>
        <w:t>天内支付咨询费用。</w:t>
      </w:r>
    </w:p>
    <w:p w14:paraId="26E38F49">
      <w:pPr>
        <w:kinsoku w:val="0"/>
        <w:autoSpaceDE w:val="0"/>
        <w:autoSpaceDN w:val="0"/>
        <w:adjustRightInd w:val="0"/>
        <w:snapToGrid w:val="0"/>
        <w:spacing w:before="180" w:line="219" w:lineRule="auto"/>
        <w:ind w:left="2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8.4</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奖励</w:t>
      </w:r>
    </w:p>
    <w:p w14:paraId="7058B709">
      <w:pPr>
        <w:kinsoku w:val="0"/>
        <w:autoSpaceDE w:val="0"/>
        <w:autoSpaceDN w:val="0"/>
        <w:adjustRightInd w:val="0"/>
        <w:snapToGrid w:val="0"/>
        <w:spacing w:before="183" w:line="219" w:lineRule="auto"/>
        <w:ind w:left="49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合理化建议的奖励金额按下列方法确定为：</w:t>
      </w:r>
    </w:p>
    <w:p w14:paraId="62C98BB5">
      <w:pPr>
        <w:kinsoku w:val="0"/>
        <w:autoSpaceDE w:val="0"/>
        <w:autoSpaceDN w:val="0"/>
        <w:adjustRightInd w:val="0"/>
        <w:snapToGrid w:val="0"/>
        <w:spacing w:before="180" w:line="219" w:lineRule="auto"/>
        <w:ind w:left="49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奖励金额＝工程投资节省额×奖励金额的比率；</w:t>
      </w:r>
    </w:p>
    <w:p w14:paraId="2BA2DA4D">
      <w:pPr>
        <w:kinsoku w:val="0"/>
        <w:autoSpaceDE w:val="0"/>
        <w:autoSpaceDN w:val="0"/>
        <w:adjustRightInd w:val="0"/>
        <w:snapToGrid w:val="0"/>
        <w:spacing w:before="183" w:line="219" w:lineRule="auto"/>
        <w:ind w:left="491"/>
        <w:jc w:val="left"/>
        <w:textAlignment w:val="baseline"/>
        <w:outlineLvl w:val="0"/>
        <w:rPr>
          <w:rFonts w:ascii="宋体" w:hAnsi="宋体" w:eastAsia="宋体" w:cs="宋体"/>
          <w:snapToGrid w:val="0"/>
          <w:color w:val="000000"/>
          <w:kern w:val="0"/>
          <w:sz w:val="24"/>
          <w:szCs w:val="24"/>
          <w:lang w:val="en-US" w:eastAsia="en-US" w:bidi="ar-SA"/>
        </w:rPr>
      </w:pPr>
      <w:bookmarkStart w:id="705" w:name="bookmark6"/>
      <w:bookmarkEnd w:id="705"/>
      <w:r>
        <w:rPr>
          <w:rFonts w:ascii="宋体" w:hAnsi="宋体" w:eastAsia="宋体" w:cs="宋体"/>
          <w:snapToGrid w:val="0"/>
          <w:color w:val="000000"/>
          <w:spacing w:val="-1"/>
          <w:kern w:val="0"/>
          <w:sz w:val="24"/>
          <w:szCs w:val="24"/>
          <w:lang w:val="en-US" w:eastAsia="en-US" w:bidi="ar-SA"/>
        </w:rPr>
        <w:t>奖励金额的比率为</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72A451FD">
      <w:pPr>
        <w:kinsoku w:val="0"/>
        <w:autoSpaceDE w:val="0"/>
        <w:autoSpaceDN w:val="0"/>
        <w:adjustRightInd w:val="0"/>
        <w:snapToGrid w:val="0"/>
        <w:spacing w:before="180" w:line="220" w:lineRule="auto"/>
        <w:ind w:left="2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8.6</w:t>
      </w:r>
      <w:r>
        <w:rPr>
          <w:rFonts w:ascii="宋体" w:hAnsi="宋体" w:eastAsia="宋体" w:cs="宋体"/>
          <w:snapToGrid w:val="0"/>
          <w:color w:val="000000"/>
          <w:spacing w:val="13"/>
          <w:kern w:val="0"/>
          <w:sz w:val="24"/>
          <w:szCs w:val="24"/>
          <w:lang w:val="en-US" w:eastAsia="en-US" w:bidi="ar-SA"/>
        </w:rPr>
        <w:t xml:space="preserve"> </w:t>
      </w:r>
      <w:r>
        <w:rPr>
          <w:rFonts w:ascii="宋体" w:hAnsi="宋体" w:eastAsia="宋体" w:cs="宋体"/>
          <w:snapToGrid w:val="0"/>
          <w:color w:val="000000"/>
          <w:spacing w:val="-5"/>
          <w:kern w:val="0"/>
          <w:sz w:val="24"/>
          <w:szCs w:val="24"/>
          <w:lang w:val="en-US" w:eastAsia="en-US" w:bidi="ar-SA"/>
        </w:rPr>
        <w:t>保密</w:t>
      </w:r>
    </w:p>
    <w:p w14:paraId="26AB7A54">
      <w:pPr>
        <w:kinsoku w:val="0"/>
        <w:autoSpaceDE w:val="0"/>
        <w:autoSpaceDN w:val="0"/>
        <w:adjustRightInd w:val="0"/>
        <w:snapToGrid w:val="0"/>
        <w:spacing w:before="183" w:line="219" w:lineRule="auto"/>
        <w:ind w:left="48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委托人申明的保密事项和期限：</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464979F6">
      <w:pPr>
        <w:kinsoku w:val="0"/>
        <w:autoSpaceDE w:val="0"/>
        <w:autoSpaceDN w:val="0"/>
        <w:adjustRightInd w:val="0"/>
        <w:snapToGrid w:val="0"/>
        <w:spacing w:before="181" w:line="219" w:lineRule="auto"/>
        <w:ind w:left="49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监理人申明的保密事项和期限：</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7FAECAA4">
      <w:pPr>
        <w:kinsoku w:val="0"/>
        <w:autoSpaceDE w:val="0"/>
        <w:autoSpaceDN w:val="0"/>
        <w:adjustRightInd w:val="0"/>
        <w:snapToGrid w:val="0"/>
        <w:spacing w:before="183" w:line="219" w:lineRule="auto"/>
        <w:ind w:left="48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第三方申明的保密事项和期限：</w:t>
      </w:r>
      <w:r>
        <w:rPr>
          <w:rFonts w:ascii="宋体" w:hAnsi="宋体" w:eastAsia="宋体" w:cs="宋体"/>
          <w:snapToGrid w:val="0"/>
          <w:color w:val="000000"/>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u w:val="single" w:color="auto"/>
          <w:lang w:val="en-US" w:eastAsia="en-US" w:bidi="ar-SA"/>
        </w:rPr>
        <w:t xml:space="preserve">          </w:t>
      </w:r>
      <w:r>
        <w:rPr>
          <w:rFonts w:ascii="宋体" w:hAnsi="宋体" w:eastAsia="宋体" w:cs="宋体"/>
          <w:snapToGrid w:val="0"/>
          <w:color w:val="000000"/>
          <w:spacing w:val="-1"/>
          <w:kern w:val="0"/>
          <w:sz w:val="24"/>
          <w:szCs w:val="24"/>
          <w:lang w:val="en-US" w:eastAsia="en-US" w:bidi="ar-SA"/>
        </w:rPr>
        <w:t>。</w:t>
      </w:r>
    </w:p>
    <w:p w14:paraId="02F41053">
      <w:pPr>
        <w:kinsoku w:val="0"/>
        <w:autoSpaceDE w:val="0"/>
        <w:autoSpaceDN w:val="0"/>
        <w:adjustRightInd w:val="0"/>
        <w:snapToGrid w:val="0"/>
        <w:spacing w:before="181" w:line="219" w:lineRule="auto"/>
        <w:ind w:left="24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8.8</w:t>
      </w:r>
      <w:r>
        <w:rPr>
          <w:rFonts w:ascii="宋体" w:hAnsi="宋体" w:eastAsia="宋体" w:cs="宋体"/>
          <w:snapToGrid w:val="0"/>
          <w:color w:val="000000"/>
          <w:spacing w:val="-47"/>
          <w:kern w:val="0"/>
          <w:sz w:val="24"/>
          <w:szCs w:val="24"/>
          <w:lang w:val="en-US" w:eastAsia="en-US" w:bidi="ar-SA"/>
        </w:rPr>
        <w:t xml:space="preserve"> </w:t>
      </w:r>
      <w:r>
        <w:rPr>
          <w:rFonts w:ascii="宋体" w:hAnsi="宋体" w:eastAsia="宋体" w:cs="宋体"/>
          <w:snapToGrid w:val="0"/>
          <w:color w:val="000000"/>
          <w:spacing w:val="-4"/>
          <w:kern w:val="0"/>
          <w:sz w:val="24"/>
          <w:szCs w:val="24"/>
          <w:lang w:val="en-US" w:eastAsia="en-US" w:bidi="ar-SA"/>
        </w:rPr>
        <w:t>著作权</w:t>
      </w:r>
    </w:p>
    <w:p w14:paraId="7741393E">
      <w:pPr>
        <w:kinsoku w:val="0"/>
        <w:autoSpaceDE w:val="0"/>
        <w:autoSpaceDN w:val="0"/>
        <w:adjustRightInd w:val="0"/>
        <w:snapToGrid w:val="0"/>
        <w:spacing w:before="183" w:line="360" w:lineRule="auto"/>
        <w:ind w:left="13" w:right="1" w:firstLine="4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监理人在本合同履行期间及本合同终止后两年内出版涉及本工程的有关监理与相</w:t>
      </w:r>
      <w:r>
        <w:rPr>
          <w:rFonts w:ascii="宋体" w:hAnsi="宋体" w:eastAsia="宋体" w:cs="宋体"/>
          <w:snapToGrid w:val="0"/>
          <w:color w:val="000000"/>
          <w:spacing w:val="-2"/>
          <w:kern w:val="0"/>
          <w:sz w:val="24"/>
          <w:szCs w:val="24"/>
          <w:lang w:val="en-US" w:eastAsia="en-US" w:bidi="ar-SA"/>
        </w:rPr>
        <w:t>关服务的资料的限制条件：</w:t>
      </w:r>
    </w:p>
    <w:p w14:paraId="738E3820">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1E2B35FD">
      <w:pPr>
        <w:tabs>
          <w:tab w:val="left" w:pos="6119"/>
        </w:tabs>
        <w:kinsoku w:val="0"/>
        <w:autoSpaceDE w:val="0"/>
        <w:autoSpaceDN w:val="0"/>
        <w:adjustRightInd w:val="0"/>
        <w:snapToGrid w:val="0"/>
        <w:spacing w:before="27" w:line="173" w:lineRule="auto"/>
        <w:jc w:val="left"/>
        <w:textAlignment w:val="baseline"/>
        <w:rPr>
          <w:rFonts w:ascii="宋体" w:hAnsi="宋体" w:eastAsia="宋体" w:cs="宋体"/>
          <w:snapToGrid w:val="0"/>
          <w:color w:val="000000"/>
          <w:kern w:val="0"/>
          <w:sz w:val="8"/>
          <w:szCs w:val="8"/>
          <w:lang w:val="en-US" w:eastAsia="en-US" w:bidi="ar-SA"/>
        </w:rPr>
      </w:pPr>
      <w:r>
        <w:rPr>
          <w:rFonts w:ascii="宋体" w:hAnsi="宋体" w:eastAsia="宋体" w:cs="宋体"/>
          <w:snapToGrid w:val="0"/>
          <w:color w:val="000000"/>
          <w:kern w:val="0"/>
          <w:sz w:val="8"/>
          <w:szCs w:val="8"/>
          <w:u w:val="single" w:color="auto"/>
          <w:lang w:val="en-US" w:eastAsia="en-US" w:bidi="ar-SA"/>
        </w:rPr>
        <w:tab/>
      </w:r>
      <w:r>
        <w:rPr>
          <w:rFonts w:ascii="宋体" w:hAnsi="宋体" w:eastAsia="宋体" w:cs="宋体"/>
          <w:snapToGrid w:val="0"/>
          <w:color w:val="000000"/>
          <w:spacing w:val="-7"/>
          <w:kern w:val="0"/>
          <w:sz w:val="8"/>
          <w:szCs w:val="8"/>
          <w:lang w:val="en-US" w:eastAsia="en-US" w:bidi="ar-SA"/>
        </w:rPr>
        <w:t xml:space="preserve"> </w:t>
      </w:r>
      <w:r>
        <w:rPr>
          <w:rFonts w:ascii="宋体" w:hAnsi="宋体" w:eastAsia="宋体" w:cs="宋体"/>
          <w:snapToGrid w:val="0"/>
          <w:color w:val="000000"/>
          <w:spacing w:val="12"/>
          <w:kern w:val="0"/>
          <w:sz w:val="8"/>
          <w:szCs w:val="8"/>
          <w:lang w:val="en-US" w:eastAsia="en-US" w:bidi="ar-SA"/>
        </w:rPr>
        <w:t>。</w:t>
      </w:r>
    </w:p>
    <w:p w14:paraId="16B12B60">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14:paraId="17D97537">
      <w:pPr>
        <w:kinsoku w:val="0"/>
        <w:autoSpaceDE w:val="0"/>
        <w:autoSpaceDN w:val="0"/>
        <w:adjustRightInd w:val="0"/>
        <w:snapToGrid w:val="0"/>
        <w:spacing w:before="78" w:line="219" w:lineRule="auto"/>
        <w:ind w:left="250"/>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9. 补充条款</w:t>
      </w:r>
    </w:p>
    <w:p w14:paraId="6D6854CD">
      <w:pPr>
        <w:widowControl/>
        <w:kinsoku w:val="0"/>
        <w:autoSpaceDE w:val="0"/>
        <w:autoSpaceDN w:val="0"/>
        <w:adjustRightInd w:val="0"/>
        <w:snapToGrid w:val="0"/>
        <w:spacing w:line="410" w:lineRule="auto"/>
        <w:jc w:val="left"/>
        <w:textAlignment w:val="baseline"/>
        <w:rPr>
          <w:rFonts w:ascii="Arial" w:hAnsi="Arial" w:eastAsia="Arial" w:cs="Arial"/>
          <w:snapToGrid w:val="0"/>
          <w:color w:val="000000"/>
          <w:kern w:val="0"/>
          <w:sz w:val="21"/>
          <w:szCs w:val="21"/>
          <w:lang w:eastAsia="en-US"/>
        </w:rPr>
      </w:pPr>
    </w:p>
    <w:p w14:paraId="4DBFFB53">
      <w:pPr>
        <w:kinsoku w:val="0"/>
        <w:autoSpaceDE w:val="0"/>
        <w:autoSpaceDN w:val="0"/>
        <w:adjustRightInd w:val="0"/>
        <w:snapToGrid w:val="0"/>
        <w:spacing w:before="79" w:line="52" w:lineRule="exact"/>
        <w:ind w:left="615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8"/>
          <w:szCs w:val="28"/>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-36195</wp:posOffset>
                </wp:positionV>
                <wp:extent cx="3911600" cy="179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911600" cy="179070"/>
                        </a:xfrm>
                        <a:prstGeom prst="rect">
                          <a:avLst/>
                        </a:prstGeom>
                        <a:noFill/>
                        <a:ln>
                          <a:noFill/>
                        </a:ln>
                      </wps:spPr>
                      <wps:txbx>
                        <w:txbxContent>
                          <w:p w14:paraId="3A7170F1">
                            <w:pPr>
                              <w:widowControl/>
                              <w:tabs>
                                <w:tab w:val="left" w:pos="6139"/>
                              </w:tabs>
                              <w:kinsoku w:val="0"/>
                              <w:autoSpaceDE w:val="0"/>
                              <w:autoSpaceDN w:val="0"/>
                              <w:adjustRightInd w:val="0"/>
                              <w:snapToGrid w:val="0"/>
                              <w:spacing w:before="19" w:line="240" w:lineRule="auto"/>
                              <w:ind w:left="20"/>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 w:val="21"/>
                                <w:szCs w:val="21"/>
                                <w:u w:val="single" w:color="auto"/>
                                <w:lang w:eastAsia="en-US"/>
                              </w:rPr>
                              <w:tab/>
                            </w:r>
                          </w:p>
                        </w:txbxContent>
                      </wps:txbx>
                      <wps:bodyPr lIns="0" tIns="0" rIns="0" bIns="0" upright="1"/>
                    </wps:wsp>
                  </a:graphicData>
                </a:graphic>
              </wp:anchor>
            </w:drawing>
          </mc:Choice>
          <mc:Fallback>
            <w:pict>
              <v:shape id="_x0000_s1026" o:spid="_x0000_s1026" o:spt="202" type="#_x0000_t202" style="position:absolute;left:0pt;margin-left:-1pt;margin-top:-2.85pt;height:14.1pt;width:308pt;z-index:251661312;mso-width-relative:page;mso-height-relative:page;" filled="f" stroked="f" coordsize="21600,21600" o:gfxdata="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ZVErYAAAACAEAAA8AAAAAAAAAAQAgAAAAIgAAAGRycy9kb3ducmV2LnhtbFBLAQIU&#10;ABQAAAAIAIdO4kANBTAgugEAAHIDAAAOAAAAAAAAAAEAIAAAACcBAABkcnMvZTJvRG9jLnhtbFBL&#10;BQYAAAAABgAGAFkBAABTBQAAAAA=&#10;">
                <v:fill on="f" focussize="0,0"/>
                <v:stroke on="f"/>
                <v:imagedata o:title=""/>
                <o:lock v:ext="edit" aspectratio="f"/>
                <v:textbox inset="0mm,0mm,0mm,0mm">
                  <w:txbxContent>
                    <w:p w14:paraId="3A7170F1">
                      <w:pPr>
                        <w:widowControl/>
                        <w:tabs>
                          <w:tab w:val="left" w:pos="6139"/>
                        </w:tabs>
                        <w:kinsoku w:val="0"/>
                        <w:autoSpaceDE w:val="0"/>
                        <w:autoSpaceDN w:val="0"/>
                        <w:adjustRightInd w:val="0"/>
                        <w:snapToGrid w:val="0"/>
                        <w:spacing w:before="19" w:line="240" w:lineRule="auto"/>
                        <w:ind w:left="20"/>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 w:val="21"/>
                          <w:szCs w:val="21"/>
                          <w:u w:val="single" w:color="auto"/>
                          <w:lang w:eastAsia="en-US"/>
                        </w:rPr>
                        <w:tab/>
                      </w:r>
                    </w:p>
                  </w:txbxContent>
                </v:textbox>
              </v:shape>
            </w:pict>
          </mc:Fallback>
        </mc:AlternateContent>
      </w:r>
      <w:r>
        <w:rPr>
          <w:rFonts w:ascii="宋体" w:hAnsi="宋体" w:eastAsia="宋体" w:cs="宋体"/>
          <w:snapToGrid w:val="0"/>
          <w:color w:val="000000"/>
          <w:kern w:val="0"/>
          <w:position w:val="-1"/>
          <w:sz w:val="24"/>
          <w:szCs w:val="24"/>
          <w:lang w:val="en-US" w:eastAsia="en-US" w:bidi="ar-SA"/>
        </w:rPr>
        <w:t>。</w:t>
      </w:r>
    </w:p>
    <w:p w14:paraId="6CC230DA">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38622B2B">
      <w:pPr>
        <w:ind w:firstLine="944" w:firstLineChars="400"/>
        <w:rPr>
          <w:rFonts w:hint="eastAsia" w:ascii="宋体" w:hAnsi="宋体" w:eastAsia="宋体" w:cs="宋体"/>
          <w:snapToGrid w:val="0"/>
          <w:color w:val="000000"/>
          <w:spacing w:val="-2"/>
          <w:kern w:val="0"/>
          <w:sz w:val="24"/>
          <w:szCs w:val="24"/>
          <w:lang w:val="en-US" w:eastAsia="zh-CN" w:bidi="ar-SA"/>
        </w:rPr>
      </w:pPr>
    </w:p>
    <w:p w14:paraId="1870CDFA">
      <w:pPr>
        <w:ind w:firstLine="944" w:firstLineChars="400"/>
        <w:rPr>
          <w:rFonts w:hint="eastAsia" w:ascii="宋体" w:hAnsi="宋体" w:eastAsia="宋体" w:cs="宋体"/>
          <w:snapToGrid w:val="0"/>
          <w:color w:val="000000"/>
          <w:spacing w:val="-2"/>
          <w:kern w:val="0"/>
          <w:sz w:val="24"/>
          <w:szCs w:val="24"/>
          <w:lang w:val="en-US" w:eastAsia="zh-CN" w:bidi="ar-SA"/>
        </w:rPr>
      </w:pPr>
    </w:p>
    <w:p w14:paraId="3C88302E">
      <w:pPr>
        <w:ind w:firstLine="944" w:firstLineChars="400"/>
        <w:rPr>
          <w:rFonts w:hint="eastAsia" w:ascii="宋体" w:hAnsi="宋体" w:eastAsia="宋体" w:cs="宋体"/>
          <w:snapToGrid w:val="0"/>
          <w:color w:val="000000"/>
          <w:spacing w:val="-2"/>
          <w:kern w:val="0"/>
          <w:sz w:val="24"/>
          <w:szCs w:val="24"/>
          <w:lang w:val="en-US" w:eastAsia="zh-CN" w:bidi="ar-SA"/>
        </w:rPr>
        <w:sectPr>
          <w:pgSz w:w="11906" w:h="16838"/>
          <w:pgMar w:top="1440" w:right="1706" w:bottom="1440" w:left="1800" w:header="851" w:footer="992" w:gutter="0"/>
          <w:pgNumType w:fmt="decimal"/>
          <w:cols w:space="720" w:num="1"/>
          <w:docGrid w:type="lines" w:linePitch="312" w:charSpace="0"/>
        </w:sectPr>
      </w:pPr>
    </w:p>
    <w:p w14:paraId="643FCC11">
      <w:pPr>
        <w:pStyle w:val="2"/>
        <w:spacing w:before="120" w:after="120" w:line="360" w:lineRule="auto"/>
        <w:jc w:val="center"/>
        <w:rPr>
          <w:rFonts w:hint="default" w:ascii="宋体" w:hAnsi="宋体" w:eastAsia="宋体" w:cs="宋体"/>
          <w:bCs w:val="0"/>
          <w:sz w:val="32"/>
          <w:szCs w:val="32"/>
          <w:highlight w:val="yellow"/>
          <w:lang w:val="en-US" w:eastAsia="zh-CN"/>
        </w:rPr>
      </w:pPr>
      <w:r>
        <w:rPr>
          <w:rFonts w:hint="eastAsia" w:ascii="宋体" w:hAnsi="宋体" w:eastAsia="宋体" w:cs="宋体"/>
          <w:bCs w:val="0"/>
          <w:sz w:val="32"/>
          <w:szCs w:val="32"/>
        </w:rPr>
        <w:t xml:space="preserve">第五章  </w:t>
      </w:r>
      <w:bookmarkEnd w:id="704"/>
      <w:r>
        <w:rPr>
          <w:rFonts w:hint="eastAsia" w:ascii="宋体" w:hAnsi="宋体" w:cs="宋体"/>
          <w:bCs w:val="0"/>
          <w:sz w:val="32"/>
          <w:szCs w:val="32"/>
          <w:lang w:val="en-US" w:eastAsia="zh-CN"/>
        </w:rPr>
        <w:t>采购需求</w:t>
      </w:r>
    </w:p>
    <w:p w14:paraId="7A33BD22">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一、一般规定 </w:t>
      </w:r>
    </w:p>
    <w:p w14:paraId="0874A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除非合同文件中另有特别注明，本工程适用中华人民共和国现行有效的国家规范、规程和标准。合同中约定的任何一方应予遵照执行的国家规范、规程和标准都是指他们各自的最新版本。如果在构成本工程规范和技术说明的任何内容与任何现行国家规范、规程和标准包括他们适用的修改之间出现相互矛盾之处或不一致的指示，乙方应按照其中要求最严格的标准执行。相关国家规范、规程和标准的最新版本；或把最新版本的要求当作对乙方工作的最起码要求，而执行更高的标准。适用本项目的规范、标准和规程的具体编号和名称由承包人依据上述原则自行收集。 </w:t>
      </w:r>
    </w:p>
    <w:p w14:paraId="708D7200">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二、适用规范标准 </w:t>
      </w:r>
    </w:p>
    <w:p w14:paraId="23D19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1.国家、行业、项目所在地规范； </w:t>
      </w:r>
    </w:p>
    <w:p w14:paraId="07EC9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2.国家、行业、项目所在地标准； </w:t>
      </w:r>
    </w:p>
    <w:p w14:paraId="6AF39F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3.国家、行业、项目所在地规程； </w:t>
      </w:r>
    </w:p>
    <w:p w14:paraId="2C522776">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三、监理任务范围 </w:t>
      </w:r>
    </w:p>
    <w:p w14:paraId="091D9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该项目施工全过程及保修期（含缺陷责任期）的全过程监理服务,并配合采购人的结算审计工作。</w:t>
      </w:r>
    </w:p>
    <w:p w14:paraId="0D0DB6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cs="宋体"/>
          <w:sz w:val="24"/>
          <w:szCs w:val="24"/>
          <w:lang w:val="en-US" w:eastAsia="zh-CN"/>
        </w:rPr>
      </w:pPr>
    </w:p>
    <w:p w14:paraId="697EC57A">
      <w:pPr>
        <w:rPr>
          <w:rFonts w:hint="eastAsia" w:ascii="宋体" w:hAnsi="宋体" w:cs="宋体"/>
          <w:color w:val="auto"/>
          <w:kern w:val="2"/>
          <w:sz w:val="24"/>
          <w:szCs w:val="24"/>
          <w:highlight w:val="none"/>
          <w:lang w:val="en-US" w:eastAsia="zh-CN" w:bidi="ar-SA"/>
        </w:rPr>
      </w:pPr>
    </w:p>
    <w:p w14:paraId="289DB52A">
      <w:pPr>
        <w:rPr>
          <w:rFonts w:hint="default"/>
          <w:lang w:val="en-US" w:eastAsia="zh-CN"/>
        </w:rPr>
      </w:pPr>
    </w:p>
    <w:p w14:paraId="469A9AC4">
      <w:pPr>
        <w:spacing w:line="360" w:lineRule="auto"/>
        <w:ind w:firstLine="480" w:firstLineChars="200"/>
        <w:rPr>
          <w:rFonts w:hint="eastAsia" w:ascii="宋体" w:hAnsi="宋体" w:eastAsia="宋体" w:cs="宋体"/>
          <w:sz w:val="24"/>
          <w:szCs w:val="24"/>
        </w:rPr>
      </w:pPr>
    </w:p>
    <w:p w14:paraId="2B25DC67">
      <w:pPr>
        <w:spacing w:line="360" w:lineRule="auto"/>
        <w:ind w:firstLine="480" w:firstLineChars="200"/>
        <w:rPr>
          <w:rFonts w:hint="eastAsia" w:ascii="宋体" w:hAnsi="宋体" w:eastAsia="宋体" w:cs="宋体"/>
          <w:sz w:val="24"/>
          <w:szCs w:val="24"/>
        </w:rPr>
      </w:pPr>
    </w:p>
    <w:p w14:paraId="5F293378">
      <w:pPr>
        <w:spacing w:line="360" w:lineRule="auto"/>
        <w:ind w:firstLine="480" w:firstLineChars="200"/>
        <w:rPr>
          <w:rFonts w:hint="eastAsia" w:ascii="宋体" w:hAnsi="宋体" w:eastAsia="宋体" w:cs="宋体"/>
          <w:sz w:val="24"/>
          <w:szCs w:val="24"/>
        </w:rPr>
      </w:pPr>
    </w:p>
    <w:p w14:paraId="5D3FCF78">
      <w:pPr>
        <w:spacing w:line="360" w:lineRule="auto"/>
        <w:ind w:firstLine="480" w:firstLineChars="200"/>
        <w:rPr>
          <w:rFonts w:hint="eastAsia" w:ascii="宋体" w:hAnsi="宋体" w:eastAsia="宋体" w:cs="宋体"/>
          <w:sz w:val="24"/>
          <w:szCs w:val="24"/>
        </w:rPr>
      </w:pPr>
    </w:p>
    <w:p w14:paraId="5659E67B">
      <w:pPr>
        <w:spacing w:line="360" w:lineRule="auto"/>
        <w:ind w:firstLine="480" w:firstLineChars="200"/>
        <w:rPr>
          <w:rFonts w:hint="eastAsia" w:ascii="宋体" w:hAnsi="宋体" w:eastAsia="宋体" w:cs="宋体"/>
          <w:sz w:val="24"/>
          <w:szCs w:val="24"/>
        </w:rPr>
      </w:pPr>
    </w:p>
    <w:p w14:paraId="00ACB4A3">
      <w:pPr>
        <w:spacing w:line="360" w:lineRule="auto"/>
        <w:ind w:firstLine="480" w:firstLineChars="200"/>
        <w:rPr>
          <w:rFonts w:hint="eastAsia" w:ascii="宋体" w:hAnsi="宋体" w:eastAsia="宋体" w:cs="宋体"/>
          <w:sz w:val="24"/>
          <w:szCs w:val="24"/>
        </w:rPr>
      </w:pPr>
    </w:p>
    <w:p w14:paraId="14D996D5">
      <w:pPr>
        <w:spacing w:line="360" w:lineRule="auto"/>
        <w:ind w:firstLine="480" w:firstLineChars="200"/>
        <w:rPr>
          <w:rFonts w:hint="eastAsia" w:ascii="宋体" w:hAnsi="宋体" w:eastAsia="宋体" w:cs="宋体"/>
          <w:sz w:val="24"/>
          <w:szCs w:val="24"/>
        </w:rPr>
      </w:pPr>
    </w:p>
    <w:p w14:paraId="5614D036">
      <w:pPr>
        <w:spacing w:line="360" w:lineRule="auto"/>
        <w:ind w:firstLine="480" w:firstLineChars="200"/>
        <w:rPr>
          <w:rFonts w:hint="eastAsia" w:ascii="宋体" w:hAnsi="宋体" w:eastAsia="宋体" w:cs="宋体"/>
          <w:sz w:val="24"/>
          <w:szCs w:val="24"/>
        </w:rPr>
      </w:pPr>
    </w:p>
    <w:p w14:paraId="3AF9FF18">
      <w:pPr>
        <w:spacing w:line="360" w:lineRule="auto"/>
        <w:ind w:firstLine="480" w:firstLineChars="200"/>
        <w:rPr>
          <w:rFonts w:hint="eastAsia" w:ascii="宋体" w:hAnsi="宋体" w:eastAsia="宋体" w:cs="宋体"/>
          <w:sz w:val="24"/>
          <w:szCs w:val="24"/>
        </w:rPr>
      </w:pPr>
    </w:p>
    <w:p w14:paraId="21F3FF9F">
      <w:pPr>
        <w:widowControl/>
        <w:spacing w:line="360" w:lineRule="auto"/>
        <w:jc w:val="center"/>
        <w:outlineLvl w:val="0"/>
        <w:rPr>
          <w:rFonts w:hint="eastAsia" w:ascii="宋体" w:hAnsi="宋体" w:eastAsia="宋体" w:cs="宋体"/>
          <w:bCs/>
          <w:sz w:val="32"/>
          <w:szCs w:val="32"/>
        </w:rPr>
      </w:pPr>
      <w:bookmarkStart w:id="706" w:name="_Toc15372"/>
      <w:r>
        <w:rPr>
          <w:rFonts w:hint="eastAsia" w:ascii="宋体" w:hAnsi="宋体" w:eastAsia="宋体" w:cs="宋体"/>
          <w:b/>
          <w:bCs/>
          <w:kern w:val="44"/>
          <w:sz w:val="32"/>
          <w:szCs w:val="32"/>
        </w:rPr>
        <w:t>第</w:t>
      </w:r>
      <w:r>
        <w:rPr>
          <w:rFonts w:hint="eastAsia" w:ascii="宋体" w:hAnsi="宋体" w:cs="宋体"/>
          <w:b/>
          <w:bCs/>
          <w:kern w:val="44"/>
          <w:sz w:val="32"/>
          <w:szCs w:val="32"/>
          <w:lang w:val="en-US" w:eastAsia="zh-CN"/>
        </w:rPr>
        <w:t>六</w:t>
      </w:r>
      <w:r>
        <w:rPr>
          <w:rFonts w:hint="eastAsia" w:ascii="宋体" w:hAnsi="宋体" w:eastAsia="宋体" w:cs="宋体"/>
          <w:b/>
          <w:bCs/>
          <w:kern w:val="44"/>
          <w:sz w:val="32"/>
          <w:szCs w:val="32"/>
        </w:rPr>
        <w:t>章  竞争性磋商响应文件格式</w:t>
      </w:r>
      <w:bookmarkEnd w:id="701"/>
      <w:bookmarkEnd w:id="702"/>
      <w:bookmarkEnd w:id="703"/>
      <w:bookmarkEnd w:id="706"/>
    </w:p>
    <w:p w14:paraId="49882BF1">
      <w:pPr>
        <w:spacing w:line="360" w:lineRule="auto"/>
        <w:rPr>
          <w:rFonts w:hint="eastAsia" w:ascii="宋体" w:hAnsi="宋体" w:eastAsia="宋体" w:cs="宋体"/>
          <w:sz w:val="24"/>
          <w:szCs w:val="24"/>
        </w:rPr>
      </w:pPr>
    </w:p>
    <w:p w14:paraId="281CD1F7">
      <w:pPr>
        <w:spacing w:line="360" w:lineRule="auto"/>
        <w:rPr>
          <w:rFonts w:hint="eastAsia" w:ascii="宋体" w:hAnsi="宋体" w:eastAsia="宋体" w:cs="宋体"/>
          <w:sz w:val="24"/>
          <w:szCs w:val="24"/>
        </w:rPr>
      </w:pPr>
    </w:p>
    <w:p w14:paraId="55257859">
      <w:pPr>
        <w:spacing w:line="360" w:lineRule="auto"/>
        <w:rPr>
          <w:rFonts w:hint="eastAsia" w:ascii="宋体" w:hAnsi="宋体" w:eastAsia="宋体" w:cs="宋体"/>
          <w:sz w:val="24"/>
          <w:szCs w:val="24"/>
        </w:rPr>
      </w:pPr>
    </w:p>
    <w:p w14:paraId="3C658CEB">
      <w:pPr>
        <w:spacing w:line="360" w:lineRule="auto"/>
        <w:jc w:val="center"/>
        <w:rPr>
          <w:rFonts w:hint="eastAsia" w:ascii="宋体" w:hAnsi="宋体" w:eastAsia="宋体" w:cs="宋体"/>
          <w:sz w:val="24"/>
          <w:szCs w:val="24"/>
          <w:u w:val="single"/>
          <w:lang w:val="en-US" w:eastAsia="zh-CN"/>
        </w:rPr>
        <w:sectPr>
          <w:pgSz w:w="11906" w:h="16838"/>
          <w:pgMar w:top="1440" w:right="1706" w:bottom="1440" w:left="1800" w:header="851" w:footer="992" w:gutter="0"/>
          <w:pgNumType w:fmt="decimal"/>
          <w:cols w:space="720" w:num="1"/>
          <w:docGrid w:type="lines" w:linePitch="312" w:charSpace="0"/>
        </w:sectPr>
      </w:pPr>
    </w:p>
    <w:p w14:paraId="4BAE2C0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p>
    <w:p w14:paraId="6FE1BF4F">
      <w:pPr>
        <w:spacing w:line="360" w:lineRule="auto"/>
        <w:jc w:val="center"/>
        <w:rPr>
          <w:rFonts w:hint="eastAsia" w:ascii="宋体" w:hAnsi="宋体" w:eastAsia="宋体" w:cs="宋体"/>
          <w:sz w:val="24"/>
          <w:szCs w:val="24"/>
        </w:rPr>
      </w:pPr>
    </w:p>
    <w:p w14:paraId="09DD9635">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响应性文件</w:t>
      </w:r>
    </w:p>
    <w:p w14:paraId="11DF7068">
      <w:pPr>
        <w:spacing w:line="360" w:lineRule="auto"/>
        <w:rPr>
          <w:rFonts w:hint="eastAsia" w:ascii="宋体" w:hAnsi="宋体" w:eastAsia="宋体" w:cs="宋体"/>
          <w:sz w:val="24"/>
          <w:szCs w:val="24"/>
        </w:rPr>
      </w:pPr>
    </w:p>
    <w:p w14:paraId="6FA25E7B">
      <w:pPr>
        <w:spacing w:line="360" w:lineRule="auto"/>
        <w:rPr>
          <w:rFonts w:hint="eastAsia" w:ascii="宋体" w:hAnsi="宋体" w:eastAsia="宋体" w:cs="宋体"/>
          <w:sz w:val="24"/>
          <w:szCs w:val="24"/>
        </w:rPr>
      </w:pPr>
    </w:p>
    <w:p w14:paraId="681D9730">
      <w:pPr>
        <w:spacing w:line="360" w:lineRule="auto"/>
        <w:rPr>
          <w:rFonts w:hint="eastAsia" w:ascii="宋体" w:hAnsi="宋体" w:eastAsia="宋体" w:cs="宋体"/>
          <w:sz w:val="24"/>
          <w:szCs w:val="24"/>
        </w:rPr>
      </w:pPr>
    </w:p>
    <w:p w14:paraId="263CBA02">
      <w:pPr>
        <w:spacing w:line="360" w:lineRule="auto"/>
        <w:rPr>
          <w:rFonts w:hint="eastAsia" w:ascii="宋体" w:hAnsi="宋体" w:eastAsia="宋体" w:cs="宋体"/>
          <w:sz w:val="24"/>
          <w:szCs w:val="24"/>
        </w:rPr>
      </w:pPr>
    </w:p>
    <w:p w14:paraId="75E92543">
      <w:pPr>
        <w:spacing w:line="360" w:lineRule="auto"/>
        <w:rPr>
          <w:rFonts w:hint="eastAsia" w:ascii="宋体" w:hAnsi="宋体" w:eastAsia="宋体" w:cs="宋体"/>
          <w:sz w:val="24"/>
          <w:szCs w:val="24"/>
        </w:rPr>
      </w:pPr>
    </w:p>
    <w:p w14:paraId="4654CEA5">
      <w:pPr>
        <w:spacing w:line="360" w:lineRule="auto"/>
        <w:rPr>
          <w:rFonts w:hint="eastAsia" w:ascii="宋体" w:hAnsi="宋体" w:eastAsia="宋体" w:cs="宋体"/>
          <w:sz w:val="24"/>
          <w:szCs w:val="24"/>
        </w:rPr>
      </w:pPr>
    </w:p>
    <w:p w14:paraId="75FB0942">
      <w:pPr>
        <w:spacing w:line="360" w:lineRule="auto"/>
        <w:jc w:val="left"/>
        <w:rPr>
          <w:rFonts w:hint="eastAsia" w:ascii="宋体" w:hAnsi="宋体" w:eastAsia="宋体" w:cs="宋体"/>
          <w:sz w:val="24"/>
          <w:szCs w:val="24"/>
          <w:lang w:eastAsia="zh-CN"/>
        </w:rPr>
      </w:pPr>
    </w:p>
    <w:p w14:paraId="13C24B1B">
      <w:pPr>
        <w:spacing w:line="360" w:lineRule="auto"/>
        <w:jc w:val="left"/>
        <w:rPr>
          <w:rFonts w:hint="eastAsia" w:ascii="宋体" w:hAnsi="宋体" w:eastAsia="宋体" w:cs="宋体"/>
          <w:sz w:val="24"/>
          <w:szCs w:val="24"/>
          <w:lang w:eastAsia="zh-CN"/>
        </w:rPr>
      </w:pPr>
    </w:p>
    <w:p w14:paraId="4DF2109F">
      <w:pPr>
        <w:spacing w:line="360" w:lineRule="auto"/>
        <w:jc w:val="left"/>
        <w:rPr>
          <w:rFonts w:hint="eastAsia" w:ascii="宋体" w:hAnsi="宋体" w:eastAsia="宋体" w:cs="宋体"/>
          <w:sz w:val="24"/>
          <w:szCs w:val="24"/>
          <w:lang w:eastAsia="zh-CN"/>
        </w:rPr>
      </w:pPr>
    </w:p>
    <w:p w14:paraId="76A1C9BA">
      <w:pPr>
        <w:spacing w:line="360" w:lineRule="auto"/>
        <w:jc w:val="left"/>
        <w:rPr>
          <w:rFonts w:hint="eastAsia" w:ascii="宋体" w:hAnsi="宋体" w:eastAsia="宋体" w:cs="宋体"/>
          <w:sz w:val="24"/>
          <w:szCs w:val="24"/>
          <w:lang w:eastAsia="zh-CN"/>
        </w:rPr>
      </w:pPr>
    </w:p>
    <w:p w14:paraId="54F59EB4">
      <w:pPr>
        <w:spacing w:line="360" w:lineRule="auto"/>
        <w:jc w:val="left"/>
        <w:rPr>
          <w:rFonts w:hint="eastAsia" w:ascii="宋体" w:hAnsi="宋体" w:eastAsia="宋体" w:cs="宋体"/>
          <w:sz w:val="24"/>
          <w:szCs w:val="24"/>
          <w:lang w:eastAsia="zh-CN"/>
        </w:rPr>
      </w:pPr>
    </w:p>
    <w:p w14:paraId="52352C7E">
      <w:pPr>
        <w:spacing w:line="360" w:lineRule="auto"/>
        <w:jc w:val="left"/>
        <w:rPr>
          <w:rFonts w:hint="eastAsia" w:ascii="宋体" w:hAnsi="宋体" w:eastAsia="宋体" w:cs="宋体"/>
          <w:sz w:val="24"/>
          <w:szCs w:val="24"/>
          <w:lang w:eastAsia="zh-CN"/>
        </w:rPr>
      </w:pPr>
    </w:p>
    <w:p w14:paraId="7E364089">
      <w:pPr>
        <w:spacing w:line="360" w:lineRule="auto"/>
        <w:jc w:val="left"/>
        <w:rPr>
          <w:rFonts w:hint="eastAsia" w:ascii="宋体" w:hAnsi="宋体" w:eastAsia="宋体" w:cs="宋体"/>
          <w:sz w:val="24"/>
          <w:szCs w:val="24"/>
          <w:lang w:eastAsia="zh-CN"/>
        </w:rPr>
      </w:pPr>
    </w:p>
    <w:p w14:paraId="71DE27CC">
      <w:pPr>
        <w:spacing w:line="360" w:lineRule="auto"/>
        <w:jc w:val="left"/>
        <w:rPr>
          <w:rFonts w:hint="eastAsia" w:ascii="宋体" w:hAnsi="宋体" w:eastAsia="宋体" w:cs="宋体"/>
          <w:sz w:val="24"/>
          <w:szCs w:val="24"/>
          <w:lang w:eastAsia="zh-CN"/>
        </w:rPr>
      </w:pPr>
    </w:p>
    <w:p w14:paraId="2FE71BDA">
      <w:pPr>
        <w:spacing w:line="360" w:lineRule="auto"/>
        <w:jc w:val="left"/>
        <w:rPr>
          <w:rFonts w:hint="eastAsia" w:ascii="宋体" w:hAnsi="宋体" w:eastAsia="宋体" w:cs="宋体"/>
          <w:sz w:val="24"/>
          <w:szCs w:val="24"/>
          <w:lang w:eastAsia="zh-CN"/>
        </w:rPr>
      </w:pPr>
    </w:p>
    <w:p w14:paraId="3D4935FB">
      <w:pPr>
        <w:spacing w:line="360" w:lineRule="auto"/>
        <w:jc w:val="left"/>
        <w:rPr>
          <w:rFonts w:hint="eastAsia" w:ascii="宋体" w:hAnsi="宋体" w:eastAsia="宋体" w:cs="宋体"/>
          <w:sz w:val="24"/>
          <w:szCs w:val="24"/>
          <w:lang w:eastAsia="zh-CN"/>
        </w:rPr>
      </w:pPr>
    </w:p>
    <w:p w14:paraId="166DCF62">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：（盖单位章）</w:t>
      </w:r>
    </w:p>
    <w:p w14:paraId="19606D8C">
      <w:pPr>
        <w:spacing w:line="360" w:lineRule="auto"/>
        <w:jc w:val="left"/>
        <w:rPr>
          <w:rFonts w:hint="eastAsia" w:ascii="宋体" w:hAnsi="宋体" w:eastAsia="宋体" w:cs="宋体"/>
          <w:sz w:val="24"/>
          <w:szCs w:val="24"/>
          <w:u w:val="single"/>
        </w:rPr>
      </w:pPr>
    </w:p>
    <w:p w14:paraId="3C1EF7AB">
      <w:pPr>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p>
    <w:p w14:paraId="4FEE8572">
      <w:pPr>
        <w:spacing w:line="360" w:lineRule="auto"/>
        <w:jc w:val="left"/>
        <w:rPr>
          <w:rFonts w:hint="eastAsia" w:ascii="宋体" w:hAnsi="宋体" w:eastAsia="宋体" w:cs="宋体"/>
          <w:sz w:val="24"/>
          <w:szCs w:val="24"/>
        </w:rPr>
      </w:pPr>
    </w:p>
    <w:p w14:paraId="49EAA9C2">
      <w:pPr>
        <w:spacing w:line="36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年     月      日</w:t>
      </w:r>
    </w:p>
    <w:p w14:paraId="1F6BF9B0">
      <w:pPr>
        <w:spacing w:line="360" w:lineRule="auto"/>
        <w:rPr>
          <w:rFonts w:hint="eastAsia" w:ascii="宋体" w:hAnsi="宋体" w:eastAsia="宋体" w:cs="宋体"/>
          <w:sz w:val="24"/>
          <w:szCs w:val="24"/>
        </w:rPr>
      </w:pPr>
    </w:p>
    <w:p w14:paraId="61D06006">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br w:type="page"/>
      </w:r>
      <w:bookmarkStart w:id="707" w:name="_Toc152045787"/>
      <w:bookmarkStart w:id="708" w:name="_Toc144974856"/>
      <w:bookmarkStart w:id="709" w:name="_Toc466298157"/>
      <w:bookmarkStart w:id="710" w:name="_Toc152042576"/>
      <w:r>
        <w:rPr>
          <w:rFonts w:hint="eastAsia" w:ascii="宋体" w:hAnsi="宋体" w:eastAsia="宋体" w:cs="宋体"/>
          <w:b/>
          <w:sz w:val="24"/>
          <w:szCs w:val="24"/>
        </w:rPr>
        <w:t>目 录</w:t>
      </w:r>
      <w:bookmarkEnd w:id="707"/>
      <w:bookmarkEnd w:id="708"/>
      <w:bookmarkEnd w:id="709"/>
      <w:bookmarkEnd w:id="710"/>
    </w:p>
    <w:p w14:paraId="07A06113">
      <w:pPr>
        <w:spacing w:line="360" w:lineRule="auto"/>
        <w:ind w:firstLine="708" w:firstLineChars="295"/>
        <w:rPr>
          <w:rFonts w:hint="eastAsia" w:ascii="宋体" w:hAnsi="宋体" w:eastAsia="宋体" w:cs="宋体"/>
          <w:sz w:val="24"/>
          <w:szCs w:val="24"/>
        </w:rPr>
      </w:pPr>
    </w:p>
    <w:p w14:paraId="0E80A2FC">
      <w:pPr>
        <w:spacing w:line="360" w:lineRule="auto"/>
        <w:rPr>
          <w:rFonts w:hint="eastAsia" w:ascii="宋体" w:hAnsi="宋体" w:eastAsia="宋体" w:cs="宋体"/>
          <w:sz w:val="24"/>
          <w:szCs w:val="24"/>
        </w:rPr>
      </w:pPr>
      <w:r>
        <w:rPr>
          <w:rFonts w:hint="eastAsia" w:ascii="宋体" w:hAnsi="宋体" w:eastAsia="宋体" w:cs="宋体"/>
          <w:sz w:val="24"/>
          <w:szCs w:val="24"/>
        </w:rPr>
        <w:t>一、磋商函及磋商函附录</w:t>
      </w:r>
    </w:p>
    <w:p w14:paraId="621089C9">
      <w:pPr>
        <w:spacing w:line="360" w:lineRule="auto"/>
        <w:rPr>
          <w:rFonts w:hint="eastAsia" w:ascii="宋体" w:hAnsi="宋体" w:eastAsia="宋体" w:cs="宋体"/>
          <w:sz w:val="24"/>
          <w:szCs w:val="24"/>
        </w:rPr>
      </w:pPr>
      <w:r>
        <w:rPr>
          <w:rFonts w:hint="eastAsia" w:ascii="宋体" w:hAnsi="宋体" w:eastAsia="宋体" w:cs="宋体"/>
          <w:sz w:val="24"/>
          <w:szCs w:val="24"/>
        </w:rPr>
        <w:t>二、法定代表人身份证明</w:t>
      </w:r>
    </w:p>
    <w:p w14:paraId="772B34AF">
      <w:pPr>
        <w:spacing w:line="360" w:lineRule="auto"/>
        <w:rPr>
          <w:rFonts w:hint="eastAsia" w:ascii="宋体" w:hAnsi="宋体" w:eastAsia="宋体" w:cs="宋体"/>
          <w:sz w:val="24"/>
          <w:szCs w:val="24"/>
        </w:rPr>
      </w:pPr>
      <w:r>
        <w:rPr>
          <w:rFonts w:hint="eastAsia" w:ascii="宋体" w:hAnsi="宋体" w:eastAsia="宋体" w:cs="宋体"/>
          <w:sz w:val="24"/>
          <w:szCs w:val="24"/>
        </w:rPr>
        <w:t>三、授权委托书</w:t>
      </w:r>
    </w:p>
    <w:p w14:paraId="145868E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四、</w:t>
      </w:r>
      <w:r>
        <w:rPr>
          <w:rFonts w:hint="eastAsia" w:ascii="宋体" w:hAnsi="宋体" w:eastAsia="宋体" w:cs="宋体"/>
          <w:sz w:val="24"/>
          <w:szCs w:val="24"/>
          <w:lang w:val="en-US" w:eastAsia="zh-CN"/>
        </w:rPr>
        <w:t>磋商承诺函</w:t>
      </w:r>
    </w:p>
    <w:p w14:paraId="194CEF2A">
      <w:pPr>
        <w:spacing w:line="360" w:lineRule="auto"/>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val="en-US" w:eastAsia="zh-CN"/>
        </w:rPr>
        <w:t>资格审查资料</w:t>
      </w:r>
    </w:p>
    <w:p w14:paraId="3A87A737">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eastAsia="宋体" w:cs="宋体"/>
          <w:sz w:val="24"/>
          <w:szCs w:val="24"/>
        </w:rPr>
        <w:t>、</w:t>
      </w:r>
      <w:r>
        <w:rPr>
          <w:rFonts w:hint="eastAsia" w:ascii="宋体" w:hAnsi="宋体" w:cs="宋体"/>
          <w:sz w:val="24"/>
          <w:szCs w:val="24"/>
          <w:lang w:val="en-US" w:eastAsia="zh-CN"/>
        </w:rPr>
        <w:t>监理大纲</w:t>
      </w:r>
    </w:p>
    <w:p w14:paraId="1093506E">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七</w:t>
      </w:r>
      <w:r>
        <w:rPr>
          <w:rFonts w:hint="eastAsia" w:ascii="宋体" w:hAnsi="宋体" w:eastAsia="宋体" w:cs="宋体"/>
          <w:sz w:val="24"/>
          <w:szCs w:val="24"/>
        </w:rPr>
        <w:t>、</w:t>
      </w:r>
      <w:r>
        <w:rPr>
          <w:rFonts w:hint="eastAsia" w:ascii="宋体" w:hAnsi="宋体" w:cs="宋体"/>
          <w:sz w:val="24"/>
          <w:szCs w:val="24"/>
          <w:lang w:val="en-US" w:eastAsia="zh-CN"/>
        </w:rPr>
        <w:t>其他材料</w:t>
      </w:r>
    </w:p>
    <w:p w14:paraId="7A667400">
      <w:pPr>
        <w:spacing w:line="360" w:lineRule="auto"/>
        <w:rPr>
          <w:rFonts w:hint="eastAsia" w:ascii="宋体" w:hAnsi="宋体" w:eastAsia="宋体" w:cs="宋体"/>
          <w:sz w:val="24"/>
          <w:szCs w:val="24"/>
        </w:rPr>
      </w:pPr>
    </w:p>
    <w:p w14:paraId="659CBBDF">
      <w:pPr>
        <w:spacing w:line="360" w:lineRule="auto"/>
        <w:rPr>
          <w:rFonts w:hint="eastAsia" w:ascii="宋体" w:hAnsi="宋体" w:eastAsia="宋体" w:cs="宋体"/>
          <w:sz w:val="24"/>
          <w:szCs w:val="24"/>
        </w:rPr>
      </w:pPr>
    </w:p>
    <w:p w14:paraId="734C083D">
      <w:pPr>
        <w:spacing w:line="360" w:lineRule="auto"/>
        <w:rPr>
          <w:rFonts w:hint="eastAsia" w:ascii="宋体" w:hAnsi="宋体" w:eastAsia="宋体" w:cs="宋体"/>
          <w:sz w:val="24"/>
          <w:szCs w:val="24"/>
        </w:rPr>
      </w:pPr>
    </w:p>
    <w:p w14:paraId="138658B7">
      <w:pPr>
        <w:spacing w:line="360" w:lineRule="auto"/>
        <w:rPr>
          <w:rFonts w:hint="eastAsia" w:ascii="宋体" w:hAnsi="宋体" w:eastAsia="宋体" w:cs="宋体"/>
          <w:sz w:val="24"/>
          <w:szCs w:val="24"/>
        </w:rPr>
      </w:pPr>
    </w:p>
    <w:p w14:paraId="46ECC9E3">
      <w:pPr>
        <w:spacing w:line="360" w:lineRule="auto"/>
        <w:rPr>
          <w:rFonts w:hint="eastAsia" w:ascii="宋体" w:hAnsi="宋体" w:eastAsia="宋体" w:cs="宋体"/>
          <w:sz w:val="24"/>
          <w:szCs w:val="24"/>
        </w:rPr>
      </w:pPr>
    </w:p>
    <w:p w14:paraId="7DD904AF">
      <w:pPr>
        <w:spacing w:line="360" w:lineRule="auto"/>
        <w:rPr>
          <w:rFonts w:hint="eastAsia" w:ascii="宋体" w:hAnsi="宋体" w:eastAsia="宋体" w:cs="宋体"/>
          <w:sz w:val="24"/>
          <w:szCs w:val="24"/>
        </w:rPr>
      </w:pPr>
    </w:p>
    <w:p w14:paraId="13CF6A28">
      <w:pPr>
        <w:spacing w:line="360" w:lineRule="auto"/>
        <w:rPr>
          <w:rFonts w:hint="eastAsia" w:ascii="宋体" w:hAnsi="宋体" w:eastAsia="宋体" w:cs="宋体"/>
          <w:sz w:val="24"/>
          <w:szCs w:val="24"/>
        </w:rPr>
      </w:pPr>
    </w:p>
    <w:p w14:paraId="52576ADB">
      <w:pPr>
        <w:spacing w:line="360" w:lineRule="auto"/>
        <w:rPr>
          <w:rFonts w:hint="eastAsia" w:ascii="宋体" w:hAnsi="宋体" w:eastAsia="宋体" w:cs="宋体"/>
          <w:sz w:val="24"/>
          <w:szCs w:val="24"/>
        </w:rPr>
      </w:pPr>
    </w:p>
    <w:p w14:paraId="31DD6015">
      <w:pPr>
        <w:spacing w:line="360" w:lineRule="auto"/>
        <w:rPr>
          <w:rFonts w:hint="eastAsia" w:ascii="宋体" w:hAnsi="宋体" w:eastAsia="宋体" w:cs="宋体"/>
          <w:sz w:val="24"/>
          <w:szCs w:val="24"/>
        </w:rPr>
      </w:pPr>
    </w:p>
    <w:p w14:paraId="1B0A2917">
      <w:pPr>
        <w:spacing w:line="360" w:lineRule="auto"/>
        <w:rPr>
          <w:rFonts w:hint="eastAsia" w:ascii="宋体" w:hAnsi="宋体" w:eastAsia="宋体" w:cs="宋体"/>
          <w:sz w:val="24"/>
          <w:szCs w:val="24"/>
        </w:rPr>
      </w:pPr>
    </w:p>
    <w:p w14:paraId="2219BAC2">
      <w:pPr>
        <w:spacing w:line="360" w:lineRule="auto"/>
        <w:rPr>
          <w:rFonts w:hint="eastAsia" w:ascii="宋体" w:hAnsi="宋体" w:eastAsia="宋体" w:cs="宋体"/>
          <w:sz w:val="24"/>
          <w:szCs w:val="24"/>
        </w:rPr>
      </w:pPr>
    </w:p>
    <w:p w14:paraId="3C3C4EDF">
      <w:pPr>
        <w:spacing w:line="360" w:lineRule="auto"/>
        <w:rPr>
          <w:rFonts w:hint="eastAsia" w:ascii="宋体" w:hAnsi="宋体" w:eastAsia="宋体" w:cs="宋体"/>
          <w:sz w:val="24"/>
          <w:szCs w:val="24"/>
        </w:rPr>
      </w:pPr>
    </w:p>
    <w:p w14:paraId="763E108A">
      <w:pPr>
        <w:spacing w:line="360" w:lineRule="auto"/>
        <w:rPr>
          <w:rFonts w:hint="eastAsia" w:ascii="宋体" w:hAnsi="宋体" w:eastAsia="宋体" w:cs="宋体"/>
          <w:sz w:val="24"/>
          <w:szCs w:val="24"/>
        </w:rPr>
      </w:pPr>
    </w:p>
    <w:p w14:paraId="22026482">
      <w:pPr>
        <w:spacing w:line="360" w:lineRule="auto"/>
        <w:rPr>
          <w:rFonts w:hint="eastAsia" w:ascii="宋体" w:hAnsi="宋体" w:eastAsia="宋体" w:cs="宋体"/>
          <w:sz w:val="24"/>
          <w:szCs w:val="24"/>
        </w:rPr>
      </w:pPr>
    </w:p>
    <w:p w14:paraId="20FA08D3">
      <w:pPr>
        <w:spacing w:line="360" w:lineRule="auto"/>
        <w:rPr>
          <w:rFonts w:hint="eastAsia" w:ascii="宋体" w:hAnsi="宋体" w:eastAsia="宋体" w:cs="宋体"/>
          <w:sz w:val="24"/>
          <w:szCs w:val="24"/>
        </w:rPr>
      </w:pPr>
    </w:p>
    <w:p w14:paraId="79589736">
      <w:pPr>
        <w:pStyle w:val="3"/>
        <w:spacing w:line="360" w:lineRule="auto"/>
        <w:jc w:val="center"/>
        <w:rPr>
          <w:rFonts w:hint="eastAsia" w:ascii="宋体" w:hAnsi="宋体" w:eastAsia="宋体" w:cs="宋体"/>
          <w:sz w:val="32"/>
          <w:szCs w:val="32"/>
        </w:rPr>
        <w:sectPr>
          <w:pgSz w:w="11906" w:h="16838"/>
          <w:pgMar w:top="1440" w:right="1706" w:bottom="1440" w:left="1800" w:header="851" w:footer="992" w:gutter="0"/>
          <w:pgNumType w:fmt="decimal"/>
          <w:cols w:space="720" w:num="1"/>
          <w:docGrid w:type="lines" w:linePitch="312" w:charSpace="0"/>
        </w:sectPr>
      </w:pPr>
      <w:bookmarkStart w:id="711" w:name="_Toc152045788"/>
      <w:bookmarkStart w:id="712" w:name="_Toc144974857"/>
      <w:bookmarkStart w:id="713" w:name="_Toc152042577"/>
      <w:bookmarkStart w:id="714" w:name="_Toc15785"/>
      <w:bookmarkStart w:id="715" w:name="_Toc466298158"/>
      <w:bookmarkStart w:id="716" w:name="_Toc10843"/>
    </w:p>
    <w:p w14:paraId="6B54E4D0">
      <w:pPr>
        <w:pStyle w:val="3"/>
        <w:spacing w:line="360" w:lineRule="auto"/>
        <w:jc w:val="center"/>
        <w:rPr>
          <w:rFonts w:hint="eastAsia" w:ascii="宋体" w:hAnsi="宋体" w:eastAsia="宋体" w:cs="宋体"/>
          <w:sz w:val="22"/>
          <w:szCs w:val="22"/>
        </w:rPr>
      </w:pPr>
      <w:r>
        <w:rPr>
          <w:rFonts w:hint="eastAsia" w:ascii="宋体" w:hAnsi="宋体" w:eastAsia="宋体" w:cs="宋体"/>
          <w:sz w:val="32"/>
          <w:szCs w:val="32"/>
        </w:rPr>
        <w:t>一、磋商函及</w:t>
      </w:r>
      <w:bookmarkEnd w:id="711"/>
      <w:bookmarkEnd w:id="712"/>
      <w:bookmarkEnd w:id="713"/>
      <w:r>
        <w:rPr>
          <w:rFonts w:hint="eastAsia" w:ascii="宋体" w:hAnsi="宋体" w:eastAsia="宋体" w:cs="宋体"/>
          <w:sz w:val="32"/>
          <w:szCs w:val="32"/>
        </w:rPr>
        <w:t>磋商函附录</w:t>
      </w:r>
      <w:bookmarkEnd w:id="714"/>
      <w:bookmarkEnd w:id="715"/>
      <w:bookmarkEnd w:id="716"/>
    </w:p>
    <w:p w14:paraId="2B4B2E53">
      <w:pPr>
        <w:spacing w:line="360" w:lineRule="auto"/>
        <w:jc w:val="center"/>
        <w:rPr>
          <w:rFonts w:hint="eastAsia" w:ascii="宋体" w:hAnsi="宋体" w:eastAsia="宋体" w:cs="宋体"/>
          <w:b/>
          <w:sz w:val="28"/>
          <w:szCs w:val="28"/>
        </w:rPr>
      </w:pPr>
      <w:bookmarkStart w:id="717" w:name="_Toc144974858"/>
      <w:bookmarkStart w:id="718" w:name="_Toc152042578"/>
      <w:bookmarkStart w:id="719" w:name="_Toc466298159"/>
      <w:bookmarkStart w:id="720" w:name="_Toc23888"/>
      <w:bookmarkStart w:id="721" w:name="_Toc318450744"/>
      <w:bookmarkStart w:id="722" w:name="_Toc152045789"/>
      <w:bookmarkStart w:id="723" w:name="_Toc8915"/>
      <w:bookmarkStart w:id="724" w:name="_Toc30581"/>
      <w:bookmarkStart w:id="725" w:name="_Toc26262"/>
      <w:bookmarkStart w:id="726" w:name="_Toc455867830"/>
      <w:bookmarkStart w:id="727" w:name="_Toc11855"/>
      <w:bookmarkStart w:id="728" w:name="_Toc455080170"/>
      <w:bookmarkStart w:id="729" w:name="_Toc485131213"/>
      <w:bookmarkStart w:id="730" w:name="_Toc18705"/>
      <w:r>
        <w:rPr>
          <w:rFonts w:hint="eastAsia" w:ascii="宋体" w:hAnsi="宋体" w:eastAsia="宋体" w:cs="宋体"/>
          <w:b/>
          <w:sz w:val="28"/>
          <w:szCs w:val="28"/>
        </w:rPr>
        <w:t>（一）磋商函</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8FD2D72">
      <w:pPr>
        <w:spacing w:line="360" w:lineRule="auto"/>
        <w:rPr>
          <w:rFonts w:hint="eastAsia" w:ascii="宋体" w:hAnsi="宋体" w:eastAsia="宋体" w:cs="宋体"/>
          <w:b/>
          <w:sz w:val="24"/>
          <w:szCs w:val="24"/>
          <w:highlight w:val="none"/>
          <w:u w:val="single"/>
        </w:rPr>
      </w:pPr>
      <w:r>
        <w:rPr>
          <w:rFonts w:hint="eastAsia" w:ascii="宋体" w:hAnsi="宋体" w:eastAsia="宋体" w:cs="宋体"/>
          <w:b/>
          <w:sz w:val="24"/>
          <w:szCs w:val="24"/>
        </w:rPr>
        <w:t>致：</w:t>
      </w:r>
      <w:r>
        <w:rPr>
          <w:rFonts w:hint="eastAsia" w:ascii="宋体" w:hAnsi="宋体" w:eastAsia="宋体" w:cs="宋体"/>
          <w:b/>
          <w:sz w:val="24"/>
          <w:szCs w:val="24"/>
          <w:highlight w:val="none"/>
          <w:u w:val="single"/>
        </w:rPr>
        <w:t>（</w:t>
      </w:r>
      <w:r>
        <w:rPr>
          <w:rFonts w:hint="eastAsia" w:ascii="宋体" w:hAnsi="宋体" w:eastAsia="宋体" w:cs="宋体"/>
          <w:b/>
          <w:sz w:val="24"/>
          <w:szCs w:val="24"/>
          <w:highlight w:val="none"/>
          <w:u w:val="single"/>
          <w:lang w:val="en-US" w:eastAsia="zh-CN"/>
        </w:rPr>
        <w:t>采购</w:t>
      </w:r>
      <w:r>
        <w:rPr>
          <w:rFonts w:hint="eastAsia" w:ascii="宋体" w:hAnsi="宋体" w:eastAsia="宋体" w:cs="宋体"/>
          <w:b/>
          <w:sz w:val="24"/>
          <w:szCs w:val="24"/>
          <w:highlight w:val="none"/>
          <w:u w:val="single"/>
        </w:rPr>
        <w:t>人）</w:t>
      </w:r>
    </w:p>
    <w:p w14:paraId="12F08386">
      <w:pPr>
        <w:numPr>
          <w:ilvl w:val="0"/>
          <w:numId w:val="5"/>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我方己仔细研究了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（项目名称）竞争性磋商文件的全部内容，愿意以</w:t>
      </w:r>
      <w:r>
        <w:rPr>
          <w:rFonts w:hint="eastAsia" w:ascii="宋体" w:hAnsi="宋体" w:cs="宋体"/>
          <w:sz w:val="24"/>
          <w:szCs w:val="24"/>
          <w:highlight w:val="none"/>
          <w:lang w:val="en-US" w:eastAsia="zh-CN"/>
        </w:rPr>
        <w:t>大写：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（小写：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的报价进行首次磋商</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监理服务期限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，按合同约定实施和完成承包工程，质量达到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5E5D7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有效期内不修改、撤销响应文</w:t>
      </w:r>
      <w:bookmarkStart w:id="760" w:name="_GoBack"/>
      <w:bookmarkEnd w:id="760"/>
      <w:r>
        <w:rPr>
          <w:rFonts w:hint="eastAsia" w:ascii="宋体" w:hAnsi="宋体" w:eastAsia="宋体" w:cs="宋体"/>
          <w:sz w:val="24"/>
          <w:szCs w:val="24"/>
          <w:highlight w:val="none"/>
        </w:rPr>
        <w:t>件。</w:t>
      </w:r>
    </w:p>
    <w:p w14:paraId="3F7F873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3．如我方中标：</w:t>
      </w:r>
    </w:p>
    <w:p w14:paraId="254CF2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(l）我方承诺在收到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w:t>
      </w:r>
      <w:r>
        <w:rPr>
          <w:rFonts w:hint="eastAsia" w:ascii="宋体" w:hAnsi="宋体" w:eastAsia="宋体" w:cs="宋体"/>
          <w:sz w:val="24"/>
          <w:szCs w:val="24"/>
        </w:rPr>
        <w:t>定的期限内与你方签订合同。</w:t>
      </w:r>
    </w:p>
    <w:p w14:paraId="3EB449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w:t>
      </w:r>
      <w:r>
        <w:rPr>
          <w:rFonts w:hint="eastAsia" w:ascii="宋体" w:hAnsi="宋体" w:cs="宋体"/>
          <w:sz w:val="24"/>
          <w:szCs w:val="24"/>
          <w:lang w:eastAsia="zh-CN"/>
        </w:rPr>
        <w:t>磋商函</w:t>
      </w:r>
      <w:r>
        <w:rPr>
          <w:rFonts w:hint="eastAsia" w:ascii="宋体" w:hAnsi="宋体" w:eastAsia="宋体" w:cs="宋体"/>
          <w:sz w:val="24"/>
          <w:szCs w:val="24"/>
        </w:rPr>
        <w:t>属于合同文件的组成部分。</w:t>
      </w:r>
    </w:p>
    <w:p w14:paraId="70B9209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14:paraId="2D290E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（4）我方承诺，若我方中标将支付本项目招标代理服务费。</w:t>
      </w:r>
    </w:p>
    <w:p w14:paraId="0DC8FC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4．我方在此声明，所递交的响应文件及有关资料内容完整、真实和准确。</w:t>
      </w:r>
    </w:p>
    <w:p w14:paraId="7FE8B7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 </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14:paraId="7C4A1DCA">
      <w:pPr>
        <w:spacing w:line="360" w:lineRule="auto"/>
        <w:ind w:firstLine="480" w:firstLineChars="200"/>
        <w:rPr>
          <w:rFonts w:hint="eastAsia" w:ascii="宋体" w:hAnsi="宋体" w:eastAsia="宋体" w:cs="宋体"/>
          <w:sz w:val="24"/>
          <w:szCs w:val="24"/>
        </w:rPr>
      </w:pPr>
    </w:p>
    <w:p w14:paraId="40C94CB3">
      <w:pPr>
        <w:spacing w:line="360" w:lineRule="auto"/>
        <w:ind w:firstLine="480" w:firstLineChars="200"/>
        <w:rPr>
          <w:rFonts w:hint="eastAsia" w:ascii="宋体" w:hAnsi="宋体" w:eastAsia="宋体" w:cs="宋体"/>
          <w:sz w:val="24"/>
          <w:szCs w:val="24"/>
        </w:rPr>
      </w:pPr>
    </w:p>
    <w:p w14:paraId="332B5A1C">
      <w:pPr>
        <w:spacing w:line="360" w:lineRule="auto"/>
        <w:ind w:firstLine="480" w:firstLineChars="200"/>
        <w:rPr>
          <w:rFonts w:hint="eastAsia" w:ascii="宋体" w:hAnsi="宋体" w:eastAsia="宋体" w:cs="宋体"/>
          <w:sz w:val="24"/>
          <w:szCs w:val="24"/>
        </w:rPr>
      </w:pPr>
    </w:p>
    <w:p w14:paraId="5EE6C4D8">
      <w:pPr>
        <w:spacing w:line="360" w:lineRule="auto"/>
        <w:jc w:val="righ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057858D8">
      <w:pPr>
        <w:spacing w:line="360" w:lineRule="auto"/>
        <w:jc w:val="righ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p>
    <w:p w14:paraId="4F08ACB3">
      <w:pPr>
        <w:spacing w:line="360" w:lineRule="auto"/>
        <w:ind w:firstLine="4920" w:firstLineChars="20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099DC37">
      <w:pPr>
        <w:spacing w:line="360" w:lineRule="auto"/>
        <w:jc w:val="both"/>
        <w:rPr>
          <w:rFonts w:hint="eastAsia" w:ascii="宋体" w:hAnsi="宋体" w:eastAsia="宋体" w:cs="宋体"/>
          <w:b/>
          <w:sz w:val="32"/>
          <w:szCs w:val="32"/>
          <w:highlight w:val="none"/>
        </w:rPr>
      </w:pPr>
      <w:bookmarkStart w:id="731" w:name="_Toc485131214"/>
    </w:p>
    <w:p w14:paraId="5759C556">
      <w:pPr>
        <w:spacing w:line="360" w:lineRule="auto"/>
        <w:jc w:val="center"/>
        <w:rPr>
          <w:rFonts w:hint="eastAsia" w:ascii="宋体" w:hAnsi="宋体" w:eastAsia="宋体" w:cs="宋体"/>
          <w:b/>
          <w:sz w:val="28"/>
          <w:szCs w:val="28"/>
          <w:highlight w:val="none"/>
        </w:rPr>
        <w:sectPr>
          <w:pgSz w:w="11906" w:h="16838"/>
          <w:pgMar w:top="1440" w:right="1706" w:bottom="1440" w:left="1800" w:header="851" w:footer="992" w:gutter="0"/>
          <w:pgNumType w:fmt="decimal"/>
          <w:cols w:space="720" w:num="1"/>
          <w:docGrid w:type="lines" w:linePitch="312" w:charSpace="0"/>
        </w:sectPr>
      </w:pPr>
    </w:p>
    <w:p w14:paraId="7CF53F2E">
      <w:pPr>
        <w:spacing w:line="360" w:lineRule="auto"/>
        <w:jc w:val="center"/>
        <w:rPr>
          <w:rFonts w:hint="eastAsia" w:ascii="宋体" w:hAnsi="宋体" w:eastAsia="宋体" w:cs="宋体"/>
          <w:b/>
          <w:sz w:val="22"/>
          <w:szCs w:val="22"/>
          <w:highlight w:val="none"/>
        </w:rPr>
      </w:pPr>
      <w:r>
        <w:rPr>
          <w:rFonts w:hint="eastAsia" w:ascii="宋体" w:hAnsi="宋体" w:eastAsia="宋体" w:cs="宋体"/>
          <w:b/>
          <w:sz w:val="28"/>
          <w:szCs w:val="28"/>
          <w:highlight w:val="none"/>
        </w:rPr>
        <w:t>（二）磋商函附录</w:t>
      </w:r>
      <w:bookmarkEnd w:id="731"/>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7017"/>
      </w:tblGrid>
      <w:tr w14:paraId="20ED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46F0BCB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7017" w:type="dxa"/>
            <w:noWrap w:val="0"/>
            <w:vAlign w:val="center"/>
          </w:tcPr>
          <w:p w14:paraId="3831E38A">
            <w:pPr>
              <w:spacing w:line="360" w:lineRule="auto"/>
              <w:jc w:val="center"/>
              <w:rPr>
                <w:rFonts w:hint="eastAsia" w:ascii="宋体" w:hAnsi="宋体" w:eastAsia="宋体" w:cs="宋体"/>
                <w:color w:val="000000"/>
                <w:sz w:val="24"/>
                <w:szCs w:val="24"/>
              </w:rPr>
            </w:pPr>
          </w:p>
        </w:tc>
      </w:tr>
      <w:tr w14:paraId="57DB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15DFE9EE">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供应商名称</w:t>
            </w:r>
          </w:p>
        </w:tc>
        <w:tc>
          <w:tcPr>
            <w:tcW w:w="7017" w:type="dxa"/>
            <w:noWrap w:val="0"/>
            <w:vAlign w:val="center"/>
          </w:tcPr>
          <w:p w14:paraId="7796480B">
            <w:pPr>
              <w:spacing w:line="360" w:lineRule="auto"/>
              <w:jc w:val="center"/>
              <w:rPr>
                <w:rFonts w:hint="eastAsia" w:ascii="宋体" w:hAnsi="宋体" w:eastAsia="宋体" w:cs="宋体"/>
                <w:color w:val="000000"/>
                <w:sz w:val="24"/>
                <w:szCs w:val="24"/>
              </w:rPr>
            </w:pPr>
          </w:p>
        </w:tc>
      </w:tr>
      <w:tr w14:paraId="0BC7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791EF04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范围</w:t>
            </w:r>
          </w:p>
        </w:tc>
        <w:tc>
          <w:tcPr>
            <w:tcW w:w="7017" w:type="dxa"/>
            <w:noWrap w:val="0"/>
            <w:vAlign w:val="center"/>
          </w:tcPr>
          <w:p w14:paraId="01E99979">
            <w:pPr>
              <w:spacing w:line="360" w:lineRule="auto"/>
              <w:jc w:val="center"/>
              <w:rPr>
                <w:rFonts w:hint="eastAsia" w:ascii="宋体" w:hAnsi="宋体" w:eastAsia="宋体" w:cs="宋体"/>
                <w:color w:val="000000"/>
                <w:sz w:val="24"/>
                <w:szCs w:val="24"/>
              </w:rPr>
            </w:pPr>
          </w:p>
        </w:tc>
      </w:tr>
      <w:tr w14:paraId="63A6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24555E66">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首次）</w:t>
            </w:r>
          </w:p>
        </w:tc>
        <w:tc>
          <w:tcPr>
            <w:tcW w:w="7017" w:type="dxa"/>
            <w:noWrap w:val="0"/>
            <w:vAlign w:val="center"/>
          </w:tcPr>
          <w:p w14:paraId="2F95BF9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                      </w:t>
            </w:r>
          </w:p>
          <w:p w14:paraId="0F382CF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小写：</w:t>
            </w:r>
          </w:p>
        </w:tc>
      </w:tr>
      <w:tr w14:paraId="32C6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4B315160">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监理服务期限</w:t>
            </w:r>
          </w:p>
        </w:tc>
        <w:tc>
          <w:tcPr>
            <w:tcW w:w="7017" w:type="dxa"/>
            <w:noWrap w:val="0"/>
            <w:vAlign w:val="center"/>
          </w:tcPr>
          <w:p w14:paraId="673E1126">
            <w:pPr>
              <w:spacing w:line="360" w:lineRule="auto"/>
              <w:rPr>
                <w:rFonts w:hint="eastAsia" w:ascii="宋体" w:hAnsi="宋体" w:eastAsia="宋体" w:cs="宋体"/>
                <w:color w:val="000000"/>
                <w:sz w:val="24"/>
                <w:szCs w:val="24"/>
              </w:rPr>
            </w:pPr>
          </w:p>
        </w:tc>
      </w:tr>
      <w:tr w14:paraId="10B2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4D73F42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w:t>
            </w:r>
          </w:p>
        </w:tc>
        <w:tc>
          <w:tcPr>
            <w:tcW w:w="7017" w:type="dxa"/>
            <w:noWrap w:val="0"/>
            <w:vAlign w:val="center"/>
          </w:tcPr>
          <w:p w14:paraId="33B13FFF">
            <w:pPr>
              <w:spacing w:line="360" w:lineRule="auto"/>
              <w:rPr>
                <w:rFonts w:hint="eastAsia" w:ascii="宋体" w:hAnsi="宋体" w:eastAsia="宋体" w:cs="宋体"/>
                <w:color w:val="000000"/>
                <w:sz w:val="24"/>
                <w:szCs w:val="24"/>
              </w:rPr>
            </w:pPr>
          </w:p>
        </w:tc>
      </w:tr>
      <w:tr w14:paraId="0F54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3F01899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磋商有效期</w:t>
            </w:r>
          </w:p>
        </w:tc>
        <w:tc>
          <w:tcPr>
            <w:tcW w:w="7017" w:type="dxa"/>
            <w:noWrap w:val="0"/>
            <w:vAlign w:val="center"/>
          </w:tcPr>
          <w:p w14:paraId="2DD960E9">
            <w:pPr>
              <w:spacing w:line="360" w:lineRule="auto"/>
              <w:rPr>
                <w:rFonts w:hint="eastAsia" w:ascii="宋体" w:hAnsi="宋体" w:eastAsia="宋体" w:cs="宋体"/>
                <w:color w:val="000000"/>
                <w:sz w:val="24"/>
                <w:szCs w:val="24"/>
              </w:rPr>
            </w:pPr>
          </w:p>
        </w:tc>
      </w:tr>
      <w:tr w14:paraId="3E12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16D2F8B4">
            <w:pPr>
              <w:pStyle w:val="39"/>
              <w:spacing w:line="360" w:lineRule="auto"/>
              <w:jc w:val="center"/>
              <w:rPr>
                <w:rFonts w:hint="eastAsia" w:ascii="宋体" w:hAnsi="宋体" w:eastAsia="宋体" w:cs="宋体"/>
                <w:sz w:val="24"/>
                <w:szCs w:val="24"/>
                <w:lang w:val="en-US" w:eastAsia="zh-CN"/>
              </w:rPr>
            </w:pPr>
            <w:r>
              <w:rPr>
                <w:rFonts w:hint="eastAsia" w:hAnsi="宋体" w:cs="宋体"/>
                <w:color w:val="auto"/>
                <w:sz w:val="24"/>
                <w:szCs w:val="24"/>
                <w:lang w:eastAsia="zh-CN"/>
              </w:rPr>
              <w:t>采购需求</w:t>
            </w:r>
          </w:p>
        </w:tc>
        <w:tc>
          <w:tcPr>
            <w:tcW w:w="7017" w:type="dxa"/>
            <w:noWrap w:val="0"/>
            <w:vAlign w:val="center"/>
          </w:tcPr>
          <w:p w14:paraId="19AE91F4">
            <w:pPr>
              <w:pStyle w:val="39"/>
              <w:spacing w:line="360" w:lineRule="auto"/>
              <w:jc w:val="center"/>
              <w:rPr>
                <w:rFonts w:hint="eastAsia" w:ascii="宋体" w:hAnsi="宋体" w:eastAsia="宋体" w:cs="宋体"/>
                <w:color w:val="000000"/>
                <w:sz w:val="24"/>
                <w:szCs w:val="24"/>
              </w:rPr>
            </w:pPr>
            <w:r>
              <w:rPr>
                <w:rFonts w:hint="eastAsia" w:ascii="宋体" w:hAnsi="宋体" w:eastAsia="宋体" w:cs="宋体"/>
                <w:color w:val="auto"/>
                <w:sz w:val="24"/>
                <w:szCs w:val="24"/>
              </w:rPr>
              <w:t>符合第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章“</w:t>
            </w:r>
            <w:r>
              <w:rPr>
                <w:rFonts w:hint="eastAsia" w:hAnsi="宋体" w:cs="宋体"/>
                <w:color w:val="auto"/>
                <w:sz w:val="24"/>
                <w:szCs w:val="24"/>
                <w:lang w:eastAsia="zh-CN"/>
              </w:rPr>
              <w:t>采购需求</w:t>
            </w:r>
            <w:r>
              <w:rPr>
                <w:rFonts w:hint="eastAsia" w:ascii="宋体" w:hAnsi="宋体" w:eastAsia="宋体" w:cs="宋体"/>
                <w:color w:val="auto"/>
                <w:sz w:val="24"/>
                <w:szCs w:val="24"/>
              </w:rPr>
              <w:t>”规定</w:t>
            </w:r>
          </w:p>
        </w:tc>
      </w:tr>
      <w:tr w14:paraId="00A4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911" w:type="dxa"/>
            <w:noWrap w:val="0"/>
            <w:vAlign w:val="center"/>
          </w:tcPr>
          <w:p w14:paraId="510AA41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017" w:type="dxa"/>
            <w:noWrap w:val="0"/>
            <w:vAlign w:val="center"/>
          </w:tcPr>
          <w:p w14:paraId="67B0AC82">
            <w:pPr>
              <w:spacing w:line="360" w:lineRule="auto"/>
              <w:jc w:val="center"/>
              <w:rPr>
                <w:rFonts w:hint="eastAsia" w:ascii="宋体" w:hAnsi="宋体" w:eastAsia="宋体" w:cs="宋体"/>
                <w:color w:val="000000"/>
                <w:sz w:val="24"/>
                <w:szCs w:val="24"/>
              </w:rPr>
            </w:pPr>
          </w:p>
          <w:p w14:paraId="73BAD1D7">
            <w:pPr>
              <w:spacing w:line="360" w:lineRule="auto"/>
              <w:jc w:val="center"/>
              <w:rPr>
                <w:rFonts w:hint="eastAsia" w:ascii="宋体" w:hAnsi="宋体" w:eastAsia="宋体" w:cs="宋体"/>
                <w:color w:val="000000"/>
                <w:sz w:val="24"/>
                <w:szCs w:val="24"/>
              </w:rPr>
            </w:pPr>
          </w:p>
        </w:tc>
      </w:tr>
    </w:tbl>
    <w:p w14:paraId="31AD7EA8">
      <w:pPr>
        <w:keepNext w:val="0"/>
        <w:keepLines w:val="0"/>
        <w:widowControl/>
        <w:suppressLineNumbers w:val="0"/>
        <w:jc w:val="left"/>
      </w:pPr>
      <w:r>
        <w:rPr>
          <w:rFonts w:ascii="仿宋" w:hAnsi="仿宋" w:eastAsia="仿宋" w:cs="仿宋"/>
          <w:b/>
          <w:bCs/>
          <w:color w:val="1C1B10"/>
          <w:kern w:val="0"/>
          <w:sz w:val="24"/>
          <w:szCs w:val="24"/>
          <w:lang w:val="en-US" w:eastAsia="zh-CN" w:bidi="ar"/>
        </w:rPr>
        <w:t>注：</w:t>
      </w:r>
      <w:r>
        <w:rPr>
          <w:rFonts w:hint="eastAsia" w:ascii="仿宋" w:hAnsi="仿宋" w:eastAsia="仿宋" w:cs="仿宋"/>
          <w:b/>
          <w:bCs/>
          <w:color w:val="1C1B10"/>
          <w:kern w:val="0"/>
          <w:sz w:val="24"/>
          <w:szCs w:val="24"/>
          <w:lang w:val="en-US" w:eastAsia="zh-CN" w:bidi="ar"/>
        </w:rPr>
        <w:t>第二轮报价将予以远程报价。供应商登录远程开标项目，在评审过程中收到远程报价通知时，即可远程在线报价，第二轮报价时间为 30 分钟因逾期或超时报价，将默认初次报价为最终报价。</w:t>
      </w:r>
    </w:p>
    <w:p w14:paraId="0E81F833">
      <w:pPr>
        <w:keepNext w:val="0"/>
        <w:keepLines w:val="0"/>
        <w:widowControl/>
        <w:suppressLineNumbers w:val="0"/>
        <w:jc w:val="left"/>
      </w:pPr>
    </w:p>
    <w:p w14:paraId="4C863F5C">
      <w:pPr>
        <w:keepNext w:val="0"/>
        <w:keepLines w:val="0"/>
        <w:widowControl/>
        <w:suppressLineNumbers w:val="0"/>
        <w:jc w:val="left"/>
        <w:rPr>
          <w:rFonts w:hint="eastAsia" w:ascii="仿宋" w:hAnsi="仿宋" w:eastAsia="仿宋" w:cs="仿宋"/>
          <w:b/>
          <w:bCs/>
          <w:color w:val="1C1B10"/>
          <w:kern w:val="0"/>
          <w:sz w:val="24"/>
          <w:szCs w:val="24"/>
          <w:lang w:val="en-US" w:eastAsia="zh-CN" w:bidi="ar"/>
        </w:rPr>
      </w:pPr>
    </w:p>
    <w:p w14:paraId="7E847FF8">
      <w:pPr>
        <w:pStyle w:val="10"/>
        <w:rPr>
          <w:rFonts w:hint="eastAsia"/>
        </w:rPr>
      </w:pPr>
    </w:p>
    <w:p w14:paraId="08BB75AF">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p>
    <w:p w14:paraId="3F6DFEB0">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名称（盖单位公章）：</w:t>
      </w:r>
    </w:p>
    <w:p w14:paraId="75FF7687">
      <w:pPr>
        <w:spacing w:line="360" w:lineRule="auto"/>
        <w:rPr>
          <w:rFonts w:hint="eastAsia" w:ascii="宋体" w:hAnsi="宋体" w:eastAsia="宋体" w:cs="宋体"/>
          <w:sz w:val="24"/>
          <w:szCs w:val="24"/>
        </w:rPr>
      </w:pPr>
      <w:r>
        <w:rPr>
          <w:rFonts w:hint="eastAsia" w:ascii="宋体" w:hAnsi="宋体" w:eastAsia="宋体" w:cs="宋体"/>
          <w:sz w:val="24"/>
          <w:szCs w:val="24"/>
        </w:rPr>
        <w:t>日      期：</w:t>
      </w:r>
    </w:p>
    <w:p w14:paraId="6CA3ABB1">
      <w:pPr>
        <w:spacing w:line="360" w:lineRule="auto"/>
        <w:rPr>
          <w:rFonts w:hint="eastAsia" w:ascii="宋体" w:hAnsi="宋体" w:eastAsia="宋体" w:cs="宋体"/>
          <w:sz w:val="24"/>
          <w:szCs w:val="24"/>
        </w:rPr>
      </w:pPr>
    </w:p>
    <w:p w14:paraId="084FFF3C">
      <w:pPr>
        <w:spacing w:line="360" w:lineRule="auto"/>
        <w:rPr>
          <w:rFonts w:hint="eastAsia" w:ascii="宋体" w:hAnsi="宋体" w:eastAsia="宋体" w:cs="宋体"/>
          <w:sz w:val="24"/>
          <w:szCs w:val="24"/>
        </w:rPr>
      </w:pPr>
    </w:p>
    <w:p w14:paraId="3BDAFB34">
      <w:pPr>
        <w:pStyle w:val="3"/>
        <w:jc w:val="center"/>
        <w:rPr>
          <w:rFonts w:hint="eastAsia" w:ascii="宋体" w:hAnsi="宋体" w:eastAsia="宋体" w:cs="宋体"/>
          <w:sz w:val="28"/>
          <w:szCs w:val="28"/>
        </w:rPr>
        <w:sectPr>
          <w:pgSz w:w="11906" w:h="16838"/>
          <w:pgMar w:top="1440" w:right="1706" w:bottom="1440" w:left="1800" w:header="851" w:footer="992" w:gutter="0"/>
          <w:pgNumType w:fmt="decimal"/>
          <w:cols w:space="720" w:num="1"/>
          <w:docGrid w:type="lines" w:linePitch="312" w:charSpace="0"/>
        </w:sectPr>
      </w:pPr>
      <w:bookmarkStart w:id="732" w:name="_Toc27099"/>
      <w:bookmarkStart w:id="733" w:name="_Toc26833"/>
    </w:p>
    <w:p w14:paraId="5355415F">
      <w:pPr>
        <w:pStyle w:val="3"/>
        <w:jc w:val="center"/>
        <w:rPr>
          <w:rFonts w:hint="eastAsia" w:ascii="宋体" w:hAnsi="宋体" w:eastAsia="宋体" w:cs="宋体"/>
          <w:sz w:val="22"/>
          <w:szCs w:val="22"/>
        </w:rPr>
      </w:pPr>
      <w:r>
        <w:rPr>
          <w:rFonts w:hint="eastAsia" w:ascii="宋体" w:hAnsi="宋体" w:eastAsia="宋体" w:cs="宋体"/>
          <w:sz w:val="28"/>
          <w:szCs w:val="28"/>
        </w:rPr>
        <w:t>二、法定代表人身份证明</w:t>
      </w:r>
      <w:bookmarkEnd w:id="732"/>
      <w:bookmarkEnd w:id="733"/>
    </w:p>
    <w:p w14:paraId="3758B9F0">
      <w:pPr>
        <w:autoSpaceDE w:val="0"/>
        <w:autoSpaceDN w:val="0"/>
        <w:adjustRightInd w:val="0"/>
        <w:spacing w:line="360" w:lineRule="auto"/>
        <w:jc w:val="center"/>
        <w:rPr>
          <w:rFonts w:hint="eastAsia" w:ascii="宋体" w:hAnsi="宋体" w:eastAsia="宋体" w:cs="宋体"/>
          <w:kern w:val="0"/>
          <w:sz w:val="24"/>
          <w:szCs w:val="24"/>
        </w:rPr>
      </w:pPr>
    </w:p>
    <w:p w14:paraId="7A2EF9B3">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0E1A833E">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单位性质：</w:t>
      </w:r>
      <w:r>
        <w:rPr>
          <w:rFonts w:hint="eastAsia" w:ascii="宋体" w:hAnsi="宋体" w:eastAsia="宋体" w:cs="宋体"/>
          <w:kern w:val="0"/>
          <w:sz w:val="24"/>
          <w:szCs w:val="24"/>
          <w:u w:val="single"/>
        </w:rPr>
        <w:t xml:space="preserve">                                  </w:t>
      </w:r>
    </w:p>
    <w:p w14:paraId="63709013">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p>
    <w:p w14:paraId="6BDE7D29">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6D7C17CE">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经营期限：</w:t>
      </w:r>
      <w:r>
        <w:rPr>
          <w:rFonts w:hint="eastAsia" w:ascii="宋体" w:hAnsi="宋体" w:eastAsia="宋体" w:cs="宋体"/>
          <w:kern w:val="0"/>
          <w:sz w:val="24"/>
          <w:szCs w:val="24"/>
          <w:u w:val="single"/>
        </w:rPr>
        <w:t xml:space="preserve">                         </w:t>
      </w:r>
    </w:p>
    <w:p w14:paraId="24A21FB2">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职务：</w:t>
      </w:r>
      <w:r>
        <w:rPr>
          <w:rFonts w:hint="eastAsia" w:ascii="宋体" w:hAnsi="宋体" w:eastAsia="宋体" w:cs="宋体"/>
          <w:kern w:val="0"/>
          <w:sz w:val="24"/>
          <w:szCs w:val="24"/>
          <w:u w:val="single"/>
        </w:rPr>
        <w:t xml:space="preserve">         </w:t>
      </w:r>
    </w:p>
    <w:p w14:paraId="3D60767C">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名称）的法定代表人。</w:t>
      </w:r>
    </w:p>
    <w:p w14:paraId="68A464C5">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77F8AB25">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419F8A66">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0897219D">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附：法定代表人身份证明</w:t>
      </w:r>
    </w:p>
    <w:p w14:paraId="0BB26D40">
      <w:pPr>
        <w:autoSpaceDE w:val="0"/>
        <w:autoSpaceDN w:val="0"/>
        <w:adjustRightInd w:val="0"/>
        <w:spacing w:line="360" w:lineRule="auto"/>
        <w:ind w:firstLine="3084" w:firstLineChars="1285"/>
        <w:jc w:val="right"/>
        <w:rPr>
          <w:rFonts w:hint="eastAsia" w:ascii="宋体" w:hAnsi="宋体" w:eastAsia="宋体" w:cs="宋体"/>
          <w:kern w:val="0"/>
          <w:sz w:val="24"/>
          <w:szCs w:val="24"/>
        </w:rPr>
      </w:pPr>
    </w:p>
    <w:p w14:paraId="54D78FD3">
      <w:pPr>
        <w:autoSpaceDE w:val="0"/>
        <w:autoSpaceDN w:val="0"/>
        <w:adjustRightInd w:val="0"/>
        <w:spacing w:line="360" w:lineRule="auto"/>
        <w:ind w:firstLine="3084" w:firstLineChars="1285"/>
        <w:jc w:val="right"/>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（盖单位公章）</w:t>
      </w:r>
    </w:p>
    <w:p w14:paraId="542F9D80">
      <w:pPr>
        <w:wordWrap w:val="0"/>
        <w:autoSpaceDE w:val="0"/>
        <w:autoSpaceDN w:val="0"/>
        <w:adjustRightInd w:val="0"/>
        <w:spacing w:line="360" w:lineRule="auto"/>
        <w:ind w:firstLine="3084" w:firstLineChars="1285"/>
        <w:jc w:val="righ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BF4970A">
      <w:pPr>
        <w:autoSpaceDE w:val="0"/>
        <w:autoSpaceDN w:val="0"/>
        <w:adjustRightInd w:val="0"/>
        <w:spacing w:line="360" w:lineRule="auto"/>
        <w:jc w:val="left"/>
        <w:rPr>
          <w:rFonts w:hint="eastAsia" w:ascii="宋体" w:hAnsi="宋体" w:eastAsia="宋体" w:cs="宋体"/>
          <w:kern w:val="0"/>
          <w:sz w:val="24"/>
          <w:szCs w:val="24"/>
        </w:rPr>
      </w:pPr>
    </w:p>
    <w:p w14:paraId="243A7AF5">
      <w:pPr>
        <w:autoSpaceDE w:val="0"/>
        <w:autoSpaceDN w:val="0"/>
        <w:adjustRightInd w:val="0"/>
        <w:spacing w:line="360" w:lineRule="auto"/>
        <w:jc w:val="left"/>
        <w:rPr>
          <w:rFonts w:hint="eastAsia" w:ascii="宋体" w:hAnsi="宋体" w:eastAsia="宋体" w:cs="宋体"/>
          <w:kern w:val="0"/>
          <w:sz w:val="24"/>
          <w:szCs w:val="24"/>
        </w:rPr>
      </w:pPr>
    </w:p>
    <w:p w14:paraId="1F710B9B">
      <w:pPr>
        <w:autoSpaceDE w:val="0"/>
        <w:autoSpaceDN w:val="0"/>
        <w:adjustRightInd w:val="0"/>
        <w:spacing w:line="360" w:lineRule="auto"/>
        <w:jc w:val="left"/>
        <w:rPr>
          <w:rFonts w:hint="eastAsia" w:ascii="宋体" w:hAnsi="宋体" w:eastAsia="宋体" w:cs="宋体"/>
          <w:kern w:val="0"/>
          <w:sz w:val="24"/>
          <w:szCs w:val="24"/>
        </w:rPr>
      </w:pPr>
    </w:p>
    <w:p w14:paraId="58211626">
      <w:pPr>
        <w:autoSpaceDE w:val="0"/>
        <w:autoSpaceDN w:val="0"/>
        <w:adjustRightInd w:val="0"/>
        <w:spacing w:line="360" w:lineRule="auto"/>
        <w:jc w:val="left"/>
        <w:rPr>
          <w:rFonts w:hint="eastAsia" w:ascii="宋体" w:hAnsi="宋体" w:eastAsia="宋体" w:cs="宋体"/>
          <w:kern w:val="0"/>
          <w:sz w:val="24"/>
          <w:szCs w:val="24"/>
        </w:rPr>
      </w:pPr>
    </w:p>
    <w:p w14:paraId="44B2EB1F">
      <w:pPr>
        <w:autoSpaceDE w:val="0"/>
        <w:autoSpaceDN w:val="0"/>
        <w:adjustRightInd w:val="0"/>
        <w:spacing w:line="360" w:lineRule="auto"/>
        <w:jc w:val="left"/>
        <w:rPr>
          <w:rFonts w:hint="eastAsia" w:ascii="宋体" w:hAnsi="宋体" w:eastAsia="宋体" w:cs="宋体"/>
          <w:kern w:val="0"/>
          <w:sz w:val="24"/>
          <w:szCs w:val="24"/>
        </w:rPr>
      </w:pPr>
    </w:p>
    <w:p w14:paraId="670DCFD0">
      <w:pPr>
        <w:autoSpaceDE w:val="0"/>
        <w:autoSpaceDN w:val="0"/>
        <w:adjustRightInd w:val="0"/>
        <w:spacing w:line="360" w:lineRule="auto"/>
        <w:jc w:val="left"/>
        <w:rPr>
          <w:rFonts w:hint="eastAsia" w:ascii="宋体" w:hAnsi="宋体" w:eastAsia="宋体" w:cs="宋体"/>
          <w:kern w:val="0"/>
          <w:sz w:val="24"/>
          <w:szCs w:val="24"/>
          <w:lang w:val="en-US" w:eastAsia="zh-CN"/>
        </w:rPr>
        <w:sectPr>
          <w:pgSz w:w="11906" w:h="16838"/>
          <w:pgMar w:top="1440" w:right="1706" w:bottom="1440" w:left="1800" w:header="851" w:footer="992" w:gutter="0"/>
          <w:pgNumType w:fmt="decimal"/>
          <w:cols w:space="720" w:num="1"/>
          <w:docGrid w:type="lines" w:linePitch="312" w:charSpace="0"/>
        </w:sectPr>
      </w:pPr>
      <w:r>
        <w:rPr>
          <w:rFonts w:hint="eastAsia" w:ascii="宋体" w:hAnsi="宋体" w:cs="宋体"/>
          <w:kern w:val="0"/>
          <w:sz w:val="24"/>
          <w:szCs w:val="24"/>
          <w:lang w:val="en-US" w:eastAsia="zh-CN"/>
        </w:rPr>
        <w:t xml:space="preserve"> </w:t>
      </w:r>
    </w:p>
    <w:p w14:paraId="53BCA2F8">
      <w:pPr>
        <w:pStyle w:val="3"/>
        <w:jc w:val="center"/>
        <w:rPr>
          <w:rFonts w:hint="eastAsia" w:ascii="宋体" w:hAnsi="宋体" w:eastAsia="宋体" w:cs="宋体"/>
          <w:sz w:val="28"/>
          <w:szCs w:val="28"/>
        </w:rPr>
      </w:pPr>
      <w:bookmarkStart w:id="734" w:name="_Toc24770"/>
      <w:bookmarkStart w:id="735" w:name="_Toc13216"/>
      <w:r>
        <w:rPr>
          <w:rFonts w:hint="eastAsia" w:ascii="宋体" w:hAnsi="宋体" w:eastAsia="宋体" w:cs="宋体"/>
          <w:sz w:val="28"/>
          <w:szCs w:val="28"/>
        </w:rPr>
        <w:t>三、授权委托书</w:t>
      </w:r>
      <w:bookmarkEnd w:id="734"/>
      <w:bookmarkEnd w:id="735"/>
    </w:p>
    <w:p w14:paraId="4407027E">
      <w:pPr>
        <w:autoSpaceDE w:val="0"/>
        <w:autoSpaceDN w:val="0"/>
        <w:adjustRightInd w:val="0"/>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 xml:space="preserve">本人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名称）的法定代表人，现委托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（姓名）为我方代理人。代理人根据授权，以我方名义签署、澄清、说明、补正、递交、撤回、修改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竞争性磋商响应文件、签订合同和处理有关事宜，其法律后果由我方承担。</w:t>
      </w:r>
    </w:p>
    <w:p w14:paraId="3C0C6730">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委托期限：</w:t>
      </w:r>
      <w:r>
        <w:rPr>
          <w:rFonts w:hint="eastAsia" w:ascii="宋体" w:hAnsi="宋体" w:eastAsia="宋体" w:cs="宋体"/>
          <w:kern w:val="0"/>
          <w:sz w:val="24"/>
          <w:szCs w:val="24"/>
        </w:rPr>
        <w:t>自本授权委托书签署之日起至磋商有效期满。</w:t>
      </w:r>
    </w:p>
    <w:p w14:paraId="3A3EC7AB">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代理人无转委托权。</w:t>
      </w:r>
    </w:p>
    <w:p w14:paraId="1D23381B">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附：法定代表人及授权委托人身份证明</w:t>
      </w:r>
    </w:p>
    <w:p w14:paraId="102D5804">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71BB9E9C">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14:paraId="58F715AA">
      <w:pPr>
        <w:autoSpaceDE w:val="0"/>
        <w:autoSpaceDN w:val="0"/>
        <w:adjustRightInd w:val="0"/>
        <w:spacing w:line="360" w:lineRule="auto"/>
        <w:ind w:firstLine="3700" w:firstLineChars="1542"/>
        <w:jc w:val="left"/>
        <w:rPr>
          <w:rFonts w:hint="eastAsia" w:ascii="宋体" w:hAnsi="宋体" w:eastAsia="宋体" w:cs="宋体"/>
          <w:kern w:val="0"/>
          <w:sz w:val="24"/>
          <w:szCs w:val="24"/>
        </w:rPr>
      </w:pPr>
    </w:p>
    <w:p w14:paraId="4FB7B1E5">
      <w:pPr>
        <w:autoSpaceDE w:val="0"/>
        <w:autoSpaceDN w:val="0"/>
        <w:adjustRightInd w:val="0"/>
        <w:spacing w:line="360" w:lineRule="auto"/>
        <w:ind w:firstLine="3700" w:firstLineChars="1542"/>
        <w:jc w:val="left"/>
        <w:rPr>
          <w:rFonts w:hint="eastAsia" w:ascii="宋体" w:hAnsi="宋体" w:eastAsia="宋体" w:cs="宋体"/>
          <w:kern w:val="0"/>
          <w:sz w:val="24"/>
          <w:szCs w:val="24"/>
        </w:rPr>
      </w:pPr>
    </w:p>
    <w:p w14:paraId="341CFB58">
      <w:pPr>
        <w:autoSpaceDE w:val="0"/>
        <w:autoSpaceDN w:val="0"/>
        <w:adjustRightInd w:val="0"/>
        <w:spacing w:line="360" w:lineRule="auto"/>
        <w:ind w:firstLine="3700" w:firstLineChars="1542"/>
        <w:jc w:val="left"/>
        <w:rPr>
          <w:rFonts w:hint="eastAsia" w:ascii="宋体" w:hAnsi="宋体" w:eastAsia="宋体" w:cs="宋体"/>
          <w:kern w:val="0"/>
          <w:sz w:val="24"/>
          <w:szCs w:val="24"/>
        </w:rPr>
      </w:pPr>
    </w:p>
    <w:p w14:paraId="46B96A07">
      <w:pPr>
        <w:autoSpaceDE w:val="0"/>
        <w:autoSpaceDN w:val="0"/>
        <w:adjustRightInd w:val="0"/>
        <w:spacing w:line="360" w:lineRule="auto"/>
        <w:ind w:firstLine="3700" w:firstLineChars="1542"/>
        <w:jc w:val="left"/>
        <w:rPr>
          <w:rFonts w:hint="eastAsia" w:ascii="宋体" w:hAnsi="宋体" w:eastAsia="宋体" w:cs="宋体"/>
          <w:kern w:val="0"/>
          <w:sz w:val="24"/>
          <w:szCs w:val="24"/>
        </w:rPr>
      </w:pPr>
    </w:p>
    <w:p w14:paraId="490F640C">
      <w:pPr>
        <w:autoSpaceDE w:val="0"/>
        <w:autoSpaceDN w:val="0"/>
        <w:adjustRightInd w:val="0"/>
        <w:spacing w:line="360" w:lineRule="auto"/>
        <w:ind w:firstLine="3700" w:firstLineChars="1542"/>
        <w:jc w:val="left"/>
        <w:rPr>
          <w:rFonts w:hint="eastAsia" w:ascii="宋体" w:hAnsi="宋体" w:eastAsia="宋体" w:cs="宋体"/>
          <w:kern w:val="0"/>
          <w:sz w:val="24"/>
          <w:szCs w:val="24"/>
        </w:rPr>
      </w:pPr>
    </w:p>
    <w:p w14:paraId="7BE9E098">
      <w:pPr>
        <w:autoSpaceDE w:val="0"/>
        <w:autoSpaceDN w:val="0"/>
        <w:adjustRightInd w:val="0"/>
        <w:spacing w:line="360" w:lineRule="auto"/>
        <w:ind w:firstLine="3700" w:firstLineChars="1542"/>
        <w:jc w:val="left"/>
        <w:rPr>
          <w:rFonts w:hint="eastAsia" w:ascii="宋体" w:hAnsi="宋体" w:eastAsia="宋体" w:cs="宋体"/>
          <w:kern w:val="0"/>
          <w:sz w:val="24"/>
          <w:szCs w:val="24"/>
        </w:rPr>
      </w:pPr>
    </w:p>
    <w:p w14:paraId="66D018EA">
      <w:pPr>
        <w:autoSpaceDE w:val="0"/>
        <w:autoSpaceDN w:val="0"/>
        <w:adjustRightInd w:val="0"/>
        <w:spacing w:line="360" w:lineRule="auto"/>
        <w:ind w:firstLine="3700" w:firstLineChars="1542"/>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（盖单位公章）</w:t>
      </w:r>
    </w:p>
    <w:p w14:paraId="3F59572F">
      <w:pPr>
        <w:autoSpaceDE w:val="0"/>
        <w:autoSpaceDN w:val="0"/>
        <w:adjustRightInd w:val="0"/>
        <w:spacing w:line="360" w:lineRule="auto"/>
        <w:ind w:firstLine="3700" w:firstLineChars="1542"/>
        <w:jc w:val="left"/>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（签字</w:t>
      </w:r>
      <w:r>
        <w:rPr>
          <w:rFonts w:hint="eastAsia" w:ascii="宋体" w:hAnsi="宋体" w:eastAsia="宋体" w:cs="宋体"/>
          <w:kern w:val="0"/>
          <w:sz w:val="24"/>
          <w:szCs w:val="24"/>
          <w:lang w:val="en-US" w:eastAsia="zh-CN"/>
        </w:rPr>
        <w:t>或盖章</w:t>
      </w:r>
      <w:r>
        <w:rPr>
          <w:rFonts w:hint="eastAsia" w:ascii="宋体" w:hAnsi="宋体" w:eastAsia="宋体" w:cs="宋体"/>
          <w:kern w:val="0"/>
          <w:sz w:val="24"/>
          <w:szCs w:val="24"/>
        </w:rPr>
        <w:t>）</w:t>
      </w:r>
    </w:p>
    <w:p w14:paraId="0DB6DCC8">
      <w:pPr>
        <w:autoSpaceDE w:val="0"/>
        <w:autoSpaceDN w:val="0"/>
        <w:adjustRightInd w:val="0"/>
        <w:spacing w:line="360" w:lineRule="auto"/>
        <w:ind w:firstLine="3700" w:firstLineChars="1542"/>
        <w:jc w:val="left"/>
        <w:rPr>
          <w:rFonts w:hint="eastAsia"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p>
    <w:p w14:paraId="4F3A7356">
      <w:pPr>
        <w:autoSpaceDE w:val="0"/>
        <w:autoSpaceDN w:val="0"/>
        <w:adjustRightInd w:val="0"/>
        <w:spacing w:line="360" w:lineRule="auto"/>
        <w:ind w:firstLine="3700" w:firstLineChars="1542"/>
        <w:jc w:val="left"/>
        <w:rPr>
          <w:rFonts w:hint="eastAsia" w:ascii="宋体" w:hAnsi="宋体" w:eastAsia="宋体" w:cs="宋体"/>
          <w:kern w:val="0"/>
          <w:sz w:val="24"/>
          <w:szCs w:val="24"/>
        </w:rPr>
      </w:pPr>
      <w:r>
        <w:rPr>
          <w:rFonts w:hint="eastAsia" w:ascii="宋体" w:hAnsi="宋体" w:eastAsia="宋体" w:cs="宋体"/>
          <w:kern w:val="0"/>
          <w:sz w:val="24"/>
          <w:szCs w:val="24"/>
        </w:rPr>
        <w:t>委托代理人：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r>
        <w:rPr>
          <w:rFonts w:hint="eastAsia" w:ascii="宋体" w:hAnsi="宋体" w:eastAsia="宋体" w:cs="宋体"/>
          <w:kern w:val="0"/>
          <w:sz w:val="24"/>
          <w:szCs w:val="24"/>
          <w:lang w:val="en-US" w:eastAsia="zh-CN"/>
        </w:rPr>
        <w:t>或盖章</w:t>
      </w:r>
      <w:r>
        <w:rPr>
          <w:rFonts w:hint="eastAsia" w:ascii="宋体" w:hAnsi="宋体" w:eastAsia="宋体" w:cs="宋体"/>
          <w:kern w:val="0"/>
          <w:sz w:val="24"/>
          <w:szCs w:val="24"/>
        </w:rPr>
        <w:t>）</w:t>
      </w:r>
    </w:p>
    <w:p w14:paraId="53BE95CE">
      <w:pPr>
        <w:autoSpaceDE w:val="0"/>
        <w:autoSpaceDN w:val="0"/>
        <w:adjustRightInd w:val="0"/>
        <w:spacing w:line="360" w:lineRule="auto"/>
        <w:ind w:firstLine="3700" w:firstLineChars="1542"/>
        <w:jc w:val="left"/>
        <w:rPr>
          <w:rFonts w:hint="eastAsia"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p>
    <w:p w14:paraId="3CB15517">
      <w:pPr>
        <w:autoSpaceDE w:val="0"/>
        <w:autoSpaceDN w:val="0"/>
        <w:adjustRightInd w:val="0"/>
        <w:spacing w:line="360" w:lineRule="auto"/>
        <w:ind w:firstLine="3700" w:firstLineChars="1542"/>
        <w:jc w:val="left"/>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日</w:t>
      </w:r>
    </w:p>
    <w:p w14:paraId="074B41B4">
      <w:pPr>
        <w:pStyle w:val="3"/>
        <w:spacing w:before="120" w:after="120" w:line="360" w:lineRule="auto"/>
        <w:jc w:val="both"/>
        <w:rPr>
          <w:rFonts w:hint="eastAsia" w:ascii="宋体" w:hAnsi="宋体" w:eastAsia="宋体" w:cs="宋体"/>
          <w:sz w:val="32"/>
          <w:szCs w:val="32"/>
          <w:highlight w:val="none"/>
        </w:rPr>
      </w:pPr>
      <w:bookmarkStart w:id="736" w:name="_Toc425752591"/>
      <w:bookmarkStart w:id="737" w:name="_Toc466298164"/>
      <w:bookmarkStart w:id="738" w:name="_Toc7623"/>
      <w:bookmarkStart w:id="739" w:name="_Toc16176"/>
      <w:bookmarkStart w:id="740" w:name="_Toc144974862"/>
      <w:bookmarkStart w:id="741" w:name="_Toc441791193"/>
    </w:p>
    <w:p w14:paraId="7DD9218B">
      <w:pPr>
        <w:rPr>
          <w:rFonts w:hint="eastAsia" w:ascii="宋体" w:hAnsi="宋体" w:eastAsia="宋体" w:cs="宋体"/>
          <w:sz w:val="32"/>
          <w:szCs w:val="32"/>
          <w:highlight w:val="none"/>
        </w:rPr>
      </w:pPr>
    </w:p>
    <w:p w14:paraId="6F75C107">
      <w:pPr>
        <w:pStyle w:val="3"/>
        <w:jc w:val="center"/>
        <w:rPr>
          <w:rFonts w:hint="eastAsia" w:ascii="宋体" w:hAnsi="宋体" w:eastAsia="宋体" w:cs="宋体"/>
          <w:sz w:val="28"/>
          <w:szCs w:val="28"/>
          <w:lang w:val="en-US" w:eastAsia="zh-CN"/>
        </w:rPr>
      </w:pPr>
      <w:r>
        <w:rPr>
          <w:rFonts w:hint="eastAsia" w:ascii="宋体" w:hAnsi="宋体" w:eastAsia="宋体" w:cs="宋体"/>
          <w:sz w:val="28"/>
          <w:szCs w:val="28"/>
        </w:rPr>
        <w:t>四、</w:t>
      </w:r>
      <w:bookmarkEnd w:id="736"/>
      <w:bookmarkEnd w:id="737"/>
      <w:bookmarkEnd w:id="738"/>
      <w:bookmarkEnd w:id="739"/>
      <w:r>
        <w:rPr>
          <w:rFonts w:hint="eastAsia" w:ascii="宋体" w:hAnsi="宋体" w:eastAsia="宋体" w:cs="宋体"/>
          <w:sz w:val="28"/>
          <w:szCs w:val="28"/>
          <w:lang w:val="en-US" w:eastAsia="zh-CN"/>
        </w:rPr>
        <w:t>磋商承诺函</w:t>
      </w:r>
    </w:p>
    <w:p w14:paraId="32A27AB3">
      <w:pPr>
        <w:pStyle w:val="19"/>
        <w:spacing w:before="0" w:beforeAutospacing="0" w:after="0" w:afterAutospacing="0" w:line="360" w:lineRule="auto"/>
        <w:jc w:val="both"/>
        <w:rPr>
          <w:rFonts w:hint="eastAsia" w:ascii="宋体" w:hAnsi="宋体" w:eastAsia="宋体" w:cs="宋体"/>
          <w:sz w:val="24"/>
          <w:szCs w:val="24"/>
        </w:rPr>
      </w:pPr>
      <w:bookmarkStart w:id="742" w:name="_Toc31678"/>
      <w:r>
        <w:rPr>
          <w:rFonts w:hint="eastAsia" w:ascii="宋体" w:hAnsi="宋体" w:eastAsia="宋体" w:cs="宋体"/>
          <w:sz w:val="24"/>
          <w:szCs w:val="24"/>
        </w:rPr>
        <w:t>致</w:t>
      </w:r>
      <w:r>
        <w:rPr>
          <w:rFonts w:hint="eastAsia" w:ascii="宋体" w:hAnsi="宋体" w:eastAsia="宋体" w:cs="宋体"/>
          <w:sz w:val="24"/>
          <w:szCs w:val="24"/>
          <w:u w:val="single"/>
        </w:rPr>
        <w:t>（采购人）</w:t>
      </w:r>
      <w:r>
        <w:rPr>
          <w:rFonts w:hint="eastAsia" w:ascii="宋体" w:hAnsi="宋体" w:eastAsia="宋体" w:cs="宋体"/>
          <w:spacing w:val="8"/>
          <w:sz w:val="24"/>
          <w:szCs w:val="24"/>
        </w:rPr>
        <w:t>：</w:t>
      </w:r>
    </w:p>
    <w:p w14:paraId="45F50595">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我公司作为本次采购项目的供应商，根据磋商文件要求，现郑重承诺如下：</w:t>
      </w:r>
    </w:p>
    <w:p w14:paraId="250E997F">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一、具备《中华人民共和国政府采购法》第二十二条第一款和本项目规定的条件：</w:t>
      </w:r>
    </w:p>
    <w:p w14:paraId="6E05B059">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（一）具有独立承担民事责任的能力； 　　</w:t>
      </w:r>
    </w:p>
    <w:p w14:paraId="097469FD">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（二）具有良好的商业信誉和健全的财务会计制度； 　</w:t>
      </w:r>
    </w:p>
    <w:p w14:paraId="7CFE87A6">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（三）具有履行合同所必需的设备和专业技术能力； 　　</w:t>
      </w:r>
    </w:p>
    <w:p w14:paraId="36ABA048">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（四）有依法缴纳税收和社会保障资金的良好记录； 　　</w:t>
      </w:r>
    </w:p>
    <w:p w14:paraId="56C1D8C8">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（五）参加政府采购活动前三年内，在经营活动中没有重大违法记录；</w:t>
      </w:r>
    </w:p>
    <w:p w14:paraId="24B885DA">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（六）法律、行政法规规定的其他条件；</w:t>
      </w:r>
    </w:p>
    <w:p w14:paraId="5BE21309">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（七）根据采购项目提出的特殊条件。</w:t>
      </w:r>
    </w:p>
    <w:p w14:paraId="7B690183">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pacing w:val="8"/>
          <w:sz w:val="24"/>
          <w:szCs w:val="24"/>
        </w:rPr>
        <w:t>二、完全接受和满足本项目磋商文件中规定的实质性要求，如对磋商文件有异议，已经在</w:t>
      </w:r>
      <w:r>
        <w:rPr>
          <w:rFonts w:hint="eastAsia" w:ascii="宋体" w:hAnsi="宋体" w:eastAsia="宋体" w:cs="宋体"/>
          <w:sz w:val="24"/>
          <w:szCs w:val="24"/>
        </w:rPr>
        <w:t>提交响应文件截止</w:t>
      </w:r>
      <w:r>
        <w:rPr>
          <w:rFonts w:hint="eastAsia" w:ascii="宋体" w:hAnsi="宋体" w:eastAsia="宋体" w:cs="宋体"/>
          <w:spacing w:val="8"/>
          <w:sz w:val="24"/>
          <w:szCs w:val="24"/>
        </w:rPr>
        <w:t>时间届满前依法进行维权，不存在对磋商文件有异议同时又参加投标以求侥幸中标或者为实现其他非法目的的行为。</w:t>
      </w:r>
    </w:p>
    <w:p w14:paraId="301C003D">
      <w:pPr>
        <w:pStyle w:val="19"/>
        <w:spacing w:before="0" w:beforeAutospacing="0" w:after="0" w:afterAutospacing="0" w:line="360" w:lineRule="auto"/>
        <w:ind w:left="0" w:leftChars="0" w:firstLine="512" w:firstLineChars="200"/>
        <w:rPr>
          <w:rFonts w:hint="eastAsia" w:ascii="宋体" w:hAnsi="宋体" w:eastAsia="宋体" w:cs="宋体"/>
          <w:sz w:val="24"/>
          <w:szCs w:val="24"/>
        </w:rPr>
      </w:pPr>
      <w:r>
        <w:rPr>
          <w:rFonts w:hint="eastAsia" w:ascii="宋体" w:hAnsi="宋体" w:eastAsia="宋体" w:cs="宋体"/>
          <w:spacing w:val="8"/>
          <w:sz w:val="24"/>
          <w:szCs w:val="24"/>
        </w:rPr>
        <w:t>三、参加本次磋商活动，不存在与单位负责人为同一人或者存在直接控股、管理关系的其他供应商参与同一合同项下的政府采购活动的行为。</w:t>
      </w:r>
    </w:p>
    <w:p w14:paraId="42A00CBF">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cs="宋体"/>
          <w:spacing w:val="8"/>
          <w:sz w:val="24"/>
          <w:szCs w:val="24"/>
          <w:lang w:val="en-US" w:eastAsia="zh-CN"/>
        </w:rPr>
        <w:t>四</w:t>
      </w:r>
      <w:r>
        <w:rPr>
          <w:rFonts w:hint="eastAsia" w:ascii="宋体" w:hAnsi="宋体" w:eastAsia="宋体" w:cs="宋体"/>
          <w:spacing w:val="8"/>
          <w:sz w:val="24"/>
          <w:szCs w:val="24"/>
        </w:rPr>
        <w:t>、参加本次磋商活动，不存在和其他供应商在同一合同项下的采购项目中，同时委托同一个自然人、同一家庭的人员、同一单位的人员作为代理人的行为。</w:t>
      </w:r>
    </w:p>
    <w:p w14:paraId="736A8B81">
      <w:pPr>
        <w:pStyle w:val="19"/>
        <w:spacing w:before="0" w:beforeAutospacing="0" w:after="0" w:afterAutospacing="0" w:line="360" w:lineRule="auto"/>
        <w:ind w:firstLine="480"/>
        <w:rPr>
          <w:rFonts w:hint="eastAsia" w:ascii="宋体" w:hAnsi="宋体" w:eastAsia="宋体" w:cs="宋体"/>
          <w:sz w:val="24"/>
          <w:szCs w:val="24"/>
        </w:rPr>
      </w:pPr>
      <w:r>
        <w:rPr>
          <w:rFonts w:hint="eastAsia" w:ascii="宋体" w:hAnsi="宋体" w:cs="宋体"/>
          <w:spacing w:val="8"/>
          <w:sz w:val="24"/>
          <w:szCs w:val="24"/>
          <w:lang w:val="en-US" w:eastAsia="zh-CN"/>
        </w:rPr>
        <w:t>五</w:t>
      </w:r>
      <w:r>
        <w:rPr>
          <w:rFonts w:hint="eastAsia" w:ascii="宋体" w:hAnsi="宋体" w:eastAsia="宋体" w:cs="宋体"/>
          <w:spacing w:val="8"/>
          <w:sz w:val="24"/>
          <w:szCs w:val="24"/>
        </w:rPr>
        <w:t>、供应商参加本次政府采购活动要求在近三年内供应商和其法定代表人没有行贿犯罪行为。</w:t>
      </w:r>
    </w:p>
    <w:p w14:paraId="7B18C624">
      <w:pPr>
        <w:pStyle w:val="19"/>
        <w:spacing w:before="0" w:beforeAutospacing="0" w:after="0" w:afterAutospacing="0" w:line="360" w:lineRule="auto"/>
        <w:ind w:firstLine="480"/>
        <w:rPr>
          <w:rFonts w:hint="eastAsia" w:ascii="宋体" w:hAnsi="宋体" w:eastAsia="宋体" w:cs="宋体"/>
          <w:spacing w:val="8"/>
          <w:sz w:val="24"/>
          <w:szCs w:val="24"/>
        </w:rPr>
      </w:pPr>
      <w:r>
        <w:rPr>
          <w:rFonts w:hint="eastAsia" w:ascii="宋体" w:hAnsi="宋体" w:cs="宋体"/>
          <w:spacing w:val="8"/>
          <w:sz w:val="24"/>
          <w:szCs w:val="24"/>
          <w:lang w:val="en-US" w:eastAsia="zh-CN"/>
        </w:rPr>
        <w:t>六</w:t>
      </w:r>
      <w:r>
        <w:rPr>
          <w:rFonts w:hint="eastAsia" w:ascii="宋体" w:hAnsi="宋体" w:eastAsia="宋体" w:cs="宋体"/>
          <w:spacing w:val="8"/>
          <w:sz w:val="24"/>
          <w:szCs w:val="24"/>
        </w:rPr>
        <w:t xml:space="preserve">、参加本次招标采购活动，不存在联合体投标。 </w:t>
      </w:r>
    </w:p>
    <w:p w14:paraId="5C9D0964">
      <w:pPr>
        <w:pStyle w:val="19"/>
        <w:spacing w:before="0" w:beforeAutospacing="0" w:after="0" w:afterAutospacing="0" w:line="360" w:lineRule="auto"/>
        <w:ind w:firstLine="256" w:firstLineChars="100"/>
        <w:jc w:val="both"/>
        <w:rPr>
          <w:rFonts w:hint="eastAsia" w:ascii="宋体" w:hAnsi="宋体" w:eastAsia="宋体" w:cs="宋体"/>
          <w:sz w:val="24"/>
          <w:szCs w:val="24"/>
        </w:rPr>
      </w:pPr>
      <w:r>
        <w:rPr>
          <w:rFonts w:hint="eastAsia" w:ascii="宋体" w:hAnsi="宋体" w:eastAsia="宋体" w:cs="宋体"/>
          <w:spacing w:val="8"/>
          <w:sz w:val="24"/>
          <w:szCs w:val="24"/>
        </w:rPr>
        <w:t xml:space="preserve"> </w:t>
      </w:r>
      <w:r>
        <w:rPr>
          <w:rFonts w:hint="eastAsia" w:ascii="宋体" w:hAnsi="宋体" w:cs="宋体"/>
          <w:spacing w:val="8"/>
          <w:sz w:val="24"/>
          <w:szCs w:val="24"/>
          <w:lang w:val="en-US" w:eastAsia="zh-CN"/>
        </w:rPr>
        <w:t>七</w:t>
      </w:r>
      <w:r>
        <w:rPr>
          <w:rFonts w:hint="eastAsia" w:ascii="宋体" w:hAnsi="宋体" w:eastAsia="宋体" w:cs="宋体"/>
          <w:spacing w:val="8"/>
          <w:sz w:val="24"/>
          <w:szCs w:val="24"/>
        </w:rPr>
        <w:t>、存在以下行为之一的愿意接受相关部门的处理：</w:t>
      </w:r>
    </w:p>
    <w:p w14:paraId="55ED70D6">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（一）投标有效期内撤销</w:t>
      </w:r>
      <w:r>
        <w:rPr>
          <w:rFonts w:hint="eastAsia" w:ascii="宋体" w:hAnsi="宋体" w:cs="宋体"/>
          <w:spacing w:val="8"/>
          <w:sz w:val="24"/>
          <w:szCs w:val="24"/>
          <w:lang w:eastAsia="zh-CN"/>
        </w:rPr>
        <w:t>响应文件</w:t>
      </w:r>
      <w:r>
        <w:rPr>
          <w:rFonts w:hint="eastAsia" w:ascii="宋体" w:hAnsi="宋体" w:eastAsia="宋体" w:cs="宋体"/>
          <w:spacing w:val="8"/>
          <w:sz w:val="24"/>
          <w:szCs w:val="24"/>
        </w:rPr>
        <w:t>的；</w:t>
      </w:r>
    </w:p>
    <w:p w14:paraId="54931C5B">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（二）在采购人确定中标人以前放弃中标候选资格的；</w:t>
      </w:r>
    </w:p>
    <w:p w14:paraId="4C472E20">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（三）由于中标人的原因未能按照磋商文件的规定与采购人签订合同；</w:t>
      </w:r>
    </w:p>
    <w:p w14:paraId="364DE8BB">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（四）由于中标人的原因未能按照磋商文件的规定交纳履约保证金；</w:t>
      </w:r>
    </w:p>
    <w:p w14:paraId="643FA5FB">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（五）在</w:t>
      </w:r>
      <w:r>
        <w:rPr>
          <w:rFonts w:hint="eastAsia" w:ascii="宋体" w:hAnsi="宋体" w:cs="宋体"/>
          <w:spacing w:val="8"/>
          <w:sz w:val="24"/>
          <w:szCs w:val="24"/>
          <w:lang w:eastAsia="zh-CN"/>
        </w:rPr>
        <w:t>响应文件</w:t>
      </w:r>
      <w:r>
        <w:rPr>
          <w:rFonts w:hint="eastAsia" w:ascii="宋体" w:hAnsi="宋体" w:eastAsia="宋体" w:cs="宋体"/>
          <w:spacing w:val="8"/>
          <w:sz w:val="24"/>
          <w:szCs w:val="24"/>
        </w:rPr>
        <w:t>中提供虚假材料谋取中标；</w:t>
      </w:r>
    </w:p>
    <w:p w14:paraId="583E63C0">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（六）与采购人、其他供应商或者采购代理机构恶意串通的；</w:t>
      </w:r>
    </w:p>
    <w:p w14:paraId="69787FCE">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（七）投标有效期内，供应商在政府采购活动中有违法、违规、违纪行为。</w:t>
      </w:r>
    </w:p>
    <w:p w14:paraId="758BDD68">
      <w:pPr>
        <w:pStyle w:val="19"/>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pacing w:val="8"/>
          <w:sz w:val="24"/>
          <w:szCs w:val="24"/>
        </w:rPr>
        <w:t> 由此产生的一切法律后果和责任由我公司承担。我公司声明放弃对此提出任何异议和追索的权利。</w:t>
      </w:r>
    </w:p>
    <w:p w14:paraId="251ED116">
      <w:pPr>
        <w:pStyle w:val="19"/>
        <w:spacing w:before="0" w:beforeAutospacing="0" w:after="0" w:afterAutospacing="0" w:line="360" w:lineRule="auto"/>
        <w:ind w:firstLine="690"/>
        <w:jc w:val="both"/>
        <w:rPr>
          <w:rFonts w:hint="eastAsia" w:ascii="宋体" w:hAnsi="宋体" w:eastAsia="宋体" w:cs="宋体"/>
          <w:sz w:val="24"/>
          <w:szCs w:val="24"/>
        </w:rPr>
      </w:pPr>
      <w:r>
        <w:rPr>
          <w:rFonts w:hint="eastAsia" w:ascii="宋体" w:hAnsi="宋体" w:eastAsia="宋体" w:cs="宋体"/>
          <w:spacing w:val="8"/>
          <w:sz w:val="24"/>
          <w:szCs w:val="24"/>
        </w:rPr>
        <w:t>本公司对上述承诺的内容事项真实性负责。如经查实上述承诺的内容事项存在虚假，我公司愿意接受以提供虚假材料谋取中标追究法律责任。</w:t>
      </w:r>
    </w:p>
    <w:p w14:paraId="11284C55">
      <w:pPr>
        <w:pStyle w:val="19"/>
        <w:spacing w:before="0" w:beforeAutospacing="0" w:after="0" w:afterAutospacing="0" w:line="360" w:lineRule="auto"/>
        <w:rPr>
          <w:rFonts w:hint="eastAsia" w:ascii="宋体" w:hAnsi="宋体" w:eastAsia="宋体" w:cs="宋体"/>
          <w:sz w:val="24"/>
          <w:szCs w:val="24"/>
        </w:rPr>
      </w:pPr>
      <w:r>
        <w:rPr>
          <w:rFonts w:hint="eastAsia" w:ascii="宋体" w:hAnsi="宋体" w:eastAsia="宋体" w:cs="宋体"/>
          <w:spacing w:val="8"/>
          <w:sz w:val="24"/>
          <w:szCs w:val="24"/>
        </w:rPr>
        <w:t>       </w:t>
      </w:r>
    </w:p>
    <w:p w14:paraId="54C0637C">
      <w:pPr>
        <w:pStyle w:val="19"/>
        <w:spacing w:before="0" w:beforeAutospacing="0" w:after="0" w:afterAutospacing="0" w:line="360" w:lineRule="auto"/>
        <w:ind w:firstLine="465"/>
        <w:rPr>
          <w:rFonts w:hint="eastAsia" w:ascii="宋体" w:hAnsi="宋体" w:eastAsia="宋体" w:cs="宋体"/>
          <w:sz w:val="24"/>
          <w:szCs w:val="24"/>
        </w:rPr>
      </w:pPr>
      <w:r>
        <w:rPr>
          <w:rFonts w:hint="eastAsia" w:ascii="宋体" w:hAnsi="宋体" w:eastAsia="宋体" w:cs="宋体"/>
          <w:spacing w:val="8"/>
          <w:sz w:val="24"/>
          <w:szCs w:val="24"/>
        </w:rPr>
        <w:t>供应商名称：</w:t>
      </w:r>
      <w:r>
        <w:rPr>
          <w:rFonts w:hint="eastAsia" w:ascii="宋体" w:hAnsi="宋体" w:eastAsia="宋体" w:cs="宋体"/>
          <w:spacing w:val="8"/>
          <w:sz w:val="24"/>
          <w:szCs w:val="24"/>
          <w:u w:val="single"/>
        </w:rPr>
        <w:t>                  </w:t>
      </w:r>
      <w:r>
        <w:rPr>
          <w:rFonts w:hint="eastAsia" w:ascii="宋体" w:hAnsi="宋体" w:eastAsia="宋体" w:cs="宋体"/>
          <w:spacing w:val="8"/>
          <w:sz w:val="24"/>
          <w:szCs w:val="24"/>
        </w:rPr>
        <w:t>（盖章）</w:t>
      </w:r>
    </w:p>
    <w:p w14:paraId="1CA1CAA3">
      <w:pPr>
        <w:pStyle w:val="19"/>
        <w:spacing w:before="0" w:beforeAutospacing="0" w:after="0" w:afterAutospacing="0" w:line="360" w:lineRule="auto"/>
        <w:ind w:firstLine="465"/>
        <w:rPr>
          <w:rFonts w:hint="eastAsia" w:ascii="宋体" w:hAnsi="宋体" w:eastAsia="宋体" w:cs="宋体"/>
          <w:sz w:val="24"/>
          <w:szCs w:val="24"/>
        </w:rPr>
      </w:pPr>
      <w:r>
        <w:rPr>
          <w:rFonts w:hint="eastAsia" w:ascii="宋体" w:hAnsi="宋体" w:eastAsia="宋体" w:cs="宋体"/>
          <w:spacing w:val="8"/>
          <w:sz w:val="24"/>
          <w:szCs w:val="24"/>
        </w:rPr>
        <w:t>法定代表人或授权代表：</w:t>
      </w:r>
      <w:r>
        <w:rPr>
          <w:rFonts w:hint="eastAsia" w:ascii="宋体" w:hAnsi="宋体" w:eastAsia="宋体" w:cs="宋体"/>
          <w:spacing w:val="8"/>
          <w:sz w:val="24"/>
          <w:szCs w:val="24"/>
          <w:u w:val="single"/>
        </w:rPr>
        <w:t>            </w:t>
      </w:r>
      <w:r>
        <w:rPr>
          <w:rFonts w:hint="eastAsia" w:ascii="宋体" w:hAnsi="宋体" w:eastAsia="宋体" w:cs="宋体"/>
          <w:spacing w:val="8"/>
          <w:sz w:val="24"/>
          <w:szCs w:val="24"/>
        </w:rPr>
        <w:t>（签字或盖章）</w:t>
      </w:r>
    </w:p>
    <w:p w14:paraId="541EA3DD">
      <w:pPr>
        <w:pStyle w:val="19"/>
        <w:spacing w:before="0" w:beforeAutospacing="0" w:after="0" w:afterAutospacing="0" w:line="360" w:lineRule="auto"/>
        <w:ind w:firstLine="480"/>
        <w:jc w:val="both"/>
        <w:rPr>
          <w:rFonts w:hint="eastAsia" w:ascii="宋体" w:hAnsi="宋体" w:eastAsia="宋体" w:cs="宋体"/>
          <w:sz w:val="24"/>
          <w:szCs w:val="24"/>
        </w:rPr>
      </w:pPr>
      <w:r>
        <w:rPr>
          <w:rFonts w:hint="eastAsia" w:ascii="宋体" w:hAnsi="宋体" w:eastAsia="宋体" w:cs="宋体"/>
          <w:spacing w:val="8"/>
          <w:sz w:val="24"/>
          <w:szCs w:val="24"/>
        </w:rPr>
        <w:t>日期：</w:t>
      </w:r>
      <w:r>
        <w:rPr>
          <w:rFonts w:hint="eastAsia" w:ascii="宋体" w:hAnsi="宋体" w:eastAsia="宋体" w:cs="宋体"/>
          <w:spacing w:val="8"/>
          <w:sz w:val="24"/>
          <w:szCs w:val="24"/>
          <w:u w:val="single"/>
        </w:rPr>
        <w:t>              </w:t>
      </w:r>
    </w:p>
    <w:p w14:paraId="11E516D1">
      <w:pPr>
        <w:pStyle w:val="3"/>
        <w:spacing w:before="120" w:after="120" w:line="360" w:lineRule="auto"/>
        <w:jc w:val="center"/>
        <w:rPr>
          <w:rFonts w:hint="eastAsia" w:ascii="宋体" w:hAnsi="宋体" w:eastAsia="宋体" w:cs="宋体"/>
          <w:sz w:val="24"/>
          <w:szCs w:val="24"/>
        </w:rPr>
        <w:sectPr>
          <w:pgSz w:w="11906" w:h="16838"/>
          <w:pgMar w:top="1440" w:right="1706" w:bottom="1440" w:left="1800" w:header="851" w:footer="992" w:gutter="0"/>
          <w:pgNumType w:fmt="decimal"/>
          <w:cols w:space="720" w:num="1"/>
          <w:docGrid w:type="lines" w:linePitch="312" w:charSpace="0"/>
        </w:sectPr>
      </w:pPr>
    </w:p>
    <w:bookmarkEnd w:id="740"/>
    <w:bookmarkEnd w:id="741"/>
    <w:bookmarkEnd w:id="742"/>
    <w:p w14:paraId="341F1B2C">
      <w:pPr>
        <w:pStyle w:val="3"/>
        <w:spacing w:before="120" w:after="120" w:line="360" w:lineRule="auto"/>
        <w:jc w:val="center"/>
        <w:rPr>
          <w:rFonts w:hint="default" w:ascii="宋体" w:hAnsi="宋体" w:eastAsia="宋体" w:cs="宋体"/>
          <w:b/>
          <w:bCs/>
          <w:kern w:val="0"/>
          <w:sz w:val="24"/>
          <w:szCs w:val="24"/>
          <w:lang w:val="en-US" w:eastAsia="zh-CN" w:bidi="ar-SA"/>
        </w:rPr>
      </w:pPr>
      <w:bookmarkStart w:id="743" w:name="_Toc12095"/>
      <w:bookmarkStart w:id="744" w:name="_Toc466298170"/>
      <w:bookmarkStart w:id="745" w:name="_Toc21801"/>
      <w:bookmarkStart w:id="746" w:name="_Toc425752595"/>
      <w:r>
        <w:rPr>
          <w:rFonts w:hint="eastAsia" w:ascii="宋体" w:hAnsi="宋体" w:eastAsia="宋体" w:cs="宋体"/>
          <w:b/>
          <w:bCs/>
          <w:kern w:val="0"/>
          <w:sz w:val="32"/>
          <w:szCs w:val="32"/>
          <w:lang w:val="en-US" w:eastAsia="zh-CN" w:bidi="ar-SA"/>
        </w:rPr>
        <w:t>五、</w:t>
      </w:r>
      <w:bookmarkEnd w:id="743"/>
      <w:bookmarkEnd w:id="744"/>
      <w:bookmarkEnd w:id="745"/>
      <w:bookmarkEnd w:id="746"/>
      <w:r>
        <w:rPr>
          <w:rFonts w:hint="eastAsia" w:ascii="宋体" w:hAnsi="宋体" w:eastAsia="宋体" w:cs="宋体"/>
          <w:b/>
          <w:bCs/>
          <w:kern w:val="0"/>
          <w:sz w:val="32"/>
          <w:szCs w:val="32"/>
          <w:lang w:val="en-US" w:eastAsia="zh-CN" w:bidi="ar-SA"/>
        </w:rPr>
        <w:t>资格审查资料</w:t>
      </w:r>
    </w:p>
    <w:p w14:paraId="4F7EFBEF">
      <w:pPr>
        <w:numPr>
          <w:ilvl w:val="0"/>
          <w:numId w:val="0"/>
        </w:numPr>
        <w:autoSpaceDE w:val="0"/>
        <w:autoSpaceDN w:val="0"/>
        <w:adjustRightInd w:val="0"/>
        <w:spacing w:line="420" w:lineRule="exact"/>
        <w:ind w:leftChars="0"/>
        <w:jc w:val="center"/>
        <w:rPr>
          <w:rFonts w:hint="eastAsia" w:ascii="宋体" w:hAnsi="宋体" w:eastAsia="宋体" w:cs="宋体"/>
          <w:b/>
          <w:bCs/>
          <w:color w:val="000000"/>
          <w:kern w:val="0"/>
          <w:sz w:val="24"/>
          <w:szCs w:val="24"/>
          <w:lang w:val="en-US" w:eastAsia="zh-CN" w:bidi="ar"/>
        </w:rPr>
      </w:pPr>
      <w:bookmarkStart w:id="747" w:name="_Toc25789"/>
      <w:bookmarkStart w:id="748" w:name="_Toc15075"/>
      <w:r>
        <w:rPr>
          <w:rFonts w:hint="eastAsia" w:ascii="宋体" w:hAnsi="宋体" w:eastAsia="宋体" w:cs="宋体"/>
          <w:b/>
          <w:bCs/>
          <w:color w:val="000000"/>
          <w:kern w:val="0"/>
          <w:sz w:val="24"/>
          <w:szCs w:val="24"/>
          <w:lang w:val="en-US" w:eastAsia="zh-CN" w:bidi="ar"/>
        </w:rPr>
        <w:t>1、资格承诺声明函</w:t>
      </w:r>
    </w:p>
    <w:p w14:paraId="10E9B79D">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（本项目采购单位） </w:t>
      </w:r>
      <w:r>
        <w:rPr>
          <w:rFonts w:hint="eastAsia" w:ascii="宋体" w:hAnsi="宋体" w:eastAsia="宋体" w:cs="宋体"/>
          <w:color w:val="000000"/>
          <w:kern w:val="0"/>
          <w:sz w:val="24"/>
          <w:szCs w:val="24"/>
          <w:lang w:val="en-US" w:eastAsia="zh-CN" w:bidi="ar"/>
        </w:rPr>
        <w:t xml:space="preserve">： </w:t>
      </w:r>
    </w:p>
    <w:p w14:paraId="2B21C5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我单位自愿参加本次政府采购活动，严格遵守《中华人民共和国政府采购法》及相关法律法规，依法诚信经营，依法遵守本次政府采购活动的各项规定。我单位郑重承诺声明如下： </w:t>
      </w:r>
    </w:p>
    <w:p w14:paraId="51A8A0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一 、我单位全称为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，注册地点为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，统一社会信用代码为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，法定代表人（单位负责人）为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，联系方式为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5074EA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二、我单位具有独立承担民事责任的能力。 </w:t>
      </w:r>
    </w:p>
    <w:p w14:paraId="025697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三、我单位具有良好的商业信誉和健全的财务会计制度。 </w:t>
      </w:r>
    </w:p>
    <w:p w14:paraId="2EDC11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四、我单位具有履行合同所必需的设备和专业技术能力。 </w:t>
      </w:r>
    </w:p>
    <w:p w14:paraId="13A519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五、我单位有依法缴纳税收和社会保障资金的良好记录。 </w:t>
      </w:r>
    </w:p>
    <w:p w14:paraId="4FFE9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六、我单位参加政府采购活动前三年内，在经营活动中没有重大违法记录。（重大违法记录，是指响应人因违法经营受到刑事处罚或者责令停产停业、吊销许可证或者执照、较大数额罚款等行政处罚。） </w:t>
      </w:r>
    </w:p>
    <w:p w14:paraId="0D7C6D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七、我单位具备法律、行政法规规定的其他条件。 </w:t>
      </w:r>
    </w:p>
    <w:p w14:paraId="1E81849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我单位保证上述声明的事项都是真实的，符合《中华人民共和国政府采购法》规定的响应人资格条件。如有弄虚作假，我单位愿意按照“提供虚假材料谋取中标、成交”承担相应的法律责任，同意将违背承诺行为作为失信行为记录到社会信用信息平台，并承担因此所造成的一切损失。 </w:t>
      </w:r>
    </w:p>
    <w:p w14:paraId="15C002A5">
      <w:pPr>
        <w:keepNext w:val="0"/>
        <w:keepLines w:val="0"/>
        <w:pageBreakBefore w:val="0"/>
        <w:widowControl/>
        <w:suppressLineNumbers w:val="0"/>
        <w:kinsoku/>
        <w:wordWrap/>
        <w:overflowPunct/>
        <w:topLinePunct w:val="0"/>
        <w:autoSpaceDE/>
        <w:autoSpaceDN/>
        <w:bidi w:val="0"/>
        <w:adjustRightInd/>
        <w:snapToGrid/>
        <w:spacing w:line="360" w:lineRule="auto"/>
        <w:ind w:firstLine="1920" w:firstLineChars="800"/>
        <w:jc w:val="left"/>
        <w:textAlignment w:val="auto"/>
      </w:pPr>
      <w:r>
        <w:rPr>
          <w:rFonts w:hint="eastAsia" w:ascii="宋体" w:hAnsi="宋体" w:eastAsia="宋体" w:cs="宋体"/>
          <w:color w:val="000000"/>
          <w:kern w:val="0"/>
          <w:sz w:val="24"/>
          <w:szCs w:val="24"/>
          <w:lang w:val="en-US" w:eastAsia="zh-CN" w:bidi="ar"/>
        </w:rPr>
        <w:t xml:space="preserve">承诺单位（企业电子签章或公章）： </w:t>
      </w:r>
    </w:p>
    <w:p w14:paraId="3DEBDED2">
      <w:pPr>
        <w:keepNext w:val="0"/>
        <w:keepLines w:val="0"/>
        <w:pageBreakBefore w:val="0"/>
        <w:widowControl/>
        <w:suppressLineNumbers w:val="0"/>
        <w:kinsoku/>
        <w:wordWrap/>
        <w:overflowPunct/>
        <w:topLinePunct w:val="0"/>
        <w:autoSpaceDE/>
        <w:autoSpaceDN/>
        <w:bidi w:val="0"/>
        <w:adjustRightInd/>
        <w:snapToGrid/>
        <w:spacing w:line="360" w:lineRule="auto"/>
        <w:ind w:firstLine="1920" w:firstLineChars="800"/>
        <w:jc w:val="left"/>
        <w:textAlignment w:val="auto"/>
      </w:pPr>
      <w:r>
        <w:rPr>
          <w:rFonts w:hint="eastAsia" w:ascii="宋体" w:hAnsi="宋体" w:eastAsia="宋体" w:cs="宋体"/>
          <w:color w:val="000000"/>
          <w:kern w:val="0"/>
          <w:sz w:val="24"/>
          <w:szCs w:val="24"/>
          <w:lang w:val="en-US" w:eastAsia="zh-CN" w:bidi="ar"/>
        </w:rPr>
        <w:t xml:space="preserve">法定代表人或其委托代理人（个人电子签章或签字）： </w:t>
      </w:r>
    </w:p>
    <w:p w14:paraId="6B308E56">
      <w:pPr>
        <w:keepNext w:val="0"/>
        <w:keepLines w:val="0"/>
        <w:pageBreakBefore w:val="0"/>
        <w:widowControl/>
        <w:suppressLineNumbers w:val="0"/>
        <w:kinsoku/>
        <w:wordWrap/>
        <w:overflowPunct/>
        <w:topLinePunct w:val="0"/>
        <w:autoSpaceDE/>
        <w:autoSpaceDN/>
        <w:bidi w:val="0"/>
        <w:adjustRightInd/>
        <w:snapToGrid/>
        <w:spacing w:line="360" w:lineRule="auto"/>
        <w:ind w:firstLine="1920" w:firstLineChars="800"/>
        <w:jc w:val="left"/>
        <w:textAlignment w:val="auto"/>
      </w:pPr>
      <w:r>
        <w:rPr>
          <w:rFonts w:hint="eastAsia" w:ascii="宋体" w:hAnsi="宋体" w:eastAsia="宋体" w:cs="宋体"/>
          <w:color w:val="000000"/>
          <w:kern w:val="0"/>
          <w:sz w:val="24"/>
          <w:szCs w:val="24"/>
          <w:lang w:val="en-US" w:eastAsia="zh-CN" w:bidi="ar"/>
        </w:rPr>
        <w:t xml:space="preserve">日期：   年   月   日 </w:t>
      </w:r>
    </w:p>
    <w:p w14:paraId="1B95E169">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p>
    <w:p w14:paraId="36B6A6CE">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注：1.供应商须在响应文件中按此模板提供承诺函，未提供视为未实质性响应磋商文件要求，按无效投标处理。 </w:t>
      </w:r>
    </w:p>
    <w:p w14:paraId="327248F4">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2.供应商的法定代表人或者授权代表的签字或盖章应真实、有效。</w:t>
      </w:r>
    </w:p>
    <w:p w14:paraId="2ADBF6C3">
      <w:pPr>
        <w:rPr>
          <w:rFonts w:hint="eastAsia"/>
        </w:rPr>
        <w:sectPr>
          <w:pgSz w:w="11906" w:h="16838"/>
          <w:pgMar w:top="1440" w:right="1706" w:bottom="1440" w:left="1800" w:header="851" w:footer="992" w:gutter="0"/>
          <w:pgNumType w:fmt="decimal"/>
          <w:cols w:space="720" w:num="1"/>
          <w:docGrid w:type="lines" w:linePitch="312" w:charSpace="0"/>
        </w:sectPr>
      </w:pPr>
    </w:p>
    <w:p w14:paraId="66D5E5B0">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2、证明材料</w:t>
      </w:r>
    </w:p>
    <w:p w14:paraId="57EE9D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（1）符合《中华人民共和国政府采购法》第二十二条规定；（按照响应文件格式提供“资格承诺声明函”即可） </w:t>
      </w:r>
    </w:p>
    <w:p w14:paraId="358E10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（2）供应商具有行政主管部门颁发的工程监理综合资质或房屋建筑工程监理乙级及以上资质证书； </w:t>
      </w:r>
    </w:p>
    <w:p w14:paraId="3F72F0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（3）项目总监要求：拟派项目总监理工程师具有房屋建筑工程专业注册监理工程师证书，同时具有相关专业中级及以上技术职称及劳动合同； </w:t>
      </w:r>
    </w:p>
    <w:p w14:paraId="6DDB5B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（4）信誉要求： </w:t>
      </w:r>
    </w:p>
    <w:p w14:paraId="784E27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①供应商须未处于被责令停业、投标资格被取消或者财产被接管、冻结和破产状态；企业没有因骗取中标或者严重违约等问题，未被有关部门暂停投标资格并在暂停期内的（提供书面承诺，格式自拟）；</w:t>
      </w:r>
    </w:p>
    <w:p w14:paraId="730A06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根据《关于在政府采购活动中查询及使用信用记录有关问题的通知》(财库[2016]125号)和豫财购【2016】15号的规定，通过“信用中国”网和“中国政府采购网”查询相关企业信用记录，列入“信用中国”网站的“失信被执行人”（跳转至“中国执行信息公开网”）和“重大税收违法失信主体”、“中国政府采购”网站的“政府采购严重违法失信行为记录名单”的供应商，拒绝参与本项目投标活动。【采购人或采购代理机构在开标当天将对所有参与本项目投标的供应商信用情况进行查询（失信被执行人、重大税收违法失信主体、政府采购严重违法失信行为记录名单）、查询记录打印留存】。</w:t>
      </w:r>
    </w:p>
    <w:p w14:paraId="35ED20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③单位负责人为同一人或者存在直接控股、管理关系的不同供应商，不得参加同一合同项下的政府采购活动（提供承诺书）。 </w:t>
      </w:r>
    </w:p>
    <w:p w14:paraId="3FB1C5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（5）中小企业声明函（本项目为专门面向中小企业采购，须提供中小企业声明函）。 </w:t>
      </w:r>
    </w:p>
    <w:p w14:paraId="4617A4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【按照响应文件格式“附件1：中小企业声明函”提供】</w:t>
      </w:r>
    </w:p>
    <w:p w14:paraId="65C88B61">
      <w:pPr>
        <w:rPr>
          <w:rFonts w:hint="eastAsia"/>
        </w:rPr>
        <w:sectPr>
          <w:pgSz w:w="11906" w:h="16838"/>
          <w:pgMar w:top="1440" w:right="1706" w:bottom="1440" w:left="1800" w:header="851" w:footer="992" w:gutter="0"/>
          <w:pgNumType w:fmt="decimal"/>
          <w:cols w:space="720" w:num="1"/>
          <w:docGrid w:type="lines" w:linePitch="312" w:charSpace="0"/>
        </w:sectPr>
      </w:pPr>
    </w:p>
    <w:p w14:paraId="23376663">
      <w:pPr>
        <w:pStyle w:val="3"/>
        <w:spacing w:line="360" w:lineRule="auto"/>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六</w:t>
      </w:r>
      <w:r>
        <w:rPr>
          <w:rFonts w:hint="eastAsia" w:ascii="宋体" w:hAnsi="宋体" w:eastAsia="宋体" w:cs="宋体"/>
          <w:sz w:val="32"/>
          <w:szCs w:val="32"/>
        </w:rPr>
        <w:t>、</w:t>
      </w:r>
      <w:bookmarkEnd w:id="747"/>
      <w:bookmarkEnd w:id="748"/>
      <w:r>
        <w:rPr>
          <w:rFonts w:hint="eastAsia" w:ascii="宋体" w:hAnsi="宋体" w:eastAsia="宋体" w:cs="宋体"/>
          <w:sz w:val="32"/>
          <w:szCs w:val="32"/>
          <w:lang w:val="en-US" w:eastAsia="zh-CN"/>
        </w:rPr>
        <w:t>监理大纲</w:t>
      </w:r>
    </w:p>
    <w:p w14:paraId="53AF6345">
      <w:pPr>
        <w:pStyle w:val="10"/>
        <w:jc w:val="center"/>
        <w:rPr>
          <w:rFonts w:hint="default" w:eastAsia="宋体"/>
          <w:lang w:val="en-US" w:eastAsia="zh-CN"/>
        </w:rPr>
      </w:pPr>
      <w:r>
        <w:rPr>
          <w:rFonts w:hint="eastAsia"/>
          <w:lang w:eastAsia="zh-CN"/>
        </w:rPr>
        <w:t>（</w:t>
      </w:r>
      <w:r>
        <w:rPr>
          <w:rFonts w:hint="eastAsia"/>
          <w:lang w:val="en-US" w:eastAsia="zh-CN"/>
        </w:rPr>
        <w:t>格式自拟）</w:t>
      </w:r>
    </w:p>
    <w:p w14:paraId="543D6975">
      <w:pPr>
        <w:rPr>
          <w:rFonts w:hint="eastAsia" w:ascii="宋体" w:hAnsi="宋体" w:eastAsia="宋体" w:cs="宋体"/>
          <w:sz w:val="24"/>
          <w:szCs w:val="24"/>
          <w:lang w:val="en-US" w:eastAsia="zh-CN"/>
        </w:rPr>
      </w:pPr>
      <w:bookmarkStart w:id="749" w:name="_Toc27446"/>
      <w:r>
        <w:rPr>
          <w:rFonts w:hint="eastAsia" w:ascii="宋体" w:hAnsi="宋体" w:cs="宋体"/>
          <w:sz w:val="24"/>
          <w:szCs w:val="24"/>
          <w:lang w:val="en-US" w:eastAsia="zh-CN"/>
        </w:rPr>
        <w:t xml:space="preserve"> </w:t>
      </w:r>
    </w:p>
    <w:p w14:paraId="0E8995C2">
      <w:pPr>
        <w:rPr>
          <w:rFonts w:hint="eastAsia" w:ascii="宋体" w:hAnsi="宋体" w:eastAsia="宋体" w:cs="宋体"/>
          <w:sz w:val="24"/>
          <w:szCs w:val="24"/>
        </w:rPr>
      </w:pPr>
    </w:p>
    <w:p w14:paraId="3D9415FD">
      <w:pPr>
        <w:rPr>
          <w:rFonts w:hint="eastAsia" w:ascii="宋体" w:hAnsi="宋体" w:eastAsia="宋体" w:cs="宋体"/>
          <w:sz w:val="24"/>
          <w:szCs w:val="24"/>
          <w:lang w:val="en-US" w:eastAsia="zh-CN"/>
        </w:rPr>
      </w:pPr>
    </w:p>
    <w:p w14:paraId="49CCE693">
      <w:pPr>
        <w:rPr>
          <w:rFonts w:hint="eastAsia" w:ascii="宋体" w:hAnsi="宋体" w:eastAsia="宋体" w:cs="宋体"/>
          <w:sz w:val="24"/>
          <w:szCs w:val="24"/>
          <w:lang w:val="en-US" w:eastAsia="zh-CN"/>
        </w:rPr>
      </w:pPr>
    </w:p>
    <w:p w14:paraId="57BD9904">
      <w:pPr>
        <w:rPr>
          <w:rFonts w:hint="eastAsia" w:ascii="宋体" w:hAnsi="宋体" w:eastAsia="宋体" w:cs="宋体"/>
          <w:sz w:val="24"/>
          <w:szCs w:val="24"/>
          <w:lang w:val="en-US" w:eastAsia="zh-CN"/>
        </w:rPr>
      </w:pPr>
    </w:p>
    <w:p w14:paraId="03E4CB3B">
      <w:pPr>
        <w:rPr>
          <w:rFonts w:hint="eastAsia" w:ascii="宋体" w:hAnsi="宋体" w:eastAsia="宋体" w:cs="宋体"/>
          <w:sz w:val="24"/>
          <w:szCs w:val="24"/>
          <w:lang w:val="en-US" w:eastAsia="zh-CN"/>
        </w:rPr>
      </w:pPr>
    </w:p>
    <w:p w14:paraId="0037C2A4">
      <w:pPr>
        <w:rPr>
          <w:rFonts w:hint="eastAsia" w:ascii="宋体" w:hAnsi="宋体" w:eastAsia="宋体" w:cs="宋体"/>
          <w:sz w:val="24"/>
          <w:szCs w:val="24"/>
          <w:lang w:val="en-US" w:eastAsia="zh-CN"/>
        </w:rPr>
      </w:pPr>
    </w:p>
    <w:p w14:paraId="66111CAB">
      <w:pPr>
        <w:rPr>
          <w:rFonts w:hint="eastAsia" w:ascii="宋体" w:hAnsi="宋体" w:eastAsia="宋体" w:cs="宋体"/>
          <w:sz w:val="24"/>
          <w:szCs w:val="24"/>
          <w:lang w:val="en-US" w:eastAsia="zh-CN"/>
        </w:rPr>
      </w:pPr>
    </w:p>
    <w:p w14:paraId="73C9EBBD">
      <w:pPr>
        <w:rPr>
          <w:rFonts w:hint="eastAsia" w:ascii="宋体" w:hAnsi="宋体" w:eastAsia="宋体" w:cs="宋体"/>
          <w:sz w:val="24"/>
          <w:szCs w:val="24"/>
          <w:lang w:val="en-US" w:eastAsia="zh-CN"/>
        </w:rPr>
      </w:pPr>
    </w:p>
    <w:bookmarkEnd w:id="749"/>
    <w:p w14:paraId="02B50E76">
      <w:pPr>
        <w:autoSpaceDE w:val="0"/>
        <w:autoSpaceDN w:val="0"/>
        <w:adjustRightInd w:val="0"/>
        <w:spacing w:line="360" w:lineRule="auto"/>
        <w:jc w:val="left"/>
        <w:rPr>
          <w:rFonts w:hint="eastAsia" w:ascii="宋体" w:hAnsi="宋体" w:eastAsia="宋体" w:cs="宋体"/>
          <w:kern w:val="0"/>
          <w:sz w:val="24"/>
          <w:szCs w:val="24"/>
        </w:rPr>
      </w:pPr>
    </w:p>
    <w:p w14:paraId="09A4545A">
      <w:pPr>
        <w:autoSpaceDE w:val="0"/>
        <w:autoSpaceDN w:val="0"/>
        <w:adjustRightInd w:val="0"/>
        <w:spacing w:line="360" w:lineRule="auto"/>
        <w:jc w:val="left"/>
        <w:rPr>
          <w:rFonts w:hint="eastAsia" w:ascii="宋体" w:hAnsi="宋体" w:eastAsia="宋体" w:cs="宋体"/>
          <w:kern w:val="0"/>
          <w:sz w:val="24"/>
          <w:szCs w:val="24"/>
        </w:rPr>
      </w:pPr>
    </w:p>
    <w:p w14:paraId="69987B71">
      <w:pPr>
        <w:autoSpaceDE w:val="0"/>
        <w:autoSpaceDN w:val="0"/>
        <w:adjustRightInd w:val="0"/>
        <w:spacing w:line="360" w:lineRule="auto"/>
        <w:jc w:val="left"/>
        <w:rPr>
          <w:rFonts w:hint="eastAsia" w:ascii="宋体" w:hAnsi="宋体" w:eastAsia="宋体" w:cs="宋体"/>
          <w:kern w:val="0"/>
          <w:sz w:val="24"/>
          <w:szCs w:val="24"/>
        </w:rPr>
      </w:pPr>
    </w:p>
    <w:p w14:paraId="34347CC3">
      <w:pPr>
        <w:autoSpaceDE w:val="0"/>
        <w:autoSpaceDN w:val="0"/>
        <w:adjustRightInd w:val="0"/>
        <w:spacing w:line="420" w:lineRule="exact"/>
        <w:jc w:val="center"/>
        <w:outlineLvl w:val="1"/>
        <w:rPr>
          <w:rFonts w:hint="eastAsia" w:ascii="宋体" w:hAnsi="宋体" w:eastAsia="宋体" w:cs="宋体"/>
          <w:b/>
          <w:bCs/>
          <w:kern w:val="0"/>
          <w:sz w:val="28"/>
          <w:szCs w:val="28"/>
        </w:rPr>
        <w:sectPr>
          <w:pgSz w:w="11906" w:h="16838"/>
          <w:pgMar w:top="1440" w:right="1706" w:bottom="1440" w:left="1800" w:header="851" w:footer="992" w:gutter="0"/>
          <w:pgNumType w:fmt="decimal"/>
          <w:cols w:space="720" w:num="1"/>
          <w:docGrid w:type="lines" w:linePitch="312" w:charSpace="0"/>
        </w:sectPr>
      </w:pPr>
      <w:bookmarkStart w:id="750" w:name="_Toc7231"/>
      <w:bookmarkStart w:id="751" w:name="_Toc29397"/>
      <w:bookmarkStart w:id="752" w:name="_Toc20338"/>
    </w:p>
    <w:bookmarkEnd w:id="750"/>
    <w:bookmarkEnd w:id="751"/>
    <w:bookmarkEnd w:id="752"/>
    <w:p w14:paraId="0B54C39D">
      <w:pPr>
        <w:pStyle w:val="3"/>
        <w:numPr>
          <w:ilvl w:val="0"/>
          <w:numId w:val="0"/>
        </w:numPr>
        <w:spacing w:line="360" w:lineRule="auto"/>
        <w:jc w:val="center"/>
        <w:rPr>
          <w:rFonts w:hint="eastAsia" w:ascii="宋体" w:hAnsi="宋体" w:eastAsia="宋体" w:cs="宋体"/>
          <w:sz w:val="28"/>
          <w:szCs w:val="28"/>
          <w:lang w:val="en-US" w:eastAsia="zh-CN"/>
        </w:rPr>
      </w:pPr>
      <w:bookmarkStart w:id="753" w:name="_Toc4078"/>
      <w:bookmarkStart w:id="754" w:name="_Toc29774"/>
      <w:bookmarkStart w:id="755" w:name="_Toc1685"/>
      <w:r>
        <w:rPr>
          <w:rFonts w:hint="eastAsia" w:ascii="宋体" w:hAnsi="宋体" w:eastAsia="宋体" w:cs="宋体"/>
          <w:sz w:val="28"/>
          <w:szCs w:val="28"/>
          <w:lang w:val="en-US" w:eastAsia="zh-CN"/>
        </w:rPr>
        <w:t>七、</w:t>
      </w:r>
      <w:r>
        <w:rPr>
          <w:rFonts w:hint="eastAsia" w:ascii="宋体" w:hAnsi="宋体" w:eastAsia="宋体" w:cs="宋体"/>
          <w:sz w:val="28"/>
          <w:szCs w:val="28"/>
        </w:rPr>
        <w:t>其他</w:t>
      </w:r>
      <w:bookmarkEnd w:id="753"/>
      <w:bookmarkEnd w:id="754"/>
      <w:bookmarkEnd w:id="755"/>
      <w:r>
        <w:rPr>
          <w:rFonts w:hint="eastAsia" w:ascii="宋体" w:hAnsi="宋体" w:eastAsia="宋体" w:cs="宋体"/>
          <w:sz w:val="28"/>
          <w:szCs w:val="28"/>
          <w:lang w:val="en-US" w:eastAsia="zh-CN"/>
        </w:rPr>
        <w:t>材料</w:t>
      </w:r>
    </w:p>
    <w:p w14:paraId="33548DAA">
      <w:pPr>
        <w:keepNext w:val="0"/>
        <w:keepLines w:val="0"/>
        <w:widowControl/>
        <w:suppressLineNumbers w:val="0"/>
        <w:jc w:val="center"/>
        <w:rPr>
          <w:rFonts w:hint="eastAsia" w:ascii="Times New Roman" w:hAnsi="Times New Roman" w:eastAsia="宋体" w:cs="Times New Roman"/>
          <w:b/>
          <w:kern w:val="2"/>
          <w:sz w:val="28"/>
          <w:szCs w:val="24"/>
          <w:lang w:val="en-US" w:eastAsia="zh-CN" w:bidi="ar-SA"/>
        </w:rPr>
      </w:pPr>
      <w:r>
        <w:rPr>
          <w:rFonts w:hint="eastAsia" w:cs="Times New Roman"/>
          <w:b/>
          <w:kern w:val="2"/>
          <w:sz w:val="28"/>
          <w:szCs w:val="24"/>
          <w:lang w:val="en-US" w:eastAsia="zh-CN" w:bidi="ar-SA"/>
        </w:rPr>
        <w:t>1.招标代理</w:t>
      </w:r>
      <w:r>
        <w:rPr>
          <w:rFonts w:hint="eastAsia" w:ascii="Times New Roman" w:hAnsi="Times New Roman" w:eastAsia="宋体" w:cs="Times New Roman"/>
          <w:b/>
          <w:kern w:val="2"/>
          <w:sz w:val="28"/>
          <w:szCs w:val="24"/>
          <w:lang w:val="en-US" w:eastAsia="zh-CN" w:bidi="ar-SA"/>
        </w:rPr>
        <w:t>服务费承诺书</w:t>
      </w:r>
    </w:p>
    <w:p w14:paraId="62276B18">
      <w:pPr>
        <w:topLinePunct/>
        <w:spacing w:line="480" w:lineRule="auto"/>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致：</w:t>
      </w:r>
      <w:r>
        <w:rPr>
          <w:rFonts w:hint="eastAsia" w:ascii="宋体" w:hAnsi="宋体" w:cs="宋体"/>
          <w:color w:val="000000"/>
          <w:kern w:val="2"/>
          <w:sz w:val="21"/>
          <w:szCs w:val="21"/>
          <w:highlight w:val="none"/>
          <w:u w:val="single"/>
          <w:lang w:val="en-US" w:eastAsia="zh-CN" w:bidi="ar-SA"/>
        </w:rPr>
        <w:t>河南睿鹏工程咨询有限公司</w:t>
      </w:r>
      <w:r>
        <w:rPr>
          <w:rFonts w:hint="eastAsia" w:ascii="宋体" w:hAnsi="宋体" w:eastAsia="宋体" w:cs="宋体"/>
          <w:color w:val="000000"/>
          <w:kern w:val="2"/>
          <w:sz w:val="21"/>
          <w:szCs w:val="21"/>
          <w:highlight w:val="none"/>
          <w:u w:val="single"/>
          <w:lang w:val="en-US" w:eastAsia="zh-CN" w:bidi="ar-SA"/>
        </w:rPr>
        <w:t xml:space="preserve"> </w:t>
      </w:r>
    </w:p>
    <w:p w14:paraId="3058BF2E">
      <w:pPr>
        <w:topLinePunct/>
        <w:spacing w:line="480" w:lineRule="auto"/>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我们在贵公司组织的项目中若中标，我们保证在领取</w:t>
      </w:r>
      <w:r>
        <w:rPr>
          <w:rFonts w:hint="eastAsia" w:ascii="宋体" w:hAnsi="宋体" w:cs="宋体"/>
          <w:color w:val="000000"/>
          <w:kern w:val="2"/>
          <w:sz w:val="21"/>
          <w:szCs w:val="21"/>
          <w:highlight w:val="none"/>
          <w:lang w:val="en-US" w:eastAsia="zh-CN" w:bidi="ar-SA"/>
        </w:rPr>
        <w:t>成交</w:t>
      </w:r>
      <w:r>
        <w:rPr>
          <w:rFonts w:hint="eastAsia" w:ascii="宋体" w:hAnsi="宋体" w:eastAsia="宋体" w:cs="宋体"/>
          <w:color w:val="000000"/>
          <w:kern w:val="2"/>
          <w:sz w:val="21"/>
          <w:szCs w:val="21"/>
          <w:highlight w:val="none"/>
          <w:lang w:val="en-US" w:eastAsia="zh-CN" w:bidi="ar-SA"/>
        </w:rPr>
        <w:t>通知书时向</w:t>
      </w:r>
      <w:r>
        <w:rPr>
          <w:rFonts w:hint="eastAsia" w:ascii="宋体" w:hAnsi="宋体" w:cs="宋体"/>
          <w:color w:val="000000"/>
          <w:kern w:val="2"/>
          <w:sz w:val="21"/>
          <w:szCs w:val="21"/>
          <w:highlight w:val="none"/>
          <w:lang w:val="en-US" w:eastAsia="zh-CN" w:bidi="ar-SA"/>
        </w:rPr>
        <w:t>河南睿鹏工程咨询有限公司</w:t>
      </w:r>
      <w:r>
        <w:rPr>
          <w:rFonts w:hint="eastAsia" w:ascii="宋体" w:hAnsi="宋体" w:eastAsia="宋体" w:cs="宋体"/>
          <w:color w:val="000000"/>
          <w:kern w:val="2"/>
          <w:sz w:val="21"/>
          <w:szCs w:val="21"/>
          <w:highlight w:val="none"/>
          <w:lang w:val="en-US" w:eastAsia="zh-CN" w:bidi="ar-SA"/>
        </w:rPr>
        <w:t>一次性支付该项目的</w:t>
      </w:r>
      <w:r>
        <w:rPr>
          <w:rFonts w:hint="eastAsia" w:ascii="宋体" w:hAnsi="宋体" w:cs="宋体"/>
          <w:color w:val="000000"/>
          <w:kern w:val="2"/>
          <w:sz w:val="21"/>
          <w:szCs w:val="21"/>
          <w:highlight w:val="none"/>
          <w:lang w:val="en-US" w:eastAsia="zh-CN" w:bidi="ar-SA"/>
        </w:rPr>
        <w:t>招标代理</w:t>
      </w:r>
      <w:r>
        <w:rPr>
          <w:rFonts w:hint="eastAsia" w:ascii="宋体" w:hAnsi="宋体" w:eastAsia="宋体" w:cs="宋体"/>
          <w:color w:val="000000"/>
          <w:kern w:val="2"/>
          <w:sz w:val="21"/>
          <w:szCs w:val="21"/>
          <w:highlight w:val="none"/>
          <w:lang w:val="en-US" w:eastAsia="zh-CN" w:bidi="ar-SA"/>
        </w:rPr>
        <w:t xml:space="preserve">服务费。 </w:t>
      </w:r>
    </w:p>
    <w:p w14:paraId="2EB0BD41">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p>
    <w:p w14:paraId="28B3159E">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特此承诺！ </w:t>
      </w:r>
    </w:p>
    <w:p w14:paraId="395DA71E">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p>
    <w:p w14:paraId="66FF2EF2">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承诺方法定名称： _____________________________（盖章） </w:t>
      </w:r>
    </w:p>
    <w:p w14:paraId="1D1FA5D0">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地址：_______________________________________</w:t>
      </w:r>
    </w:p>
    <w:p w14:paraId="1841076E">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电话：_____________________________________ </w:t>
      </w:r>
    </w:p>
    <w:p w14:paraId="79AD4E9C">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承诺方法定代表人或委托代理人（签字或盖章）：_________ </w:t>
      </w:r>
    </w:p>
    <w:p w14:paraId="7F3EFE0F">
      <w:pPr>
        <w:topLinePunct/>
        <w:spacing w:line="440" w:lineRule="exact"/>
        <w:ind w:firstLine="315" w:firstLineChars="15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承诺日期：__________________________</w:t>
      </w:r>
    </w:p>
    <w:p w14:paraId="0D4E4F0F">
      <w:pPr>
        <w:pStyle w:val="5"/>
        <w:numPr>
          <w:ilvl w:val="0"/>
          <w:numId w:val="0"/>
        </w:numPr>
        <w:bidi w:val="0"/>
        <w:ind w:leftChars="0"/>
        <w:rPr>
          <w:rFonts w:hint="eastAsia"/>
          <w:b/>
          <w:lang w:val="en-US" w:eastAsia="zh-CN"/>
        </w:rPr>
        <w:sectPr>
          <w:pgSz w:w="11906" w:h="16838"/>
          <w:pgMar w:top="1440" w:right="1706" w:bottom="1440" w:left="1800" w:header="851" w:footer="992" w:gutter="0"/>
          <w:pgNumType w:fmt="decimal"/>
          <w:cols w:space="720" w:num="1"/>
          <w:docGrid w:type="lines" w:linePitch="312" w:charSpace="0"/>
        </w:sectPr>
      </w:pPr>
    </w:p>
    <w:p w14:paraId="629224BD">
      <w:pPr>
        <w:pStyle w:val="39"/>
        <w:numPr>
          <w:ilvl w:val="0"/>
          <w:numId w:val="0"/>
        </w:numPr>
        <w:jc w:val="both"/>
        <w:rPr>
          <w:rFonts w:hint="eastAsia" w:hAnsi="宋体" w:cs="宋体"/>
          <w:color w:val="000000"/>
          <w:kern w:val="2"/>
          <w:sz w:val="24"/>
          <w:szCs w:val="24"/>
          <w:lang w:val="en-US" w:eastAsia="zh-CN" w:bidi="ar-SA"/>
        </w:rPr>
      </w:pPr>
    </w:p>
    <w:p w14:paraId="0BD0B91B">
      <w:pPr>
        <w:pStyle w:val="39"/>
        <w:numPr>
          <w:ilvl w:val="0"/>
          <w:numId w:val="0"/>
        </w:numPr>
        <w:jc w:val="both"/>
        <w:rPr>
          <w:rFonts w:hint="default"/>
          <w:lang w:val="en-US" w:eastAsia="zh-CN"/>
        </w:rPr>
      </w:pPr>
      <w:r>
        <w:rPr>
          <w:rFonts w:hint="eastAsia" w:hAnsi="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服务承诺（格式自拟</w:t>
      </w:r>
      <w:r>
        <w:rPr>
          <w:rFonts w:hint="eastAsia" w:hAnsi="宋体" w:cs="宋体"/>
          <w:color w:val="000000"/>
          <w:kern w:val="2"/>
          <w:sz w:val="24"/>
          <w:szCs w:val="24"/>
          <w:lang w:val="en-US" w:eastAsia="zh-CN" w:bidi="ar-SA"/>
        </w:rPr>
        <w:t>）。</w:t>
      </w:r>
    </w:p>
    <w:p w14:paraId="6F1761F0">
      <w:pPr>
        <w:rPr>
          <w:rFonts w:hint="eastAsia" w:hAnsi="宋体" w:cs="宋体"/>
          <w:color w:val="000000"/>
          <w:kern w:val="2"/>
          <w:sz w:val="24"/>
          <w:szCs w:val="24"/>
          <w:lang w:val="en-US" w:eastAsia="zh-CN" w:bidi="ar-SA"/>
        </w:rPr>
      </w:pPr>
    </w:p>
    <w:p w14:paraId="317A49C9">
      <w:pPr>
        <w:spacing w:line="400" w:lineRule="exact"/>
        <w:jc w:val="both"/>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w:t>
      </w:r>
      <w:r>
        <w:rPr>
          <w:rFonts w:hint="eastAsia" w:ascii="宋体" w:hAnsi="宋体" w:eastAsia="宋体" w:cs="宋体"/>
          <w:color w:val="000000"/>
          <w:kern w:val="2"/>
          <w:sz w:val="24"/>
          <w:szCs w:val="24"/>
          <w:lang w:val="en-US" w:eastAsia="zh-CN" w:bidi="ar-SA"/>
        </w:rPr>
        <w:t>供应商认为能证明其综合实力的补充材料。</w:t>
      </w:r>
    </w:p>
    <w:p w14:paraId="1528C678">
      <w:pPr>
        <w:widowControl w:val="0"/>
        <w:numPr>
          <w:ilvl w:val="0"/>
          <w:numId w:val="0"/>
        </w:numPr>
        <w:jc w:val="both"/>
        <w:rPr>
          <w:rFonts w:hint="eastAsia"/>
          <w:lang w:eastAsia="zh-CN"/>
        </w:rPr>
      </w:pPr>
    </w:p>
    <w:p w14:paraId="76CFC9A8">
      <w:pPr>
        <w:pStyle w:val="39"/>
        <w:numPr>
          <w:ilvl w:val="0"/>
          <w:numId w:val="0"/>
        </w:numPr>
        <w:ind w:leftChars="0"/>
        <w:jc w:val="both"/>
        <w:rPr>
          <w:rFonts w:hint="eastAsia" w:ascii="Times New Roman" w:hAnsi="Times New Roman" w:eastAsia="宋体" w:cs="Times New Roman"/>
          <w:color w:val="auto"/>
          <w:kern w:val="2"/>
          <w:sz w:val="21"/>
          <w:szCs w:val="24"/>
          <w:lang w:val="en-US" w:eastAsia="zh-CN" w:bidi="ar-SA"/>
        </w:rPr>
        <w:sectPr>
          <w:pgSz w:w="11906" w:h="16838"/>
          <w:pgMar w:top="1440" w:right="1706" w:bottom="1440" w:left="1800" w:header="851" w:footer="992" w:gutter="0"/>
          <w:pgNumType w:fmt="decimal"/>
          <w:cols w:space="720" w:num="1"/>
          <w:docGrid w:type="lines" w:linePitch="312" w:charSpace="0"/>
        </w:sectPr>
      </w:pPr>
    </w:p>
    <w:p w14:paraId="5DBD43AF">
      <w:pPr>
        <w:pStyle w:val="3"/>
        <w:spacing w:line="416" w:lineRule="auto"/>
        <w:ind w:right="210"/>
        <w:jc w:val="left"/>
        <w:rPr>
          <w:rFonts w:hint="eastAsia" w:ascii="宋体" w:hAnsi="宋体" w:eastAsia="宋体" w:cs="宋体"/>
          <w:sz w:val="24"/>
          <w:szCs w:val="24"/>
        </w:rPr>
      </w:pPr>
      <w:bookmarkStart w:id="756" w:name="_Toc17864"/>
      <w:r>
        <w:rPr>
          <w:rFonts w:hint="eastAsia" w:ascii="宋体" w:hAnsi="宋体" w:eastAsia="宋体" w:cs="宋体"/>
          <w:b w:val="0"/>
          <w:bCs w:val="0"/>
          <w:sz w:val="24"/>
          <w:szCs w:val="24"/>
        </w:rPr>
        <w:t>附件（一）中小企业声明函</w:t>
      </w:r>
      <w:bookmarkEnd w:id="756"/>
    </w:p>
    <w:p w14:paraId="1A2C9449">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bidi="ar"/>
        </w:rPr>
        <w:t>中小企业声明函</w:t>
      </w:r>
    </w:p>
    <w:p w14:paraId="6E7BBDDE">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i/>
          <w:iCs/>
          <w:sz w:val="24"/>
          <w:szCs w:val="24"/>
          <w:highlight w:val="none"/>
          <w:u w:val="single"/>
          <w:lang w:val="en-US" w:eastAsia="zh-CN"/>
        </w:rPr>
        <w:t>（单位名称）</w:t>
      </w:r>
      <w:r>
        <w:rPr>
          <w:rFonts w:hint="eastAsia" w:ascii="宋体" w:hAnsi="宋体" w:eastAsia="宋体" w:cs="宋体"/>
          <w:sz w:val="24"/>
          <w:szCs w:val="24"/>
          <w:highlight w:val="none"/>
          <w:lang w:val="en-US" w:eastAsia="zh-CN"/>
        </w:rPr>
        <w:t>的</w:t>
      </w:r>
      <w:r>
        <w:rPr>
          <w:rFonts w:hint="eastAsia" w:ascii="宋体" w:hAnsi="宋体" w:eastAsia="宋体" w:cs="宋体"/>
          <w:i/>
          <w:iCs/>
          <w:sz w:val="24"/>
          <w:szCs w:val="24"/>
          <w:highlight w:val="none"/>
          <w:u w:val="single"/>
          <w:lang w:val="en-US" w:eastAsia="zh-CN"/>
        </w:rPr>
        <w:t>（项目名称）</w:t>
      </w:r>
      <w:r>
        <w:rPr>
          <w:rFonts w:hint="eastAsia" w:ascii="宋体" w:hAnsi="宋体" w:eastAsia="宋体" w:cs="宋体"/>
          <w:sz w:val="24"/>
          <w:szCs w:val="24"/>
          <w:highlight w:val="none"/>
          <w:lang w:val="en-US" w:eastAsia="zh-CN"/>
        </w:rPr>
        <w:t>采购活动，工程的施工单位全部为符合政策要求的中小企业（或者：服务</w:t>
      </w:r>
      <w:r>
        <w:rPr>
          <w:rFonts w:hint="eastAsia" w:ascii="宋体" w:hAnsi="宋体" w:cs="宋体"/>
          <w:sz w:val="24"/>
          <w:szCs w:val="24"/>
          <w:highlight w:val="none"/>
          <w:lang w:val="en-US" w:eastAsia="zh-CN"/>
        </w:rPr>
        <w:t>全部由符合政策要求的中小企业承接）。相关企业（含联合体中的中小企业、签订分包意向协议的中小企业）的具体情况如下：</w:t>
      </w:r>
    </w:p>
    <w:p w14:paraId="4D5ED378">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i/>
          <w:iCs/>
          <w:sz w:val="24"/>
          <w:szCs w:val="24"/>
          <w:highlight w:val="none"/>
          <w:u w:val="single"/>
        </w:rPr>
        <w:t xml:space="preserve"> （标的名称）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，属于</w:t>
      </w:r>
      <w:r>
        <w:rPr>
          <w:rFonts w:hint="eastAsia" w:ascii="宋体" w:hAnsi="宋体" w:eastAsia="宋体" w:cs="宋体"/>
          <w:i/>
          <w:iCs/>
          <w:sz w:val="24"/>
          <w:szCs w:val="24"/>
          <w:highlight w:val="none"/>
          <w:u w:val="single"/>
        </w:rPr>
        <w:t>（</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i/>
          <w:iCs/>
          <w:sz w:val="24"/>
          <w:szCs w:val="24"/>
          <w:highlight w:val="none"/>
          <w:u w:val="singl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承建（承接）企业</w:t>
      </w:r>
      <w:r>
        <w:rPr>
          <w:rFonts w:hint="eastAsia" w:ascii="宋体" w:hAnsi="宋体" w:eastAsia="宋体" w:cs="宋体"/>
          <w:sz w:val="24"/>
          <w:szCs w:val="24"/>
          <w:highlight w:val="none"/>
        </w:rPr>
        <w:t>为</w:t>
      </w:r>
      <w:r>
        <w:rPr>
          <w:rFonts w:hint="eastAsia" w:ascii="宋体" w:hAnsi="宋体" w:eastAsia="宋体" w:cs="宋体"/>
          <w:i/>
          <w:iCs/>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i/>
          <w:iCs/>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267295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u w:val="single"/>
        </w:rPr>
        <w:t xml:space="preserve"> （标的名称）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，属于</w:t>
      </w:r>
      <w:r>
        <w:rPr>
          <w:rFonts w:hint="eastAsia" w:ascii="宋体" w:hAnsi="宋体" w:eastAsia="宋体" w:cs="宋体"/>
          <w:i/>
          <w:iCs/>
          <w:sz w:val="24"/>
          <w:szCs w:val="24"/>
          <w:highlight w:val="none"/>
          <w:u w:val="single"/>
        </w:rPr>
        <w:t>（</w:t>
      </w:r>
      <w:r>
        <w:rPr>
          <w:rFonts w:hint="eastAsia" w:ascii="宋体" w:hAnsi="宋体" w:eastAsia="宋体" w:cs="宋体"/>
          <w:i/>
          <w:iCs/>
          <w:sz w:val="24"/>
          <w:szCs w:val="24"/>
          <w:highlight w:val="none"/>
          <w:u w:val="single"/>
          <w:lang w:val="en-US" w:eastAsia="zh-CN"/>
        </w:rPr>
        <w:t>采购文件中明确的所属行业</w:t>
      </w:r>
      <w:r>
        <w:rPr>
          <w:rFonts w:hint="eastAsia" w:ascii="宋体" w:hAnsi="宋体" w:eastAsia="宋体" w:cs="宋体"/>
          <w:i/>
          <w:iCs/>
          <w:sz w:val="24"/>
          <w:szCs w:val="24"/>
          <w:highlight w:val="none"/>
          <w:u w:val="singl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承建（承接）企业</w:t>
      </w:r>
      <w:r>
        <w:rPr>
          <w:rFonts w:hint="eastAsia" w:ascii="宋体" w:hAnsi="宋体" w:eastAsia="宋体" w:cs="宋体"/>
          <w:sz w:val="24"/>
          <w:szCs w:val="24"/>
          <w:highlight w:val="none"/>
        </w:rPr>
        <w:t>为</w:t>
      </w:r>
      <w:r>
        <w:rPr>
          <w:rFonts w:hint="eastAsia" w:ascii="宋体" w:hAnsi="宋体" w:eastAsia="宋体" w:cs="宋体"/>
          <w:i/>
          <w:iCs/>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i/>
          <w:iCs/>
          <w:sz w:val="24"/>
          <w:szCs w:val="24"/>
          <w:highlight w:val="none"/>
          <w:u w:val="single"/>
        </w:rPr>
        <w:t>（中型企业、小型企业、微型企业）</w:t>
      </w:r>
      <w:r>
        <w:rPr>
          <w:rFonts w:hint="eastAsia" w:ascii="宋体" w:hAnsi="宋体" w:eastAsia="宋体" w:cs="宋体"/>
          <w:sz w:val="24"/>
          <w:szCs w:val="24"/>
          <w:highlight w:val="none"/>
        </w:rPr>
        <w:t>；</w:t>
      </w:r>
    </w:p>
    <w:p w14:paraId="7A33B6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5BF1EF4">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2EEA6C7B">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本企业对上述声明内容的真实性负责。如有虚假，将依法承担相应责任。 </w:t>
      </w:r>
    </w:p>
    <w:p w14:paraId="6694C4DA">
      <w:pPr>
        <w:keepNext w:val="0"/>
        <w:keepLines w:val="0"/>
        <w:pageBreakBefore w:val="0"/>
        <w:widowControl w:val="0"/>
        <w:kinsoku/>
        <w:wordWrap/>
        <w:overflowPunct/>
        <w:topLinePunct w:val="0"/>
        <w:autoSpaceDE/>
        <w:autoSpaceDN/>
        <w:bidi w:val="0"/>
        <w:adjustRightInd/>
        <w:snapToGrid w:val="0"/>
        <w:spacing w:line="360" w:lineRule="auto"/>
        <w:ind w:firstLine="555"/>
        <w:jc w:val="right"/>
        <w:textAlignment w:val="auto"/>
        <w:rPr>
          <w:rFonts w:hint="eastAsia" w:ascii="宋体" w:hAnsi="宋体" w:eastAsia="宋体" w:cs="宋体"/>
          <w:sz w:val="24"/>
          <w:szCs w:val="24"/>
          <w:highlight w:val="none"/>
        </w:rPr>
      </w:pPr>
    </w:p>
    <w:p w14:paraId="50EAB009">
      <w:pPr>
        <w:keepNext w:val="0"/>
        <w:keepLines w:val="0"/>
        <w:pageBreakBefore w:val="0"/>
        <w:widowControl w:val="0"/>
        <w:kinsoku/>
        <w:wordWrap/>
        <w:overflowPunct/>
        <w:topLinePunct w:val="0"/>
        <w:autoSpaceDE/>
        <w:autoSpaceDN/>
        <w:bidi w:val="0"/>
        <w:adjustRightInd/>
        <w:snapToGrid w:val="0"/>
        <w:spacing w:line="360" w:lineRule="auto"/>
        <w:ind w:firstLine="555"/>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 </w:t>
      </w:r>
    </w:p>
    <w:p w14:paraId="0667FA09">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 </w:t>
      </w:r>
    </w:p>
    <w:p w14:paraId="5D6745E8">
      <w:pPr>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highlight w:val="none"/>
        </w:rPr>
      </w:pPr>
    </w:p>
    <w:p w14:paraId="5CB7D0B7">
      <w:pPr>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1AF1073">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从业人员、营业收入、资产总额填报上一年度数据，无上一年度数据的新成立企业可不填报。</w:t>
      </w:r>
    </w:p>
    <w:p w14:paraId="4F02ED0C">
      <w:pPr>
        <w:keepNext w:val="0"/>
        <w:keepLines w:val="0"/>
        <w:pageBreakBefore w:val="0"/>
        <w:kinsoku/>
        <w:wordWrap/>
        <w:overflowPunct/>
        <w:topLinePunct w:val="0"/>
        <w:bidi w:val="0"/>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②</w:t>
      </w:r>
      <w:r>
        <w:rPr>
          <w:rFonts w:hint="eastAsia" w:ascii="宋体" w:hAnsi="宋体" w:eastAsia="宋体" w:cs="宋体"/>
          <w:sz w:val="24"/>
          <w:szCs w:val="24"/>
          <w:highlight w:val="none"/>
          <w:lang w:val="en-US" w:eastAsia="zh-CN"/>
        </w:rPr>
        <w:t>本项目采购标的所属行业为：</w:t>
      </w:r>
      <w:r>
        <w:rPr>
          <w:rFonts w:hint="eastAsia" w:ascii="宋体" w:hAnsi="宋体" w:cs="宋体"/>
          <w:sz w:val="24"/>
          <w:szCs w:val="24"/>
          <w:highlight w:val="none"/>
          <w:lang w:val="en-US" w:eastAsia="zh-CN"/>
        </w:rPr>
        <w:t>其他未列明行业</w:t>
      </w:r>
    </w:p>
    <w:p w14:paraId="694DEE75">
      <w:pPr>
        <w:keepNext w:val="0"/>
        <w:keepLines w:val="0"/>
        <w:pageBreakBefore w:val="0"/>
        <w:kinsoku/>
        <w:wordWrap/>
        <w:overflowPunct/>
        <w:topLinePunct w:val="0"/>
        <w:bidi w:val="0"/>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划定标准为：</w:t>
      </w:r>
      <w:r>
        <w:rPr>
          <w:rFonts w:hint="eastAsia" w:ascii="宋体" w:hAnsi="宋体" w:eastAsia="宋体" w:cs="宋体"/>
          <w:sz w:val="24"/>
          <w:szCs w:val="24"/>
          <w:highlight w:val="none"/>
          <w:lang w:eastAsia="zh-CN"/>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w:t>
      </w:r>
    </w:p>
    <w:p w14:paraId="7002CE01">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lang w:eastAsia="zh-CN"/>
        </w:rPr>
      </w:pPr>
    </w:p>
    <w:p w14:paraId="238A89AB">
      <w:pPr>
        <w:spacing w:line="360" w:lineRule="auto"/>
        <w:rPr>
          <w:rFonts w:hint="eastAsia" w:ascii="宋体" w:hAnsi="宋体" w:eastAsia="宋体" w:cs="宋体"/>
          <w:sz w:val="24"/>
          <w:szCs w:val="24"/>
        </w:rPr>
      </w:pPr>
      <w:r>
        <w:rPr>
          <w:rFonts w:hint="eastAsia" w:ascii="宋体" w:hAnsi="宋体" w:eastAsia="宋体" w:cs="宋体"/>
          <w:sz w:val="24"/>
          <w:szCs w:val="24"/>
        </w:rPr>
        <w:t>附件 （</w:t>
      </w:r>
      <w:r>
        <w:rPr>
          <w:rFonts w:hint="eastAsia" w:ascii="宋体" w:hAnsi="宋体" w:eastAsia="宋体" w:cs="宋体"/>
          <w:sz w:val="24"/>
          <w:szCs w:val="24"/>
          <w:lang w:val="en-US" w:eastAsia="zh-CN"/>
        </w:rPr>
        <w:t>二</w:t>
      </w:r>
      <w:r>
        <w:rPr>
          <w:rFonts w:hint="eastAsia" w:ascii="宋体" w:hAnsi="宋体" w:eastAsia="宋体" w:cs="宋体"/>
          <w:sz w:val="24"/>
          <w:szCs w:val="24"/>
        </w:rPr>
        <w:t>）</w:t>
      </w:r>
    </w:p>
    <w:p w14:paraId="6041444E">
      <w:pPr>
        <w:pStyle w:val="3"/>
        <w:spacing w:line="416" w:lineRule="auto"/>
        <w:ind w:left="210" w:right="210"/>
        <w:jc w:val="center"/>
        <w:rPr>
          <w:rFonts w:hint="eastAsia" w:ascii="宋体" w:hAnsi="宋体" w:eastAsia="宋体" w:cs="宋体"/>
          <w:sz w:val="24"/>
          <w:szCs w:val="24"/>
        </w:rPr>
      </w:pPr>
      <w:bookmarkStart w:id="757" w:name="_Toc201"/>
      <w:r>
        <w:rPr>
          <w:rFonts w:hint="eastAsia" w:ascii="宋体" w:hAnsi="宋体" w:eastAsia="宋体" w:cs="宋体"/>
          <w:sz w:val="24"/>
          <w:szCs w:val="24"/>
        </w:rPr>
        <w:t>残疾人福利企业声明函</w:t>
      </w:r>
      <w:bookmarkEnd w:id="757"/>
    </w:p>
    <w:p w14:paraId="119906F9">
      <w:pPr>
        <w:spacing w:line="244" w:lineRule="exact"/>
        <w:rPr>
          <w:rFonts w:hint="eastAsia" w:ascii="宋体" w:hAnsi="宋体" w:eastAsia="宋体" w:cs="宋体"/>
          <w:sz w:val="24"/>
          <w:szCs w:val="24"/>
        </w:rPr>
      </w:pPr>
    </w:p>
    <w:p w14:paraId="1751752A">
      <w:pPr>
        <w:spacing w:line="360" w:lineRule="auto"/>
        <w:ind w:right="260"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w:t>
      </w:r>
      <w:r>
        <w:rPr>
          <w:rFonts w:hint="eastAsia" w:ascii="宋体" w:hAnsi="宋体" w:eastAsia="宋体" w:cs="宋体"/>
          <w:sz w:val="24"/>
          <w:szCs w:val="24"/>
          <w:u w:val="single"/>
        </w:rPr>
        <w:t>他残疾人福利性单位名称）</w:t>
      </w:r>
      <w:r>
        <w:rPr>
          <w:rFonts w:hint="eastAsia" w:ascii="宋体" w:hAnsi="宋体" w:eastAsia="宋体" w:cs="宋体"/>
          <w:sz w:val="24"/>
          <w:szCs w:val="24"/>
        </w:rPr>
        <w:t>制造的货物（不包括使用非残疾人福利性单位注册商标的货物）。货物的名称品牌型号是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60D7534">
      <w:pPr>
        <w:spacing w:line="360" w:lineRule="auto"/>
        <w:rPr>
          <w:rFonts w:hint="eastAsia" w:ascii="宋体" w:hAnsi="宋体" w:eastAsia="宋体" w:cs="宋体"/>
          <w:sz w:val="24"/>
          <w:szCs w:val="24"/>
        </w:rPr>
      </w:pPr>
    </w:p>
    <w:p w14:paraId="0A0FCC62">
      <w:pPr>
        <w:spacing w:line="360" w:lineRule="auto"/>
        <w:ind w:left="48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本单位对上述声明的真实性负责。如有虚假，将承担相应的法律责任。</w:t>
      </w:r>
    </w:p>
    <w:p w14:paraId="229A6A3D">
      <w:pPr>
        <w:spacing w:line="360" w:lineRule="auto"/>
        <w:ind w:right="6206"/>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名称（公章）：</w:t>
      </w:r>
    </w:p>
    <w:p w14:paraId="4CB51398">
      <w:pPr>
        <w:spacing w:line="360" w:lineRule="auto"/>
        <w:ind w:right="6840"/>
        <w:rPr>
          <w:rFonts w:hint="eastAsia" w:ascii="宋体" w:hAnsi="宋体" w:eastAsia="宋体" w:cs="宋体"/>
          <w:sz w:val="24"/>
          <w:szCs w:val="24"/>
        </w:rPr>
      </w:pPr>
      <w:r>
        <w:rPr>
          <w:rFonts w:hint="eastAsia" w:ascii="宋体" w:hAnsi="宋体" w:eastAsia="宋体" w:cs="宋体"/>
          <w:sz w:val="24"/>
          <w:szCs w:val="24"/>
        </w:rPr>
        <w:t>日期：</w:t>
      </w:r>
    </w:p>
    <w:p w14:paraId="61871FF1">
      <w:pPr>
        <w:spacing w:line="360" w:lineRule="auto"/>
        <w:ind w:right="260" w:firstLine="470"/>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D844F4E">
      <w:pPr>
        <w:spacing w:line="360" w:lineRule="auto"/>
        <w:ind w:left="440"/>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14:paraId="16F13A63">
      <w:pPr>
        <w:spacing w:line="360" w:lineRule="auto"/>
        <w:ind w:right="240" w:firstLine="446"/>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 25%（含 25%），并且安置的残疾人人数不少于 10 人（含 10 人）；</w:t>
      </w:r>
    </w:p>
    <w:p w14:paraId="140DF95E">
      <w:pPr>
        <w:spacing w:line="360" w:lineRule="auto"/>
        <w:ind w:left="440" w:right="140"/>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14:paraId="15EF57CC">
      <w:pPr>
        <w:spacing w:line="360" w:lineRule="auto"/>
        <w:ind w:left="440" w:right="140"/>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14:paraId="2A30B555">
      <w:pPr>
        <w:spacing w:line="360" w:lineRule="auto"/>
        <w:ind w:right="240" w:firstLine="446"/>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14:paraId="2FA9E729">
      <w:pPr>
        <w:spacing w:line="360" w:lineRule="auto"/>
        <w:ind w:right="240" w:firstLine="446"/>
        <w:rPr>
          <w:rFonts w:hint="eastAsia"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14:paraId="18EA171C">
      <w:pPr>
        <w:spacing w:line="360" w:lineRule="auto"/>
        <w:ind w:left="440"/>
        <w:rPr>
          <w:rFonts w:hint="eastAsia" w:ascii="宋体" w:hAnsi="宋体" w:eastAsia="宋体" w:cs="宋体"/>
          <w:sz w:val="24"/>
          <w:szCs w:val="24"/>
        </w:rPr>
      </w:pPr>
      <w:r>
        <w:rPr>
          <w:rFonts w:hint="eastAsia" w:ascii="宋体" w:hAnsi="宋体" w:eastAsia="宋体" w:cs="宋体"/>
          <w:b/>
          <w:sz w:val="24"/>
          <w:szCs w:val="24"/>
        </w:rPr>
        <w:t>中标、成交供应商为残疾人福利性单位的，招标人或者其委托的采购代理机构应当随中标、成交结果同时公告其《残疾人福利性单位声明函》，接受社会监督。</w:t>
      </w:r>
    </w:p>
    <w:p w14:paraId="3F4837CF">
      <w:pPr>
        <w:pStyle w:val="3"/>
        <w:spacing w:line="416" w:lineRule="auto"/>
        <w:ind w:right="210" w:firstLine="240" w:firstLineChars="100"/>
        <w:jc w:val="left"/>
        <w:rPr>
          <w:rFonts w:hint="eastAsia" w:ascii="宋体" w:hAnsi="宋体" w:eastAsia="宋体" w:cs="宋体"/>
          <w:b w:val="0"/>
          <w:bCs w:val="0"/>
          <w:sz w:val="24"/>
          <w:szCs w:val="24"/>
        </w:rPr>
      </w:pPr>
      <w:bookmarkStart w:id="758" w:name="_Toc32485"/>
      <w:r>
        <w:rPr>
          <w:rFonts w:hint="eastAsia" w:ascii="宋体" w:hAnsi="宋体" w:eastAsia="宋体" w:cs="宋体"/>
          <w:b w:val="0"/>
          <w:bCs w:val="0"/>
          <w:sz w:val="24"/>
          <w:szCs w:val="24"/>
        </w:rPr>
        <w:t>附件（</w:t>
      </w: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w:t>
      </w:r>
      <w:bookmarkEnd w:id="758"/>
    </w:p>
    <w:p w14:paraId="2B9330D5">
      <w:pPr>
        <w:pStyle w:val="3"/>
        <w:spacing w:line="416" w:lineRule="auto"/>
        <w:ind w:left="210" w:right="210"/>
        <w:jc w:val="center"/>
        <w:rPr>
          <w:rFonts w:hint="eastAsia" w:ascii="宋体" w:hAnsi="宋体" w:eastAsia="宋体" w:cs="宋体"/>
          <w:sz w:val="24"/>
          <w:szCs w:val="24"/>
        </w:rPr>
      </w:pPr>
      <w:bookmarkStart w:id="759" w:name="_Toc32488"/>
      <w:r>
        <w:rPr>
          <w:rFonts w:hint="eastAsia" w:ascii="宋体" w:hAnsi="宋体" w:eastAsia="宋体" w:cs="宋体"/>
          <w:sz w:val="24"/>
          <w:szCs w:val="24"/>
        </w:rPr>
        <w:t>监狱企业证明文件</w:t>
      </w:r>
      <w:bookmarkEnd w:id="759"/>
    </w:p>
    <w:p w14:paraId="63C2C3E6">
      <w:pPr>
        <w:rPr>
          <w:rFonts w:hint="eastAsia" w:ascii="宋体" w:hAnsi="宋体" w:eastAsia="宋体" w:cs="宋体"/>
          <w:sz w:val="24"/>
          <w:szCs w:val="24"/>
        </w:rPr>
      </w:pPr>
    </w:p>
    <w:p w14:paraId="797CA3C5">
      <w:pPr>
        <w:spacing w:line="360" w:lineRule="auto"/>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w:t>
      </w:r>
    </w:p>
    <w:p w14:paraId="094E677B">
      <w:pPr>
        <w:rPr>
          <w:rFonts w:hint="eastAsia" w:ascii="宋体" w:hAnsi="宋体" w:eastAsia="宋体" w:cs="宋体"/>
          <w:sz w:val="24"/>
          <w:szCs w:val="24"/>
        </w:rPr>
      </w:pPr>
    </w:p>
    <w:p w14:paraId="1E9CCBC1">
      <w:pPr>
        <w:spacing w:line="360" w:lineRule="auto"/>
        <w:ind w:firstLine="480" w:firstLineChars="200"/>
        <w:rPr>
          <w:rFonts w:hint="eastAsia" w:ascii="宋体" w:hAnsi="宋体" w:eastAsia="宋体" w:cs="宋体"/>
          <w:bCs/>
          <w:sz w:val="24"/>
          <w:szCs w:val="24"/>
        </w:rPr>
      </w:pPr>
    </w:p>
    <w:p w14:paraId="22529CE7">
      <w:pPr>
        <w:spacing w:line="360" w:lineRule="auto"/>
        <w:ind w:firstLine="480" w:firstLineChars="200"/>
        <w:rPr>
          <w:rFonts w:hint="eastAsia" w:ascii="宋体" w:hAnsi="宋体" w:eastAsia="宋体" w:cs="宋体"/>
          <w:bCs/>
          <w:sz w:val="24"/>
          <w:szCs w:val="24"/>
        </w:rPr>
      </w:pPr>
    </w:p>
    <w:p w14:paraId="10EEE9F6">
      <w:pPr>
        <w:widowControl/>
        <w:spacing w:line="360" w:lineRule="auto"/>
        <w:rPr>
          <w:rFonts w:hint="eastAsia" w:ascii="宋体" w:hAnsi="宋体" w:eastAsia="宋体" w:cs="宋体"/>
          <w:b/>
          <w:sz w:val="24"/>
          <w:szCs w:val="24"/>
        </w:rPr>
      </w:pPr>
    </w:p>
    <w:p w14:paraId="57F12931">
      <w:pPr>
        <w:widowControl/>
        <w:spacing w:line="360" w:lineRule="auto"/>
        <w:rPr>
          <w:rFonts w:hint="eastAsia" w:ascii="宋体" w:hAnsi="宋体" w:eastAsia="宋体" w:cs="宋体"/>
          <w:b/>
          <w:sz w:val="24"/>
          <w:szCs w:val="24"/>
        </w:rPr>
      </w:pPr>
    </w:p>
    <w:p w14:paraId="088E6B98">
      <w:pPr>
        <w:widowControl/>
        <w:spacing w:line="360" w:lineRule="auto"/>
        <w:rPr>
          <w:rFonts w:hint="eastAsia" w:ascii="宋体" w:hAnsi="宋体" w:eastAsia="宋体" w:cs="宋体"/>
          <w:b/>
          <w:sz w:val="24"/>
          <w:szCs w:val="24"/>
        </w:rPr>
      </w:pPr>
    </w:p>
    <w:p w14:paraId="22A9937A">
      <w:pPr>
        <w:widowControl/>
        <w:spacing w:line="360" w:lineRule="auto"/>
        <w:rPr>
          <w:rFonts w:hint="eastAsia" w:ascii="宋体" w:hAnsi="宋体" w:eastAsia="宋体" w:cs="宋体"/>
          <w:b/>
          <w:sz w:val="24"/>
          <w:szCs w:val="24"/>
        </w:rPr>
      </w:pPr>
    </w:p>
    <w:p w14:paraId="7EDC6764">
      <w:pPr>
        <w:widowControl/>
        <w:spacing w:line="360" w:lineRule="auto"/>
        <w:rPr>
          <w:rFonts w:hint="eastAsia" w:ascii="宋体" w:hAnsi="宋体" w:eastAsia="宋体" w:cs="宋体"/>
          <w:b/>
          <w:sz w:val="24"/>
          <w:szCs w:val="24"/>
        </w:rPr>
      </w:pPr>
    </w:p>
    <w:p w14:paraId="3B842F30">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w:t>
      </w:r>
      <w:r>
        <w:rPr>
          <w:rFonts w:hint="eastAsia" w:ascii="宋体" w:hAnsi="宋体" w:eastAsia="宋体" w:cs="宋体"/>
          <w:b/>
          <w:sz w:val="24"/>
          <w:szCs w:val="24"/>
          <w:lang w:eastAsia="zh-CN"/>
        </w:rPr>
        <w:t>供应商</w:t>
      </w:r>
      <w:r>
        <w:rPr>
          <w:rFonts w:hint="eastAsia" w:ascii="宋体" w:hAnsi="宋体" w:eastAsia="宋体" w:cs="宋体"/>
          <w:b/>
          <w:sz w:val="24"/>
          <w:szCs w:val="24"/>
        </w:rPr>
        <w:t>如不满足下述任一情形的，则不需要提供上表。</w:t>
      </w:r>
    </w:p>
    <w:p w14:paraId="011188C1">
      <w:pPr>
        <w:widowControl/>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（1）如果</w:t>
      </w:r>
      <w:r>
        <w:rPr>
          <w:rFonts w:hint="eastAsia" w:ascii="宋体" w:hAnsi="宋体" w:eastAsia="宋体" w:cs="宋体"/>
          <w:bCs/>
          <w:sz w:val="24"/>
          <w:szCs w:val="24"/>
          <w:lang w:eastAsia="zh-CN"/>
        </w:rPr>
        <w:t>供应商</w:t>
      </w:r>
      <w:r>
        <w:rPr>
          <w:rFonts w:hint="eastAsia" w:ascii="宋体" w:hAnsi="宋体" w:eastAsia="宋体" w:cs="宋体"/>
          <w:bCs/>
          <w:sz w:val="24"/>
          <w:szCs w:val="24"/>
        </w:rPr>
        <w:t>不满足中小微企业的认定标准，则不需要提供《中小微企业声明函》，也不需要提供本表。否则，因此导致虚假投标的后果由</w:t>
      </w:r>
      <w:r>
        <w:rPr>
          <w:rFonts w:hint="eastAsia" w:ascii="宋体" w:hAnsi="宋体" w:eastAsia="宋体" w:cs="宋体"/>
          <w:bCs/>
          <w:sz w:val="24"/>
          <w:szCs w:val="24"/>
          <w:lang w:eastAsia="zh-CN"/>
        </w:rPr>
        <w:t>供应商</w:t>
      </w:r>
      <w:r>
        <w:rPr>
          <w:rFonts w:hint="eastAsia" w:ascii="宋体" w:hAnsi="宋体" w:eastAsia="宋体" w:cs="宋体"/>
          <w:bCs/>
          <w:sz w:val="24"/>
          <w:szCs w:val="24"/>
        </w:rPr>
        <w:t>自行承担。</w:t>
      </w:r>
    </w:p>
    <w:p w14:paraId="0EAA7A8D">
      <w:pPr>
        <w:widowControl/>
        <w:spacing w:line="360" w:lineRule="auto"/>
        <w:ind w:firstLine="470" w:firstLineChars="196"/>
        <w:rPr>
          <w:rFonts w:hint="eastAsia" w:ascii="宋体" w:hAnsi="宋体" w:eastAsia="宋体" w:cs="宋体"/>
          <w:sz w:val="24"/>
          <w:szCs w:val="24"/>
        </w:rPr>
      </w:pPr>
      <w:r>
        <w:rPr>
          <w:rFonts w:hint="eastAsia" w:ascii="宋体" w:hAnsi="宋体" w:eastAsia="宋体" w:cs="宋体"/>
          <w:bCs/>
          <w:sz w:val="24"/>
          <w:szCs w:val="24"/>
        </w:rPr>
        <w:t>（2）如果</w:t>
      </w:r>
      <w:r>
        <w:rPr>
          <w:rFonts w:hint="eastAsia" w:ascii="宋体" w:hAnsi="宋体" w:eastAsia="宋体" w:cs="宋体"/>
          <w:bCs/>
          <w:sz w:val="24"/>
          <w:szCs w:val="24"/>
          <w:lang w:eastAsia="zh-CN"/>
        </w:rPr>
        <w:t>供应商</w:t>
      </w:r>
      <w:r>
        <w:rPr>
          <w:rFonts w:hint="eastAsia" w:ascii="宋体" w:hAnsi="宋体" w:eastAsia="宋体" w:cs="宋体"/>
          <w:bCs/>
          <w:sz w:val="24"/>
          <w:szCs w:val="24"/>
        </w:rPr>
        <w:t>不属于</w:t>
      </w:r>
      <w:r>
        <w:rPr>
          <w:rFonts w:hint="eastAsia" w:ascii="宋体" w:hAnsi="宋体" w:eastAsia="宋体" w:cs="宋体"/>
          <w:sz w:val="24"/>
          <w:szCs w:val="24"/>
        </w:rPr>
        <w:t>监狱企业</w:t>
      </w:r>
      <w:r>
        <w:rPr>
          <w:rFonts w:hint="eastAsia" w:ascii="宋体" w:hAnsi="宋体" w:eastAsia="宋体" w:cs="宋体"/>
          <w:bCs/>
          <w:sz w:val="24"/>
          <w:szCs w:val="24"/>
        </w:rPr>
        <w:t>则不需要提供证明文件，也不需要提供本表。否则，因此导致虚假投标的后果由</w:t>
      </w:r>
      <w:r>
        <w:rPr>
          <w:rFonts w:hint="eastAsia" w:ascii="宋体" w:hAnsi="宋体" w:eastAsia="宋体" w:cs="宋体"/>
          <w:bCs/>
          <w:sz w:val="24"/>
          <w:szCs w:val="24"/>
          <w:lang w:eastAsia="zh-CN"/>
        </w:rPr>
        <w:t>供应商</w:t>
      </w:r>
      <w:r>
        <w:rPr>
          <w:rFonts w:hint="eastAsia" w:ascii="宋体" w:hAnsi="宋体" w:eastAsia="宋体" w:cs="宋体"/>
          <w:bCs/>
          <w:sz w:val="24"/>
          <w:szCs w:val="24"/>
        </w:rPr>
        <w:t>自行承担。</w:t>
      </w:r>
    </w:p>
    <w:p w14:paraId="2582E6E9">
      <w:pPr>
        <w:widowControl/>
        <w:spacing w:line="360" w:lineRule="auto"/>
        <w:ind w:firstLine="470" w:firstLineChars="196"/>
        <w:rPr>
          <w:rFonts w:hint="eastAsia" w:ascii="宋体" w:hAnsi="宋体" w:eastAsia="宋体" w:cs="宋体"/>
          <w:b/>
          <w:sz w:val="24"/>
          <w:szCs w:val="24"/>
        </w:rPr>
      </w:pPr>
      <w:r>
        <w:rPr>
          <w:rFonts w:hint="eastAsia" w:ascii="宋体" w:hAnsi="宋体" w:eastAsia="宋体" w:cs="宋体"/>
          <w:bCs/>
          <w:sz w:val="24"/>
          <w:szCs w:val="24"/>
        </w:rPr>
        <w:t>（3）如果</w:t>
      </w:r>
      <w:r>
        <w:rPr>
          <w:rFonts w:hint="eastAsia" w:ascii="宋体" w:hAnsi="宋体" w:eastAsia="宋体" w:cs="宋体"/>
          <w:bCs/>
          <w:sz w:val="24"/>
          <w:szCs w:val="24"/>
          <w:lang w:eastAsia="zh-CN"/>
        </w:rPr>
        <w:t>供应商</w:t>
      </w:r>
      <w:r>
        <w:rPr>
          <w:rFonts w:hint="eastAsia" w:ascii="宋体" w:hAnsi="宋体" w:eastAsia="宋体" w:cs="宋体"/>
          <w:bCs/>
          <w:sz w:val="24"/>
          <w:szCs w:val="24"/>
        </w:rPr>
        <w:t>不属于</w:t>
      </w:r>
      <w:r>
        <w:rPr>
          <w:rFonts w:hint="eastAsia" w:ascii="宋体" w:hAnsi="宋体" w:eastAsia="宋体" w:cs="宋体"/>
          <w:sz w:val="24"/>
          <w:szCs w:val="24"/>
        </w:rPr>
        <w:t>残疾人福利性单位</w:t>
      </w:r>
      <w:r>
        <w:rPr>
          <w:rFonts w:hint="eastAsia" w:ascii="宋体" w:hAnsi="宋体" w:eastAsia="宋体" w:cs="宋体"/>
          <w:bCs/>
          <w:sz w:val="24"/>
          <w:szCs w:val="24"/>
        </w:rPr>
        <w:t>则不需要提供《</w:t>
      </w:r>
      <w:r>
        <w:rPr>
          <w:rFonts w:hint="eastAsia" w:ascii="宋体" w:hAnsi="宋体" w:eastAsia="宋体" w:cs="宋体"/>
          <w:sz w:val="24"/>
          <w:szCs w:val="24"/>
        </w:rPr>
        <w:t>残疾人福利性单位</w:t>
      </w:r>
      <w:r>
        <w:rPr>
          <w:rFonts w:hint="eastAsia" w:ascii="宋体" w:hAnsi="宋体" w:eastAsia="宋体" w:cs="宋体"/>
          <w:bCs/>
          <w:sz w:val="24"/>
          <w:szCs w:val="24"/>
        </w:rPr>
        <w:t>声明函》，也不需要提供本表。否则，因此导致虚假投标的后果由</w:t>
      </w:r>
      <w:r>
        <w:rPr>
          <w:rFonts w:hint="eastAsia" w:ascii="宋体" w:hAnsi="宋体" w:eastAsia="宋体" w:cs="宋体"/>
          <w:bCs/>
          <w:sz w:val="24"/>
          <w:szCs w:val="24"/>
          <w:lang w:eastAsia="zh-CN"/>
        </w:rPr>
        <w:t>供应商</w:t>
      </w:r>
      <w:r>
        <w:rPr>
          <w:rFonts w:hint="eastAsia" w:ascii="宋体" w:hAnsi="宋体" w:eastAsia="宋体" w:cs="宋体"/>
          <w:bCs/>
          <w:sz w:val="24"/>
          <w:szCs w:val="24"/>
        </w:rPr>
        <w:t>自行承担。</w:t>
      </w:r>
    </w:p>
    <w:sectPr>
      <w:pgSz w:w="11906" w:h="16838"/>
      <w:pgMar w:top="1440" w:right="170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146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AEF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E157">
    <w:pPr>
      <w:pStyle w:val="13"/>
      <w:tabs>
        <w:tab w:val="left" w:pos="3893"/>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6C5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6D350">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86D350">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03BF">
    <w:pPr>
      <w:pStyle w:val="13"/>
      <w:tabs>
        <w:tab w:val="left" w:pos="3893"/>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A9B4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CA9B47">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83B34">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CA595">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BCA595">
                    <w:pPr>
                      <w:pStyle w:val="13"/>
                    </w:pPr>
                    <w:r>
                      <w:fldChar w:fldCharType="begin"/>
                    </w:r>
                    <w:r>
                      <w:instrText xml:space="preserve"> PAGE  \* MERGEFORMAT </w:instrText>
                    </w:r>
                    <w:r>
                      <w:fldChar w:fldCharType="separate"/>
                    </w:r>
                    <w:r>
                      <w:t>5</w:t>
                    </w:r>
                    <w:r>
                      <w:fldChar w:fldCharType="end"/>
                    </w:r>
                  </w:p>
                </w:txbxContent>
              </v:textbox>
            </v:shape>
          </w:pict>
        </mc:Fallback>
      </mc:AlternateContent>
    </w:r>
  </w:p>
  <w:p w14:paraId="6959BF8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E60D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A6BF2">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CC26">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6D96">
    <w:pPr>
      <w:pStyle w:val="14"/>
      <w:pBdr>
        <w:bottom w:val="none" w:color="auto" w:sz="0" w:space="1"/>
      </w:pBdr>
      <w:rPr>
        <w:rFonts w:hint="eastAsia"/>
        <w:sz w:val="21"/>
        <w:szCs w:val="21"/>
      </w:rPr>
    </w:pPr>
  </w:p>
  <w:p w14:paraId="33A0CD21">
    <w:pPr>
      <w:pStyle w:val="14"/>
      <w:pBdr>
        <w:bottom w:val="none" w:color="auto" w:sz="0" w:space="1"/>
      </w:pBdr>
      <w:tabs>
        <w:tab w:val="center" w:pos="6049"/>
        <w:tab w:val="right" w:pos="8409"/>
      </w:tabs>
      <w:jc w:val="left"/>
      <w:rPr>
        <w:rFonts w:hint="eastAsia"/>
        <w:sz w:val="21"/>
        <w:szCs w:val="21"/>
      </w:rPr>
    </w:pPr>
    <w:r>
      <w:rPr>
        <w:rFonts w:hint="eastAsia"/>
        <w:sz w:val="21"/>
        <w:szCs w:val="21"/>
      </w:rPr>
      <w:tab/>
    </w:r>
    <w:r>
      <w:rPr>
        <w:rFonts w:hint="eastAsia"/>
        <w:sz w:val="21"/>
        <w:szCs w:val="21"/>
      </w:rPr>
      <w:tab/>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AA3C7"/>
    <w:multiLevelType w:val="singleLevel"/>
    <w:tmpl w:val="872AA3C7"/>
    <w:lvl w:ilvl="0" w:tentative="0">
      <w:start w:val="1"/>
      <w:numFmt w:val="decimal"/>
      <w:lvlText w:val="%1."/>
      <w:lvlJc w:val="left"/>
      <w:pPr>
        <w:tabs>
          <w:tab w:val="left" w:pos="312"/>
        </w:tabs>
      </w:pPr>
    </w:lvl>
  </w:abstractNum>
  <w:abstractNum w:abstractNumId="1">
    <w:nsid w:val="8ED78AA5"/>
    <w:multiLevelType w:val="singleLevel"/>
    <w:tmpl w:val="8ED78AA5"/>
    <w:lvl w:ilvl="0" w:tentative="0">
      <w:start w:val="2"/>
      <w:numFmt w:val="decimal"/>
      <w:suff w:val="nothing"/>
      <w:lvlText w:val="%1、"/>
      <w:lvlJc w:val="left"/>
    </w:lvl>
  </w:abstractNum>
  <w:abstractNum w:abstractNumId="2">
    <w:nsid w:val="C852851D"/>
    <w:multiLevelType w:val="singleLevel"/>
    <w:tmpl w:val="C852851D"/>
    <w:lvl w:ilvl="0" w:tentative="0">
      <w:start w:val="1"/>
      <w:numFmt w:val="decimal"/>
      <w:suff w:val="nothing"/>
      <w:lvlText w:val="%1．"/>
      <w:lvlJc w:val="left"/>
    </w:lvl>
  </w:abstractNum>
  <w:abstractNum w:abstractNumId="3">
    <w:nsid w:val="0B463CFA"/>
    <w:multiLevelType w:val="singleLevel"/>
    <w:tmpl w:val="0B463CFA"/>
    <w:lvl w:ilvl="0" w:tentative="0">
      <w:start w:val="3"/>
      <w:numFmt w:val="decimal"/>
      <w:lvlText w:val="%1."/>
      <w:lvlJc w:val="left"/>
      <w:pPr>
        <w:tabs>
          <w:tab w:val="left" w:pos="312"/>
        </w:tabs>
      </w:pPr>
    </w:lvl>
  </w:abstractNum>
  <w:abstractNum w:abstractNumId="4">
    <w:nsid w:val="59B67BF8"/>
    <w:multiLevelType w:val="singleLevel"/>
    <w:tmpl w:val="59B67BF8"/>
    <w:lvl w:ilvl="0" w:tentative="0">
      <w:start w:val="10"/>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OTJlZTY1OWFkMzNiMWJiZTVjOTQ2N2U1MDAwYTgifQ=="/>
  </w:docVars>
  <w:rsids>
    <w:rsidRoot w:val="32FE3A7F"/>
    <w:rsid w:val="00044EF2"/>
    <w:rsid w:val="003532FE"/>
    <w:rsid w:val="00481283"/>
    <w:rsid w:val="005E7AE8"/>
    <w:rsid w:val="01D1553C"/>
    <w:rsid w:val="02005B8D"/>
    <w:rsid w:val="02F72B65"/>
    <w:rsid w:val="03EB63F1"/>
    <w:rsid w:val="04727D3A"/>
    <w:rsid w:val="04B818BB"/>
    <w:rsid w:val="053B33EA"/>
    <w:rsid w:val="05417F0C"/>
    <w:rsid w:val="062B31EF"/>
    <w:rsid w:val="06A30EA9"/>
    <w:rsid w:val="06A94851"/>
    <w:rsid w:val="07351E35"/>
    <w:rsid w:val="0756415B"/>
    <w:rsid w:val="0A964C5A"/>
    <w:rsid w:val="0ADE7F59"/>
    <w:rsid w:val="0B5013D8"/>
    <w:rsid w:val="0B570D27"/>
    <w:rsid w:val="0B98676F"/>
    <w:rsid w:val="0BDF7D2F"/>
    <w:rsid w:val="0BF4779F"/>
    <w:rsid w:val="0C1D3BDD"/>
    <w:rsid w:val="0CE877FA"/>
    <w:rsid w:val="0D0F7F38"/>
    <w:rsid w:val="0E852AC2"/>
    <w:rsid w:val="0EA31D7A"/>
    <w:rsid w:val="0FED59A3"/>
    <w:rsid w:val="102316DB"/>
    <w:rsid w:val="10462FB5"/>
    <w:rsid w:val="107B6D3D"/>
    <w:rsid w:val="13141499"/>
    <w:rsid w:val="147D67D2"/>
    <w:rsid w:val="14FD4F64"/>
    <w:rsid w:val="166E0EC0"/>
    <w:rsid w:val="17832749"/>
    <w:rsid w:val="187C3D68"/>
    <w:rsid w:val="19BE215E"/>
    <w:rsid w:val="1A395A32"/>
    <w:rsid w:val="1AF5570C"/>
    <w:rsid w:val="1BD87398"/>
    <w:rsid w:val="1C7A130E"/>
    <w:rsid w:val="1D5232E9"/>
    <w:rsid w:val="1D7F4A8A"/>
    <w:rsid w:val="1D8C0823"/>
    <w:rsid w:val="20254CE5"/>
    <w:rsid w:val="20643073"/>
    <w:rsid w:val="20D81D57"/>
    <w:rsid w:val="235F406A"/>
    <w:rsid w:val="24777853"/>
    <w:rsid w:val="25BD776E"/>
    <w:rsid w:val="28842944"/>
    <w:rsid w:val="29565841"/>
    <w:rsid w:val="2A791CF4"/>
    <w:rsid w:val="2BC36542"/>
    <w:rsid w:val="2C35005E"/>
    <w:rsid w:val="2D1C7470"/>
    <w:rsid w:val="2DCE12A0"/>
    <w:rsid w:val="2DF81343"/>
    <w:rsid w:val="2E7B3D22"/>
    <w:rsid w:val="2F047404"/>
    <w:rsid w:val="2F5B602D"/>
    <w:rsid w:val="2F8C202C"/>
    <w:rsid w:val="30553D5E"/>
    <w:rsid w:val="32364B30"/>
    <w:rsid w:val="32A9756E"/>
    <w:rsid w:val="32BF41FA"/>
    <w:rsid w:val="32FE3A7F"/>
    <w:rsid w:val="330E785B"/>
    <w:rsid w:val="34565015"/>
    <w:rsid w:val="349C048A"/>
    <w:rsid w:val="363E2205"/>
    <w:rsid w:val="3662600D"/>
    <w:rsid w:val="36BB5604"/>
    <w:rsid w:val="36CD4F7D"/>
    <w:rsid w:val="379A790F"/>
    <w:rsid w:val="381D7DD4"/>
    <w:rsid w:val="383C2774"/>
    <w:rsid w:val="38662C83"/>
    <w:rsid w:val="38F01A1F"/>
    <w:rsid w:val="395E646B"/>
    <w:rsid w:val="3A7B3A28"/>
    <w:rsid w:val="3AF47336"/>
    <w:rsid w:val="3B334302"/>
    <w:rsid w:val="3B616DDB"/>
    <w:rsid w:val="3CDB07AE"/>
    <w:rsid w:val="3D090F5A"/>
    <w:rsid w:val="3D793B23"/>
    <w:rsid w:val="3E2C1978"/>
    <w:rsid w:val="3E9A1FA2"/>
    <w:rsid w:val="3F11495A"/>
    <w:rsid w:val="3F80388E"/>
    <w:rsid w:val="41150D45"/>
    <w:rsid w:val="411A221B"/>
    <w:rsid w:val="42187DAE"/>
    <w:rsid w:val="429C278D"/>
    <w:rsid w:val="43C55D14"/>
    <w:rsid w:val="43D85A47"/>
    <w:rsid w:val="44B10841"/>
    <w:rsid w:val="44B30262"/>
    <w:rsid w:val="45232CF2"/>
    <w:rsid w:val="46244F73"/>
    <w:rsid w:val="469712BE"/>
    <w:rsid w:val="4701597F"/>
    <w:rsid w:val="472D42FC"/>
    <w:rsid w:val="47FD73AD"/>
    <w:rsid w:val="487A7C3D"/>
    <w:rsid w:val="48EB5D2A"/>
    <w:rsid w:val="4987438E"/>
    <w:rsid w:val="4A151B6C"/>
    <w:rsid w:val="4A3459A1"/>
    <w:rsid w:val="4B58746D"/>
    <w:rsid w:val="4BDB6104"/>
    <w:rsid w:val="4BFF002D"/>
    <w:rsid w:val="4C76630F"/>
    <w:rsid w:val="4CA55E77"/>
    <w:rsid w:val="4CF66F3E"/>
    <w:rsid w:val="4DC332C4"/>
    <w:rsid w:val="4E6B0A36"/>
    <w:rsid w:val="4E802F63"/>
    <w:rsid w:val="4EA84268"/>
    <w:rsid w:val="4F231B40"/>
    <w:rsid w:val="4F8E345D"/>
    <w:rsid w:val="4FCB6460"/>
    <w:rsid w:val="4FF37280"/>
    <w:rsid w:val="52216C8E"/>
    <w:rsid w:val="53C302D2"/>
    <w:rsid w:val="53DB1BAB"/>
    <w:rsid w:val="543A61D1"/>
    <w:rsid w:val="544E7BC1"/>
    <w:rsid w:val="54647E61"/>
    <w:rsid w:val="54E90B34"/>
    <w:rsid w:val="5527213B"/>
    <w:rsid w:val="55651104"/>
    <w:rsid w:val="558E225D"/>
    <w:rsid w:val="56576C9F"/>
    <w:rsid w:val="56C63E25"/>
    <w:rsid w:val="56C9121F"/>
    <w:rsid w:val="57160908"/>
    <w:rsid w:val="588225E9"/>
    <w:rsid w:val="589A7317"/>
    <w:rsid w:val="59407D08"/>
    <w:rsid w:val="595474C6"/>
    <w:rsid w:val="598A113A"/>
    <w:rsid w:val="59B62CC0"/>
    <w:rsid w:val="59F6057D"/>
    <w:rsid w:val="5A7F4A16"/>
    <w:rsid w:val="5AB56CB3"/>
    <w:rsid w:val="5AFC7E15"/>
    <w:rsid w:val="5B3C1DF0"/>
    <w:rsid w:val="5B6B196D"/>
    <w:rsid w:val="5B6D0D13"/>
    <w:rsid w:val="5C321615"/>
    <w:rsid w:val="5F3C2ED6"/>
    <w:rsid w:val="5FC02F9D"/>
    <w:rsid w:val="606A1BBA"/>
    <w:rsid w:val="619A3EE4"/>
    <w:rsid w:val="61BE4076"/>
    <w:rsid w:val="623E6F65"/>
    <w:rsid w:val="62950629"/>
    <w:rsid w:val="62CA07F9"/>
    <w:rsid w:val="631D4DCC"/>
    <w:rsid w:val="63235347"/>
    <w:rsid w:val="636649C5"/>
    <w:rsid w:val="63787EC3"/>
    <w:rsid w:val="637D7CCE"/>
    <w:rsid w:val="63CC543C"/>
    <w:rsid w:val="63D8408D"/>
    <w:rsid w:val="64287ECD"/>
    <w:rsid w:val="643C74D4"/>
    <w:rsid w:val="64D73E7B"/>
    <w:rsid w:val="68240DAB"/>
    <w:rsid w:val="68F73C7F"/>
    <w:rsid w:val="693C3AD3"/>
    <w:rsid w:val="6B234F4A"/>
    <w:rsid w:val="6B8F25DF"/>
    <w:rsid w:val="6BA17DB0"/>
    <w:rsid w:val="6BA73DCD"/>
    <w:rsid w:val="6CF3094C"/>
    <w:rsid w:val="6D1C68F3"/>
    <w:rsid w:val="6D2B65E5"/>
    <w:rsid w:val="6D4B63E1"/>
    <w:rsid w:val="6D6E3EA2"/>
    <w:rsid w:val="6DBD3434"/>
    <w:rsid w:val="6DC5678C"/>
    <w:rsid w:val="6E36299F"/>
    <w:rsid w:val="6E4E6782"/>
    <w:rsid w:val="6E9A0389"/>
    <w:rsid w:val="700E1824"/>
    <w:rsid w:val="732B266F"/>
    <w:rsid w:val="73F676A0"/>
    <w:rsid w:val="741176D0"/>
    <w:rsid w:val="74C0377F"/>
    <w:rsid w:val="74D061E3"/>
    <w:rsid w:val="74DC2650"/>
    <w:rsid w:val="74DD0860"/>
    <w:rsid w:val="75626744"/>
    <w:rsid w:val="75AF4024"/>
    <w:rsid w:val="76B31878"/>
    <w:rsid w:val="77A6318B"/>
    <w:rsid w:val="78136298"/>
    <w:rsid w:val="78322C70"/>
    <w:rsid w:val="79206F6D"/>
    <w:rsid w:val="7B252618"/>
    <w:rsid w:val="7C2D3E7B"/>
    <w:rsid w:val="7C8020C2"/>
    <w:rsid w:val="7D0D4AD7"/>
    <w:rsid w:val="7D250FF6"/>
    <w:rsid w:val="7D842590"/>
    <w:rsid w:val="7D9046C1"/>
    <w:rsid w:val="7D943A85"/>
    <w:rsid w:val="7D965A4F"/>
    <w:rsid w:val="7EFA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autoRedefine/>
    <w:qFormat/>
    <w:uiPriority w:val="0"/>
    <w:pPr>
      <w:keepNext/>
      <w:keepLines/>
      <w:spacing w:before="260" w:after="260" w:line="415" w:lineRule="auto"/>
      <w:ind w:left="459"/>
      <w:outlineLvl w:val="2"/>
    </w:pPr>
    <w:rPr>
      <w:rFonts w:eastAsia="仿宋_GB2312"/>
      <w:b/>
      <w:bCs/>
      <w:kern w:val="0"/>
      <w:sz w:val="32"/>
      <w:szCs w:val="32"/>
    </w:rPr>
  </w:style>
  <w:style w:type="paragraph" w:styleId="5">
    <w:name w:val="heading 7"/>
    <w:basedOn w:val="1"/>
    <w:next w:val="1"/>
    <w:unhideWhenUsed/>
    <w:qFormat/>
    <w:uiPriority w:val="0"/>
    <w:pPr>
      <w:keepNext/>
      <w:keepLines/>
      <w:spacing w:before="240" w:beforeLines="0" w:beforeAutospacing="0" w:after="64" w:afterLines="0" w:afterAutospacing="0" w:line="317" w:lineRule="auto"/>
      <w:jc w:val="center"/>
      <w:outlineLvl w:val="6"/>
    </w:pPr>
    <w:rPr>
      <w:rFonts w:ascii="Times New Roman" w:hAnsi="Times New Roman"/>
      <w:b/>
      <w:sz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rPr>
      <w:rFonts w:ascii="Cambria" w:hAnsi="Cambria" w:eastAsia="黑体"/>
      <w:sz w:val="20"/>
      <w:szCs w:val="20"/>
    </w:rPr>
  </w:style>
  <w:style w:type="paragraph" w:styleId="8">
    <w:name w:val="annotation text"/>
    <w:basedOn w:val="1"/>
    <w:unhideWhenUsed/>
    <w:qFormat/>
    <w:uiPriority w:val="0"/>
    <w:pPr>
      <w:jc w:val="left"/>
    </w:pPr>
    <w:rPr>
      <w:kern w:val="0"/>
      <w:sz w:val="20"/>
    </w:rPr>
  </w:style>
  <w:style w:type="paragraph" w:styleId="9">
    <w:name w:val="Body Text 3"/>
    <w:basedOn w:val="1"/>
    <w:qFormat/>
    <w:uiPriority w:val="0"/>
    <w:rPr>
      <w:rFonts w:ascii="Calibri"/>
      <w:kern w:val="0"/>
      <w:sz w:val="24"/>
      <w:szCs w:val="20"/>
    </w:rPr>
  </w:style>
  <w:style w:type="paragraph" w:styleId="10">
    <w:name w:val="Body Text"/>
    <w:basedOn w:val="1"/>
    <w:autoRedefine/>
    <w:qFormat/>
    <w:uiPriority w:val="0"/>
    <w:pPr>
      <w:spacing w:after="120"/>
    </w:pPr>
  </w:style>
  <w:style w:type="paragraph" w:styleId="11">
    <w:name w:val="List 2"/>
    <w:basedOn w:val="1"/>
    <w:autoRedefine/>
    <w:qFormat/>
    <w:uiPriority w:val="0"/>
    <w:pPr>
      <w:spacing w:before="100" w:beforeLines="0" w:beforeAutospacing="1" w:after="100" w:afterLines="0" w:afterAutospacing="1" w:line="360" w:lineRule="auto"/>
      <w:ind w:left="100" w:leftChars="200" w:hanging="200" w:hangingChars="200"/>
      <w:contextualSpacing/>
    </w:pPr>
    <w:rPr>
      <w:rFonts w:ascii="Times New Roman" w:hAnsi="Times New Roman" w:eastAsia="宋体" w:cs="Times New Roman"/>
      <w:sz w:val="24"/>
    </w:rPr>
  </w:style>
  <w:style w:type="paragraph" w:styleId="12">
    <w:name w:val="Plain Text"/>
    <w:basedOn w:val="1"/>
    <w:autoRedefine/>
    <w:qFormat/>
    <w:uiPriority w:val="0"/>
    <w:rPr>
      <w:rFonts w:ascii="Calibri" w:hAnsi="Courier New"/>
      <w:kern w:val="0"/>
      <w:sz w:val="20"/>
      <w:szCs w:val="21"/>
    </w:rPr>
  </w:style>
  <w:style w:type="paragraph" w:styleId="13">
    <w:name w:val="footer"/>
    <w:basedOn w:val="1"/>
    <w:autoRedefine/>
    <w:qFormat/>
    <w:uiPriority w:val="0"/>
    <w:pPr>
      <w:tabs>
        <w:tab w:val="center" w:pos="4153"/>
        <w:tab w:val="right" w:pos="8306"/>
      </w:tabs>
      <w:snapToGrid w:val="0"/>
      <w:jc w:val="left"/>
    </w:pPr>
    <w:rPr>
      <w:kern w:val="0"/>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qFormat/>
    <w:uiPriority w:val="39"/>
    <w:pPr>
      <w:widowControl/>
      <w:spacing w:after="100" w:line="276" w:lineRule="auto"/>
      <w:jc w:val="center"/>
    </w:pPr>
    <w:rPr>
      <w:rFonts w:ascii="Calibri" w:hAnsi="Calibri"/>
      <w:kern w:val="0"/>
      <w:sz w:val="22"/>
      <w:szCs w:val="22"/>
    </w:rPr>
  </w:style>
  <w:style w:type="paragraph" w:styleId="16">
    <w:name w:val="toc 2"/>
    <w:basedOn w:val="1"/>
    <w:next w:val="1"/>
    <w:qFormat/>
    <w:uiPriority w:val="39"/>
    <w:pPr>
      <w:widowControl/>
      <w:spacing w:after="100" w:line="276" w:lineRule="auto"/>
      <w:ind w:left="220"/>
      <w:jc w:val="left"/>
    </w:pPr>
    <w:rPr>
      <w:rFonts w:ascii="Calibri" w:hAnsi="Calibri"/>
      <w:kern w:val="0"/>
      <w:sz w:val="22"/>
      <w:szCs w:val="22"/>
    </w:rPr>
  </w:style>
  <w:style w:type="paragraph" w:styleId="17">
    <w:name w:val="Body Text 2"/>
    <w:basedOn w:val="1"/>
    <w:qFormat/>
    <w:uiPriority w:val="0"/>
    <w:pPr>
      <w:jc w:val="center"/>
      <w:outlineLvl w:val="0"/>
    </w:pPr>
    <w:rPr>
      <w:rFonts w:ascii="楷体_GB2312" w:eastAsia="仿宋_GB2312"/>
      <w:kern w:val="2"/>
      <w:sz w:val="30"/>
    </w:rPr>
  </w:style>
  <w:style w:type="paragraph" w:styleId="18">
    <w:name w:val="Message Header"/>
    <w:basedOn w:val="1"/>
    <w:next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 w:val="24"/>
    </w:rPr>
  </w:style>
  <w:style w:type="paragraph" w:styleId="19">
    <w:name w:val="Normal (Web)"/>
    <w:basedOn w:val="1"/>
    <w:autoRedefine/>
    <w:qFormat/>
    <w:uiPriority w:val="0"/>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Typewriter"/>
    <w:basedOn w:val="22"/>
    <w:autoRedefine/>
    <w:qFormat/>
    <w:uiPriority w:val="0"/>
    <w:rPr>
      <w:rFonts w:hint="default"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basedOn w:val="22"/>
    <w:autoRedefine/>
    <w:qFormat/>
    <w:uiPriority w:val="0"/>
    <w:rPr>
      <w:color w:val="0000FF"/>
      <w:u w:val="non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rPr>
  </w:style>
  <w:style w:type="paragraph" w:customStyle="1" w:styleId="35">
    <w:name w:val="BodyText1I"/>
    <w:basedOn w:val="36"/>
    <w:autoRedefine/>
    <w:qFormat/>
    <w:uiPriority w:val="99"/>
    <w:pPr>
      <w:ind w:firstLine="420" w:firstLineChars="100"/>
    </w:pPr>
  </w:style>
  <w:style w:type="paragraph" w:customStyle="1" w:styleId="36">
    <w:name w:val="BodyText"/>
    <w:basedOn w:val="1"/>
    <w:autoRedefine/>
    <w:qFormat/>
    <w:uiPriority w:val="99"/>
    <w:pPr>
      <w:spacing w:after="120"/>
    </w:pPr>
  </w:style>
  <w:style w:type="paragraph" w:customStyle="1" w:styleId="37">
    <w:name w:val="*正文"/>
    <w:basedOn w:val="1"/>
    <w:next w:val="1"/>
    <w:autoRedefine/>
    <w:qFormat/>
    <w:uiPriority w:val="0"/>
    <w:pPr>
      <w:widowControl/>
      <w:ind w:firstLine="482"/>
    </w:pPr>
    <w:rPr>
      <w:rFonts w:ascii="微软雅黑" w:hAnsi="微软雅黑" w:eastAsia="微软雅黑"/>
      <w:sz w:val="21"/>
    </w:rPr>
  </w:style>
  <w:style w:type="paragraph" w:customStyle="1" w:styleId="38">
    <w:name w:val="Other|1"/>
    <w:basedOn w:val="1"/>
    <w:autoRedefine/>
    <w:qFormat/>
    <w:uiPriority w:val="0"/>
    <w:pPr>
      <w:spacing w:line="374" w:lineRule="auto"/>
      <w:ind w:firstLine="320"/>
    </w:pPr>
    <w:rPr>
      <w:rFonts w:ascii="宋体" w:hAnsi="宋体" w:eastAsia="宋体" w:cs="宋体"/>
      <w:color w:val="475173"/>
      <w:sz w:val="22"/>
      <w:szCs w:val="22"/>
      <w:lang w:val="zh-TW" w:eastAsia="zh-TW" w:bidi="zh-TW"/>
    </w:rPr>
  </w:style>
  <w:style w:type="paragraph" w:customStyle="1" w:styleId="39">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列出段落"/>
    <w:basedOn w:val="1"/>
    <w:autoRedefine/>
    <w:qFormat/>
    <w:uiPriority w:val="1"/>
    <w:pPr>
      <w:autoSpaceDE w:val="0"/>
      <w:autoSpaceDN w:val="0"/>
      <w:ind w:left="860"/>
      <w:jc w:val="left"/>
    </w:pPr>
    <w:rPr>
      <w:rFonts w:ascii="宋体" w:hAnsi="宋体" w:cs="宋体"/>
      <w:kern w:val="0"/>
      <w:sz w:val="22"/>
      <w:szCs w:val="22"/>
      <w:lang w:eastAsia="en-US" w:bidi="en-US"/>
    </w:rPr>
  </w:style>
  <w:style w:type="paragraph" w:customStyle="1" w:styleId="41">
    <w:name w:val="列出段落2"/>
    <w:basedOn w:val="1"/>
    <w:autoRedefine/>
    <w:qFormat/>
    <w:uiPriority w:val="99"/>
    <w:pPr>
      <w:ind w:firstLine="420" w:firstLineChars="200"/>
    </w:pPr>
  </w:style>
  <w:style w:type="paragraph" w:customStyle="1" w:styleId="42">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无间隔1"/>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Table Paragraph"/>
    <w:basedOn w:val="1"/>
    <w:qFormat/>
    <w:uiPriority w:val="1"/>
    <w:rPr>
      <w:rFonts w:ascii="宋体" w:hAnsi="宋体" w:eastAsia="宋体" w:cs="宋体"/>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27270</Words>
  <Characters>29486</Characters>
  <Lines>0</Lines>
  <Paragraphs>0</Paragraphs>
  <TotalTime>1</TotalTime>
  <ScaleCrop>false</ScaleCrop>
  <LinksUpToDate>false</LinksUpToDate>
  <CharactersWithSpaces>32811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2022-05-16T08:17:00Z</dcterms:created>
  <dc:creator>溦瀀</dc:creator>
  <cp:lastModifiedBy>零点</cp:lastModifiedBy>
  <cp:lastPrinted>2026-06-25T09:26:00Z</cp:lastPrinted>
  <dcterms:modified xsi:type="dcterms:W3CDTF">2026-06-26T08:15:28Z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A882AAF942144FBD8C2E2105BA30763A_13</vt:lpwstr>
  </property>
  <property fmtid="{D5CDD505-2E9C-101B-9397-08002B2CF9AE}" pid="4" name="KSOTemplateDocerSaveRecord">
    <vt:lpwstr>eyJoZGlkIjoiZTY0YTVmMDk4ZGQ3MTM0MTZjNjE3N2U3YTc5ODU4MTEiLCJ1c2VySWQiOiIzODEzMTI1MTEifQ==</vt:lpwstr>
  </property>
</Properties>
</file>