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C016">
      <w:pPr>
        <w:keepNext/>
        <w:keepLines/>
        <w:spacing w:line="360" w:lineRule="auto"/>
        <w:jc w:val="center"/>
        <w:outlineLvl w:val="0"/>
        <w:rPr>
          <w:rFonts w:hint="default" w:ascii="Times New Roman" w:hAnsi="Times New Roman" w:eastAsia="宋体" w:cs="Times New Roman"/>
          <w:b/>
          <w:sz w:val="28"/>
          <w:szCs w:val="22"/>
          <w:highlight w:val="none"/>
          <w:lang w:val="en-US" w:eastAsia="zh-CN"/>
        </w:rPr>
      </w:pPr>
      <w:bookmarkStart w:id="3" w:name="_GoBack"/>
      <w:bookmarkStart w:id="0" w:name="_Toc18734"/>
      <w:r>
        <w:rPr>
          <w:rFonts w:hint="eastAsia" w:ascii="Times New Roman" w:hAnsi="Times New Roman" w:eastAsia="宋体" w:cs="Times New Roman"/>
          <w:b/>
          <w:sz w:val="28"/>
          <w:szCs w:val="22"/>
          <w:highlight w:val="none"/>
          <w:lang w:val="en-US" w:eastAsia="zh-CN"/>
        </w:rPr>
        <w:t>河南科技学院现代农业产业科技创新平台—生物信息与生物医药技术研究中心项目包</w:t>
      </w:r>
      <w:bookmarkEnd w:id="0"/>
      <w:r>
        <w:rPr>
          <w:rFonts w:hint="eastAsia" w:ascii="Times New Roman" w:hAnsi="Times New Roman" w:cs="Times New Roman"/>
          <w:b/>
          <w:sz w:val="28"/>
          <w:szCs w:val="22"/>
          <w:highlight w:val="none"/>
          <w:lang w:val="en-US" w:eastAsia="zh-CN"/>
        </w:rPr>
        <w:t>4采购需求</w:t>
      </w:r>
    </w:p>
    <w:bookmarkEnd w:id="3"/>
    <w:p w14:paraId="4B7B2E99">
      <w:pPr>
        <w:rPr>
          <w:rFonts w:ascii="Times New Roman" w:hAnsi="Times New Roman" w:eastAsia="宋体" w:cs="Times New Roman"/>
          <w:color w:val="000000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sz w:val="24"/>
          <w:szCs w:val="21"/>
          <w:highlight w:val="none"/>
        </w:rPr>
        <w:t>一、设备清单</w:t>
      </w:r>
    </w:p>
    <w:tbl>
      <w:tblPr>
        <w:tblStyle w:val="3"/>
        <w:tblW w:w="9266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0"/>
        <w:gridCol w:w="2752"/>
        <w:gridCol w:w="771"/>
        <w:gridCol w:w="1139"/>
        <w:gridCol w:w="1974"/>
      </w:tblGrid>
      <w:tr w14:paraId="098FF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30" w:type="dxa"/>
            <w:noWrap w:val="0"/>
            <w:vAlign w:val="center"/>
          </w:tcPr>
          <w:p w14:paraId="5E4D7F2B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包名称</w:t>
            </w:r>
          </w:p>
        </w:tc>
        <w:tc>
          <w:tcPr>
            <w:tcW w:w="2752" w:type="dxa"/>
            <w:noWrap w:val="0"/>
            <w:vAlign w:val="center"/>
          </w:tcPr>
          <w:p w14:paraId="1CD366F8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设备名称</w:t>
            </w:r>
          </w:p>
        </w:tc>
        <w:tc>
          <w:tcPr>
            <w:tcW w:w="771" w:type="dxa"/>
            <w:noWrap w:val="0"/>
            <w:vAlign w:val="center"/>
          </w:tcPr>
          <w:p w14:paraId="6D155D45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数量</w:t>
            </w:r>
          </w:p>
        </w:tc>
        <w:tc>
          <w:tcPr>
            <w:tcW w:w="1139" w:type="dxa"/>
            <w:noWrap w:val="0"/>
            <w:vAlign w:val="center"/>
          </w:tcPr>
          <w:p w14:paraId="66D02AE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是否接受进口</w:t>
            </w:r>
          </w:p>
        </w:tc>
        <w:tc>
          <w:tcPr>
            <w:tcW w:w="1974" w:type="dxa"/>
            <w:noWrap w:val="0"/>
            <w:vAlign w:val="center"/>
          </w:tcPr>
          <w:p w14:paraId="4FD10251">
            <w:pPr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57E6B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30" w:type="dxa"/>
            <w:vMerge w:val="restart"/>
            <w:noWrap w:val="0"/>
            <w:vAlign w:val="center"/>
          </w:tcPr>
          <w:p w14:paraId="7B12B4B3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河南科技学院现代农业产业科技创新平台—生物信息与生物医药技术研究中心项目包4</w:t>
            </w:r>
          </w:p>
        </w:tc>
        <w:tc>
          <w:tcPr>
            <w:tcW w:w="2752" w:type="dxa"/>
            <w:noWrap w:val="0"/>
            <w:vAlign w:val="center"/>
          </w:tcPr>
          <w:p w14:paraId="5E10A79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植物生理表型显微分析系统</w:t>
            </w:r>
          </w:p>
        </w:tc>
        <w:tc>
          <w:tcPr>
            <w:tcW w:w="771" w:type="dxa"/>
            <w:noWrap w:val="0"/>
            <w:vAlign w:val="center"/>
          </w:tcPr>
          <w:p w14:paraId="60EB43D9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39" w:type="dxa"/>
            <w:noWrap w:val="0"/>
            <w:vAlign w:val="center"/>
          </w:tcPr>
          <w:p w14:paraId="0809F82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</w:t>
            </w:r>
          </w:p>
        </w:tc>
        <w:tc>
          <w:tcPr>
            <w:tcW w:w="1974" w:type="dxa"/>
            <w:vMerge w:val="restart"/>
            <w:noWrap w:val="0"/>
            <w:vAlign w:val="center"/>
          </w:tcPr>
          <w:p w14:paraId="7109781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  <w:u w:val="none"/>
              </w:rPr>
              <w:t>植物生理表型显微分析系统、全自动微生物适应性进化仪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u w:val="none"/>
                <w:lang w:val="en-US" w:eastAsia="zh-CN"/>
              </w:rPr>
              <w:t>为本包段的核心产品</w:t>
            </w:r>
          </w:p>
        </w:tc>
      </w:tr>
      <w:tr w14:paraId="76B9A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30" w:type="dxa"/>
            <w:vMerge w:val="continue"/>
            <w:noWrap w:val="0"/>
            <w:vAlign w:val="center"/>
          </w:tcPr>
          <w:p w14:paraId="63A1ECCF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2752" w:type="dxa"/>
            <w:noWrap w:val="0"/>
            <w:vAlign w:val="center"/>
          </w:tcPr>
          <w:p w14:paraId="4C7A09FE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全自动微生物适应性进化仪</w:t>
            </w:r>
          </w:p>
        </w:tc>
        <w:tc>
          <w:tcPr>
            <w:tcW w:w="771" w:type="dxa"/>
            <w:noWrap w:val="0"/>
            <w:vAlign w:val="center"/>
          </w:tcPr>
          <w:p w14:paraId="719EEFCE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39" w:type="dxa"/>
            <w:noWrap w:val="0"/>
            <w:vAlign w:val="center"/>
          </w:tcPr>
          <w:p w14:paraId="5ECE6E5E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否</w:t>
            </w:r>
          </w:p>
        </w:tc>
        <w:tc>
          <w:tcPr>
            <w:tcW w:w="1974" w:type="dxa"/>
            <w:vMerge w:val="continue"/>
            <w:noWrap w:val="0"/>
            <w:vAlign w:val="center"/>
          </w:tcPr>
          <w:p w14:paraId="20A9BD07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023B1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30" w:type="dxa"/>
            <w:vMerge w:val="continue"/>
            <w:noWrap w:val="0"/>
            <w:vAlign w:val="center"/>
          </w:tcPr>
          <w:p w14:paraId="0A2A3B10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2752" w:type="dxa"/>
            <w:noWrap w:val="0"/>
            <w:vAlign w:val="center"/>
          </w:tcPr>
          <w:p w14:paraId="4562FFE3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生物工业中下游提取系统</w:t>
            </w:r>
          </w:p>
        </w:tc>
        <w:tc>
          <w:tcPr>
            <w:tcW w:w="771" w:type="dxa"/>
            <w:noWrap w:val="0"/>
            <w:vAlign w:val="center"/>
          </w:tcPr>
          <w:p w14:paraId="206DB40F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39" w:type="dxa"/>
            <w:noWrap w:val="0"/>
            <w:vAlign w:val="center"/>
          </w:tcPr>
          <w:p w14:paraId="2B07519E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否</w:t>
            </w:r>
          </w:p>
        </w:tc>
        <w:tc>
          <w:tcPr>
            <w:tcW w:w="1974" w:type="dxa"/>
            <w:vMerge w:val="continue"/>
            <w:noWrap w:val="0"/>
            <w:vAlign w:val="center"/>
          </w:tcPr>
          <w:p w14:paraId="6EF13CF4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29C25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30" w:type="dxa"/>
            <w:vMerge w:val="continue"/>
            <w:noWrap w:val="0"/>
            <w:vAlign w:val="center"/>
          </w:tcPr>
          <w:p w14:paraId="4199A533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2752" w:type="dxa"/>
            <w:noWrap w:val="0"/>
            <w:vAlign w:val="center"/>
          </w:tcPr>
          <w:p w14:paraId="4EB7FC73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5L 台式五联发酵罐</w:t>
            </w:r>
          </w:p>
        </w:tc>
        <w:tc>
          <w:tcPr>
            <w:tcW w:w="771" w:type="dxa"/>
            <w:noWrap w:val="0"/>
            <w:vAlign w:val="center"/>
          </w:tcPr>
          <w:p w14:paraId="0729F653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1套</w:t>
            </w:r>
          </w:p>
        </w:tc>
        <w:tc>
          <w:tcPr>
            <w:tcW w:w="1139" w:type="dxa"/>
            <w:noWrap w:val="0"/>
            <w:vAlign w:val="center"/>
          </w:tcPr>
          <w:p w14:paraId="5F8A617B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否</w:t>
            </w:r>
          </w:p>
        </w:tc>
        <w:tc>
          <w:tcPr>
            <w:tcW w:w="1974" w:type="dxa"/>
            <w:vMerge w:val="continue"/>
            <w:noWrap w:val="0"/>
            <w:vAlign w:val="center"/>
          </w:tcPr>
          <w:p w14:paraId="3A81AF7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</w:tr>
    </w:tbl>
    <w:p w14:paraId="7F34150F">
      <w:pPr>
        <w:spacing w:line="360" w:lineRule="auto"/>
        <w:rPr>
          <w:rFonts w:ascii="宋体" w:hAnsi="宋体" w:eastAsia="宋体" w:cs="宋体"/>
          <w:b/>
          <w:bCs/>
          <w:sz w:val="24"/>
          <w:szCs w:val="32"/>
          <w:highlight w:val="none"/>
        </w:rPr>
      </w:pPr>
      <w:r>
        <w:rPr>
          <w:rFonts w:ascii="宋体" w:hAnsi="宋体" w:eastAsia="宋体" w:cs="宋体"/>
          <w:b/>
          <w:bCs/>
          <w:sz w:val="24"/>
          <w:szCs w:val="32"/>
          <w:highlight w:val="none"/>
        </w:rPr>
        <w:t>二、技术要求</w:t>
      </w:r>
    </w:p>
    <w:tbl>
      <w:tblPr>
        <w:tblStyle w:val="3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695"/>
        <w:gridCol w:w="6763"/>
      </w:tblGrid>
      <w:tr w14:paraId="7D26F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noWrap w:val="0"/>
            <w:vAlign w:val="top"/>
          </w:tcPr>
          <w:p w14:paraId="3D06F57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序号</w:t>
            </w:r>
          </w:p>
        </w:tc>
        <w:tc>
          <w:tcPr>
            <w:tcW w:w="1695" w:type="dxa"/>
            <w:noWrap w:val="0"/>
            <w:vAlign w:val="top"/>
          </w:tcPr>
          <w:p w14:paraId="7511C02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设备名称</w:t>
            </w:r>
          </w:p>
        </w:tc>
        <w:tc>
          <w:tcPr>
            <w:tcW w:w="6763" w:type="dxa"/>
            <w:noWrap w:val="0"/>
            <w:vAlign w:val="top"/>
          </w:tcPr>
          <w:p w14:paraId="202CC04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技术参数与相关要求</w:t>
            </w:r>
          </w:p>
        </w:tc>
      </w:tr>
      <w:tr w14:paraId="427B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noWrap w:val="0"/>
            <w:vAlign w:val="center"/>
          </w:tcPr>
          <w:p w14:paraId="0139509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</w:t>
            </w:r>
          </w:p>
        </w:tc>
        <w:tc>
          <w:tcPr>
            <w:tcW w:w="1695" w:type="dxa"/>
            <w:noWrap w:val="0"/>
            <w:vAlign w:val="center"/>
          </w:tcPr>
          <w:p w14:paraId="38A2B2B2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植物生理表型显微分析系统</w:t>
            </w:r>
          </w:p>
        </w:tc>
        <w:tc>
          <w:tcPr>
            <w:tcW w:w="6763" w:type="dxa"/>
            <w:noWrap w:val="0"/>
            <w:vAlign w:val="top"/>
          </w:tcPr>
          <w:p w14:paraId="18CB2068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一、主要用途</w:t>
            </w:r>
          </w:p>
          <w:p w14:paraId="41A56ECC">
            <w:pPr>
              <w:spacing w:line="360" w:lineRule="auto"/>
              <w:ind w:firstLine="420" w:firstLineChars="20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植物生理表型显微分析系统用于植物微观尺度生理与表型定量研究，集成显微成像、叶绿素荧光成像、多光谱成像技术，具备对植物叶片、表皮、根、种子等组织细胞进行无损观测；自动测定气孔参数、细胞形态、叶绿素荧光动力学参数、光合效率及色素空间分布；开展光信号调控、逆境生理、基因功能、种质资源微观表型鉴定等研究，支撑作物光合代谢、抗逆分子机制与育种相关科研工作</w:t>
            </w:r>
          </w:p>
          <w:p w14:paraId="5E24906C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二、配置清单</w:t>
            </w:r>
          </w:p>
          <w:p w14:paraId="32B09DBC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1.植物生理表型显微分析系统1套（光纤、暗适应叶夹、光量子传感器、红外温度传感器、气孔同步测量附件、光照控制模块）；</w:t>
            </w:r>
          </w:p>
          <w:p w14:paraId="24C9541E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2.配套实验仪器：双波长荧光蛋白激发光源6套；植物多酚叶绿素荧光仪2台；梯度PCR仪1台；人工气候箱1台。</w:t>
            </w:r>
          </w:p>
          <w:p w14:paraId="28F2D319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三、技术指标</w:t>
            </w:r>
          </w:p>
          <w:p w14:paraId="4F28143C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1.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植物生理表型显微分析系统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主机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4940031A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 气体交换测定模块</w:t>
            </w:r>
          </w:p>
          <w:p w14:paraId="09944406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1.1.1 测量方式：可选择开路和闭路两种测量方法；可选择测量单叶和群体的光合作用以及昆虫、种子、果品等的呼吸作用或一些微弱光合作用；</w:t>
            </w:r>
          </w:p>
          <w:p w14:paraId="0608FE46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1.1.2 测量参数：测量单叶或群体的净光合速率或呼吸速率、蒸腾速率、气孔导度、胞间CO2浓度及进出叶室的空气CO2浓度、相对湿度、空气温度、叶面温度、光合有效辐射（PAR）；</w:t>
            </w:r>
          </w:p>
          <w:p w14:paraId="1934DA35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1.1.3 特殊测量功能：具有独特的快速连续光合测量功能(1秒钟测一组数据)；</w:t>
            </w:r>
          </w:p>
          <w:p w14:paraId="73EF135F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1.1.4 CO2分析器：使用对震动不敏感型非扩散式红外CO2分析器，测量范围为0～2000ppm，分辨率≤0.1ppm，精确度 ±2％，响应时间≤1s；</w:t>
            </w:r>
          </w:p>
          <w:p w14:paraId="514CCB8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1.1.5 空气温度：热电偶温度传感器，测量范围-15～50℃，精度±0.1℃；</w:t>
            </w:r>
          </w:p>
          <w:p w14:paraId="135C186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1.1.6 叶面温度：红外非接触式表面温度传感器，测量范围-10～50℃，精度±0.3℃；</w:t>
            </w:r>
          </w:p>
          <w:p w14:paraId="034CC2C4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1.1.7 空气湿度：不怕结露型湿敏电容，测量范围0-100%RH，在10%RH时，精确度在±2%，在90%时精确度为±3.5 %；</w:t>
            </w:r>
          </w:p>
          <w:p w14:paraId="176BFEF8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1.1.8 PAR：使用带余玄校正滤光片的GaAsP光电池，响应光谱为400～700nm，测量范围为0～2500μmol m-2 s-1，精度为5μmol m-2 s-1；</w:t>
            </w:r>
          </w:p>
          <w:p w14:paraId="41EE73D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1.1.9 空气流量计：电子流量计，气流速度100-1000L/min，精度：±2%；</w:t>
            </w:r>
          </w:p>
          <w:p w14:paraId="7E468793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1.1.10 叶室：标准叶室≥25×25×10 mm（深度）；</w:t>
            </w:r>
          </w:p>
          <w:p w14:paraId="1D6F7E9C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1.1.11 光照控制附件：可手动和自动控制方式，红蓝LED光源，光强范围0~2500μmol m</w:t>
            </w:r>
            <w:r>
              <w:rPr>
                <w:rFonts w:ascii="Times New Roman" w:hAnsi="Times New Roman" w:eastAsia="宋体" w:cs="Times New Roman"/>
                <w:highlight w:val="none"/>
                <w:vertAlign w:val="superscript"/>
              </w:rPr>
              <w:t xml:space="preserve">-2 </w:t>
            </w:r>
            <w:r>
              <w:rPr>
                <w:rFonts w:ascii="Times New Roman" w:hAnsi="Times New Roman" w:eastAsia="宋体" w:cs="Times New Roman"/>
                <w:highlight w:val="none"/>
              </w:rPr>
              <w:t>s</w:t>
            </w:r>
            <w:r>
              <w:rPr>
                <w:rFonts w:ascii="Times New Roman" w:hAnsi="Times New Roman" w:eastAsia="宋体" w:cs="Times New Roman"/>
                <w:highlight w:val="none"/>
                <w:vertAlign w:val="superscript"/>
              </w:rPr>
              <w:t>-1</w:t>
            </w:r>
            <w:r>
              <w:rPr>
                <w:rFonts w:ascii="Times New Roman" w:hAnsi="Times New Roman" w:eastAsia="宋体" w:cs="Times New Roman"/>
                <w:highlight w:val="none"/>
              </w:rPr>
              <w:t>，辐照面积≥80 x 40 mm；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7F439231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 叶绿素荧光测定模块</w:t>
            </w:r>
          </w:p>
          <w:p w14:paraId="6EC34EEA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1.2.1 测量光光源：蓝色LED（470 nm）；标准光强≤0.05μmol m-2 s-1；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0A05DFD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1.2.2 光化光光源：蓝色LED（470 nm）；最大连续光强≥3000μmol m</w:t>
            </w:r>
            <w:r>
              <w:rPr>
                <w:rFonts w:ascii="Times New Roman" w:hAnsi="Times New Roman" w:eastAsia="宋体" w:cs="Times New Roman"/>
                <w:highlight w:val="none"/>
                <w:vertAlign w:val="superscript"/>
              </w:rPr>
              <w:t xml:space="preserve">-2 </w:t>
            </w:r>
            <w:r>
              <w:rPr>
                <w:rFonts w:ascii="Times New Roman" w:hAnsi="Times New Roman" w:eastAsia="宋体" w:cs="Times New Roman"/>
                <w:highlight w:val="none"/>
              </w:rPr>
              <w:t>s</w:t>
            </w:r>
            <w:r>
              <w:rPr>
                <w:rFonts w:ascii="Times New Roman" w:hAnsi="Times New Roman" w:eastAsia="宋体" w:cs="Times New Roman"/>
                <w:highlight w:val="none"/>
                <w:vertAlign w:val="superscript"/>
              </w:rPr>
              <w:t>-1</w:t>
            </w:r>
            <w:r>
              <w:rPr>
                <w:rFonts w:ascii="Times New Roman" w:hAnsi="Times New Roman" w:eastAsia="宋体" w:cs="Times New Roman"/>
                <w:highlight w:val="none"/>
              </w:rPr>
              <w:t>；</w:t>
            </w:r>
          </w:p>
          <w:p w14:paraId="15B0771E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1.2.3 饱和脉冲光光源：蓝色LED（470 nm），最大闪光强度≥6000μmol m</w:t>
            </w:r>
            <w:r>
              <w:rPr>
                <w:rFonts w:ascii="Times New Roman" w:hAnsi="Times New Roman" w:eastAsia="宋体" w:cs="Times New Roman"/>
                <w:highlight w:val="none"/>
                <w:vertAlign w:val="superscript"/>
              </w:rPr>
              <w:t xml:space="preserve">-2 </w:t>
            </w:r>
            <w:r>
              <w:rPr>
                <w:rFonts w:ascii="Times New Roman" w:hAnsi="Times New Roman" w:eastAsia="宋体" w:cs="Times New Roman"/>
                <w:highlight w:val="none"/>
              </w:rPr>
              <w:t>s</w:t>
            </w:r>
            <w:r>
              <w:rPr>
                <w:rFonts w:ascii="Times New Roman" w:hAnsi="Times New Roman" w:eastAsia="宋体" w:cs="Times New Roman"/>
                <w:highlight w:val="none"/>
                <w:vertAlign w:val="superscript"/>
              </w:rPr>
              <w:t>-1</w:t>
            </w:r>
            <w:r>
              <w:rPr>
                <w:rFonts w:ascii="Times New Roman" w:hAnsi="Times New Roman" w:eastAsia="宋体" w:cs="Times New Roman"/>
                <w:highlight w:val="none"/>
              </w:rPr>
              <w:t>；</w:t>
            </w:r>
          </w:p>
          <w:p w14:paraId="1DF8DF27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1.2.4 远红光：发射峰值735 nm；</w:t>
            </w:r>
          </w:p>
          <w:p w14:paraId="7EB98516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1.2.5 标准光纤：直径8 mm，光径5.5 mm，长100 cm，由70 μm玻璃纤维构成，末端带不锈钢适配器，光纤必须为防水设计；</w:t>
            </w:r>
          </w:p>
          <w:p w14:paraId="62791933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1.2.6 微光纤：直径2 mm，长1.5 m，用于测量小样品；光纤必须为防水设计；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2700D29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1.2.7 测量参数：叶绿素荧光：Fo, Fo’, Fm, F, Fm', Fv/Fm, Y(II)=ΔF/Fm', qP, qL, qN, NPQ, Y(NPQ), Y(NO), rETR, PAR和叶温，相对湿度等；</w:t>
            </w:r>
          </w:p>
          <w:p w14:paraId="011C0E0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1.2.8.气体交换指标：气孔导度、叶片温度、VPD、蒸腾速率、PAR、GPS定位等；</w:t>
            </w:r>
          </w:p>
          <w:p w14:paraId="1F9F71D5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1.2.9 测量程序：光曲线测量功能：光梯度个数不少于12 个，可随意设置光曲线步数，自带拟合方程，可对光曲线进行不少于两种模式的拟合，拟合得到a、ETRmax、Ik等参数；</w:t>
            </w:r>
          </w:p>
          <w:p w14:paraId="0C22BBB8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1.2.9.1诱导曲线测量功能：手动或自动，自动模式下有Act.+Yield，诱导曲线，诱导曲线+暗弛豫三种运行方式。手动和自动模式下均具备随时更改诱导曲线的光化光强度，饱和脉冲强度，测量过程中能自动分析和记录所有荧光参数的变化趋势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467ECC0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1.2.9.2时钟重复功能: 间隔可以在10s-60min内设置，重复指令：SAT.Pulse、Act.+Yield、诱导曲线、诱导曲线+暗弛豫、光曲线、光曲线+暗弛豫等6种测量程序；曲线拟合：软件必须具备光响应曲线的非线性拟合功能，能够自动拟合出α、Ik、Pm等参数。</w:t>
            </w:r>
          </w:p>
          <w:p w14:paraId="5622B181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1.2.10气孔同步测量附件：</w:t>
            </w:r>
            <w:bookmarkStart w:id="1" w:name="OLE_LINK4"/>
          </w:p>
          <w:p w14:paraId="4DC1EC45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bookmarkEnd w:id="1"/>
            <w:r>
              <w:rPr>
                <w:rFonts w:ascii="Times New Roman" w:hAnsi="Times New Roman" w:eastAsia="宋体" w:cs="Times New Roman"/>
                <w:highlight w:val="none"/>
              </w:rPr>
              <w:t>1.2.10.1 测量参数：包含气孔导度、叶片温度、VPD、蒸腾速率、PAR、GPS定位等；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025A953D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1.2.10.2 样品区：圆形，直径1cm；</w:t>
            </w:r>
          </w:p>
          <w:p w14:paraId="352520CB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1.2.10.3 流速：40、60、80、100、120、140、160、180、200 µmol s-1可选；湿度传感器精度：20-70%RH：±1.0%RH; &lt;20%RH和&gt;70 %RH：±1.5 %RH；叶温传感器精度：±0.3℃；压力传感器精度：±0.1 kPa；流量计精度：±1.5%RD+0.15%FS；环境 CO2传感器精度：±30ppm，读数的+3%；光量子传感器测量范围：0-7000 μmol m-2 s-1。</w:t>
            </w:r>
          </w:p>
          <w:p w14:paraId="6FF6BABC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2.配套实验仪器技术指标</w:t>
            </w:r>
          </w:p>
          <w:p w14:paraId="4177D06B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2.1 植物多酚叶绿素荧光仪2台：测量样品：叶片，水果；光源组成： 均为LEDs， 310nm； 365nm； 450nm； 530nm； 630nm； 715nm；770nm；测量参数：叶绿素含量Cchl，Fo，Fm，Fv/Fm， Q310（UV-B），Q365（UV-A），Q450（蓝光），Q530（绿光），NBI，AFLAV，AANTH，经/纬度(GPS)，高度，太阳方位角，太阳高度角，叶片方位角，叶片倾斜度，阳光入射角，叶片表面入射角；测量方式：叶夹 ，水果为接触但非侵入式；GPS：内置，精度2.5m；陀螺仪：内置，可以测量阳光照射叶片的角度。</w:t>
            </w:r>
          </w:p>
          <w:p w14:paraId="02429E88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2.2梯度PCR仪1台：最大模块变温速率：6.0℃/秒，变温速率可调节,最大样本变温速率：4.4℃/秒；温度范围：0-100.0℃,温度均一性：＜0.5℃（达到95℃后30秒）</w:t>
            </w:r>
            <w:r>
              <w:rPr>
                <w:rFonts w:ascii="Times New Roman" w:hAnsi="Times New Roman" w:eastAsia="宋体" w:cs="Times New Roman"/>
                <w:highlight w:val="none"/>
              </w:rPr>
              <w:tab/>
            </w:r>
            <w:r>
              <w:rPr>
                <w:rFonts w:ascii="Times New Roman" w:hAnsi="Times New Roman" w:eastAsia="宋体" w:cs="Times New Roman"/>
                <w:highlight w:val="none"/>
              </w:rPr>
              <w:t>温度准确性： ±0.25℃（35-99.9℃之间）；PCR体积范围：支持10—100 uL, 允许1-100 uL；6组独立控温区域，具备精确设置6个不同温度，实现真正意义的梯度PCR；支持区间温差最大5℃，整体25℃；允许区间最大10℃，整体30℃；≥8英寸彩色触摸式显示屏，直观的导航按钮，图形化编辑设置简单方便；以太网或Wi-Fi连接网络，支持手机或电脑端远程查看、监控、 预约提醒和打印机连接等；内置模拟模式，具备模拟市面主流PCR仪热学性能，保证实验的平稳过渡。</w:t>
            </w:r>
          </w:p>
          <w:p w14:paraId="383817DC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2.3 人工气候箱 1台：:容积：1100L；温度范围： -15-65℃；温度分变率0.1℃ 波动度±0.5℃-±1.0℃ 均匀度±1.0℃；温度偏差修正范围：±5℃可调；湿度范围：50-95%RH  波动度±3～7%RH；湿度偏差修正范围：±10%RH可调；光照强度：0-50000LUX；控制方式：无极可调，输入所需光照度数值即可；升温时间： 0℃升至40℃≤40分钟；降温时间：40℃降至10℃≤40分钟；</w:t>
            </w:r>
          </w:p>
          <w:p w14:paraId="2A0E665B">
            <w:pPr>
              <w:spacing w:line="360" w:lineRule="auto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2.4双波长荧光蛋白激发光源 6台：物理技术参数：波长：具备任意选择2种波长：400nm， 450nm， 485nm，520nm；质量：净重≤0.9kg，毛重：≤4kg，尺寸：≤180x200mm（长x高），头部直径≤120mm；功率：单波长≤18w，总功率≤27w；输入电压：交流100-260v，频率50/60Hz。</w:t>
            </w:r>
          </w:p>
          <w:p w14:paraId="44C2F051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距灯150mm处照射直径≥180mm。标准配置:主机、蓝光观察眼镜，绿光观察眼镜，充电器、说明书、保修卡、铝合金手提箱。</w:t>
            </w:r>
          </w:p>
          <w:p w14:paraId="6530A37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  <w:t>四、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其他要求</w:t>
            </w:r>
          </w:p>
          <w:p w14:paraId="4EE18813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1.提供制造商或总代理商授权书。</w:t>
            </w:r>
          </w:p>
          <w:p w14:paraId="003BCD87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2.提供技术资料，包括仪器技术说明书、应用方案、安装指南、操作使用说明书、标准操作规程与维护规程。</w:t>
            </w:r>
          </w:p>
          <w:p w14:paraId="4C699EC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3.质保期内免费提供配件更换与故障维修服务，免费提供一次设备迁移服务，配套软件终身免费维护与版本升级。</w:t>
            </w:r>
          </w:p>
          <w:p w14:paraId="59A9E2B0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4.由技术人员提供现场培训，培训人数不限，内容包括仪器使用与维护、软件编程、应用方法开发及常见问题处理。每年巡检不少于4次，组织培训不少于2次。</w:t>
            </w:r>
          </w:p>
        </w:tc>
      </w:tr>
      <w:tr w14:paraId="47765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noWrap w:val="0"/>
            <w:vAlign w:val="center"/>
          </w:tcPr>
          <w:p w14:paraId="07D78CE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</w:t>
            </w:r>
          </w:p>
        </w:tc>
        <w:tc>
          <w:tcPr>
            <w:tcW w:w="1695" w:type="dxa"/>
            <w:noWrap w:val="0"/>
            <w:vAlign w:val="center"/>
          </w:tcPr>
          <w:p w14:paraId="1A177DCF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全自动微生物适应性进化仪</w:t>
            </w:r>
          </w:p>
        </w:tc>
        <w:tc>
          <w:tcPr>
            <w:tcW w:w="6763" w:type="dxa"/>
            <w:noWrap w:val="0"/>
            <w:vAlign w:val="top"/>
          </w:tcPr>
          <w:p w14:paraId="405E4B55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  <w:t>一、主要用途</w:t>
            </w:r>
          </w:p>
          <w:p w14:paraId="11742712">
            <w:pPr>
              <w:pStyle w:val="2"/>
              <w:ind w:firstLine="420" w:firstLineChars="20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用于微生物实验室适应性进化（ALE）研究，可实现多谱系微生物并行自动化连续培养、在线 OD 监测、自动传代与梯度胁迫施加；在可控环境下定向驯化细菌、酵母及真菌，选育高抗逆、高产性能菌株；可开展微生物抗逆进化、抗生素耐药演化、合成生物学工程菌改良、农业微生物菌种开发等研究；自动定时取样保存进化谱系样本，结合分子生物学、组学技术解析微生物适应性突变与表型演化规律。</w:t>
            </w:r>
          </w:p>
          <w:p w14:paraId="15F4E1A4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  <w:t>二、配置清单</w:t>
            </w:r>
          </w:p>
          <w:p w14:paraId="11EA63C0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1.全自动微生物适应性进化仪主机1台（含1个主机和3个拓展分机）</w:t>
            </w:r>
          </w:p>
          <w:p w14:paraId="6C7236A9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2.工作站1台；</w:t>
            </w:r>
          </w:p>
          <w:p w14:paraId="1FD875A3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  <w:t>三、技术指标</w:t>
            </w:r>
          </w:p>
          <w:p w14:paraId="277FD800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1.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全自动微生物适应性进化仪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主机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4E0F05A1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1.1培养通量：设备可独立运行的培养通道数≥2个；每通道独立控制，可同时进行不同的驯化条件或不同的菌株。</w:t>
            </w:r>
          </w:p>
          <w:p w14:paraId="3F52FD40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1.2反应器：采用管式生物反应器，多种气体高透性复合型材质，培养基体积：≤8mL，毫升级小体积反应器；培养过程中可随时通过取样口进行取样。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0E1BF54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1.3具备见光检测模块，可以对细菌生长量、培养基颜色变化等状态进行检测。</w:t>
            </w:r>
          </w:p>
          <w:p w14:paraId="34E72E06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1.3.1具备见光光源：350-800nm卤素光源；</w:t>
            </w:r>
          </w:p>
          <w:p w14:paraId="02CB565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1.3.2检测器：光谱仪检测器，波长分辨率小于3nm, 支持350-800nm内波段实时检测；OD检测范围：线性范围0-18；检测时间间隔具备根据实验需求自由设置；检测的数据支持导出和导入，支持随时调阅与离线excel处理；具有全部通道的对比检测曲线展示界面，以及各通道的独立详细展示界面；</w:t>
            </w:r>
          </w:p>
          <w:p w14:paraId="7776F2A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1.3.3软件界面中各通道的OD值随时间轴实时更新显示，单点详细数据跟随鼠标实时展示，时间轴时间范围具备自由选择和缩放。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47F70A00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1.4温度控制模块：对培养仓内的温度进行控制</w:t>
            </w:r>
          </w:p>
          <w:p w14:paraId="5272988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1.4.1温控模式：同时具有加热和制冷功能；温控范围：25℃～50℃，培养传代过程中具备自由修改设定温度；温控设定步进幅度：0.1℃；温控波动度：≤±1℃，软件后台具备对温度数据进行实时存储。</w:t>
            </w:r>
          </w:p>
          <w:p w14:paraId="1FDCDA9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1.5自动补料添加功能：培养传代过程中对培养基和化学试剂等进行添加。</w:t>
            </w:r>
          </w:p>
          <w:p w14:paraId="0B0903C4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1.5.1每个培养通道补料泵数量：≥2个；添加浓度具备自由设置，补加误差小于5%；试剂瓶内置磁力搅拌转子，试剂仓内每个试剂瓶位置下方固定磁力搅拌器，不低于5档调速，最大搅拌量不小于1L（以水为标准）；</w:t>
            </w:r>
          </w:p>
          <w:p w14:paraId="783EEFC8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试剂仓内有紫外灯，功率≥6W，具备对试剂仓内进行杀菌消毒。</w:t>
            </w:r>
          </w:p>
          <w:p w14:paraId="3BFD0ABE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1.6自动传代功能：自动对培养的微生物进行传代</w:t>
            </w:r>
          </w:p>
          <w:p w14:paraId="367D07B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1.6.1传代方式：具备按时间或者检测阈值自动完成传代动作，时间或检测阈值具备自由设定。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16087862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1.6.2胁迫因子：具备自动控制4种胁迫因子，包含温度、氧气分压和2个化学因子浓度，且每代的4种胁迫因子具备自由设定；软件界面具备自由设定每代的胁迫因子参数，且具备将设定好的梯度参数作为梯度文件导出和导入；传代接种量具备在2%~16%范围内自由调节；培养过程中具备随时对梯度界面的胁迫因子参数进行修改。</w:t>
            </w:r>
          </w:p>
          <w:p w14:paraId="5AD4AE6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1.7氧分压控制模块：可以对培养仓内的氧气浓度进行控制</w:t>
            </w:r>
          </w:p>
          <w:p w14:paraId="157B5DC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1.7.1氧气浓度控制范围：1~60%，培养传代过程中具备自由修改设定浓度；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058C649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1.7.2高灵敏度氧气检测传感器，波动度±3%，软件后台具备对浓度数据进行实时存储。</w:t>
            </w:r>
          </w:p>
          <w:p w14:paraId="63F53DE6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1.8厌氧环境控制模块：可以对培养仓内进行厌氧环境控制</w:t>
            </w:r>
          </w:p>
          <w:p w14:paraId="4FCE0058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1.8.1开启厌氧环境控制时，培养仓氧气含量≤0.04%（400PPM）；高灵敏度PPM级氧气浓度传感器，软件后台具备对浓度数据进行实时存储。</w:t>
            </w:r>
          </w:p>
          <w:p w14:paraId="5B61F385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1.9软件模块：人机交互和设备自动化控制</w:t>
            </w:r>
          </w:p>
          <w:p w14:paraId="06B371C4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1.9.1友好的人机交互界面，具有数据曲线、单元运行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信息界</w:t>
            </w:r>
            <w:r>
              <w:rPr>
                <w:rFonts w:ascii="Times New Roman" w:hAnsi="Times New Roman" w:eastAsia="宋体" w:cs="Times New Roman"/>
                <w:highlight w:val="none"/>
              </w:rPr>
              <w:t>面、参数设置、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调试</w:t>
            </w:r>
            <w:r>
              <w:rPr>
                <w:rFonts w:ascii="Times New Roman" w:hAnsi="Times New Roman" w:eastAsia="宋体" w:cs="Times New Roman"/>
                <w:highlight w:val="none"/>
              </w:rPr>
              <w:t>等功能分区展示；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61EEB8C7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1.9.2“一键式”启动运行，自动完成培养、检测、传代、驯化压力调整等功能；实时记录软件日常运行日志，便于追溯设备运行记录；具备温度、OD异常、通信中断等异常状态的实时报警功能；运行过程实时监测，保障用户实时掌握设备运行状态；数据导出：支持csv、png等多种格式数据导出和分析。</w:t>
            </w:r>
          </w:p>
          <w:p w14:paraId="4E3E171B">
            <w:pPr>
              <w:pStyle w:val="2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bookmarkStart w:id="2" w:name="OLE_LINK16"/>
            <w:r>
              <w:rPr>
                <w:rFonts w:ascii="Times New Roman" w:hAnsi="Times New Roman" w:cs="Times New Roman"/>
                <w:b/>
                <w:bCs/>
                <w:highlight w:val="none"/>
              </w:rPr>
              <w:t>2.工作站技术指标</w:t>
            </w:r>
          </w:p>
          <w:bookmarkEnd w:id="2"/>
          <w:p w14:paraId="1D9366D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CPU:≥睿频5.4GHz，20核心，28线程；内存≥32GB；硬盘≥2TB NVME；独立显卡，显存≥6GB；显示器：≥27英寸，分辨率≥1920×1080；</w:t>
            </w:r>
          </w:p>
          <w:p w14:paraId="75A88D9B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四、其他要求</w:t>
            </w:r>
          </w:p>
          <w:p w14:paraId="0E9931D6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1.提供技术资料，包括仪器技术说明书、应用方案、安装指南、操作使用说明书、标准操作规程与维护规程。</w:t>
            </w:r>
          </w:p>
          <w:p w14:paraId="15E41703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2.质保期内免费提供配件更换与故障维修服务，免费提供一次设备迁移服务，配套软件终身免费维护与版本升级。</w:t>
            </w:r>
          </w:p>
          <w:p w14:paraId="336B896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3.由技术人员提供现场培训，培训人数不限，内容包括仪器使用与维护、软件编程、应用方法开发及常见问题处理。每年巡检不少于4次，组织培训不少于2次。</w:t>
            </w:r>
          </w:p>
        </w:tc>
      </w:tr>
      <w:tr w14:paraId="09E17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noWrap w:val="0"/>
            <w:vAlign w:val="center"/>
          </w:tcPr>
          <w:p w14:paraId="44F25EB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3</w:t>
            </w:r>
          </w:p>
        </w:tc>
        <w:tc>
          <w:tcPr>
            <w:tcW w:w="1695" w:type="dxa"/>
            <w:noWrap w:val="0"/>
            <w:vAlign w:val="center"/>
          </w:tcPr>
          <w:p w14:paraId="0AE7194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生物工业中下游提取系统</w:t>
            </w:r>
          </w:p>
        </w:tc>
        <w:tc>
          <w:tcPr>
            <w:tcW w:w="6763" w:type="dxa"/>
            <w:noWrap w:val="0"/>
            <w:vAlign w:val="top"/>
          </w:tcPr>
          <w:p w14:paraId="46A3DAF7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一、主要用途</w:t>
            </w:r>
          </w:p>
          <w:p w14:paraId="47212090">
            <w:pPr>
              <w:spacing w:line="360" w:lineRule="auto"/>
              <w:ind w:firstLine="420" w:firstLineChars="20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用于生物发酵液、植物提取液中目标活性物质的分离纯化，集成固液澄清、膜浓缩脱盐、层析纯化等中下游分离单元；可完成蛋白、酶、多糖、微生物代谢产物等生物活性物质的提取、浓缩与精制，在线监测紫外吸收、电导率、pH 等关键参数，开展生物制品小试 / 中试提取工艺开发与工艺优化，支撑农业微生物、生物基材料、生物活性物质等相关研究，纯化后的样品可对接多种理化与分子生物学检测设备开展表征分析。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 xml:space="preserve"> </w:t>
            </w:r>
          </w:p>
          <w:p w14:paraId="607FCC31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  <w:t>二、配置清单</w:t>
            </w:r>
          </w:p>
          <w:p w14:paraId="4A2B09E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1.生物工业中下游</w:t>
            </w:r>
            <w:r>
              <w:rPr>
                <w:rFonts w:ascii="Times New Roman" w:hAnsi="Times New Roman" w:eastAsia="宋体" w:cs="Times New Roman"/>
                <w:highlight w:val="none"/>
              </w:rPr>
              <w:t>提取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系统1台（发酵罐1台热水罐1台制冷机1台提取罐1台）；</w:t>
            </w:r>
          </w:p>
          <w:p w14:paraId="7CA5EA01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2.配套实验仪器：亚临界萃取试验装置 1台</w:t>
            </w:r>
          </w:p>
          <w:p w14:paraId="3FBE826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三、技术指标</w:t>
            </w:r>
          </w:p>
          <w:p w14:paraId="57AAA526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1.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生物工业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中下游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highlight w:val="none"/>
              </w:rPr>
              <w:t>提取系统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主机</w:t>
            </w:r>
            <w:r>
              <w:rPr>
                <w:rFonts w:ascii="Times New Roman" w:hAnsi="Times New Roman" w:eastAsia="宋体" w:cs="Times New Roman"/>
                <w:b/>
                <w:bCs/>
                <w:highlight w:val="none"/>
              </w:rPr>
              <w:t>技术指标</w:t>
            </w:r>
          </w:p>
          <w:p w14:paraId="2C95BC63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1.1发酵罐</w:t>
            </w:r>
          </w:p>
          <w:p w14:paraId="5FB2F53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1.1.1 设备结构形式为立式双层，上下椭圆封头，不锈钢支耳安装，夹套及搅拌装置；</w:t>
            </w:r>
          </w:p>
          <w:p w14:paraId="46CDA674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1.1.2 设备公称容积≥200L，罐内工作压力≥0.2MPa，夹套工作压力≥0.25Mpa；内筒材质等于或优于SUS304，筒体≥Ø500×1000×5mm，椭圆封头5mm；夹套材质为等于或优于SUS304，≥Ø600×4mm，下椭圆封头4mm；</w:t>
            </w:r>
          </w:p>
          <w:p w14:paraId="4774CF53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1.1.3电机功率为≥1.1KW，转速：0-300rpm，机械密封；</w:t>
            </w:r>
          </w:p>
          <w:p w14:paraId="40149CC7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1.1.4法兰式手孔DN150，快装式物料进出料口；配有防爆视灯、防爆视镜、含PH底座和DO底座，不含电极；</w:t>
            </w:r>
          </w:p>
          <w:p w14:paraId="1374140F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.</w:t>
            </w:r>
            <w:r>
              <w:rPr>
                <w:rFonts w:ascii="Times New Roman" w:hAnsi="Times New Roman" w:eastAsia="宋体" w:cs="Times New Roman"/>
                <w:highlight w:val="none"/>
              </w:rPr>
              <w:t>5 罐内镜面抛光处理, 外表面亚光处理；带压力容器证书。</w:t>
            </w:r>
          </w:p>
          <w:p w14:paraId="74DFE983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eastAsia="宋体"/>
                <w:highlight w:val="none"/>
              </w:rPr>
            </w:pPr>
            <w:r>
              <w:rPr>
                <w:rFonts w:eastAsia="宋体"/>
                <w:highlight w:val="none"/>
              </w:rPr>
              <w:t>1.2.PH电极</w:t>
            </w:r>
          </w:p>
          <w:p w14:paraId="592F7647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eastAsia="宋体"/>
                <w:highlight w:val="none"/>
              </w:rPr>
            </w:pPr>
            <w:r>
              <w:rPr>
                <w:rFonts w:eastAsia="宋体"/>
                <w:highlight w:val="none"/>
              </w:rPr>
              <w:t>EasyFerm Plus 120 K8 电极 238633，</w:t>
            </w:r>
            <w:r>
              <w:rPr>
                <w:rFonts w:hint="eastAsia" w:eastAsia="宋体"/>
                <w:highlight w:val="none"/>
              </w:rPr>
              <w:t>发酵罐</w:t>
            </w:r>
            <w:r>
              <w:rPr>
                <w:rFonts w:eastAsia="宋体"/>
                <w:highlight w:val="none"/>
              </w:rPr>
              <w:t>pH电极，带一根5M线缆。</w:t>
            </w:r>
          </w:p>
          <w:p w14:paraId="64D24BF4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eastAsia="宋体"/>
                <w:highlight w:val="none"/>
              </w:rPr>
              <w:t>1.3.DO电极</w:t>
            </w:r>
          </w:p>
          <w:p w14:paraId="0BAB68CF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Times New Roman" w:hAnsi="Times New Roman" w:eastAsia="宋体" w:cs="Times New Roman"/>
                <w:highlight w:val="none"/>
                <w:lang w:eastAsia="zh-CN"/>
              </w:rPr>
            </w:pPr>
            <w:r>
              <w:rPr>
                <w:rFonts w:hint="eastAsia" w:eastAsia="宋体"/>
                <w:highlight w:val="none"/>
              </w:rPr>
              <w:t>发酵罐</w:t>
            </w:r>
            <w:r>
              <w:rPr>
                <w:rFonts w:eastAsia="宋体"/>
                <w:highlight w:val="none"/>
              </w:rPr>
              <w:t>溶解氧电极（赠送一瓶电解液+膜头一个）带VP6/5M线一根</w:t>
            </w:r>
            <w:r>
              <w:rPr>
                <w:rFonts w:hint="eastAsia" w:eastAsia="宋体"/>
                <w:highlight w:val="none"/>
                <w:lang w:eastAsia="zh-CN"/>
              </w:rPr>
              <w:t>。</w:t>
            </w:r>
          </w:p>
          <w:p w14:paraId="390BDE09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1.4. 热水罐：设备结构形式立式立层单层、开启式上盖，下锥形封头，支腿支撑；公称容积≥50L，罐内工作压力为常压；筒体材质等于或优于SUS304，筒体直径≥Ф400×400×2mm；电加热管功率：≥2KW，数量：≥2根；容器内壁抛光，外表面抛光处理；含输送水泵。</w:t>
            </w:r>
          </w:p>
          <w:p w14:paraId="06AE6E55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1.5. 制冷机：包含冷水机，循环水泵，储水罐</w:t>
            </w:r>
          </w:p>
          <w:p w14:paraId="6276A836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1.6. 空压机：包含螺杆空压机，冷冻式干燥机，储气罐，三级过滤；螺杆式空压机，功率≥7.5KW，排气量≥1.0m³/h；储气罐容积≥500L，材质不锈钢。</w:t>
            </w:r>
          </w:p>
          <w:p w14:paraId="2D80989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1.7. 提取罐</w:t>
            </w:r>
          </w:p>
          <w:p w14:paraId="42C2EB8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1.7.1设备包含提取罐，冷凝器，冷却器，油水分离器，单联过滤器，提取罐支架；设备结构形式为直筒型，不锈钢支架支座，公称容积≥0.2m3，加热面积为≥1.1m2；</w:t>
            </w:r>
          </w:p>
          <w:p w14:paraId="304D1775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1.7.2 内胆材质为SUS304，内胆筒体直径≥Ф500*1000*5mm；夹套材质为SUS304、直径≥Ф550X4mm；保温材质为聚氨酯发泡，厚度≥25mm，外层采用≥2mm不锈钢板全封闭全氩弧焊接保温，外包直径≥600mm；</w:t>
            </w:r>
          </w:p>
          <w:p w14:paraId="0CD0509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1.7.3罐内设计压力为常压，夹套工作压力≥0.25Mpa，气缸工作压力≥0.7 Mpa，容器内壁抛光，外表面抛光处理；配有DN200手动法兰投料孔，Ф76二次蒸汽出口管，DN80视镜；底部采用手动出渣门，直径≥350mm，操作简单，密封性效果好；</w:t>
            </w:r>
          </w:p>
          <w:p w14:paraId="35D6AD22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1.7.4设备配备温度计、清洗球、视镜视灯、物料进出口，介质进出口；配有气缸操作控制器；冷凝器材质：SUS304，直径≥273*1000*3mm,内置直径≥25*1.5的列管，冷凝面积≥3.0㎡；冷却器材质：SUS304，直径≥273*300*3mm，内置盘管，冷凝面积≥0.5㎡；油水分离器为304不锈钢材质＋硼硅玻璃，可精确收油；单联过滤为直径≥219，过滤精度≥100目；提取罐支架，材质：不锈钢。配有管式离心机、陶瓷膜过滤、树脂柱、低温浓缩器、结晶罐、低温干燥箱、醇沉罐、板框过滤器、上清液储罐、酒精配制罐酒精输送泵、蒸汽发生器、发酵防爆配电箱、提取防爆配电箱、管件阀门等。</w:t>
            </w:r>
          </w:p>
          <w:p w14:paraId="5058F228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.</w:t>
            </w:r>
            <w:r>
              <w:rPr>
                <w:rFonts w:ascii="Times New Roman" w:hAnsi="Times New Roman" w:eastAsia="宋体" w:cs="Times New Roman"/>
                <w:highlight w:val="none"/>
              </w:rPr>
              <w:t>8.萃取罐：容积≥5L，可以使用多种溶媒，操作温度10--60℃，304不锈钢材质，有夹套加热，附温度计、压力表、视镜，罐法兰为快开式。有夹带剂加入装置。1台。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4144410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1.9.分离罐： 容积5L，304不锈钢材质，有夹套，附温度计、压力表、视镜，罐法兰为快开式，罐底为锥底，易清洗。1台。</w:t>
            </w:r>
          </w:p>
          <w:p w14:paraId="3574DBD2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1.10.缓冲罐：容积5L，304不锈钢材质，有夹套加热，附压力表。1台。</w:t>
            </w:r>
          </w:p>
          <w:p w14:paraId="01CD7F45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1.11夹带剂添加罐：0.15L有加液口和放液口。1台。</w:t>
            </w:r>
          </w:p>
          <w:p w14:paraId="526E9D00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1.12.溶剂罐：容积:20L，材质304不锈钢材质，附压力表、视镜。1台。</w:t>
            </w:r>
          </w:p>
          <w:p w14:paraId="0511359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1.13.热水泵：不锈钢泵头，防爆电机，037kW。1台。</w:t>
            </w:r>
          </w:p>
          <w:p w14:paraId="7A99566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1.14.热源系统：容积15L,材质304不锈钢材质，含温控。1台。</w:t>
            </w:r>
          </w:p>
          <w:p w14:paraId="7A49695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1.15.压缩机：压缩介质不与任何润滑剂接触，确保萃取系统不受污染。可以压缩多种亚临界流体气体，溶媒回收率99%以上。1台。</w:t>
            </w:r>
          </w:p>
          <w:p w14:paraId="2228C975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1.16.真空泵：清洁抽空，对被抽容器无污染，不锈钢泵头。≥0.81kW，2台。</w:t>
            </w:r>
          </w:p>
          <w:p w14:paraId="2BC9394F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1.17.缓冲罐：容积10L，材质304不锈钢， 2台。</w:t>
            </w:r>
          </w:p>
          <w:p w14:paraId="4F1A8AA8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1.18.不锈钢支架：材质304不锈钢，1500*700*1100，1套。钢管、管件：材质304不锈钢，DN15，1批。.丝扣不锈钢阀门：材质304不锈钢，DN15，1批。三块式阀门：材质304不锈钢，DN15，1批。</w:t>
            </w:r>
          </w:p>
          <w:p w14:paraId="23C8679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1.19具备燃气体报警器：半导体式，主机探头一体式，声光报警。1套。</w:t>
            </w:r>
          </w:p>
          <w:p w14:paraId="08C9D55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1.20.液相管：组合件。1套.料袋：300目，10个</w:t>
            </w:r>
          </w:p>
          <w:p w14:paraId="04770FC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1.21.开关控制柜：含国标电缆、控制线防爆，1套。</w:t>
            </w:r>
          </w:p>
          <w:p w14:paraId="29EADDB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1.22.人机界面：≥14英寸显示屏。</w:t>
            </w:r>
          </w:p>
          <w:p w14:paraId="2F88B8E8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1.23.软件：CBE-5L型软件，含集成模块等。</w:t>
            </w:r>
          </w:p>
          <w:p w14:paraId="29350991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1.24.隔爆电加热：不锈钢防爆型，1kW，1套。</w:t>
            </w:r>
          </w:p>
          <w:p w14:paraId="3231433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highlight w:val="none"/>
              </w:rPr>
              <w:t xml:space="preserve">5.资料：操作说明书、电路图，附件说明书等。 </w:t>
            </w:r>
          </w:p>
          <w:p w14:paraId="799EBD20">
            <w:pPr>
              <w:pStyle w:val="2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2.配套实验仪器技术指标</w:t>
            </w:r>
          </w:p>
          <w:p w14:paraId="2609138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2.1亚临界萃取 1台：萃取罐容积5 L；萃取温度：具备实现低于40℃的“常温萃取”，也具备在35℃至200℃的范围内进行工艺探索；萃取压力：最高工作压力可达4.048 MPa；真空度：系统真空度可达到 -100 kPa或0.1 Mpa。</w:t>
            </w:r>
          </w:p>
          <w:p w14:paraId="0385043F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四、其他要求</w:t>
            </w:r>
          </w:p>
          <w:p w14:paraId="7BEF269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1.提供技术资料，包括仪器</w:t>
            </w:r>
            <w:r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技术</w:t>
            </w:r>
            <w:r>
              <w:rPr>
                <w:rFonts w:ascii="Times New Roman" w:hAnsi="Times New Roman" w:eastAsia="宋体" w:cs="Times New Roman"/>
                <w:highlight w:val="none"/>
              </w:rPr>
              <w:t>说明书、应用方案、安装指南、操作使用说明书、标准操作规程与维护规程。</w:t>
            </w:r>
          </w:p>
          <w:p w14:paraId="25FF507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2.质保期内免费提供配件</w:t>
            </w:r>
            <w:r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更换</w:t>
            </w:r>
            <w:r>
              <w:rPr>
                <w:rFonts w:ascii="Times New Roman" w:hAnsi="Times New Roman" w:eastAsia="宋体" w:cs="Times New Roman"/>
                <w:highlight w:val="none"/>
              </w:rPr>
              <w:t>与故障维修服务，免费提供一次设备迁移服务，配套软件终身免费维护与版本升级。</w:t>
            </w:r>
          </w:p>
          <w:p w14:paraId="4EE6E7D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3.由技术人员提供</w:t>
            </w:r>
            <w:r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现场</w:t>
            </w:r>
            <w:r>
              <w:rPr>
                <w:rFonts w:ascii="Times New Roman" w:hAnsi="Times New Roman" w:eastAsia="宋体" w:cs="Times New Roman"/>
                <w:highlight w:val="none"/>
              </w:rPr>
              <w:t>培训，培训人数不限，内容包括仪器使用与维护、软件编程、应用</w:t>
            </w:r>
            <w:r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方法</w:t>
            </w:r>
            <w:r>
              <w:rPr>
                <w:rFonts w:ascii="Times New Roman" w:hAnsi="Times New Roman" w:eastAsia="宋体" w:cs="Times New Roman"/>
                <w:highlight w:val="none"/>
              </w:rPr>
              <w:t>开发及常见问题处理。每年巡检不少于4次，组织培训不少于2次。</w:t>
            </w:r>
          </w:p>
        </w:tc>
      </w:tr>
      <w:tr w14:paraId="3C6B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noWrap w:val="0"/>
            <w:vAlign w:val="center"/>
          </w:tcPr>
          <w:p w14:paraId="5C45A51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4</w:t>
            </w:r>
          </w:p>
        </w:tc>
        <w:tc>
          <w:tcPr>
            <w:tcW w:w="1695" w:type="dxa"/>
            <w:noWrap w:val="0"/>
            <w:vAlign w:val="center"/>
          </w:tcPr>
          <w:p w14:paraId="32785DDA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5L 台式五联发酵罐</w:t>
            </w:r>
          </w:p>
        </w:tc>
        <w:tc>
          <w:tcPr>
            <w:tcW w:w="6763" w:type="dxa"/>
            <w:noWrap w:val="0"/>
            <w:vAlign w:val="top"/>
          </w:tcPr>
          <w:p w14:paraId="663F0B52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一、主要用途</w:t>
            </w:r>
          </w:p>
          <w:p w14:paraId="3FB06440">
            <w:pPr>
              <w:spacing w:line="360" w:lineRule="auto"/>
              <w:ind w:firstLine="420" w:firstLineChars="20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用于微生物平行发酵小试研究；可实现细菌、酵母、真菌、农业微生物及工程菌株的多组同步培养，在线监测并自动控制温度、pH、溶氧、搅拌、通气等发酵参数；支持批次发酵与补料分批发酵，快速开展发酵培养基、培养条件、诱导策略的平行对比筛选；制备菌体与代谢产物，对接下游生物提取纯化系统，支撑合成生物学、微生物代谢产物开发、农用微生物菌种发酵工艺研究。</w:t>
            </w:r>
          </w:p>
          <w:p w14:paraId="77820FB0">
            <w:pPr>
              <w:spacing w:line="360" w:lineRule="auto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eastAsia="zh-CN"/>
              </w:rPr>
              <w:t>二、配置清单</w:t>
            </w:r>
          </w:p>
          <w:p w14:paraId="48F355E8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1.</w:t>
            </w:r>
            <w:r>
              <w:rPr>
                <w:rFonts w:ascii="Times New Roman" w:hAnsi="Times New Roman" w:eastAsia="宋体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5L 台式五联发酵罐1台（1.玻璃罐体*5个；2.控制机箱*5个；3.高精度伺服电机*5个；4.PT100铂电极*5个；5.高敏感消泡探头*5个；</w:t>
            </w:r>
          </w:p>
          <w:p w14:paraId="29CB8A2C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6.pH/DO电极*5个；7.四路蠕动泵*5个；8.通气系统*5个；9.温控系统*5个10.屏幕*1个；11.主机*1台）；</w:t>
            </w:r>
          </w:p>
          <w:p w14:paraId="48E261B3">
            <w:pPr>
              <w:pStyle w:val="2"/>
              <w:ind w:left="456" w:hanging="456"/>
              <w:jc w:val="left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  <w:t>三、技术指标</w:t>
            </w:r>
          </w:p>
          <w:p w14:paraId="2CA7FAA1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1.罐体：耐高温高压高硼硅玻璃罐体，工作体积为30-70%，最大容量为5L，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径</w:t>
            </w:r>
            <w:r>
              <w:rPr>
                <w:rFonts w:ascii="Times New Roman" w:hAnsi="Times New Roman" w:eastAsia="宋体" w:cs="Times New Roman"/>
                <w:highlight w:val="none"/>
              </w:rPr>
              <w:t>高比为1:2，共5套。</w:t>
            </w:r>
          </w:p>
          <w:p w14:paraId="3C68784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2.罐盖：316L不锈钢材质，带有温度电极口、pH电极口、DO电极口、消泡探针口、接种口、四通补料口、取样口、进气口等。</w:t>
            </w:r>
          </w:p>
          <w:p w14:paraId="25CAF32E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3.灭菌方式：离线灭菌，罐体系统具备整体放入高压灭菌锅中灭菌。</w:t>
            </w:r>
          </w:p>
          <w:p w14:paraId="07A1898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4.搅拌系统：采用顶部伺服电机直驱方式，运行噪音小且平稳，转速范围0-1200rpm，精度±1rpm。搅拌轴承采用316L不锈钢，配发酵罐专用搅拌桨，控制模式为手动、自动、顺控（无段数限制）模式，485通讯模式。</w:t>
            </w:r>
          </w:p>
          <w:p w14:paraId="4E87842F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5.通气系统：质量流量计、过滤器和环形通气环组成，485通讯模式。</w:t>
            </w:r>
          </w:p>
          <w:p w14:paraId="6A502A0D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6.温度系统：加热毯与三维中控挡板温控系统，加热与制冷独立分开互不干涉，响应速度快，换热效率高，控温范围为冷循环水+5-65℃，精度±0.1℃，温度电极为PT100，控制模式为手动、自动、顺控（无段数限制）模式。</w:t>
            </w:r>
          </w:p>
          <w:p w14:paraId="4A038BD6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7.消泡系统：采用机械消泡与消泡剂组合的方式，消泡剂通过蠕动泵添加，分为手动、自动、顺控（无段数限制）模式。灵敏度可调节。</w:t>
            </w:r>
          </w:p>
          <w:p w14:paraId="57150B94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8.补料系统：每个罐体标配4路驱自一体高静音变速蠕动泵，累积量具备实时计算，泵速具备标定，蠕动泵功能具备自定义，运行方向具备顺时针或逆时针。控制模式为485通讯。</w:t>
            </w:r>
          </w:p>
          <w:p w14:paraId="20080BE9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9.补料模式：手动补料、恒速补料、间接补料、方程补料、指数补料、顺控补料（无段数限制）、关联pH补料（持续正/反向、间歇正/反向）、关联DO补料（正/反向）。</w:t>
            </w:r>
          </w:p>
          <w:p w14:paraId="457EFFBF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10.pH系统：智能系统自动调控，控制精度高，与酸泵/碱泵进行单独关联或同时关联进行pH调控，具备采取两点标定或单点标定校准，显示范围0.00-14.00±0.01，控制范围2.00-12.00±0.02，数字电极，485通讯模式，不需变送器。</w:t>
            </w:r>
          </w:p>
          <w:p w14:paraId="0AD1687B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11.DO系统：智能系统自动调控，可与搅拌、通气进行关联，可标定校准，显示范围0-150%，光氧电极，485通讯模式，不需变送器。</w:t>
            </w:r>
          </w:p>
          <w:p w14:paraId="37F78D3C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/>
                <w:highlight w:val="none"/>
              </w:rPr>
              <w:t>★</w:t>
            </w:r>
            <w:r>
              <w:rPr>
                <w:rFonts w:ascii="Times New Roman" w:hAnsi="Times New Roman" w:cs="Times New Roman"/>
                <w:highlight w:val="none"/>
              </w:rPr>
              <w:t>12.控制系统：单片机。</w:t>
            </w:r>
            <w:r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38F68D9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13.操作系统：PC电脑控制，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≥</w:t>
            </w:r>
            <w:r>
              <w:rPr>
                <w:rFonts w:ascii="Times New Roman" w:hAnsi="Times New Roman" w:eastAsia="宋体" w:cs="Times New Roman"/>
                <w:highlight w:val="none"/>
              </w:rPr>
              <w:t>24寸高清晰大屏。该系统具备同时控制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≥</w:t>
            </w:r>
            <w:r>
              <w:rPr>
                <w:rFonts w:ascii="Times New Roman" w:hAnsi="Times New Roman" w:eastAsia="宋体" w:cs="Times New Roman"/>
                <w:highlight w:val="none"/>
              </w:rPr>
              <w:t>5个发酵罐，具备一键平行发酵也具备分别独立运行，pH、DO具备一键标定，具备一键控制多个发酵罐进行参数设定，具备自动导出历史批次发酵工艺，具备标定黄金批次，具备自动重复黄金批次发酵工艺。系统在发生意外断电、死机等异常重启后，能够自动恢复到断电前的监控运行状态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1743FB1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14.数据图表：能实时展示动态曲线、数据表格，并按批次保存历史数据与曲线，数据可按图片、表格形式导出，同一批次不同参数可以同一曲线图上展示，不同批次曲线也可以在同一曲线图上展示，可将离线检测参数导入与在线参数形成同一曲线进行对比分析，可修改参数显示时间间隔。曲线图中各参数Y轴为百分比显示，具备任意选择需要展示Y轴范围的参数。</w:t>
            </w:r>
          </w:p>
          <w:p w14:paraId="155CAE76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15.智能发酵：软件自动保存批次工艺模型，开始发酵可选择工艺模型一键启动，具备自由修改工艺模型参数后启动发酵。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9B26959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16.报警功能：温度、DO、搅拌、pH等参数超设定阈值发生声、光报警并记录显示报警信息，其中温度超设定阈值后温控系统自动关闭。</w:t>
            </w:r>
          </w:p>
          <w:p w14:paraId="38498E8F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17.用户管理：系统分三级权限，账号密码登录后才具备进行对应权限操作，未进行操作下账号自动登出。具备修改用户和密码，并自主分配用户权限。</w:t>
            </w:r>
          </w:p>
          <w:p w14:paraId="74DA93B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18.自定义功能：具备通过Python语言进行编程生成自定义控制策略，满足不同控制关联需求。</w:t>
            </w:r>
          </w:p>
          <w:p w14:paraId="2F3833CA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hint="eastAsia" w:eastAsia="宋体"/>
                <w:highlight w:val="none"/>
              </w:rPr>
              <w:t>★</w:t>
            </w:r>
            <w:r>
              <w:rPr>
                <w:rFonts w:ascii="Times New Roman" w:hAnsi="Times New Roman" w:eastAsia="宋体" w:cs="Times New Roman"/>
                <w:highlight w:val="none"/>
              </w:rPr>
              <w:t>19.软件程序：上/下位机软件支持远程更新，具备直接发送软件更新包由客户自主更新。</w:t>
            </w: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22492FA">
            <w:pPr>
              <w:pStyle w:val="2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20.数据存储：系统支持5年以上的本地历史数据存储。对于任意连续7天的多参数历史曲线，从点击查询到完整显示的时间&lt;3秒。</w:t>
            </w:r>
          </w:p>
          <w:p w14:paraId="1E221CE9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21.系统运行：系统在运行中遭遇意外断电或死机等异常重启后，能自动恢复至断电前的监控状态，无需人工干预，且已存储的历史数据不会损坏。</w:t>
            </w:r>
          </w:p>
          <w:p w14:paraId="075BD4C3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  <w:highlight w:val="none"/>
              </w:rPr>
              <w:t>四、其他要求</w:t>
            </w:r>
          </w:p>
          <w:p w14:paraId="28F7E9D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1.提供技术资料，包括仪器技术说明书、应用方案、安装指南、操作使用说明书、标准操作规程与维护规程。</w:t>
            </w:r>
          </w:p>
          <w:p w14:paraId="55A01129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2.质保期内免费提供配件更换与故障维修服务，免费提供一次设备迁移服务，配套软件终身免费维护与版本升级。</w:t>
            </w:r>
          </w:p>
          <w:p w14:paraId="52059193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Times New Roman" w:eastAsia="宋体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highlight w:val="none"/>
              </w:rPr>
              <w:t>3.由技术人员提供现场培训，培训人数不限，内容包括仪器使用与维护、软件编程、应用方法开发及常见问题处理。每年巡检不少于4次，组织培训不少于2次。</w:t>
            </w:r>
          </w:p>
        </w:tc>
      </w:tr>
    </w:tbl>
    <w:p w14:paraId="06E318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三、商务要求 </w:t>
      </w:r>
    </w:p>
    <w:p w14:paraId="590F42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3.1采购范围：河南科技学院现代农业产业科技创新平台—生物信息与生物医药技术研究中心项目所需1套植物生理表型显微分析系统、1套全自动微生物适应性进化仪、1套生物工业中下游提取系统、1套5L台式五联发酵罐的供货、运输、保险、装卸、安装、检测、调试、试运行、验收交付、培训、技术支持、软件升级、售后保修及相关伴随服务等，详见河南省政府采购网附件“采购需求”。</w:t>
      </w:r>
    </w:p>
    <w:p w14:paraId="3D8456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3.2交货期：合同生效后60日历天内。</w:t>
      </w:r>
    </w:p>
    <w:p w14:paraId="468ECB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3.3交货地点：河南科技学院。</w:t>
      </w:r>
    </w:p>
    <w:p w14:paraId="45073E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3.4质量标准：符合国家相关质量验收合格标准。</w:t>
      </w:r>
    </w:p>
    <w:p w14:paraId="68CAF3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3.5质保期：验收合格并正常运行之日起，提供原厂5年质保服务，质保期内免费提供配件更换与故障维修服务，免费提供一次设备迁移服务，配套软件终身免费维护与版本升级，质保期内故障响应时间不超过24小时，2个工作日内安排工程师到场检修。</w:t>
      </w:r>
    </w:p>
    <w:p w14:paraId="78E673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3.6投标有效期：递交投标文件的截止之日起90日历天。</w:t>
      </w:r>
    </w:p>
    <w:p w14:paraId="64D118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3.7采购资金的支付方式、时间（付款方式）：合同生效后，中标人15个工作日内向采购人提供合同额65%的银行保函(有效期不低于12个月)，采购人收到银行保函后15个工作日内向中标人支付合同额65%的预付款；到货后，经初验合格，采购人15个工作日内支付初验合格货物金额的20%;自第三方验收合格之日起且乙方出具正式发票(其中国产教学科研用设备仪器、平台软件类须提供增值税专用发票)后30个工作日内，甲方向乙方支付剩余款项。第三方验收费用由乙方承担，项目验收方式及收费标准：第三方验收，合同金额*1.5%*0.72。</w:t>
      </w:r>
    </w:p>
    <w:p w14:paraId="0615FE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四、其他要求</w:t>
      </w:r>
    </w:p>
    <w:p w14:paraId="28CB2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.1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供货方案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，包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含：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（1）供货计划（含供货周期、交货顺序、到货时间节点）；（2）货物运输方案（含运输方式、包装防护、运输保障措施）；（3）货物验收衔接方案（含验收流程、验收标准配合、异议处理）。</w:t>
      </w:r>
    </w:p>
    <w:p w14:paraId="533AA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4.2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安装、调试方案，包含：（1）安装调试计划（含安装调试周期、人员分工、进度安排）；（2）安装调试流程（含现场准备、设备安装、系统调试步骤）；（3）安装调试质量保障措施（含操作规范、质量检验、安全防护）</w:t>
      </w:r>
    </w:p>
    <w:p w14:paraId="387E8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4.3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质保期内保证措施，包含：质保响应机制（含响应时限、故障处理流程）；（2）质保维修服务（含上门维修、故障排除、部件更换保障）；（3）质保期内巡检与维护计划（含定期巡检频次、维护内容、问题预判）</w:t>
      </w:r>
    </w:p>
    <w:p w14:paraId="6A140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4.4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质保期外保证措施，包含：（1）质保期外维修服务方案（含维修收费标准、服务流程）；（2）长期技术支持（含技术咨询、系统升级指导、故障远程协助）；（3）备品备件长期供应保障（含备件储备、供应周期、价格承诺）。</w:t>
      </w:r>
    </w:p>
    <w:p w14:paraId="0EF37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培训计划，包含：（1）培训方式、培训人员数量；（2）培训内容；（3）培训质量保证措施。</w:t>
      </w:r>
    </w:p>
    <w:p w14:paraId="5BF2E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4.6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售后服务方案，包含：（1）服务质量承诺（含服务标准、投诉处理时限及承诺）；（2）响应时效承诺（含紧急故障、一般故障的响应及处理时限）；（3）售后服务计划与售后服务人员配置。</w:t>
      </w:r>
    </w:p>
    <w:p w14:paraId="4E199A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D6553"/>
    <w:rsid w:val="4ABD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uiPriority w:val="0"/>
    <w:pPr>
      <w:widowControl w:val="0"/>
      <w:spacing w:line="312" w:lineRule="auto"/>
      <w:ind w:firstLine="0" w:firstLineChars="0"/>
      <w:jc w:val="both"/>
    </w:pPr>
    <w:rPr>
      <w:rFonts w:ascii="宋体" w:hAnsi="宋体" w:eastAsia="宋体" w:cs="宋体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2026-10-23T04:24:00Z</dcterms:created>
  <dc:creator>恒信</dc:creator>
  <cp:lastModifiedBy>恒信</cp:lastModifiedBy>
  <dcterms:modified xsi:type="dcterms:W3CDTF">2026-10-23T04:26:17Z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7461C0317D624FE4A7F993925387D6CF_11</vt:lpwstr>
  </property>
  <property fmtid="{D5CDD505-2E9C-101B-9397-08002B2CF9AE}" pid="4" name="KSOTemplateDocerSaveRecord">
    <vt:lpwstr>eyJoZGlkIjoiOWMwZTkwMTc2Y2Y1OGJhYWU2N2Q0YTcwMGJhY2I2MDYiLCJ1c2VySWQiOiI0Mjg2NDcwODQifQ==</vt:lpwstr>
  </property>
</Properties>
</file>