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58A4A">
      <w:pPr>
        <w:keepNext/>
        <w:keepLines/>
        <w:spacing w:line="360" w:lineRule="auto"/>
        <w:jc w:val="center"/>
        <w:outlineLvl w:val="0"/>
        <w:rPr>
          <w:rFonts w:hint="default" w:ascii="Times New Roman" w:hAnsi="Times New Roman" w:eastAsia="宋体" w:cs="Times New Roman"/>
          <w:b/>
          <w:sz w:val="24"/>
          <w:szCs w:val="21"/>
          <w:highlight w:val="none"/>
          <w:lang w:val="en-US" w:eastAsia="zh-CN"/>
        </w:rPr>
      </w:pPr>
      <w:bookmarkStart w:id="0" w:name="_Toc18734"/>
      <w:r>
        <w:rPr>
          <w:rFonts w:hint="eastAsia" w:ascii="Times New Roman" w:hAnsi="Times New Roman" w:eastAsia="宋体" w:cs="Times New Roman"/>
          <w:b/>
          <w:sz w:val="28"/>
          <w:szCs w:val="22"/>
          <w:highlight w:val="none"/>
          <w:lang w:val="en-US" w:eastAsia="zh-CN"/>
        </w:rPr>
        <w:t>河南科技学院现代农业产业科技创新平台—生物信息与生物医药技术研究中心项目包</w:t>
      </w:r>
      <w:bookmarkEnd w:id="0"/>
      <w:r>
        <w:rPr>
          <w:rFonts w:hint="eastAsia" w:ascii="Times New Roman" w:hAnsi="Times New Roman" w:cs="Times New Roman"/>
          <w:b/>
          <w:sz w:val="28"/>
          <w:szCs w:val="22"/>
          <w:highlight w:val="none"/>
          <w:lang w:val="en-US" w:eastAsia="zh-CN"/>
        </w:rPr>
        <w:t>5</w:t>
      </w:r>
      <w:bookmarkStart w:id="32" w:name="_GoBack"/>
      <w:bookmarkEnd w:id="32"/>
      <w:r>
        <w:rPr>
          <w:rFonts w:hint="eastAsia" w:ascii="Times New Roman" w:hAnsi="Times New Roman" w:cs="Times New Roman"/>
          <w:b/>
          <w:sz w:val="28"/>
          <w:szCs w:val="22"/>
          <w:highlight w:val="none"/>
          <w:lang w:val="en-US" w:eastAsia="zh-CN"/>
        </w:rPr>
        <w:t>采购需求</w:t>
      </w:r>
    </w:p>
    <w:tbl>
      <w:tblPr>
        <w:tblStyle w:val="3"/>
        <w:tblpPr w:leftFromText="180" w:rightFromText="180" w:vertAnchor="text" w:horzAnchor="page" w:tblpX="1429" w:tblpY="446"/>
        <w:tblOverlap w:val="never"/>
        <w:tblW w:w="9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560"/>
        <w:gridCol w:w="701"/>
        <w:gridCol w:w="1088"/>
        <w:gridCol w:w="2665"/>
      </w:tblGrid>
      <w:tr w14:paraId="4A4C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noWrap w:val="0"/>
            <w:vAlign w:val="center"/>
          </w:tcPr>
          <w:p w14:paraId="7DD38F1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包名称</w:t>
            </w:r>
          </w:p>
        </w:tc>
        <w:tc>
          <w:tcPr>
            <w:tcW w:w="2560" w:type="dxa"/>
            <w:noWrap w:val="0"/>
            <w:vAlign w:val="center"/>
          </w:tcPr>
          <w:p w14:paraId="0057177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设备名称</w:t>
            </w:r>
          </w:p>
        </w:tc>
        <w:tc>
          <w:tcPr>
            <w:tcW w:w="701" w:type="dxa"/>
            <w:noWrap w:val="0"/>
            <w:vAlign w:val="center"/>
          </w:tcPr>
          <w:p w14:paraId="5A252BFF">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数量</w:t>
            </w:r>
          </w:p>
        </w:tc>
        <w:tc>
          <w:tcPr>
            <w:tcW w:w="1088" w:type="dxa"/>
            <w:noWrap w:val="0"/>
            <w:vAlign w:val="center"/>
          </w:tcPr>
          <w:p w14:paraId="590724B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是否接受进口</w:t>
            </w:r>
          </w:p>
        </w:tc>
        <w:tc>
          <w:tcPr>
            <w:tcW w:w="2665" w:type="dxa"/>
            <w:noWrap w:val="0"/>
            <w:vAlign w:val="center"/>
          </w:tcPr>
          <w:p w14:paraId="003212AB">
            <w:pPr>
              <w:jc w:val="center"/>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备注</w:t>
            </w:r>
          </w:p>
        </w:tc>
      </w:tr>
      <w:tr w14:paraId="1CBD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vMerge w:val="restart"/>
            <w:noWrap w:val="0"/>
            <w:vAlign w:val="center"/>
          </w:tcPr>
          <w:p w14:paraId="5680F59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河南科技学院现代农业产业科技创新平台—生物信息与生物医药技术研究中心项目包5</w:t>
            </w:r>
          </w:p>
        </w:tc>
        <w:tc>
          <w:tcPr>
            <w:tcW w:w="2560" w:type="dxa"/>
            <w:noWrap w:val="0"/>
            <w:vAlign w:val="center"/>
          </w:tcPr>
          <w:p w14:paraId="04A7931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组织切片荧光成像工作站</w:t>
            </w:r>
          </w:p>
        </w:tc>
        <w:tc>
          <w:tcPr>
            <w:tcW w:w="701" w:type="dxa"/>
            <w:noWrap w:val="0"/>
            <w:vAlign w:val="center"/>
          </w:tcPr>
          <w:p w14:paraId="191971E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088" w:type="dxa"/>
            <w:noWrap w:val="0"/>
            <w:vAlign w:val="center"/>
          </w:tcPr>
          <w:p w14:paraId="1A4C367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2665" w:type="dxa"/>
            <w:vMerge w:val="restart"/>
            <w:noWrap w:val="0"/>
            <w:vAlign w:val="center"/>
          </w:tcPr>
          <w:p w14:paraId="0586AC5D">
            <w:pPr>
              <w:jc w:val="center"/>
              <w:rPr>
                <w:rFonts w:hint="default" w:ascii="Times New Roman" w:hAnsi="Times New Roman" w:eastAsia="宋体" w:cs="Times New Roman"/>
                <w:szCs w:val="21"/>
                <w:highlight w:val="none"/>
                <w:lang w:val="en-US" w:eastAsia="zh-CN"/>
              </w:rPr>
            </w:pPr>
            <w:r>
              <w:rPr>
                <w:rFonts w:ascii="Times New Roman" w:hAnsi="Times New Roman" w:eastAsia="宋体" w:cs="Times New Roman"/>
                <w:b/>
                <w:bCs/>
                <w:szCs w:val="21"/>
                <w:highlight w:val="none"/>
              </w:rPr>
              <w:t>组织切片荧光成像工作站</w:t>
            </w:r>
            <w:r>
              <w:rPr>
                <w:rFonts w:hint="eastAsia" w:ascii="Times New Roman" w:hAnsi="Times New Roman" w:eastAsia="宋体" w:cs="Times New Roman"/>
                <w:b/>
                <w:bCs/>
                <w:szCs w:val="21"/>
                <w:highlight w:val="none"/>
                <w:lang w:eastAsia="zh-CN"/>
              </w:rPr>
              <w:t>、</w:t>
            </w:r>
            <w:r>
              <w:rPr>
                <w:rFonts w:ascii="Times New Roman" w:hAnsi="Times New Roman" w:eastAsia="宋体" w:cs="Times New Roman"/>
                <w:b/>
                <w:bCs/>
                <w:szCs w:val="21"/>
                <w:highlight w:val="none"/>
              </w:rPr>
              <w:t>高效液相色谱仪（二极管阵列检测器)</w:t>
            </w:r>
            <w:r>
              <w:rPr>
                <w:rFonts w:hint="eastAsia" w:ascii="Times New Roman" w:hAnsi="Times New Roman" w:eastAsia="宋体" w:cs="Times New Roman"/>
                <w:b/>
                <w:bCs/>
                <w:szCs w:val="21"/>
                <w:highlight w:val="none"/>
                <w:lang w:val="en-US" w:eastAsia="zh-CN"/>
              </w:rPr>
              <w:t>为本包段的核心产品</w:t>
            </w:r>
          </w:p>
        </w:tc>
      </w:tr>
      <w:tr w14:paraId="5D12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vMerge w:val="continue"/>
            <w:noWrap w:val="0"/>
            <w:vAlign w:val="center"/>
          </w:tcPr>
          <w:p w14:paraId="3BD2EA2B">
            <w:pPr>
              <w:jc w:val="center"/>
              <w:rPr>
                <w:rFonts w:ascii="Times New Roman" w:hAnsi="Times New Roman" w:eastAsia="宋体" w:cs="Times New Roman"/>
                <w:szCs w:val="21"/>
                <w:highlight w:val="none"/>
              </w:rPr>
            </w:pPr>
          </w:p>
        </w:tc>
        <w:tc>
          <w:tcPr>
            <w:tcW w:w="2560" w:type="dxa"/>
            <w:noWrap w:val="0"/>
            <w:vAlign w:val="center"/>
          </w:tcPr>
          <w:p w14:paraId="46D4D0AF">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超灵敏多功能成像仪</w:t>
            </w:r>
          </w:p>
        </w:tc>
        <w:tc>
          <w:tcPr>
            <w:tcW w:w="701" w:type="dxa"/>
            <w:noWrap w:val="0"/>
            <w:vAlign w:val="center"/>
          </w:tcPr>
          <w:p w14:paraId="2649D66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088" w:type="dxa"/>
            <w:noWrap w:val="0"/>
            <w:vAlign w:val="center"/>
          </w:tcPr>
          <w:p w14:paraId="1C1F8EF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2665" w:type="dxa"/>
            <w:vMerge w:val="continue"/>
            <w:noWrap w:val="0"/>
            <w:vAlign w:val="center"/>
          </w:tcPr>
          <w:p w14:paraId="3B9CED79">
            <w:pPr>
              <w:jc w:val="center"/>
              <w:rPr>
                <w:rFonts w:ascii="Times New Roman" w:hAnsi="Times New Roman" w:eastAsia="宋体" w:cs="Times New Roman"/>
                <w:szCs w:val="21"/>
                <w:highlight w:val="none"/>
              </w:rPr>
            </w:pPr>
          </w:p>
        </w:tc>
      </w:tr>
      <w:tr w14:paraId="3DB2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vMerge w:val="continue"/>
            <w:noWrap w:val="0"/>
            <w:vAlign w:val="center"/>
          </w:tcPr>
          <w:p w14:paraId="4AC8B0FD">
            <w:pPr>
              <w:jc w:val="center"/>
              <w:rPr>
                <w:rFonts w:ascii="Times New Roman" w:hAnsi="Times New Roman" w:eastAsia="宋体" w:cs="Times New Roman"/>
                <w:szCs w:val="21"/>
                <w:highlight w:val="none"/>
              </w:rPr>
            </w:pPr>
          </w:p>
        </w:tc>
        <w:tc>
          <w:tcPr>
            <w:tcW w:w="2560" w:type="dxa"/>
            <w:noWrap w:val="0"/>
            <w:vAlign w:val="center"/>
          </w:tcPr>
          <w:p w14:paraId="41FCC833">
            <w:pPr>
              <w:jc w:val="center"/>
              <w:rPr>
                <w:rFonts w:hint="eastAsia" w:ascii="Times New Roman" w:hAnsi="Times New Roman" w:eastAsia="宋体" w:cs="Times New Roman"/>
                <w:szCs w:val="21"/>
                <w:highlight w:val="none"/>
                <w:lang w:val="en-US" w:eastAsia="zh-CN"/>
              </w:rPr>
            </w:pPr>
            <w:r>
              <w:rPr>
                <w:rFonts w:ascii="Times New Roman" w:hAnsi="Times New Roman" w:eastAsia="宋体" w:cs="Times New Roman"/>
                <w:szCs w:val="21"/>
                <w:highlight w:val="none"/>
              </w:rPr>
              <w:t>高效液相色谱仪</w:t>
            </w:r>
            <w:r>
              <w:rPr>
                <w:rFonts w:hint="eastAsia" w:ascii="Times New Roman" w:hAnsi="Times New Roman" w:eastAsia="宋体" w:cs="Times New Roman"/>
                <w:szCs w:val="21"/>
                <w:highlight w:val="none"/>
                <w:lang w:val="en-US" w:eastAsia="zh-CN"/>
              </w:rPr>
              <w:t xml:space="preserve"> </w:t>
            </w:r>
          </w:p>
          <w:p w14:paraId="4EBB939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（二极管阵列检测器)</w:t>
            </w:r>
          </w:p>
        </w:tc>
        <w:tc>
          <w:tcPr>
            <w:tcW w:w="701" w:type="dxa"/>
            <w:noWrap w:val="0"/>
            <w:vAlign w:val="center"/>
          </w:tcPr>
          <w:p w14:paraId="3C3DB993">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088" w:type="dxa"/>
            <w:noWrap w:val="0"/>
            <w:vAlign w:val="center"/>
          </w:tcPr>
          <w:p w14:paraId="49B321A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2665" w:type="dxa"/>
            <w:vMerge w:val="continue"/>
            <w:noWrap w:val="0"/>
            <w:vAlign w:val="center"/>
          </w:tcPr>
          <w:p w14:paraId="24DB0235">
            <w:pPr>
              <w:jc w:val="center"/>
              <w:rPr>
                <w:rFonts w:ascii="Times New Roman" w:hAnsi="Times New Roman" w:eastAsia="宋体" w:cs="Times New Roman"/>
                <w:szCs w:val="21"/>
                <w:highlight w:val="none"/>
              </w:rPr>
            </w:pPr>
          </w:p>
        </w:tc>
      </w:tr>
      <w:tr w14:paraId="4341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vMerge w:val="continue"/>
            <w:noWrap w:val="0"/>
            <w:vAlign w:val="center"/>
          </w:tcPr>
          <w:p w14:paraId="0F50809A">
            <w:pPr>
              <w:jc w:val="center"/>
              <w:rPr>
                <w:rFonts w:ascii="Times New Roman" w:hAnsi="Times New Roman" w:eastAsia="宋体" w:cs="Times New Roman"/>
                <w:szCs w:val="21"/>
                <w:highlight w:val="none"/>
              </w:rPr>
            </w:pPr>
          </w:p>
        </w:tc>
        <w:tc>
          <w:tcPr>
            <w:tcW w:w="2560" w:type="dxa"/>
            <w:noWrap w:val="0"/>
            <w:vAlign w:val="center"/>
          </w:tcPr>
          <w:p w14:paraId="3F1955F3">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高效液相色谱仪</w:t>
            </w:r>
          </w:p>
          <w:p w14:paraId="03B2971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（示差仪器）</w:t>
            </w:r>
          </w:p>
        </w:tc>
        <w:tc>
          <w:tcPr>
            <w:tcW w:w="701" w:type="dxa"/>
            <w:noWrap w:val="0"/>
            <w:vAlign w:val="center"/>
          </w:tcPr>
          <w:p w14:paraId="6320B73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088" w:type="dxa"/>
            <w:noWrap w:val="0"/>
            <w:vAlign w:val="center"/>
          </w:tcPr>
          <w:p w14:paraId="5669DE2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2665" w:type="dxa"/>
            <w:vMerge w:val="continue"/>
            <w:noWrap w:val="0"/>
            <w:vAlign w:val="center"/>
          </w:tcPr>
          <w:p w14:paraId="2A063088">
            <w:pPr>
              <w:jc w:val="center"/>
              <w:rPr>
                <w:rFonts w:ascii="Times New Roman" w:hAnsi="Times New Roman" w:eastAsia="宋体" w:cs="Times New Roman"/>
                <w:szCs w:val="21"/>
                <w:highlight w:val="none"/>
              </w:rPr>
            </w:pPr>
          </w:p>
        </w:tc>
      </w:tr>
      <w:tr w14:paraId="4E8C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43" w:type="dxa"/>
            <w:vMerge w:val="continue"/>
            <w:noWrap w:val="0"/>
            <w:vAlign w:val="center"/>
          </w:tcPr>
          <w:p w14:paraId="6B61B851">
            <w:pPr>
              <w:jc w:val="center"/>
              <w:rPr>
                <w:rFonts w:ascii="Times New Roman" w:hAnsi="Times New Roman" w:eastAsia="宋体" w:cs="Times New Roman"/>
                <w:szCs w:val="21"/>
                <w:highlight w:val="none"/>
              </w:rPr>
            </w:pPr>
          </w:p>
        </w:tc>
        <w:tc>
          <w:tcPr>
            <w:tcW w:w="2560" w:type="dxa"/>
            <w:noWrap w:val="0"/>
            <w:vAlign w:val="center"/>
          </w:tcPr>
          <w:p w14:paraId="099031E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活细胞工作站</w:t>
            </w:r>
          </w:p>
        </w:tc>
        <w:tc>
          <w:tcPr>
            <w:tcW w:w="701" w:type="dxa"/>
            <w:noWrap w:val="0"/>
            <w:vAlign w:val="center"/>
          </w:tcPr>
          <w:p w14:paraId="45375F5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1套</w:t>
            </w:r>
          </w:p>
        </w:tc>
        <w:tc>
          <w:tcPr>
            <w:tcW w:w="1088" w:type="dxa"/>
            <w:noWrap w:val="0"/>
            <w:vAlign w:val="center"/>
          </w:tcPr>
          <w:p w14:paraId="151BAB0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是</w:t>
            </w:r>
          </w:p>
        </w:tc>
        <w:tc>
          <w:tcPr>
            <w:tcW w:w="2665" w:type="dxa"/>
            <w:vMerge w:val="continue"/>
            <w:noWrap w:val="0"/>
            <w:vAlign w:val="center"/>
          </w:tcPr>
          <w:p w14:paraId="3033AFB1">
            <w:pPr>
              <w:jc w:val="center"/>
              <w:rPr>
                <w:rFonts w:ascii="Times New Roman" w:hAnsi="Times New Roman" w:eastAsia="宋体" w:cs="Times New Roman"/>
                <w:szCs w:val="21"/>
                <w:highlight w:val="none"/>
              </w:rPr>
            </w:pPr>
          </w:p>
        </w:tc>
      </w:tr>
    </w:tbl>
    <w:p w14:paraId="024B545C">
      <w:pPr>
        <w:rPr>
          <w:rFonts w:ascii="Times New Roman" w:hAnsi="Times New Roman" w:eastAsia="宋体" w:cs="Times New Roman"/>
          <w:color w:val="000000"/>
          <w:szCs w:val="21"/>
          <w:highlight w:val="none"/>
        </w:rPr>
      </w:pPr>
      <w:r>
        <w:rPr>
          <w:rFonts w:ascii="Times New Roman" w:hAnsi="Times New Roman" w:eastAsia="宋体" w:cs="Times New Roman"/>
          <w:b/>
          <w:sz w:val="24"/>
          <w:szCs w:val="21"/>
          <w:highlight w:val="none"/>
        </w:rPr>
        <w:t>一、设备清单</w:t>
      </w:r>
    </w:p>
    <w:p w14:paraId="60D94DA5">
      <w:pPr>
        <w:spacing w:line="360" w:lineRule="auto"/>
        <w:rPr>
          <w:rFonts w:ascii="Times New Roman" w:hAnsi="Times New Roman" w:eastAsia="宋体" w:cs="Times New Roman"/>
          <w:b/>
          <w:sz w:val="24"/>
          <w:szCs w:val="21"/>
          <w:highlight w:val="none"/>
        </w:rPr>
      </w:pPr>
      <w:r>
        <w:rPr>
          <w:rFonts w:ascii="Times New Roman" w:hAnsi="Times New Roman" w:eastAsia="宋体" w:cs="Times New Roman"/>
          <w:b/>
          <w:sz w:val="24"/>
          <w:szCs w:val="21"/>
          <w:highlight w:val="none"/>
        </w:rPr>
        <w:t>二、技术要求</w:t>
      </w:r>
    </w:p>
    <w:tbl>
      <w:tblPr>
        <w:tblStyle w:val="3"/>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1695"/>
        <w:gridCol w:w="6763"/>
      </w:tblGrid>
      <w:tr w14:paraId="50ED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7298FA38">
            <w:pPr>
              <w:spacing w:line="360" w:lineRule="auto"/>
              <w:jc w:val="center"/>
              <w:rPr>
                <w:rFonts w:ascii="Times New Roman" w:hAnsi="Times New Roman" w:eastAsia="宋体" w:cs="Times New Roman"/>
                <w:szCs w:val="21"/>
                <w:highlight w:val="none"/>
              </w:rPr>
            </w:pPr>
            <w:r>
              <w:rPr>
                <w:rFonts w:ascii="Times New Roman" w:hAnsi="Times New Roman" w:eastAsia="宋体" w:cs="Times New Roman"/>
                <w:highlight w:val="none"/>
              </w:rPr>
              <w:t>序号</w:t>
            </w:r>
          </w:p>
        </w:tc>
        <w:tc>
          <w:tcPr>
            <w:tcW w:w="1695" w:type="dxa"/>
            <w:noWrap w:val="0"/>
            <w:vAlign w:val="center"/>
          </w:tcPr>
          <w:p w14:paraId="4DDA9929">
            <w:pPr>
              <w:spacing w:line="360" w:lineRule="auto"/>
              <w:jc w:val="center"/>
              <w:rPr>
                <w:rFonts w:ascii="Times New Roman" w:hAnsi="Times New Roman" w:eastAsia="宋体" w:cs="Times New Roman"/>
                <w:szCs w:val="21"/>
                <w:highlight w:val="none"/>
              </w:rPr>
            </w:pPr>
            <w:r>
              <w:rPr>
                <w:rFonts w:ascii="Times New Roman" w:hAnsi="Times New Roman" w:eastAsia="宋体" w:cs="Times New Roman"/>
                <w:highlight w:val="none"/>
              </w:rPr>
              <w:t>设备名称</w:t>
            </w:r>
          </w:p>
        </w:tc>
        <w:tc>
          <w:tcPr>
            <w:tcW w:w="6763" w:type="dxa"/>
            <w:noWrap w:val="0"/>
            <w:vAlign w:val="top"/>
          </w:tcPr>
          <w:p w14:paraId="4217DCA3">
            <w:pPr>
              <w:spacing w:line="360" w:lineRule="auto"/>
              <w:jc w:val="center"/>
              <w:rPr>
                <w:rFonts w:ascii="Times New Roman" w:hAnsi="Times New Roman" w:eastAsia="宋体" w:cs="Times New Roman"/>
                <w:szCs w:val="21"/>
                <w:highlight w:val="none"/>
              </w:rPr>
            </w:pPr>
            <w:r>
              <w:rPr>
                <w:rFonts w:ascii="Times New Roman" w:hAnsi="Times New Roman" w:eastAsia="宋体" w:cs="Times New Roman"/>
                <w:highlight w:val="none"/>
              </w:rPr>
              <w:t>技术参数与相关要求</w:t>
            </w:r>
          </w:p>
        </w:tc>
      </w:tr>
      <w:tr w14:paraId="407D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3256F54D">
            <w:pPr>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1</w:t>
            </w:r>
          </w:p>
        </w:tc>
        <w:tc>
          <w:tcPr>
            <w:tcW w:w="1695" w:type="dxa"/>
            <w:noWrap w:val="0"/>
            <w:vAlign w:val="center"/>
          </w:tcPr>
          <w:p w14:paraId="3ABA1CB7">
            <w:pPr>
              <w:jc w:val="center"/>
              <w:rPr>
                <w:rFonts w:ascii="Times New Roman" w:hAnsi="Times New Roman" w:eastAsia="宋体" w:cs="Times New Roman"/>
                <w:highlight w:val="none"/>
              </w:rPr>
            </w:pPr>
            <w:r>
              <w:rPr>
                <w:rFonts w:ascii="Times New Roman" w:hAnsi="Times New Roman" w:eastAsia="宋体" w:cs="Times New Roman"/>
                <w:szCs w:val="21"/>
                <w:highlight w:val="none"/>
              </w:rPr>
              <w:t>组织切片荧光成像工作站</w:t>
            </w:r>
          </w:p>
        </w:tc>
        <w:tc>
          <w:tcPr>
            <w:tcW w:w="6763" w:type="dxa"/>
            <w:noWrap w:val="0"/>
            <w:vAlign w:val="top"/>
          </w:tcPr>
          <w:p w14:paraId="093D5E31">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一、主要用途</w:t>
            </w:r>
          </w:p>
          <w:p w14:paraId="4E217C0A">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设备一体化集成、全电动平台、物镜及滤光通道电动切换、自动对焦系统，自带暗室仓和减震结构。支持观察细胞、组织、类器官、微生物、模式生物、胚胎、生物材料等样本，包含导航定位、反卷积、多点定位、荧光保护等辅助功能。</w:t>
            </w:r>
            <w:r>
              <w:rPr>
                <w:rFonts w:ascii="Times New Roman" w:hAnsi="Times New Roman" w:eastAsia="宋体" w:cs="Times New Roman"/>
                <w:szCs w:val="21"/>
                <w:highlight w:val="none"/>
              </w:rPr>
              <w:t xml:space="preserve"> </w:t>
            </w:r>
          </w:p>
          <w:p w14:paraId="068BB286">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32D08A05">
            <w:pPr>
              <w:numPr>
                <w:ilvl w:val="0"/>
                <w:numId w:val="0"/>
              </w:numPr>
              <w:wordWrap w:val="0"/>
              <w:spacing w:line="360" w:lineRule="auto"/>
              <w:ind w:leftChars="0"/>
              <w:rPr>
                <w:rFonts w:ascii="Times New Roman" w:hAnsi="Times New Roman" w:eastAsia="宋体" w:cs="Times New Roman"/>
                <w:szCs w:val="21"/>
                <w:highlight w:val="none"/>
              </w:rPr>
            </w:pPr>
            <w:r>
              <w:rPr>
                <w:rFonts w:ascii="Times New Roman" w:hAnsi="Times New Roman" w:eastAsia="宋体" w:cs="Times New Roman"/>
                <w:szCs w:val="21"/>
                <w:highlight w:val="none"/>
              </w:rPr>
              <w:t>1.组织切片荧光成像工作站1台（10X APO物镜：NA：≥0.45 ，WD ≥4.0 mm；20X APO物镜：</w:t>
            </w:r>
            <w:r>
              <w:rPr>
                <w:rFonts w:ascii="Times New Roman" w:hAnsi="Times New Roman" w:eastAsia="宋体" w:cs="Times New Roman"/>
                <w:highlight w:val="none"/>
              </w:rPr>
              <w:t>NA</w:t>
            </w:r>
            <w:r>
              <w:rPr>
                <w:rFonts w:ascii="Times New Roman" w:hAnsi="Times New Roman" w:eastAsia="宋体" w:cs="Times New Roman"/>
                <w:szCs w:val="21"/>
                <w:highlight w:val="none"/>
              </w:rPr>
              <w:t>：≥0.75 ，WD：≥0.6 mm；40X APO物镜：NA：≥0.95 ， 0.25≥WD≥0.17 mm ；100X APO物镜 Oil：NA：≥1.45， WD：≥0.13 mm；4X 相差物镜：NA：≥0.13 ，WD：≥16.5mm；20X 相差物镜：NA：≥0.45 ，8.8≥WD≥7.5mm；荧光通道激发402/15 nm，吸收455/50 nm，二向色镜428nm(DAPI)；激发490/20 nm，吸收525/36 nm，二向色镜503nm(GFP)；激发555/25 nm，吸收605/52 nm，二向色镜571nm(TRITC)；激发645/30 nm，吸收705/72 nm，二向色镜660 nm(CY5）各1套）；</w:t>
            </w:r>
          </w:p>
          <w:p w14:paraId="3E398D40">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2.工作站2台；</w:t>
            </w:r>
          </w:p>
          <w:p w14:paraId="2B7F12F8">
            <w:pPr>
              <w:numPr>
                <w:ilvl w:val="0"/>
                <w:numId w:val="0"/>
              </w:numPr>
              <w:spacing w:line="360" w:lineRule="auto"/>
              <w:ind w:leftChars="0"/>
              <w:rPr>
                <w:rFonts w:ascii="Times New Roman" w:hAnsi="Times New Roman" w:eastAsia="宋体" w:cs="Times New Roman"/>
                <w:szCs w:val="21"/>
                <w:highlight w:val="none"/>
              </w:rPr>
            </w:pPr>
            <w:r>
              <w:rPr>
                <w:rFonts w:ascii="Times New Roman" w:hAnsi="Times New Roman" w:eastAsia="宋体" w:cs="Times New Roman"/>
                <w:szCs w:val="21"/>
                <w:highlight w:val="none"/>
              </w:rPr>
              <w:t>3.配套实验仪器：</w:t>
            </w:r>
            <w:r>
              <w:rPr>
                <w:rFonts w:ascii="Times New Roman" w:hAnsi="Times New Roman" w:eastAsia="宋体" w:cs="Times New Roman"/>
                <w:highlight w:val="none"/>
              </w:rPr>
              <w:t>大容量台式冷冻离心机2台</w:t>
            </w:r>
            <w:r>
              <w:rPr>
                <w:rFonts w:ascii="Times New Roman" w:hAnsi="Times New Roman" w:eastAsia="宋体" w:cs="Times New Roman"/>
                <w:szCs w:val="21"/>
                <w:highlight w:val="none"/>
              </w:rPr>
              <w:t>；高效毛细管电泳系统1台；梯度PCR仪1台；多参数分子检测仪1台；多功能完全型电穿孔系统1台；摇床3台。</w:t>
            </w:r>
          </w:p>
          <w:p w14:paraId="3A28C167">
            <w:pPr>
              <w:pStyle w:val="2"/>
              <w:numPr>
                <w:ilvl w:val="0"/>
                <w:numId w:val="0"/>
              </w:numPr>
              <w:jc w:val="left"/>
              <w:rPr>
                <w:rFonts w:ascii="Times New Roman" w:hAnsi="Times New Roman" w:cs="Times New Roman"/>
                <w:b/>
                <w:bCs/>
                <w:highlight w:val="none"/>
              </w:rPr>
            </w:pPr>
            <w:r>
              <w:rPr>
                <w:rFonts w:hint="eastAsia" w:ascii="Times New Roman" w:hAnsi="Times New Roman" w:cs="Times New Roman"/>
                <w:b/>
                <w:bCs/>
                <w:highlight w:val="none"/>
                <w:lang w:val="en-US" w:eastAsia="zh-CN"/>
              </w:rPr>
              <w:t>三、</w:t>
            </w:r>
            <w:r>
              <w:rPr>
                <w:rFonts w:ascii="Times New Roman" w:hAnsi="Times New Roman" w:cs="Times New Roman"/>
                <w:b/>
                <w:bCs/>
                <w:highlight w:val="none"/>
              </w:rPr>
              <w:t>技术指标</w:t>
            </w:r>
          </w:p>
          <w:p w14:paraId="108360F7">
            <w:pPr>
              <w:spacing w:line="360" w:lineRule="auto"/>
              <w:rPr>
                <w:rFonts w:ascii="Times New Roman" w:hAnsi="Times New Roman" w:eastAsia="宋体" w:cs="Times New Roman"/>
                <w:b/>
                <w:bCs/>
                <w:highlight w:val="none"/>
              </w:rPr>
            </w:pPr>
            <w:r>
              <w:rPr>
                <w:rFonts w:ascii="Times New Roman" w:hAnsi="Times New Roman" w:eastAsia="宋体" w:cs="Times New Roman"/>
                <w:b/>
                <w:bCs/>
                <w:szCs w:val="21"/>
                <w:highlight w:val="none"/>
              </w:rPr>
              <w:t>1.组织切片荧光</w:t>
            </w:r>
            <w:r>
              <w:rPr>
                <w:rFonts w:ascii="Times New Roman" w:hAnsi="Times New Roman" w:eastAsia="宋体" w:cs="Times New Roman"/>
                <w:szCs w:val="21"/>
                <w:highlight w:val="none"/>
              </w:rPr>
              <w:t>成像</w:t>
            </w:r>
            <w:r>
              <w:rPr>
                <w:rFonts w:ascii="Times New Roman" w:hAnsi="Times New Roman" w:eastAsia="宋体" w:cs="Times New Roman"/>
                <w:b/>
                <w:bCs/>
                <w:szCs w:val="21"/>
                <w:highlight w:val="none"/>
              </w:rPr>
              <w:t>工作站主机技术指标</w:t>
            </w:r>
          </w:p>
          <w:p w14:paraId="16177C6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1.1成像系统</w:t>
            </w:r>
            <w:r>
              <w:rPr>
                <w:rFonts w:ascii="Times New Roman" w:hAnsi="Times New Roman" w:eastAsia="宋体" w:cs="Times New Roman"/>
                <w:szCs w:val="21"/>
                <w:highlight w:val="none"/>
              </w:rPr>
              <w:t>主机</w:t>
            </w:r>
            <w:r>
              <w:rPr>
                <w:rFonts w:ascii="Times New Roman" w:hAnsi="Times New Roman" w:eastAsia="宋体" w:cs="Times New Roman"/>
                <w:highlight w:val="none"/>
              </w:rPr>
              <w:t>：</w:t>
            </w:r>
          </w:p>
          <w:p w14:paraId="03DB58E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1.1.1:一体化</w:t>
            </w:r>
            <w:r>
              <w:rPr>
                <w:rFonts w:ascii="Times New Roman" w:hAnsi="Times New Roman" w:eastAsia="宋体" w:cs="Times New Roman"/>
                <w:szCs w:val="21"/>
                <w:highlight w:val="none"/>
              </w:rPr>
              <w:t>箱体</w:t>
            </w:r>
            <w:r>
              <w:rPr>
                <w:rFonts w:ascii="Times New Roman" w:hAnsi="Times New Roman" w:eastAsia="宋体" w:cs="Times New Roman"/>
                <w:highlight w:val="none"/>
              </w:rPr>
              <w:t>式，显微镜机架、透射光源、物镜、载物台、相机、荧光分光部件、多个电动部件均被原厂外部箱体包裹，并配减震器承托的浮动结构。</w:t>
            </w:r>
          </w:p>
          <w:p w14:paraId="28A999D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1.1.2配有</w:t>
            </w:r>
            <w:r>
              <w:rPr>
                <w:rFonts w:ascii="Times New Roman" w:hAnsi="Times New Roman" w:eastAsia="宋体" w:cs="Times New Roman"/>
                <w:szCs w:val="21"/>
                <w:highlight w:val="none"/>
              </w:rPr>
              <w:t>XY</w:t>
            </w:r>
            <w:r>
              <w:rPr>
                <w:rFonts w:ascii="Times New Roman" w:hAnsi="Times New Roman" w:eastAsia="宋体" w:cs="Times New Roman"/>
                <w:highlight w:val="none"/>
              </w:rPr>
              <w:t>轴电动载物平台及对焦系统，XY轴移动行程≥110*80mm；Z轴电动，行程≥8mm，Z轴移动步径≤0.1um，支持载玻片、培养皿、多孔板、培养瓶的显微拍照。</w:t>
            </w:r>
          </w:p>
          <w:p w14:paraId="5850F0CD">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1.1.3</w:t>
            </w:r>
            <w:r>
              <w:rPr>
                <w:rFonts w:ascii="Times New Roman" w:hAnsi="Times New Roman" w:eastAsia="宋体" w:cs="Times New Roman"/>
                <w:szCs w:val="21"/>
                <w:highlight w:val="none"/>
              </w:rPr>
              <w:t>拍摄</w:t>
            </w:r>
            <w:r>
              <w:rPr>
                <w:rFonts w:ascii="Times New Roman" w:hAnsi="Times New Roman" w:eastAsia="宋体" w:cs="Times New Roman"/>
                <w:highlight w:val="none"/>
              </w:rPr>
              <w:t>元件：拍摄元件内置机身中，物理像素≥1000万像素，最大记录像素≥7328×5496（或</w:t>
            </w:r>
            <w:r>
              <w:rPr>
                <w:rFonts w:ascii="Times New Roman" w:hAnsi="Times New Roman" w:eastAsia="宋体" w:cs="Times New Roman"/>
                <w:szCs w:val="21"/>
                <w:highlight w:val="none"/>
              </w:rPr>
              <w:t>≥</w:t>
            </w:r>
            <w:r>
              <w:rPr>
                <w:rFonts w:ascii="Times New Roman" w:hAnsi="Times New Roman" w:eastAsia="宋体" w:cs="Times New Roman"/>
                <w:highlight w:val="none"/>
              </w:rPr>
              <w:t xml:space="preserve">4000万像素高质量插补），感光面积≥2/3英寸，灰度级：黑白 14 bit（高画质插补）/12 bit/8 bit、RGB 各 8 bit，最高视频帧率≥100fps </w:t>
            </w:r>
            <w:bookmarkStart w:id="1" w:name="OLE_LINK17"/>
            <w:r>
              <w:rPr>
                <w:rFonts w:ascii="Times New Roman" w:hAnsi="Times New Roman" w:eastAsia="宋体" w:cs="Times New Roman"/>
                <w:b/>
                <w:bCs/>
                <w:szCs w:val="21"/>
                <w:highlight w:val="none"/>
              </w:rPr>
              <w:t>提供技术白皮书、产品说明书、技术规格书（印刷版或官方</w:t>
            </w:r>
            <w:r>
              <w:rPr>
                <w:rFonts w:ascii="Times New Roman" w:hAnsi="Times New Roman" w:eastAsia="宋体" w:cs="Times New Roman"/>
                <w:szCs w:val="21"/>
                <w:highlight w:val="none"/>
              </w:rPr>
              <w:t>网站</w:t>
            </w:r>
            <w:r>
              <w:rPr>
                <w:rFonts w:ascii="Times New Roman" w:hAnsi="Times New Roman" w:eastAsia="宋体" w:cs="Times New Roman"/>
                <w:b/>
                <w:bCs/>
                <w:szCs w:val="21"/>
                <w:highlight w:val="none"/>
              </w:rPr>
              <w:t>可查）、第三方检测报告等公开可查的技术资料等证明材料。</w:t>
            </w:r>
          </w:p>
          <w:bookmarkEnd w:id="1"/>
          <w:p w14:paraId="2A5F3A7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1.1.4光源：荧光光源不低于以下标准：LED，功率：48W，波长：全光谱(UV to IR)，荧光减光机构：电动减光(10%~100%)；透射光源不低于以下标准：LED，功率：24W，相差：PhL、Ph1、Ph2，偏斜照明，明场。电动光圈：(0%~100%)</w:t>
            </w:r>
          </w:p>
          <w:p w14:paraId="36C7077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1.1.5物镜：配有电动转换器，≥6位物镜转盘，一键自动电动切换倍率。包含如下镜头：</w:t>
            </w:r>
          </w:p>
          <w:p w14:paraId="007A1709">
            <w:pPr>
              <w:spacing w:line="360" w:lineRule="auto"/>
              <w:rPr>
                <w:rFonts w:ascii="Times New Roman" w:hAnsi="Times New Roman" w:eastAsia="宋体" w:cs="Times New Roman"/>
                <w:szCs w:val="21"/>
                <w:highlight w:val="none"/>
              </w:rPr>
            </w:pPr>
            <w:r>
              <w:rPr>
                <w:rFonts w:ascii="Times New Roman" w:hAnsi="Times New Roman" w:eastAsia="宋体" w:cs="Times New Roman"/>
                <w:highlight w:val="none"/>
              </w:rPr>
              <w:t>10X APO物镜：NA：</w:t>
            </w:r>
            <w:r>
              <w:rPr>
                <w:rFonts w:ascii="Times New Roman" w:hAnsi="Times New Roman" w:eastAsia="宋体" w:cs="Times New Roman"/>
                <w:szCs w:val="21"/>
                <w:highlight w:val="none"/>
              </w:rPr>
              <w:t>≥0.45 ，WD ≥4.0 mm</w:t>
            </w:r>
          </w:p>
          <w:p w14:paraId="7F5D56DB">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20X APO物镜：NA：≥0.75 ，WD：≥0.6 mm</w:t>
            </w:r>
          </w:p>
          <w:p w14:paraId="3B8877F3">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 xml:space="preserve">40X APO物镜：NA：≥0.95 ， 0.25≥WD≥0.17 mm </w:t>
            </w:r>
          </w:p>
          <w:p w14:paraId="1C5A5911">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100X APO物镜 Oil：NA：≥1.45， WD：≥0.13 mm</w:t>
            </w:r>
          </w:p>
          <w:p w14:paraId="29FD1360">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4X 相差物镜：NA：≥0.13 ，WD：≥16.5mm</w:t>
            </w:r>
          </w:p>
          <w:p w14:paraId="3FBF0476">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20X 相差物镜：NA：≥0.45 ， 8.8≥WD≥7.5mm</w:t>
            </w:r>
          </w:p>
          <w:p w14:paraId="51A80C8F">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1.1.6荧光通道：支持通道荧光电动实时快速转换，具备实现切换时自动关闭激发光。</w:t>
            </w:r>
          </w:p>
          <w:p w14:paraId="51B7276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激发402/15 nm，吸收455/50 nm，二向色镜428nm(DAPI)；</w:t>
            </w:r>
          </w:p>
          <w:p w14:paraId="666AC82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激发490/20 nm，吸收525/36 </w:t>
            </w:r>
            <w:r>
              <w:rPr>
                <w:rFonts w:ascii="Times New Roman" w:hAnsi="Times New Roman" w:eastAsia="宋体" w:cs="Times New Roman"/>
                <w:szCs w:val="21"/>
                <w:highlight w:val="none"/>
              </w:rPr>
              <w:t>nm</w:t>
            </w:r>
            <w:r>
              <w:rPr>
                <w:rFonts w:ascii="Times New Roman" w:hAnsi="Times New Roman" w:eastAsia="宋体" w:cs="Times New Roman"/>
                <w:highlight w:val="none"/>
              </w:rPr>
              <w:t>，二向色镜503nm(GFP)；</w:t>
            </w:r>
          </w:p>
          <w:p w14:paraId="6C27E67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激发555/25 nm，吸收605/52 </w:t>
            </w:r>
            <w:r>
              <w:rPr>
                <w:rFonts w:ascii="Times New Roman" w:hAnsi="Times New Roman" w:eastAsia="宋体" w:cs="Times New Roman"/>
                <w:szCs w:val="21"/>
                <w:highlight w:val="none"/>
              </w:rPr>
              <w:t>nm</w:t>
            </w:r>
            <w:r>
              <w:rPr>
                <w:rFonts w:ascii="Times New Roman" w:hAnsi="Times New Roman" w:eastAsia="宋体" w:cs="Times New Roman"/>
                <w:highlight w:val="none"/>
              </w:rPr>
              <w:t>，二向色镜571nm(TRITC)；</w:t>
            </w:r>
          </w:p>
          <w:p w14:paraId="362B417E">
            <w:pPr>
              <w:pStyle w:val="2"/>
              <w:rPr>
                <w:rFonts w:ascii="Times New Roman" w:hAnsi="Times New Roman" w:cs="Times New Roman"/>
                <w:highlight w:val="none"/>
              </w:rPr>
            </w:pPr>
            <w:r>
              <w:rPr>
                <w:rFonts w:ascii="Times New Roman" w:hAnsi="Times New Roman" w:cs="Times New Roman"/>
                <w:highlight w:val="none"/>
              </w:rPr>
              <w:t>激发645/30 nm，吸收705/72 nm，二向色镜660 nm(CY5）</w:t>
            </w:r>
          </w:p>
          <w:p w14:paraId="48826C3C">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1.1.7搭载高速电动滤光轮，具备单独控制激发滤光片和吸收滤光片，实现高速通道切换。</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30423B7">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1.1.8搭载双滤光片系统，具备根据实验目的选择使用高速电动滤光轮或滤光片转轮，具备区分使用也具备同时使用。荧光滤光片转盘孔位≥6孔位，结合高速电动滤光轮，最多荧光通道拍摄数量≥11ch。</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1A938A3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1.2配套软件：</w:t>
            </w:r>
          </w:p>
          <w:p w14:paraId="103A6EA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1.2.1支持宏观导航</w:t>
            </w:r>
            <w:r>
              <w:rPr>
                <w:rFonts w:ascii="Times New Roman" w:hAnsi="Times New Roman" w:eastAsia="宋体" w:cs="Times New Roman"/>
                <w:szCs w:val="21"/>
                <w:highlight w:val="none"/>
              </w:rPr>
              <w:t>功能</w:t>
            </w:r>
            <w:r>
              <w:rPr>
                <w:rFonts w:ascii="Times New Roman" w:hAnsi="Times New Roman" w:eastAsia="宋体" w:cs="Times New Roman"/>
                <w:highlight w:val="none"/>
              </w:rPr>
              <w:t>，点击载物台所对应的映射图像，具备快速移动到目标观察位置，支持切片，多孔板，培养皿等各类样本。</w:t>
            </w:r>
          </w:p>
          <w:p w14:paraId="08C7976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1.2.2支持多点记忆功能，一键记录当前视野的XY轴位置，最多具备记录30个视野位置，</w:t>
            </w:r>
            <w:r>
              <w:rPr>
                <w:rFonts w:ascii="Times New Roman" w:hAnsi="Times New Roman" w:eastAsia="宋体" w:cs="Times New Roman"/>
                <w:szCs w:val="21"/>
                <w:highlight w:val="none"/>
              </w:rPr>
              <w:t>点击</w:t>
            </w:r>
            <w:r>
              <w:rPr>
                <w:rFonts w:ascii="Times New Roman" w:hAnsi="Times New Roman" w:eastAsia="宋体" w:cs="Times New Roman"/>
                <w:highlight w:val="none"/>
              </w:rPr>
              <w:t>即可移动至相应视野。</w:t>
            </w:r>
          </w:p>
          <w:p w14:paraId="2C66741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1.2.3支持视野定位</w:t>
            </w:r>
            <w:r>
              <w:rPr>
                <w:rFonts w:ascii="Times New Roman" w:hAnsi="Times New Roman" w:eastAsia="宋体" w:cs="Times New Roman"/>
                <w:szCs w:val="21"/>
                <w:highlight w:val="none"/>
              </w:rPr>
              <w:t>功能</w:t>
            </w:r>
            <w:r>
              <w:rPr>
                <w:rFonts w:ascii="Times New Roman" w:hAnsi="Times New Roman" w:eastAsia="宋体" w:cs="Times New Roman"/>
                <w:highlight w:val="none"/>
              </w:rPr>
              <w:t>，实现自动框选宏观图像视野中高倍率拍摄的局部视野。</w:t>
            </w:r>
          </w:p>
          <w:p w14:paraId="3612F530">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1.2.4支持荧光淬灭保护模式：在进行平台移动、调焦以及更改曝光时间时瞬间照射激发光，其余时间自动关闭激发光。</w:t>
            </w:r>
            <w:bookmarkStart w:id="2" w:name="OLE_LINK19"/>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bookmarkEnd w:id="2"/>
          <w:p w14:paraId="21BAD28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1.2.5具备数字反卷积算法，内置预设档位≥5档；快速全幅对焦：一键快速超景深全幅对焦，瞬间将不同焦平面的画面叠加，Z轴步径自动根据不同倍率调整；自动对焦：一键自动对焦，快速移动Z轴，自动扫描焦平面；黑白平衡：一键自动设置，手动设置；再现拍摄：通过读取图像或拍摄条件即可快速再现相同拍摄条件下的实时图像；观察软件：多色叠加拍摄，标尺显示，电动转化器，电动平台控制；图像分析处理功能：手动拼接、祛霾、图像叠加、全副对焦、标尺添加、添加批注；导航：具备制作导航图，结合机身内置算法，自动识别样本边缘，导航拼接至样本边缘处自动停止。也可以从中间但外圈大范围扩展预览。单键点击所选观察位置即可移动到相应视野区域；多色导航：在生成导航图时，可以生成多色叠加的导航图；分析条件优化再现：具备将批量分析的条件进行保存，具备再次一键导入再现，也具备再次优化保存；配套图像分析软件：支持图像拼接、反卷积、全幅对焦画面处理。具备智能文件查找器功能，可以按照图像拍摄条件标签快速筛选项目文件。</w:t>
            </w:r>
          </w:p>
          <w:p w14:paraId="25570E59">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2.工作站技术指标</w:t>
            </w:r>
          </w:p>
          <w:p w14:paraId="0530CF8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002025BF">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3.配套实验仪器技术</w:t>
            </w:r>
            <w:r>
              <w:rPr>
                <w:rFonts w:ascii="Times New Roman" w:hAnsi="Times New Roman" w:eastAsia="宋体" w:cs="Times New Roman"/>
                <w:szCs w:val="21"/>
                <w:highlight w:val="none"/>
              </w:rPr>
              <w:t>指标</w:t>
            </w:r>
          </w:p>
          <w:p w14:paraId="456BFAE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3.1大容量台式冷冻离心机2台：最高转速：≥14000 rpm，最大离心力（rcf）：＞20900×g；固定角转最大容量(ml)：6×85ml，水平转子可选最大容量(ml)：4×750ml；温控范围 ：-9－40℃；加/减速幅rpm：不少于10/10加减档；速度控制：单独的瞬时离心键，具备做瞬时离心；转速可从200rpm开始设定至最高转速；冷冻功能：最高转速时转子温度&lt;4℃；需有待机冷却功能；需要快速制冷功能,15分钟从室温降至4℃；制冷/散热方式：no-CFC制冷；</w:t>
            </w:r>
          </w:p>
          <w:p w14:paraId="703C746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3.2</w:t>
            </w:r>
            <w:r>
              <w:rPr>
                <w:rFonts w:hint="eastAsia" w:eastAsia="宋体"/>
                <w:highlight w:val="none"/>
              </w:rPr>
              <w:t>★</w:t>
            </w:r>
            <w:r>
              <w:rPr>
                <w:rFonts w:ascii="Times New Roman" w:hAnsi="Times New Roman" w:eastAsia="宋体" w:cs="Times New Roman"/>
                <w:highlight w:val="none"/>
              </w:rPr>
              <w:t>水平转子从0升至最大转速时间≤30s，从最大转速降至0时间≤30s；</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631BEAA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3.3角转子可循环使用次数不少于100000次；配置要求：高速冷冻离心机主机一台；6×50ml金属材质气密性角转子一个，最高转速 ≥12,000 rpm，最大相对离心力：≥20,000×g；可进行高温高压灭菌 （121℃，20分钟）为保证离心效果6×50ml转子的适配器孔的角度必须≥40°；水平转子一个，最高转速：≥4,000 rpm，最大相对离心力：≥3,220×g：配不少于36×15ml尖底管适配器一套、配不少于16×50ml尖底管适配器一套、配不少于16×MTP微孔板吊篮一套；转子更换扳手一个；中式电源线一根；操作说明书一份；</w:t>
            </w:r>
          </w:p>
          <w:p w14:paraId="3581049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w:t>
            </w:r>
            <w:r>
              <w:rPr>
                <w:rFonts w:hint="eastAsia" w:ascii="Times New Roman" w:hAnsi="Times New Roman" w:eastAsia="宋体" w:cs="Times New Roman"/>
                <w:highlight w:val="none"/>
                <w:lang w:val="en-US" w:eastAsia="zh-CN"/>
              </w:rPr>
              <w:t>4</w:t>
            </w:r>
            <w:r>
              <w:rPr>
                <w:rFonts w:ascii="Times New Roman" w:hAnsi="Times New Roman" w:eastAsia="宋体" w:cs="Times New Roman"/>
                <w:highlight w:val="none"/>
              </w:rPr>
              <w:t>梯度PCR仪1台：样品基座：3×32孔0.2mL，三个独立的模块单元，具备利用三个独立控制的加热模块同时完成三个不同的实验，或者在三个不同的时间分别开始</w:t>
            </w:r>
            <w:r>
              <w:rPr>
                <w:rFonts w:ascii="Times New Roman" w:hAnsi="Times New Roman" w:eastAsia="宋体" w:cs="Times New Roman"/>
                <w:szCs w:val="21"/>
                <w:highlight w:val="none"/>
              </w:rPr>
              <w:t>实验</w:t>
            </w:r>
            <w:r>
              <w:rPr>
                <w:rFonts w:ascii="Times New Roman" w:hAnsi="Times New Roman" w:eastAsia="宋体" w:cs="Times New Roman"/>
                <w:highlight w:val="none"/>
              </w:rPr>
              <w:t>；具备根据实验需要更换其他通量样本模块，5种可选：3×32孔，96孔，双96孔，双384孔，双平板模块支持数字芯片；最大模块变温速率：6.0℃/秒;最大样本变温速率：4.4℃/秒；温度范围：0-100℃,温度均一性：＜0.5℃(达到95℃后20秒),温度精确性：±0.25℃（35.0-99.9℃之间）；6组独立控温区域，具备精确设置6个不同温度，实现真正意义的梯度PCR；内置热学模拟模式，保证新旧仪器更换中实验的平稳过渡；仪器存储：5.9GB存储空间；</w:t>
            </w:r>
          </w:p>
          <w:p w14:paraId="36C4B57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w:t>
            </w:r>
            <w:r>
              <w:rPr>
                <w:rFonts w:hint="eastAsia" w:ascii="Times New Roman" w:hAnsi="Times New Roman" w:eastAsia="宋体" w:cs="Times New Roman"/>
                <w:highlight w:val="none"/>
                <w:lang w:val="en-US" w:eastAsia="zh-CN"/>
              </w:rPr>
              <w:t>5</w:t>
            </w:r>
            <w:r>
              <w:rPr>
                <w:rFonts w:ascii="Times New Roman" w:hAnsi="Times New Roman" w:eastAsia="宋体" w:cs="Times New Roman"/>
                <w:highlight w:val="none"/>
              </w:rPr>
              <w:t>多参数分子检测仪1台：检测模块：采用4光栅和滤光片模块化平行设计，孔板类型：6-384孔板；兼容超微量多体积检测板；温度控制：室温 +4℃至 45℃；温控精度：±0.5℃@37度，可对孔板进行温度梯度设置，减少蒸发，带盖检测；探头高度调整：探头高度可在0-1mm范围内进行自动扫描，选择最佳检测探头高度；气体控制：可选配独立外置气体控制模块，可控制CO2和</w:t>
            </w:r>
            <w:r>
              <w:rPr>
                <w:rFonts w:ascii="Times New Roman" w:hAnsi="Times New Roman" w:eastAsia="宋体" w:cs="Times New Roman"/>
                <w:szCs w:val="21"/>
                <w:highlight w:val="none"/>
              </w:rPr>
              <w:t>O2</w:t>
            </w:r>
            <w:r>
              <w:rPr>
                <w:rFonts w:ascii="Times New Roman" w:hAnsi="Times New Roman" w:eastAsia="宋体" w:cs="Times New Roman"/>
                <w:highlight w:val="none"/>
              </w:rPr>
              <w:t>浓度；检测速度：96 孔：11 秒；384 孔：22 秒；光源：双光源设计，配合不同检测模块；高能量氙闪灯；波长范围：单色器: 250-850 nm，1nm步进；配置清单：多功能酶标仪主机1台；16孔超微量检测板（非耗材）1个；分析软件1套；</w:t>
            </w:r>
          </w:p>
          <w:p w14:paraId="706A5F60">
            <w:pPr>
              <w:pStyle w:val="2"/>
              <w:rPr>
                <w:rFonts w:ascii="Times New Roman" w:hAnsi="Times New Roman" w:cs="Times New Roman"/>
                <w:highlight w:val="none"/>
              </w:rPr>
            </w:pPr>
            <w:r>
              <w:rPr>
                <w:rFonts w:ascii="Times New Roman" w:hAnsi="Times New Roman" w:cs="Times New Roman"/>
                <w:highlight w:val="none"/>
              </w:rPr>
              <w:t>3.</w:t>
            </w:r>
            <w:r>
              <w:rPr>
                <w:rFonts w:hint="eastAsia" w:ascii="Times New Roman" w:hAnsi="Times New Roman" w:cs="Times New Roman"/>
                <w:highlight w:val="none"/>
                <w:lang w:val="en-US" w:eastAsia="zh-CN"/>
              </w:rPr>
              <w:t>6</w:t>
            </w:r>
            <w:r>
              <w:rPr>
                <w:rFonts w:ascii="Times New Roman" w:hAnsi="Times New Roman" w:cs="Times New Roman"/>
                <w:highlight w:val="none"/>
              </w:rPr>
              <w:t>多功能完全型电穿孔系统1台：</w:t>
            </w:r>
          </w:p>
          <w:p w14:paraId="74F9BEE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输出性能（双波形）：</w:t>
            </w:r>
            <w:r>
              <w:rPr>
                <w:rFonts w:ascii="Times New Roman" w:hAnsi="Times New Roman" w:eastAsia="宋体" w:cs="Times New Roman"/>
                <w:szCs w:val="21"/>
                <w:highlight w:val="none"/>
              </w:rPr>
              <w:t>波形</w:t>
            </w:r>
            <w:r>
              <w:rPr>
                <w:rFonts w:ascii="Times New Roman" w:hAnsi="Times New Roman" w:eastAsia="宋体" w:cs="Times New Roman"/>
                <w:highlight w:val="none"/>
              </w:rPr>
              <w:t>：指数衰变波（Exponential）、方波（Square）；电压范围：10–3000 V（连续可调）；电容范围：10–500 V：25–3275 μF，25 μF 增量500–3000 V：10/25/50 μF（三档）；并联电阻：50–1000 Ω（50 Ω 增量）+ 无穷大（开路）；样品阻抗：10–2500 V≥20 Ω；2500–3000 V≥600 Ω；最大输出功率：240 W（短时充电）。</w:t>
            </w:r>
          </w:p>
          <w:p w14:paraId="2A0440A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方波脉冲参数（精准控制）：脉冲宽度：10–500 V：0.05–10 ms（0.05 ms 增量）、10–100 ms（1 ms 增量）500–3000 V：0.05–5 ms；脉冲次数：1–10 次（10–500 V）；1–2 次（500–3000 V）；脉冲间隔：0.1–10 sec（低压）；5–30 sec（高压）。</w:t>
            </w:r>
          </w:p>
          <w:p w14:paraId="0B02DD6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w:t>
            </w:r>
            <w:r>
              <w:rPr>
                <w:rFonts w:hint="eastAsia" w:ascii="Times New Roman" w:hAnsi="Times New Roman" w:eastAsia="宋体" w:cs="Times New Roman"/>
                <w:highlight w:val="none"/>
                <w:lang w:val="en-US" w:eastAsia="zh-CN"/>
              </w:rPr>
              <w:t>7</w:t>
            </w:r>
            <w:r>
              <w:rPr>
                <w:rFonts w:ascii="Times New Roman" w:hAnsi="Times New Roman" w:eastAsia="宋体" w:cs="Times New Roman"/>
                <w:highlight w:val="none"/>
              </w:rPr>
              <w:t>摇床3台：温控范围： 室温以下18℃～60℃ (最低4℃)温控设置精度： 0.1℃；驱动：磁力驱动；温度均匀性： ±0.3℃ (@37℃)；摇板尺寸（非抽拉式）： 550×470mm；容  量： 205L；旋转转速：30～300rpm；转速设置精度： 1rpm振  幅： φ26mm；开门30s重启后温度恢复时间：≤6min (@37℃)；12具备编程段数：12段；照 明： LED照明；灭 菌：紫外杀菌；显示方式：电容式，7寸彩色触控屏；无霜设计，有。</w:t>
            </w:r>
          </w:p>
          <w:p w14:paraId="63AEE0AA">
            <w:pPr>
              <w:pStyle w:val="2"/>
              <w:rPr>
                <w:rFonts w:ascii="Times New Roman" w:hAnsi="Times New Roman" w:cs="Times New Roman"/>
                <w:highlight w:val="none"/>
              </w:rPr>
            </w:pPr>
            <w:r>
              <w:rPr>
                <w:rFonts w:ascii="Times New Roman" w:hAnsi="Times New Roman" w:cs="Times New Roman"/>
                <w:highlight w:val="none"/>
              </w:rPr>
              <w:t>3.</w:t>
            </w:r>
            <w:r>
              <w:rPr>
                <w:rFonts w:hint="eastAsia" w:ascii="Times New Roman" w:hAnsi="Times New Roman" w:cs="Times New Roman"/>
                <w:highlight w:val="none"/>
                <w:lang w:val="en-US" w:eastAsia="zh-CN"/>
              </w:rPr>
              <w:t>8</w:t>
            </w:r>
            <w:r>
              <w:rPr>
                <w:rFonts w:ascii="Times New Roman" w:hAnsi="Times New Roman" w:cs="Times New Roman"/>
                <w:highlight w:val="none"/>
              </w:rPr>
              <w:t>高效毛细管电泳仪 1台：</w:t>
            </w:r>
          </w:p>
          <w:p w14:paraId="69C5E655">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自动进样系统：10孔位进样盘，进样时间1～50000s；进样口编程：0～100KPa；冲洗压力：1～100KPa。数据处理：内嵌液晶触摸屏控制电脑；内置工作站及windows操作系统，无需外接电脑；实时在线观察电流电压曲线图谱。进样模式：自动进样系统；压力进样：1～100KPa；电动进样：0～±30kV。毛细管套：最短毛细管总长度35cm；兼容365µm外径毛细管。温控系统：TEC</w:t>
            </w:r>
            <w:r>
              <w:rPr>
                <w:rFonts w:ascii="Times New Roman" w:hAnsi="Times New Roman" w:eastAsia="宋体" w:cs="Times New Roman"/>
                <w:szCs w:val="21"/>
                <w:highlight w:val="none"/>
              </w:rPr>
              <w:t>制冷</w:t>
            </w:r>
            <w:r>
              <w:rPr>
                <w:rFonts w:ascii="Times New Roman" w:hAnsi="Times New Roman" w:eastAsia="宋体" w:cs="Times New Roman"/>
                <w:highlight w:val="none"/>
              </w:rPr>
              <w:t>片温控，温控范围在10～75℃。检测器：进口紫外可见检测器；波长准确度：1nm；氘灯、钨灯自动切换系统；波长范围：190～740nm，连续可调；波长精度：±0.5nm；波长重复性：±1nm；灵敏度：≤1µM 4-羟基-乙酰基-苯酮，进样条件5KPa 5s，33cm×50µm毛细管；信噪比≥6（50mM硼酸缓盐冲液，pH9.3，25kV）；基线噪声：≤20μAU；基线漂移：≤4x10-4AU；定性重复性：RSD≤1.5%；定量重复性：RSD≤3.0%；线性范围：≥104（33cm×50µm毛细管）。</w:t>
            </w:r>
          </w:p>
          <w:p w14:paraId="0E620693">
            <w:pPr>
              <w:pStyle w:val="2"/>
              <w:rPr>
                <w:rFonts w:ascii="Times New Roman" w:hAnsi="Times New Roman" w:cs="Times New Roman"/>
                <w:highlight w:val="none"/>
              </w:rPr>
            </w:pPr>
            <w:r>
              <w:rPr>
                <w:rFonts w:ascii="Times New Roman" w:hAnsi="Times New Roman" w:cs="Times New Roman"/>
                <w:highlight w:val="none"/>
              </w:rPr>
              <w:t>电泳功耗：电压范围：0～±30kV稳定电压供给；电流：0～1000μA功率：0～40W。</w:t>
            </w:r>
          </w:p>
          <w:p w14:paraId="152BA91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产品配置清单：</w:t>
            </w:r>
          </w:p>
          <w:p w14:paraId="242C8F3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毛细管电泳仪1台；毛细管（75/50μm）2m；缓冲液瓶套筒10个；玻璃瓶20个（</w:t>
            </w:r>
            <w:r>
              <w:rPr>
                <w:rFonts w:ascii="Times New Roman" w:hAnsi="Times New Roman" w:eastAsia="宋体" w:cs="Times New Roman"/>
                <w:color w:val="000000"/>
                <w:szCs w:val="21"/>
                <w:highlight w:val="none"/>
              </w:rPr>
              <w:t>3mL）</w:t>
            </w:r>
            <w:r>
              <w:rPr>
                <w:rFonts w:ascii="Times New Roman" w:hAnsi="Times New Roman" w:eastAsia="宋体" w:cs="Times New Roman"/>
                <w:highlight w:val="none"/>
              </w:rPr>
              <w:t>；试剂瓶3个（</w:t>
            </w:r>
            <w:r>
              <w:rPr>
                <w:rFonts w:ascii="Times New Roman" w:hAnsi="Times New Roman" w:eastAsia="宋体" w:cs="Times New Roman"/>
                <w:color w:val="000000"/>
                <w:szCs w:val="21"/>
                <w:highlight w:val="none"/>
              </w:rPr>
              <w:t>25mL）</w:t>
            </w:r>
            <w:r>
              <w:rPr>
                <w:rFonts w:ascii="Times New Roman" w:hAnsi="Times New Roman" w:eastAsia="宋体" w:cs="Times New Roman"/>
                <w:highlight w:val="none"/>
              </w:rPr>
              <w:t>；电源线1根；工作站1套；设备说明书1份；</w:t>
            </w:r>
            <w:r>
              <w:rPr>
                <w:rFonts w:ascii="Times New Roman" w:hAnsi="Times New Roman" w:eastAsia="宋体" w:cs="Times New Roman"/>
                <w:szCs w:val="21"/>
                <w:highlight w:val="none"/>
              </w:rPr>
              <w:t>工作站</w:t>
            </w:r>
            <w:r>
              <w:rPr>
                <w:rFonts w:ascii="Times New Roman" w:hAnsi="Times New Roman" w:eastAsia="宋体" w:cs="Times New Roman"/>
                <w:highlight w:val="none"/>
              </w:rPr>
              <w:t>说明书1份；石英柱4个；流通池十字螺丝刀1把；小六角螺丝刀1把；鼠标1只；开孔器1个；流通池螺丝6个；注射器10支；尼龙一次性过滤器20个（</w:t>
            </w:r>
            <w:r>
              <w:rPr>
                <w:rFonts w:ascii="Times New Roman" w:hAnsi="Times New Roman" w:eastAsia="宋体" w:cs="Times New Roman"/>
                <w:color w:val="000000"/>
                <w:szCs w:val="21"/>
                <w:highlight w:val="none"/>
              </w:rPr>
              <w:t>0.22/0.45μm）</w:t>
            </w:r>
            <w:r>
              <w:rPr>
                <w:rFonts w:ascii="Times New Roman" w:hAnsi="Times New Roman" w:eastAsia="宋体" w:cs="Times New Roman"/>
                <w:highlight w:val="none"/>
              </w:rPr>
              <w:t>；镊子1把；保险丝2个；尺子1个；地线1根；演示溶液1套。</w:t>
            </w:r>
          </w:p>
          <w:p w14:paraId="4FE197BA">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7BA738D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1.提供制造商或总</w:t>
            </w:r>
            <w:r>
              <w:rPr>
                <w:rFonts w:ascii="Times New Roman" w:hAnsi="Times New Roman" w:eastAsia="宋体" w:cs="Times New Roman"/>
                <w:szCs w:val="21"/>
                <w:highlight w:val="none"/>
              </w:rPr>
              <w:t>代理商</w:t>
            </w:r>
            <w:r>
              <w:rPr>
                <w:rFonts w:ascii="Times New Roman" w:hAnsi="Times New Roman" w:eastAsia="宋体" w:cs="Times New Roman"/>
                <w:highlight w:val="none"/>
              </w:rPr>
              <w:t>授权书。</w:t>
            </w:r>
          </w:p>
          <w:p w14:paraId="4075468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w:t>
            </w:r>
            <w:r>
              <w:rPr>
                <w:rFonts w:ascii="Times New Roman" w:hAnsi="Times New Roman" w:eastAsia="宋体" w:cs="Times New Roman"/>
                <w:kern w:val="2"/>
                <w:sz w:val="21"/>
                <w:szCs w:val="24"/>
                <w:highlight w:val="none"/>
                <w:lang w:val="en-US" w:eastAsia="zh-CN" w:bidi="ar-SA"/>
              </w:rPr>
              <w:t>资料</w:t>
            </w:r>
            <w:r>
              <w:rPr>
                <w:rFonts w:ascii="Times New Roman" w:hAnsi="Times New Roman" w:eastAsia="宋体" w:cs="Times New Roman"/>
                <w:highlight w:val="none"/>
              </w:rPr>
              <w:t>，包括仪器技术说明书、应用方案、安装指南、操作使用说明书、</w:t>
            </w:r>
            <w:r>
              <w:rPr>
                <w:rFonts w:ascii="Times New Roman" w:hAnsi="Times New Roman" w:eastAsia="宋体" w:cs="Times New Roman"/>
                <w:kern w:val="2"/>
                <w:sz w:val="21"/>
                <w:szCs w:val="24"/>
                <w:highlight w:val="none"/>
                <w:lang w:val="en-US" w:eastAsia="zh-CN" w:bidi="ar-SA"/>
              </w:rPr>
              <w:t>标准</w:t>
            </w:r>
            <w:r>
              <w:rPr>
                <w:rFonts w:ascii="Times New Roman" w:hAnsi="Times New Roman" w:eastAsia="宋体" w:cs="Times New Roman"/>
                <w:highlight w:val="none"/>
              </w:rPr>
              <w:t>操作规程与维护规程。</w:t>
            </w:r>
          </w:p>
          <w:p w14:paraId="5370D4D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215BD86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1315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5BB22F4A">
            <w:pPr>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2</w:t>
            </w:r>
          </w:p>
        </w:tc>
        <w:tc>
          <w:tcPr>
            <w:tcW w:w="1695" w:type="dxa"/>
            <w:noWrap w:val="0"/>
            <w:vAlign w:val="center"/>
          </w:tcPr>
          <w:p w14:paraId="09B9462B">
            <w:pPr>
              <w:jc w:val="center"/>
              <w:rPr>
                <w:rFonts w:ascii="Times New Roman" w:hAnsi="Times New Roman" w:eastAsia="宋体" w:cs="Times New Roman"/>
                <w:highlight w:val="none"/>
              </w:rPr>
            </w:pPr>
            <w:r>
              <w:rPr>
                <w:rFonts w:ascii="Times New Roman" w:hAnsi="Times New Roman" w:eastAsia="宋体" w:cs="Times New Roman"/>
                <w:szCs w:val="21"/>
                <w:highlight w:val="none"/>
              </w:rPr>
              <w:t>超灵敏多功能成像仪</w:t>
            </w:r>
          </w:p>
        </w:tc>
        <w:tc>
          <w:tcPr>
            <w:tcW w:w="6763" w:type="dxa"/>
            <w:noWrap w:val="0"/>
            <w:vAlign w:val="top"/>
          </w:tcPr>
          <w:p w14:paraId="0200337A">
            <w:pPr>
              <w:pStyle w:val="2"/>
              <w:rPr>
                <w:rFonts w:ascii="Times New Roman" w:hAnsi="Times New Roman" w:cs="Times New Roman"/>
                <w:b/>
                <w:bCs/>
                <w:highlight w:val="none"/>
              </w:rPr>
            </w:pPr>
            <w:r>
              <w:rPr>
                <w:rFonts w:ascii="Times New Roman" w:hAnsi="Times New Roman" w:cs="Times New Roman"/>
                <w:b/>
                <w:bCs/>
                <w:highlight w:val="none"/>
              </w:rPr>
              <w:t>一、主要用途</w:t>
            </w:r>
          </w:p>
          <w:p w14:paraId="4064E177">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用于灵敏的定量成像凝胶、膜、TLC板和菌落，包括可见光、化学发光、紫外、五色荧光成像等。</w:t>
            </w:r>
          </w:p>
          <w:p w14:paraId="61C9328E">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34964B98">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1.超灵敏多功能成像仪1台（分析软件1套）；</w:t>
            </w:r>
          </w:p>
          <w:p w14:paraId="227F1CC9">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2.工作站1台；</w:t>
            </w:r>
          </w:p>
          <w:p w14:paraId="2F9FF4CF">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3.配套实验仪器：蛋白电泳套装2套；核酸电泳仪套装4套；倒置生物显微镜2套；全自动菌落计数系统1套；一键转膜仪2台；梯度PCR仪1台；制冰机3台；</w:t>
            </w:r>
          </w:p>
          <w:p w14:paraId="0FBA9D40">
            <w:pPr>
              <w:pStyle w:val="2"/>
              <w:rPr>
                <w:rFonts w:ascii="Times New Roman" w:hAnsi="Times New Roman" w:cs="Times New Roman"/>
                <w:b/>
                <w:bCs/>
                <w:highlight w:val="none"/>
              </w:rPr>
            </w:pPr>
            <w:r>
              <w:rPr>
                <w:rFonts w:ascii="Times New Roman" w:hAnsi="Times New Roman" w:cs="Times New Roman"/>
                <w:b/>
                <w:bCs/>
                <w:highlight w:val="none"/>
              </w:rPr>
              <w:t>三、技术指标</w:t>
            </w:r>
          </w:p>
          <w:p w14:paraId="73A37E25">
            <w:pPr>
              <w:spacing w:line="360" w:lineRule="auto"/>
              <w:rPr>
                <w:rFonts w:ascii="Times New Roman" w:hAnsi="Times New Roman" w:eastAsia="宋体" w:cs="Times New Roman"/>
                <w:b/>
                <w:bCs/>
                <w:highlight w:val="none"/>
              </w:rPr>
            </w:pPr>
            <w:r>
              <w:rPr>
                <w:rFonts w:ascii="Times New Roman" w:hAnsi="Times New Roman" w:eastAsia="宋体" w:cs="Times New Roman"/>
                <w:b/>
                <w:bCs/>
                <w:szCs w:val="21"/>
                <w:highlight w:val="none"/>
              </w:rPr>
              <w:t>1.超灵敏多功能成像仪主机技术指标</w:t>
            </w:r>
          </w:p>
          <w:p w14:paraId="1FD4859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w:t>
            </w:r>
            <w:bookmarkStart w:id="3" w:name="_Hlk21597609"/>
            <w:r>
              <w:rPr>
                <w:rFonts w:ascii="Times New Roman" w:hAnsi="Times New Roman" w:eastAsia="宋体" w:cs="Times New Roman"/>
                <w:highlight w:val="none"/>
              </w:rPr>
              <w:t>用途：具有双紫外成像，透射白光成像，侧白光成像，透明样品真彩成像，彩色Marker成像，化学发光成像，RGB可见荧光成像和NIR近红外荧光成像等功能。可以对核酸电泳、蛋白电泳、印迹膜、X光片、组织切片、微孔板、培养皿和植物组织等样品进行全自动图像采集并进行定性和定量分析。</w:t>
            </w:r>
          </w:p>
          <w:bookmarkEnd w:id="3"/>
          <w:p w14:paraId="35009045">
            <w:pPr>
              <w:spacing w:line="360" w:lineRule="auto"/>
              <w:rPr>
                <w:rFonts w:ascii="Times New Roman" w:hAnsi="Times New Roman" w:eastAsia="宋体" w:cs="Times New Roman"/>
                <w:highlight w:val="none"/>
              </w:rPr>
            </w:pPr>
            <w:bookmarkStart w:id="4" w:name="_Hlk65748223"/>
            <w:bookmarkStart w:id="5" w:name="_Hlk21599769"/>
            <w:bookmarkStart w:id="6" w:name="_Hlk65748907"/>
            <w:bookmarkStart w:id="7" w:name="_Hlk21599126"/>
            <w:r>
              <w:rPr>
                <w:rFonts w:ascii="Times New Roman" w:hAnsi="Times New Roman" w:eastAsia="宋体" w:cs="Times New Roman"/>
                <w:highlight w:val="none"/>
              </w:rPr>
              <w:t>1.2</w:t>
            </w:r>
            <w:bookmarkEnd w:id="4"/>
            <w:bookmarkEnd w:id="5"/>
            <w:bookmarkStart w:id="8" w:name="_Hlk89760916"/>
            <w:r>
              <w:rPr>
                <w:rFonts w:ascii="Times New Roman" w:hAnsi="Times New Roman" w:eastAsia="宋体" w:cs="Times New Roman"/>
                <w:highlight w:val="none"/>
              </w:rPr>
              <w:t>一体化仪器设计：内置≥13.3英寸高清触摸屏电脑，硬盘≥1T，可连接蓝牙，wifi和以太网，</w:t>
            </w:r>
            <w:bookmarkStart w:id="9" w:name="_Hlk65747962"/>
            <w:r>
              <w:rPr>
                <w:rFonts w:ascii="Times New Roman" w:hAnsi="Times New Roman" w:eastAsia="宋体" w:cs="Times New Roman"/>
                <w:highlight w:val="none"/>
              </w:rPr>
              <w:t>USB接口具备连接打印机和U盘，有预留接口具备连接外置电脑控制</w:t>
            </w:r>
            <w:bookmarkEnd w:id="9"/>
            <w:r>
              <w:rPr>
                <w:rFonts w:ascii="Times New Roman" w:hAnsi="Times New Roman" w:eastAsia="宋体" w:cs="Times New Roman"/>
                <w:highlight w:val="none"/>
              </w:rPr>
              <w:t>成像系统。</w:t>
            </w:r>
            <w:bookmarkEnd w:id="8"/>
          </w:p>
          <w:bookmarkEnd w:id="6"/>
          <w:bookmarkEnd w:id="7"/>
          <w:p w14:paraId="4EADD794">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1.3</w:t>
            </w:r>
            <w:bookmarkStart w:id="10" w:name="OLE_LINK1"/>
            <w:r>
              <w:rPr>
                <w:rFonts w:ascii="Times New Roman" w:hAnsi="Times New Roman" w:eastAsia="宋体" w:cs="Times New Roman"/>
                <w:highlight w:val="none"/>
              </w:rPr>
              <w:t>强制冷科研级CCD相机：</w:t>
            </w:r>
            <w:bookmarkStart w:id="11" w:name="_Hlk65747973"/>
            <w:r>
              <w:rPr>
                <w:rFonts w:ascii="Times New Roman" w:hAnsi="Times New Roman" w:eastAsia="宋体" w:cs="Times New Roman"/>
                <w:highlight w:val="none"/>
              </w:rPr>
              <w:t>物理分辨率≥9.1百万像素</w:t>
            </w:r>
            <w:bookmarkEnd w:id="11"/>
            <w:r>
              <w:rPr>
                <w:rFonts w:ascii="Times New Roman" w:hAnsi="Times New Roman" w:eastAsia="宋体" w:cs="Times New Roman"/>
                <w:highlight w:val="none"/>
              </w:rPr>
              <w:t>的CCD相机（非插值，非图像分辨率</w:t>
            </w:r>
            <w:bookmarkStart w:id="12" w:name="_Hlk21599793"/>
            <w:r>
              <w:rPr>
                <w:rFonts w:ascii="Times New Roman" w:hAnsi="Times New Roman" w:eastAsia="宋体" w:cs="Times New Roman"/>
                <w:highlight w:val="none"/>
              </w:rPr>
              <w:t>），不高于-50℃。</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bookmarkEnd w:id="10"/>
          <w:bookmarkEnd w:id="12"/>
          <w:p w14:paraId="511BD08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1.4像素合并：支持1×1, 2×2, 3×3, 4×4, 6×6和8×8 至少六种Binning模式，兼具分辨率和灵敏度。</w:t>
            </w:r>
          </w:p>
          <w:p w14:paraId="0E5A0500">
            <w:pPr>
              <w:wordWrap w:val="0"/>
              <w:spacing w:line="360" w:lineRule="auto"/>
              <w:rPr>
                <w:rFonts w:ascii="Times New Roman" w:hAnsi="Times New Roman" w:eastAsia="宋体" w:cs="Times New Roman"/>
                <w:highlight w:val="none"/>
              </w:rPr>
            </w:pPr>
            <w:r>
              <w:rPr>
                <w:rFonts w:ascii="Times New Roman" w:hAnsi="Times New Roman" w:eastAsia="宋体" w:cs="Times New Roman"/>
                <w:highlight w:val="none"/>
              </w:rPr>
              <w:t>1.5滤光片控制：≥7位电动控制的滤光片转盘，标配513nm/572nm/595nm/684nm/735nm/832nm 6位滤光片。</w:t>
            </w:r>
          </w:p>
          <w:p w14:paraId="6184DA63">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1.6</w:t>
            </w:r>
            <w:bookmarkStart w:id="13" w:name="_Hlk21604611"/>
            <w:bookmarkStart w:id="14" w:name="_Hlk21596883"/>
            <w:r>
              <w:rPr>
                <w:rFonts w:ascii="Times New Roman" w:hAnsi="Times New Roman" w:eastAsia="宋体" w:cs="Times New Roman"/>
                <w:highlight w:val="none"/>
              </w:rPr>
              <w:t>透射光源：紫外光源≥两种，302nm和365nm，光源寿命≥30000小时，</w:t>
            </w:r>
            <w:bookmarkStart w:id="15" w:name="_Hlk65441694"/>
            <w:bookmarkStart w:id="16" w:name="_Hlk65441302"/>
            <w:r>
              <w:rPr>
                <w:rFonts w:ascii="Times New Roman" w:hAnsi="Times New Roman" w:eastAsia="宋体" w:cs="Times New Roman"/>
                <w:highlight w:val="none"/>
              </w:rPr>
              <w:t>具有免染胶成像功能</w:t>
            </w:r>
            <w:bookmarkEnd w:id="13"/>
            <w:bookmarkEnd w:id="15"/>
            <w:bookmarkEnd w:id="16"/>
            <w:r>
              <w:rPr>
                <w:rFonts w:ascii="Times New Roman" w:hAnsi="Times New Roman" w:eastAsia="宋体" w:cs="Times New Roman"/>
                <w:highlight w:val="none"/>
              </w:rPr>
              <w:t>；标配自发光白光屏，用于高质量的蛋白胶成像。</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27E24DB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1.7配置RGB三色透射发光屏，具备用于透明样品的真彩成像。</w:t>
            </w:r>
          </w:p>
          <w:bookmarkEnd w:id="14"/>
          <w:p w14:paraId="31EAFFAE">
            <w:pPr>
              <w:spacing w:line="360" w:lineRule="auto"/>
              <w:rPr>
                <w:rFonts w:ascii="Times New Roman" w:hAnsi="Times New Roman" w:eastAsia="宋体" w:cs="Times New Roman"/>
                <w:highlight w:val="none"/>
              </w:rPr>
            </w:pPr>
            <w:bookmarkStart w:id="17" w:name="_Hlk21597001"/>
            <w:bookmarkStart w:id="18" w:name="_Hlk21604635"/>
            <w:bookmarkStart w:id="19" w:name="_Hlk21597351"/>
            <w:r>
              <w:rPr>
                <w:rFonts w:hint="eastAsia" w:eastAsia="宋体"/>
                <w:highlight w:val="none"/>
              </w:rPr>
              <w:t>★</w:t>
            </w:r>
            <w:r>
              <w:rPr>
                <w:rFonts w:ascii="Times New Roman" w:hAnsi="Times New Roman" w:eastAsia="宋体" w:cs="Times New Roman"/>
                <w:highlight w:val="none"/>
              </w:rPr>
              <w:t>1.8</w:t>
            </w:r>
            <w:bookmarkEnd w:id="17"/>
            <w:r>
              <w:rPr>
                <w:rFonts w:ascii="Times New Roman" w:hAnsi="Times New Roman" w:eastAsia="宋体" w:cs="Times New Roman"/>
                <w:highlight w:val="none"/>
              </w:rPr>
              <w:t>侧白光光源：标配RGB混合白光光源，有彩色Marker功能，有真彩模式用于拍摄真实彩色照片。</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2203363B">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1.9标配EPI蓝光LED光源：用于激发SYBR Green、SYBR Safe等同类安全染料。</w:t>
            </w:r>
          </w:p>
          <w:p w14:paraId="76DD079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1.10 具有总蛋白归一化定量：可在一张膜上进行总蛋白和目的蛋白的检测。</w:t>
            </w:r>
          </w:p>
          <w:bookmarkEnd w:id="18"/>
          <w:bookmarkEnd w:id="19"/>
          <w:p w14:paraId="5B0E4D7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bookmarkStart w:id="20" w:name="_Hlk21596935"/>
            <w:r>
              <w:rPr>
                <w:rFonts w:ascii="Times New Roman" w:hAnsi="Times New Roman" w:eastAsia="宋体" w:cs="Times New Roman"/>
                <w:highlight w:val="none"/>
              </w:rPr>
              <w:t>11标配</w:t>
            </w:r>
            <w:bookmarkStart w:id="21" w:name="OLE_LINK2"/>
            <w:bookmarkStart w:id="22" w:name="_Hlk21599385"/>
            <w:bookmarkStart w:id="23" w:name="_Hlk21604717"/>
            <w:r>
              <w:rPr>
                <w:rFonts w:ascii="Times New Roman" w:hAnsi="Times New Roman" w:eastAsia="宋体" w:cs="Times New Roman"/>
                <w:highlight w:val="none"/>
              </w:rPr>
              <w:t>多色RGB落射光源：红(628nm)、绿(524nm)、蓝（472nm）三色LED用于多波段荧光染料。</w:t>
            </w:r>
            <w:bookmarkEnd w:id="20"/>
            <w:bookmarkEnd w:id="21"/>
            <w:bookmarkEnd w:id="22"/>
          </w:p>
          <w:bookmarkEnd w:id="23"/>
          <w:p w14:paraId="1DE4ED3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 标配双激光近红外通道，激发光源为带宽较窄的激光器，具备检测NIR荧光染料，如IR700和IR800等类似波长荧光染料。</w:t>
            </w:r>
          </w:p>
          <w:p w14:paraId="2FF474CB">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1.13 四通道荧光同时检测，激发光和滤光片可任意组合使用，检测更高效，应用更广泛。</w:t>
            </w:r>
          </w:p>
          <w:p w14:paraId="05AC0C82">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1.14动态范围：≥6OD，非图像属性。</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6E45E73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1.15仪器具有暗场校准，平场校准，聚焦校准和RGBNIR平衡校准，采集软件即可直接查看，保证数据的精确和高质量。</w:t>
            </w:r>
          </w:p>
          <w:p w14:paraId="43138CD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w:t>
            </w:r>
            <w:bookmarkStart w:id="24" w:name="_Hlk21599433"/>
            <w:bookmarkStart w:id="25" w:name="_Hlk21597124"/>
            <w:r>
              <w:rPr>
                <w:rFonts w:ascii="Times New Roman" w:hAnsi="Times New Roman" w:eastAsia="宋体" w:cs="Times New Roman"/>
                <w:highlight w:val="none"/>
              </w:rPr>
              <w:t>6双载物台设计：具有高低两个载物台，近光程载物台增加样品检测灵敏度</w:t>
            </w:r>
            <w:bookmarkEnd w:id="24"/>
            <w:r>
              <w:rPr>
                <w:rFonts w:ascii="Times New Roman" w:hAnsi="Times New Roman" w:eastAsia="宋体" w:cs="Times New Roman"/>
                <w:highlight w:val="none"/>
              </w:rPr>
              <w:t xml:space="preserve">。 </w:t>
            </w:r>
          </w:p>
          <w:bookmarkEnd w:id="25"/>
          <w:p w14:paraId="456EFD5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1.17 图像采集功能：</w:t>
            </w:r>
            <w:bookmarkStart w:id="26" w:name="_Hlk65442171"/>
            <w:r>
              <w:rPr>
                <w:rFonts w:ascii="Times New Roman" w:hAnsi="Times New Roman" w:eastAsia="宋体" w:cs="Times New Roman"/>
                <w:highlight w:val="none"/>
              </w:rPr>
              <w:t>多种曝光功能：自动模式不少于四种：快速模式，宽动态范围模式，过曝模式和EDR模式；也有手动模式，累积曝光模式和分段曝光模式，给客户更多选择；</w:t>
            </w:r>
            <w:bookmarkEnd w:id="26"/>
            <w:r>
              <w:rPr>
                <w:rFonts w:ascii="Times New Roman" w:hAnsi="Times New Roman" w:eastAsia="宋体" w:cs="Times New Roman"/>
                <w:highlight w:val="none"/>
              </w:rPr>
              <w:t>图像输出：包括TIFF，TIFF（PUB），JPEG，BMP等多种格式；自动彩色Marker整合：彩色Marker和化学发光条带自动整合，使用更方便，查看更直观；</w:t>
            </w:r>
            <w:bookmarkStart w:id="27" w:name="_Hlk65748046"/>
            <w:r>
              <w:rPr>
                <w:rFonts w:ascii="Times New Roman" w:hAnsi="Times New Roman" w:eastAsia="宋体" w:cs="Times New Roman"/>
                <w:highlight w:val="none"/>
              </w:rPr>
              <w:t>具备定制成像协议，激发光和滤光片可以自由搭配组合，焦距/光圈实时预览可调。</w:t>
            </w:r>
          </w:p>
          <w:bookmarkEnd w:id="27"/>
          <w:p w14:paraId="3E7CA14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1.18 图像分析功能：</w:t>
            </w:r>
            <w:bookmarkStart w:id="28" w:name="_Hlk89760953"/>
            <w:bookmarkStart w:id="29" w:name="_Hlk89761117"/>
            <w:r>
              <w:rPr>
                <w:rFonts w:ascii="Times New Roman" w:hAnsi="Times New Roman" w:eastAsia="宋体" w:cs="Times New Roman"/>
                <w:highlight w:val="none"/>
              </w:rPr>
              <w:t>条带分析：</w:t>
            </w:r>
            <w:bookmarkStart w:id="30" w:name="_Hlk65748276"/>
            <w:bookmarkStart w:id="31" w:name="_Hlk65748059"/>
            <w:r>
              <w:rPr>
                <w:rFonts w:ascii="Times New Roman" w:hAnsi="Times New Roman" w:eastAsia="宋体" w:cs="Times New Roman"/>
                <w:highlight w:val="none"/>
              </w:rPr>
              <w:t>可分析四通道图像</w:t>
            </w:r>
            <w:bookmarkEnd w:id="30"/>
            <w:r>
              <w:rPr>
                <w:rFonts w:ascii="Times New Roman" w:hAnsi="Times New Roman" w:eastAsia="宋体" w:cs="Times New Roman"/>
                <w:highlight w:val="none"/>
              </w:rPr>
              <w:t>，</w:t>
            </w:r>
            <w:bookmarkEnd w:id="31"/>
            <w:r>
              <w:rPr>
                <w:rFonts w:ascii="Times New Roman" w:hAnsi="Times New Roman" w:eastAsia="宋体" w:cs="Times New Roman"/>
                <w:highlight w:val="none"/>
              </w:rPr>
              <w:t>可进行泳道检测，条带检测、分子量测定、背景去除，分子量校准和灰度值计算，定量更简单；多重荧光分析：包括看家蛋白和全蛋白归一化分析模块，满足期刊杂志发表要求；孔板分析模块：可定义96孔板、384孔板网格，用于In cell western等实验的分析；菌落分析模块：可进行培养皿菌落计数，灰度值分析等。</w:t>
            </w:r>
            <w:bookmarkEnd w:id="28"/>
            <w:bookmarkEnd w:id="29"/>
          </w:p>
          <w:p w14:paraId="47CB7864">
            <w:pPr>
              <w:pStyle w:val="2"/>
              <w:rPr>
                <w:rFonts w:ascii="Times New Roman" w:hAnsi="Times New Roman" w:cs="Times New Roman"/>
                <w:b/>
                <w:bCs/>
                <w:highlight w:val="none"/>
              </w:rPr>
            </w:pPr>
            <w:r>
              <w:rPr>
                <w:rFonts w:ascii="Times New Roman" w:hAnsi="Times New Roman" w:cs="Times New Roman"/>
                <w:b/>
                <w:bCs/>
                <w:highlight w:val="none"/>
              </w:rPr>
              <w:t>2.工作站技术指标</w:t>
            </w:r>
          </w:p>
          <w:p w14:paraId="7BCB5ED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4B8EDA0B">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3.配套实验仪器技术指标</w:t>
            </w:r>
          </w:p>
          <w:p w14:paraId="28D6FCF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蛋白电泳套装2套：组输出（可同时连接四个电泳槽）；输出定时/计时控制；自动无负载输出保护；自动过载和短路保护；自动记忆工作状态；位数显，1位状态显示；具备层叠防滑动机箱；电压（V）10~300；电流（mA）4~400；定时（min）0~999；通用承载凝胶的面积≥8.3 x 7.3 cm；同时运行凝胶数2；槽体容纳缓冲液最大体积900ml；通用承载凝胶的面积≥8.3 x 7.3 cm；制胶垫条玻璃板种类0.75mm、1.0mm、1.5mm；同时运行凝胶数2；外槽最大缓冲液需求量750ml；内槽最大缓冲液需求量130m</w:t>
            </w:r>
            <w:r>
              <w:rPr>
                <w:rFonts w:hint="eastAsia" w:eastAsia="宋体"/>
                <w:highlight w:val="none"/>
                <w:lang w:val="en-US" w:eastAsia="zh-CN"/>
              </w:rPr>
              <w:t>l</w:t>
            </w:r>
            <w:r>
              <w:rPr>
                <w:rFonts w:ascii="Times New Roman" w:hAnsi="Times New Roman" w:eastAsia="宋体" w:cs="Times New Roman"/>
                <w:highlight w:val="none"/>
              </w:rPr>
              <w:t>。</w:t>
            </w:r>
          </w:p>
          <w:p w14:paraId="432BC24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3.2核酸电泳仪套装4套：并联输出：2组；输出范围（显示分辨率）：输出电压：(20~10000) V（显示精度：10V ）；输出电流：(0~3000) μA（显示精度：1μA）；额定输出功率：30W；输出信息采用液晶显示，具备同时显示电压、电流、功率、定时等信息；具有定时报警功能；具有程序存储功能：9 步程序（1~9）；凝胶板规格L × W）：≥83 × 75mm；试样格10、15 齿、1.0、1.5mm 厚（ 标配），0.75mm（选配）；重量≥1kg；缓冲液总容量400ml；凝胶板规格L×W）：大胶 120×120mm；宽胶60 × 120mm；长胶 120×60mm；小胶 60 × 60mm；试样格：2+3 齿（ 2.0mm 厚），6+13 齿，8+18 齿（1.5mm 厚），11+25 齿（1.0mm 厚）可用排枪加样；重量1kg；缓冲液总容量650ml。</w:t>
            </w:r>
          </w:p>
          <w:p w14:paraId="79D4BAC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3.3 倒置生物显微镜2套：光学系统：无限远色差校正光路，配置超长工作距离平场物镜 4X/10X/20X/40X/60X，整机放大范围 40×-400×，支持明场、相衬、荧光多模式观察；观察系统：45° 倾斜三目观察筒，铰链 360° 旋转，瞳距调节 50–75mm；标配 PL10X/22mm 高眼点大视野目镜，分光比支持摄像成像切换；光源与荧光配置：LED 荧光激发光源，寿命≥50000 小时，四通道电动滤片切换；长工作距离聚光镜 WD72mm。</w:t>
            </w:r>
          </w:p>
          <w:p w14:paraId="0C4EC70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3.4全自动菌落计数系统1套：成像硬件：800 万像素自动对焦彩色相机，全封闭避光暗箱，配备上下可调无影 LED 光源 + 275/395nm 双波长紫外消毒灯，悬浮暗视野成像，最小识别 0.1mm 微小菌落；平皿适配与计数性能：兼容 50–130mm 倾注平皿、滤膜、3M 测试纸片；AI 智能自动计数精度≥98%，单盘分析仅 1–4 秒；</w:t>
            </w:r>
          </w:p>
          <w:p w14:paraId="3F88A64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3.5一键转膜仪2台：转膜性能：负极接触式板式电极湿转，最快 7min 完成 10–250kDa 全分子量蛋白转印，转膜效率较传统湿转提升 4 倍；内置半导体制冷，转膜温度稳定≤35℃，条带无扩散扭曲。试剂与耗材：单块凝胶缓冲液用量仅 100–110mL，较传统设备节约 80% 试剂，缓冲液具备重复回收；配方开放具备自行配制，转膜液不含甲醇，兼容 NC、PVDF 标准迷你胶。</w:t>
            </w:r>
          </w:p>
          <w:p w14:paraId="7F7ECF3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3.6梯度PCR仪1台：样品基座：3×32孔0.2mL，三个独立的模块单元，具备利用三个独立控制的加热模块同时完成三个不同的实验，或者在三个不同的时间分别开始实验；具备根据实验需要更换其他通量样本模块，5种可选：3×32孔，96孔，双96孔，双384孔，双平板模块支持数字芯片；最大模块变温速率：6.0℃/秒;最大样本变温速率：4.4℃/秒；温度范围：0-100℃,温度均一性：＜0.5℃(达到95℃后20秒),温度精确性：±0.25℃（35.0-99.9℃之间）；组独立控温区域，具备精确设置6个不同温度的功能，实现真正意义的梯度PCR；内置热学模拟模式，具备模拟市面主流PCR仪热学性能，保证新旧仪器更换中实验的平稳过渡；仪器存储：5.9GB存储空间，最多具备存120万个程序文件。</w:t>
            </w:r>
          </w:p>
          <w:p w14:paraId="4356F61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3.7 制冰机3台：制冰量：约130kg/天(环境温度20℃，水温15℃时)；约110kg/天。外箱材料：前面/侧板：涂层不锈钢板；顶面：不锈钢；后板：电镀钢板。内箱材料：储冰室内部：ABS树脂，隔热层：硬质聚亚胺酯原位整体发泡层。贮冰量：约28kg(自然落下：约19kg)。全密闭型压缩机，HFC制冷剂。</w:t>
            </w:r>
          </w:p>
          <w:p w14:paraId="0F24A4BC">
            <w:pPr>
              <w:pStyle w:val="2"/>
              <w:rPr>
                <w:rFonts w:ascii="Times New Roman" w:hAnsi="Times New Roman" w:cs="Times New Roman"/>
                <w:highlight w:val="none"/>
              </w:rPr>
            </w:pPr>
            <w:r>
              <w:rPr>
                <w:rFonts w:ascii="Times New Roman" w:hAnsi="Times New Roman" w:cs="Times New Roman"/>
                <w:highlight w:val="none"/>
              </w:rPr>
              <w:t>抗菌型制冰机：冰刀的电机使用寿命≥18000小时。</w:t>
            </w:r>
          </w:p>
          <w:p w14:paraId="7E3E84C9">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5C37AC5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1.提供制造商或总代理商授权书。</w:t>
            </w:r>
          </w:p>
          <w:p w14:paraId="75BDA78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5515FEB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402BC09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198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5446DE47">
            <w:pPr>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3</w:t>
            </w:r>
          </w:p>
        </w:tc>
        <w:tc>
          <w:tcPr>
            <w:tcW w:w="1695" w:type="dxa"/>
            <w:noWrap w:val="0"/>
            <w:vAlign w:val="center"/>
          </w:tcPr>
          <w:p w14:paraId="653224E0">
            <w:pPr>
              <w:jc w:val="center"/>
              <w:rPr>
                <w:rFonts w:ascii="Times New Roman" w:hAnsi="Times New Roman" w:eastAsia="宋体" w:cs="Times New Roman"/>
                <w:highlight w:val="none"/>
              </w:rPr>
            </w:pPr>
            <w:r>
              <w:rPr>
                <w:rFonts w:ascii="Times New Roman" w:hAnsi="Times New Roman" w:eastAsia="宋体" w:cs="Times New Roman"/>
                <w:szCs w:val="21"/>
                <w:highlight w:val="none"/>
              </w:rPr>
              <w:t>高效液相色谱仪（二极管阵列检测器)</w:t>
            </w:r>
          </w:p>
        </w:tc>
        <w:tc>
          <w:tcPr>
            <w:tcW w:w="6763" w:type="dxa"/>
            <w:noWrap w:val="0"/>
            <w:vAlign w:val="top"/>
          </w:tcPr>
          <w:p w14:paraId="0C8E6A57">
            <w:pPr>
              <w:pStyle w:val="2"/>
              <w:rPr>
                <w:rFonts w:ascii="Times New Roman" w:hAnsi="Times New Roman" w:cs="Times New Roman"/>
                <w:b/>
                <w:bCs/>
                <w:highlight w:val="none"/>
              </w:rPr>
            </w:pPr>
            <w:r>
              <w:rPr>
                <w:rFonts w:ascii="Times New Roman" w:hAnsi="Times New Roman" w:cs="Times New Roman"/>
                <w:b/>
                <w:bCs/>
                <w:highlight w:val="none"/>
              </w:rPr>
              <w:t>一、主要用途</w:t>
            </w:r>
          </w:p>
          <w:p w14:paraId="31F7DC2E">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用于样品中有机化合物的分离和成分分析</w:t>
            </w:r>
          </w:p>
          <w:p w14:paraId="5C1E4474">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37B3BC64">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1.高效液相色谱仪1台（四元溶剂管理系统1套；自动进样器          1套；柱温箱1套；二极管阵列检测器1套；C18色谱柱（3.5μm 4.6x50mm , 5μm 4.6x250mm）各1根；2ml进样小瓶300个；1000ml的流动相瓶子4个；色谱数据管理系统1套）；</w:t>
            </w:r>
          </w:p>
          <w:p w14:paraId="380747DE">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2.工作站1台；</w:t>
            </w:r>
          </w:p>
          <w:p w14:paraId="0E259109">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 xml:space="preserve">3.配套实验仪器：紫外分光光度计2台 </w:t>
            </w:r>
          </w:p>
          <w:p w14:paraId="4A9BC3B2">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三、技术指标</w:t>
            </w:r>
          </w:p>
          <w:p w14:paraId="5CB12F02">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1.</w:t>
            </w:r>
            <w:r>
              <w:rPr>
                <w:rFonts w:ascii="Times New Roman" w:hAnsi="Times New Roman" w:eastAsia="宋体" w:cs="Times New Roman"/>
                <w:b/>
                <w:bCs/>
                <w:szCs w:val="21"/>
                <w:highlight w:val="none"/>
              </w:rPr>
              <w:t>高效液相色谱仪（二极管阵列检测器)主机技术指标</w:t>
            </w:r>
          </w:p>
          <w:p w14:paraId="56E730DD">
            <w:pPr>
              <w:pStyle w:val="2"/>
              <w:rPr>
                <w:rFonts w:ascii="Times New Roman" w:hAnsi="Times New Roman" w:cs="Times New Roman"/>
                <w:highlight w:val="none"/>
              </w:rPr>
            </w:pPr>
            <w:r>
              <w:rPr>
                <w:rFonts w:ascii="Times New Roman" w:hAnsi="Times New Roman" w:cs="Times New Roman"/>
                <w:highlight w:val="none"/>
              </w:rPr>
              <w:t>1.1四元溶剂管理系统</w:t>
            </w:r>
          </w:p>
          <w:p w14:paraId="77157B2C">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1.1.1色谱泵驱动马达数量：≥2个；色谱泵压力传感器数量：≥2个,最大操作压力：≥9500 psi；</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4D72EB25">
            <w:pPr>
              <w:pStyle w:val="2"/>
              <w:rPr>
                <w:rFonts w:ascii="Times New Roman" w:hAnsi="Times New Roman" w:cs="Times New Roman"/>
                <w:highlight w:val="none"/>
              </w:rPr>
            </w:pPr>
            <w:r>
              <w:rPr>
                <w:rFonts w:ascii="Times New Roman" w:hAnsi="Times New Roman" w:cs="Times New Roman"/>
                <w:highlight w:val="none"/>
              </w:rPr>
              <w:t>1.1.2集成式漏液管理：漏液传感器（标配）与安全漏液处理；</w:t>
            </w:r>
          </w:p>
          <w:p w14:paraId="4482E68A">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1.1.3泵压力传感器反馈回路：≥2路；</w:t>
            </w:r>
            <w:r>
              <w:rPr>
                <w:rFonts w:ascii="Times New Roman" w:hAnsi="Times New Roman" w:eastAsia="宋体" w:cs="Times New Roman"/>
                <w:b/>
                <w:bCs/>
                <w:szCs w:val="21"/>
                <w:highlight w:val="none"/>
              </w:rPr>
              <w:t>提供技术白皮书、产品说明书、技术规格书（</w:t>
            </w:r>
            <w:r>
              <w:rPr>
                <w:rFonts w:ascii="Times New Roman" w:hAnsi="Times New Roman" w:eastAsia="宋体" w:cs="Times New Roman"/>
                <w:highlight w:val="none"/>
              </w:rPr>
              <w:t>印刷版</w:t>
            </w:r>
            <w:r>
              <w:rPr>
                <w:rFonts w:ascii="Times New Roman" w:hAnsi="Times New Roman" w:eastAsia="宋体" w:cs="Times New Roman"/>
                <w:b/>
                <w:bCs/>
                <w:szCs w:val="21"/>
                <w:highlight w:val="none"/>
              </w:rPr>
              <w:t>或官方网站可查）、第三方检测报告等公开可查的技术资料等证明材料。</w:t>
            </w:r>
          </w:p>
          <w:p w14:paraId="0D773A4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1.1.4压缩补偿：自动、连续；</w:t>
            </w:r>
          </w:p>
          <w:p w14:paraId="23CA24F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1.1.5梯度模式：四元梯度，1~4路溶剂任意混合；</w:t>
            </w:r>
          </w:p>
          <w:p w14:paraId="4683D9B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1.1.6流量范围：0.001~ 5.000 mL/min，增量为≤0.001 mL；</w:t>
            </w:r>
          </w:p>
          <w:p w14:paraId="24F2D83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1.1.7脱气：≥4通道集成式真空脱气；</w:t>
            </w:r>
          </w:p>
          <w:p w14:paraId="3030846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1.1.8流速精度：≤ 0.075% RSD，基于6次重复进样的结果；</w:t>
            </w:r>
          </w:p>
          <w:p w14:paraId="6E860EEB">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1.1.9梯度变化模式：预编≥10种梯度曲线，分为线性、步进、凹线、凸线四种类型，由色谱软件实现准确控制；</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6C4D3E0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1.1.10内置自动缓冲盐配置功能：可实现自动配置缓冲盐浓度和pH值梯度变化，增量为≥0.1；</w:t>
            </w:r>
          </w:p>
          <w:p w14:paraId="7DDF7854">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1.1.11内置缓冲盐配置体系数量：≥6；梯度种类：≥4种，至少包含流动相组成梯度，流速梯度，pH值梯度，盐浓度梯度等；</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54DAFB7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 自动进样器：样品容量：≥90。（2 mL样品瓶架）；进样体积：0.1~50 μL；样品室温度范围：4℃~40℃；进样残留（交叉污染）：≤0.0025%；</w:t>
            </w:r>
          </w:p>
          <w:p w14:paraId="3F48F80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1.3柱温箱：温度范围：高于环境温度5.0℃~65℃，增量：≤0.1℃。</w:t>
            </w:r>
          </w:p>
          <w:p w14:paraId="4D18F855">
            <w:pPr>
              <w:spacing w:line="360" w:lineRule="auto"/>
              <w:rPr>
                <w:rFonts w:ascii="Times New Roman" w:hAnsi="Times New Roman" w:eastAsia="宋体" w:cs="Times New Roman"/>
                <w:sz w:val="18"/>
                <w:szCs w:val="18"/>
                <w:highlight w:val="none"/>
              </w:rPr>
            </w:pPr>
            <w:r>
              <w:rPr>
                <w:rFonts w:ascii="Times New Roman" w:hAnsi="Times New Roman" w:eastAsia="宋体" w:cs="Times New Roman"/>
                <w:highlight w:val="none"/>
              </w:rPr>
              <w:t>1.4二极管阵列检</w:t>
            </w:r>
            <w:r>
              <w:rPr>
                <w:rFonts w:ascii="Times New Roman" w:hAnsi="Times New Roman" w:eastAsia="宋体" w:cs="Times New Roman"/>
                <w:sz w:val="18"/>
                <w:szCs w:val="18"/>
                <w:highlight w:val="none"/>
              </w:rPr>
              <w:t>测器：波长范围：190~800 nm，单一氘灯覆盖整个波长范围，无需手动切换；基线噪音：≤10.0×10-6 AU，漂移: ≤1.0×10-3 AU/hr；吸收范围：0.0001~4.0000 AU；</w:t>
            </w:r>
          </w:p>
          <w:p w14:paraId="50E4ADDB">
            <w:pPr>
              <w:spacing w:line="360" w:lineRule="auto"/>
              <w:rPr>
                <w:rFonts w:ascii="Times New Roman" w:hAnsi="Times New Roman" w:eastAsia="宋体" w:cs="Times New Roman"/>
                <w:sz w:val="18"/>
                <w:szCs w:val="18"/>
                <w:highlight w:val="none"/>
              </w:rPr>
            </w:pPr>
            <w:r>
              <w:rPr>
                <w:rFonts w:hint="eastAsia" w:eastAsia="宋体"/>
                <w:sz w:val="18"/>
                <w:szCs w:val="18"/>
                <w:highlight w:val="none"/>
              </w:rPr>
              <w:t>★</w:t>
            </w:r>
            <w:r>
              <w:rPr>
                <w:rFonts w:ascii="Times New Roman" w:hAnsi="Times New Roman" w:eastAsia="宋体" w:cs="Times New Roman"/>
                <w:sz w:val="18"/>
                <w:szCs w:val="18"/>
                <w:highlight w:val="none"/>
              </w:rPr>
              <w:t>1.</w:t>
            </w:r>
            <w:r>
              <w:rPr>
                <w:rFonts w:hint="eastAsia" w:ascii="Times New Roman" w:hAnsi="Times New Roman" w:eastAsia="宋体" w:cs="Times New Roman"/>
                <w:sz w:val="18"/>
                <w:szCs w:val="18"/>
                <w:highlight w:val="none"/>
                <w:lang w:val="en-US" w:eastAsia="zh-CN"/>
              </w:rPr>
              <w:t>5</w:t>
            </w:r>
            <w:r>
              <w:rPr>
                <w:rFonts w:ascii="Times New Roman" w:hAnsi="Times New Roman" w:eastAsia="宋体" w:cs="Times New Roman"/>
                <w:sz w:val="18"/>
                <w:szCs w:val="18"/>
                <w:highlight w:val="none"/>
              </w:rPr>
              <w:t>信噪比：单氘灯时5ng亮蓝样品柱上进样，吸收波长680nm，信噪比≥10；</w:t>
            </w:r>
            <w:r>
              <w:rPr>
                <w:rFonts w:ascii="Times New Roman" w:hAnsi="Times New Roman" w:eastAsia="宋体" w:cs="Times New Roman"/>
                <w:b/>
                <w:bCs/>
                <w:sz w:val="18"/>
                <w:szCs w:val="18"/>
                <w:highlight w:val="none"/>
              </w:rPr>
              <w:t>提供技术白皮书、产品说明书、技术规格书（印刷版或官方网站可查）、第三方检测报告等公开可查的技术资料等证明材料。</w:t>
            </w:r>
          </w:p>
          <w:p w14:paraId="379BF70F">
            <w:pPr>
              <w:spacing w:line="360" w:lineRule="auto"/>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hint="eastAsia" w:ascii="Times New Roman" w:hAnsi="Times New Roman" w:eastAsia="宋体" w:cs="Times New Roman"/>
                <w:sz w:val="18"/>
                <w:szCs w:val="18"/>
                <w:highlight w:val="none"/>
                <w:lang w:val="en-US" w:eastAsia="zh-CN"/>
              </w:rPr>
              <w:t>6</w:t>
            </w:r>
            <w:r>
              <w:rPr>
                <w:rFonts w:ascii="Times New Roman" w:hAnsi="Times New Roman" w:eastAsia="宋体" w:cs="Times New Roman"/>
                <w:sz w:val="18"/>
                <w:szCs w:val="18"/>
                <w:highlight w:val="none"/>
              </w:rPr>
              <w:t>流通池：梯形狭缝池，消除示差折光效应，耐压：≥1000 psi（分析池）；</w:t>
            </w:r>
          </w:p>
          <w:p w14:paraId="455DF9F9">
            <w:pPr>
              <w:spacing w:line="360" w:lineRule="auto"/>
              <w:rPr>
                <w:rFonts w:ascii="Times New Roman" w:hAnsi="Times New Roman" w:eastAsia="宋体" w:cs="Times New Roman"/>
                <w:highlight w:val="none"/>
              </w:rPr>
            </w:pPr>
            <w:r>
              <w:rPr>
                <w:rFonts w:ascii="Times New Roman" w:hAnsi="Times New Roman" w:eastAsia="宋体" w:cs="Times New Roman"/>
                <w:sz w:val="18"/>
                <w:szCs w:val="18"/>
                <w:highlight w:val="none"/>
              </w:rPr>
              <w:t>1.</w:t>
            </w:r>
            <w:r>
              <w:rPr>
                <w:rFonts w:hint="eastAsia" w:ascii="Times New Roman" w:hAnsi="Times New Roman" w:eastAsia="宋体" w:cs="Times New Roman"/>
                <w:sz w:val="18"/>
                <w:szCs w:val="18"/>
                <w:highlight w:val="none"/>
                <w:lang w:val="en-US" w:eastAsia="zh-CN"/>
              </w:rPr>
              <w:t>7</w:t>
            </w:r>
            <w:r>
              <w:rPr>
                <w:rFonts w:ascii="Times New Roman" w:hAnsi="Times New Roman" w:eastAsia="宋体" w:cs="Times New Roman"/>
                <w:sz w:val="18"/>
                <w:szCs w:val="18"/>
                <w:highlight w:val="none"/>
              </w:rPr>
              <w:t>可将所有组分的最大吸收波长值整合成一张色谱图，无</w:t>
            </w:r>
            <w:r>
              <w:rPr>
                <w:rFonts w:ascii="Times New Roman" w:hAnsi="Times New Roman" w:eastAsia="宋体" w:cs="Times New Roman"/>
                <w:highlight w:val="none"/>
              </w:rPr>
              <w:t>需逐个设置波长来寻找每个组分的最大吸收波长值；</w:t>
            </w:r>
          </w:p>
          <w:p w14:paraId="0EC393A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8</w:t>
            </w:r>
            <w:r>
              <w:rPr>
                <w:rFonts w:ascii="Times New Roman" w:hAnsi="Times New Roman" w:eastAsia="宋体" w:cs="Times New Roman"/>
                <w:highlight w:val="none"/>
              </w:rPr>
              <w:t>数字信号输出模式：≥7种，包括但不限于吸光度、补偿吸光度、吸光度基线校正、最大值、吸光度比值、吸光度加和、吸光度差异等。</w:t>
            </w:r>
          </w:p>
          <w:p w14:paraId="21C880F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w:t>
            </w:r>
            <w:r>
              <w:rPr>
                <w:rFonts w:hint="eastAsia" w:ascii="Times New Roman" w:hAnsi="Times New Roman" w:eastAsia="宋体" w:cs="Times New Roman"/>
                <w:highlight w:val="none"/>
                <w:lang w:val="en-US" w:eastAsia="zh-CN"/>
              </w:rPr>
              <w:t>9</w:t>
            </w:r>
            <w:r>
              <w:rPr>
                <w:rFonts w:ascii="Times New Roman" w:hAnsi="Times New Roman" w:eastAsia="宋体" w:cs="Times New Roman"/>
                <w:highlight w:val="none"/>
              </w:rPr>
              <w:t>色谱数据管理系统：原厂源代码级全中文版操作界面；配置ORACLE® 数据库；具有数据安全性：符合法规的要求，具有电子记录，电子签名之功能。具有分配用户使用权限之功能；≥16种校正拟合定量计算方式，适应不同分析及不同检测器应用；≥10种数据检索模式，适应大量数据管理和检索；用户可自定义样品信息和编辑计算公式实现特殊的计算：样品信息类型 ≥6；数据类型≥6；积分模式：传统积分和ApexTrack峰尖寻迹拟和积分，可提供更准确的肩峰、负峰和拖尾峰的积分；用溶剂角及噪音角计算色谱峰一致性，对色谱峰进行纯度分析以判断是否有共流出物（PDA检测器）。</w:t>
            </w:r>
          </w:p>
          <w:p w14:paraId="6771E719">
            <w:pPr>
              <w:pStyle w:val="2"/>
              <w:rPr>
                <w:rFonts w:ascii="Times New Roman" w:hAnsi="Times New Roman" w:cs="Times New Roman"/>
                <w:b/>
                <w:bCs/>
                <w:highlight w:val="none"/>
              </w:rPr>
            </w:pPr>
            <w:r>
              <w:rPr>
                <w:rFonts w:ascii="Times New Roman" w:hAnsi="Times New Roman" w:cs="Times New Roman"/>
                <w:b/>
                <w:bCs/>
                <w:highlight w:val="none"/>
              </w:rPr>
              <w:t>2.工作站技术指标</w:t>
            </w:r>
          </w:p>
          <w:p w14:paraId="54AF2A3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5E6F8F94">
            <w:pPr>
              <w:pStyle w:val="2"/>
              <w:rPr>
                <w:rFonts w:ascii="Times New Roman" w:hAnsi="Times New Roman" w:cs="Times New Roman"/>
                <w:b/>
                <w:bCs/>
                <w:highlight w:val="none"/>
              </w:rPr>
            </w:pPr>
            <w:r>
              <w:rPr>
                <w:rFonts w:ascii="Times New Roman" w:hAnsi="Times New Roman" w:cs="Times New Roman"/>
                <w:b/>
                <w:bCs/>
                <w:highlight w:val="none"/>
              </w:rPr>
              <w:t>3.配套实验仪器技术指标</w:t>
            </w:r>
          </w:p>
          <w:p w14:paraId="5D7F624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3.1紫外分光光度计2台：波长范围：190～1100 nm；光谱带宽：2 nm（标配）；0.5/1/4/5 nm 五档可选；波长准确度：±0.3 nm；波长重现性：≤0.15 nm；杂散光：≤0.1% τ（220 nm NaI；340 nm NaNO₂）；光度范围：-0.3 A ～ 3 A；透射比准确度；±0.3% τ（0～100% τ）；±0.002 A（0～0.5 A）；±0.004 A（0.5～1 A）；透射比重复性：≤0.15% τ；基线平直度：±0.002 A。</w:t>
            </w:r>
          </w:p>
          <w:p w14:paraId="57961F62">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324C2677">
            <w:pPr>
              <w:pStyle w:val="2"/>
              <w:rPr>
                <w:rFonts w:ascii="Times New Roman" w:hAnsi="Times New Roman" w:cs="Times New Roman"/>
                <w:highlight w:val="none"/>
              </w:rPr>
            </w:pPr>
            <w:r>
              <w:rPr>
                <w:rFonts w:ascii="Times New Roman" w:hAnsi="Times New Roman" w:cs="Times New Roman"/>
                <w:highlight w:val="none"/>
              </w:rPr>
              <w:t>1.提供制造商或总代理商授权书。</w:t>
            </w:r>
          </w:p>
          <w:p w14:paraId="37B7899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09DA192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49817B1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0780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2559399C">
            <w:pPr>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4</w:t>
            </w:r>
          </w:p>
        </w:tc>
        <w:tc>
          <w:tcPr>
            <w:tcW w:w="1695" w:type="dxa"/>
            <w:noWrap w:val="0"/>
            <w:vAlign w:val="center"/>
          </w:tcPr>
          <w:p w14:paraId="7AFFA4C6">
            <w:pPr>
              <w:jc w:val="center"/>
              <w:rPr>
                <w:rFonts w:ascii="Times New Roman" w:hAnsi="Times New Roman" w:eastAsia="宋体" w:cs="Times New Roman"/>
                <w:highlight w:val="none"/>
              </w:rPr>
            </w:pPr>
            <w:r>
              <w:rPr>
                <w:rFonts w:ascii="Times New Roman" w:hAnsi="Times New Roman" w:eastAsia="宋体" w:cs="Times New Roman"/>
                <w:szCs w:val="21"/>
                <w:highlight w:val="none"/>
              </w:rPr>
              <w:t>高效液相色谱仪（示差仪器）</w:t>
            </w:r>
          </w:p>
        </w:tc>
        <w:tc>
          <w:tcPr>
            <w:tcW w:w="6763" w:type="dxa"/>
            <w:noWrap w:val="0"/>
            <w:vAlign w:val="top"/>
          </w:tcPr>
          <w:p w14:paraId="1A47CECB">
            <w:pPr>
              <w:pStyle w:val="2"/>
              <w:rPr>
                <w:rFonts w:ascii="Times New Roman" w:hAnsi="Times New Roman" w:cs="Times New Roman"/>
                <w:b/>
                <w:bCs/>
                <w:highlight w:val="none"/>
              </w:rPr>
            </w:pPr>
            <w:r>
              <w:rPr>
                <w:rFonts w:ascii="Times New Roman" w:hAnsi="Times New Roman" w:cs="Times New Roman"/>
                <w:b/>
                <w:bCs/>
                <w:highlight w:val="none"/>
              </w:rPr>
              <w:t>一、主要用途</w:t>
            </w:r>
          </w:p>
          <w:p w14:paraId="5F73FD8E">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用于样品中有机化合物的分离和成分分析</w:t>
            </w:r>
          </w:p>
          <w:p w14:paraId="6687A9B1">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60EE1CF4">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1.高效液相色谱仪1台（四元溶剂管理系统1套；自动进样器1套；柱温箱1套；示差检测器1套；C18色谱柱（3.5μm 4.6x50mm , 5μm 4.6x250mm）各1根；2ml进样小瓶300个；1000ml的流动相瓶子4个；色谱数据管理系统1套）；</w:t>
            </w:r>
          </w:p>
          <w:p w14:paraId="40D6993F">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2.工作站1台；</w:t>
            </w:r>
          </w:p>
          <w:p w14:paraId="0CEAC063">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 xml:space="preserve">3.配套实验仪器：隔水式培养箱3台；水分测定仪3台；超净工作台4台；梯度PCR仪2台 </w:t>
            </w:r>
          </w:p>
          <w:p w14:paraId="4A50CFD1">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三、技术指标</w:t>
            </w:r>
          </w:p>
          <w:p w14:paraId="52A4E9EF">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1.</w:t>
            </w:r>
            <w:r>
              <w:rPr>
                <w:rFonts w:ascii="Times New Roman" w:hAnsi="Times New Roman" w:eastAsia="宋体" w:cs="Times New Roman"/>
                <w:b/>
                <w:bCs/>
                <w:szCs w:val="21"/>
                <w:highlight w:val="none"/>
              </w:rPr>
              <w:t>高效液相色谱仪（示差仪器）主机技术指标</w:t>
            </w:r>
          </w:p>
          <w:p w14:paraId="434ADFB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1.1四元溶剂管理系统</w:t>
            </w:r>
          </w:p>
          <w:p w14:paraId="6CFEB98F">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1.1.1色谱泵驱动马达数量：≥2个；色谱泵压力传感器数量：≥2个,最大操作压力：≥9500 psi；</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r>
              <w:rPr>
                <w:rFonts w:ascii="Times New Roman" w:hAnsi="Times New Roman" w:eastAsia="宋体" w:cs="Times New Roman"/>
                <w:highlight w:val="none"/>
              </w:rPr>
              <w:t xml:space="preserve"> </w:t>
            </w:r>
          </w:p>
          <w:p w14:paraId="4121DC3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1.1.2集成式漏液管理：漏液传感器（标配）与安全漏液处理；</w:t>
            </w:r>
          </w:p>
          <w:p w14:paraId="35519B57">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1.1.3泵压力传感器反馈回路：≥2路；</w:t>
            </w:r>
            <w:r>
              <w:rPr>
                <w:rFonts w:ascii="Times New Roman" w:hAnsi="Times New Roman" w:eastAsia="宋体" w:cs="Times New Roman"/>
                <w:b/>
                <w:bCs/>
                <w:szCs w:val="21"/>
                <w:highlight w:val="none"/>
              </w:rPr>
              <w:t>提供技术白皮书、产品说明书、技术规格书（</w:t>
            </w:r>
            <w:r>
              <w:rPr>
                <w:rFonts w:ascii="Times New Roman" w:hAnsi="Times New Roman" w:eastAsia="宋体" w:cs="Times New Roman"/>
                <w:highlight w:val="none"/>
              </w:rPr>
              <w:t>印刷版</w:t>
            </w:r>
            <w:r>
              <w:rPr>
                <w:rFonts w:ascii="Times New Roman" w:hAnsi="Times New Roman" w:eastAsia="宋体" w:cs="Times New Roman"/>
                <w:b/>
                <w:bCs/>
                <w:szCs w:val="21"/>
                <w:highlight w:val="none"/>
              </w:rPr>
              <w:t>或官方网站可查）、第三方检测报告等公开可查的技术资料等证明材料。</w:t>
            </w:r>
          </w:p>
          <w:p w14:paraId="35BEBBD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1.1.4压缩补偿：自动、连续；</w:t>
            </w:r>
          </w:p>
          <w:p w14:paraId="0A5CE1E2">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1.1.5梯度模式：四元梯度，1~4路溶剂任意混合；</w:t>
            </w:r>
          </w:p>
          <w:p w14:paraId="511AAC1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1.1.6流量范围：0.001~ 5.000 mL/min，增量为≤0.001 mL；</w:t>
            </w:r>
          </w:p>
          <w:p w14:paraId="45117E5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1.1.7脱气：≥4通道集成式真空脱气；</w:t>
            </w:r>
          </w:p>
          <w:p w14:paraId="5DFF3EA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1.1.8流速精度：≤ 0.075% RSD，基于6次重复进样的结果；</w:t>
            </w:r>
          </w:p>
          <w:p w14:paraId="59FCB8C7">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1.1.9梯度变化模式：预编≥10种梯度曲线，分为线性、步进、凹线、凸线四种类型，由色谱软件实现准确控制；</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00FA3E3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1.1.10内置自动缓冲盐配置功能：具备实现自动配置缓冲盐浓度和pH值梯度变化，增量为≥0.1；</w:t>
            </w:r>
          </w:p>
          <w:p w14:paraId="11D2C707">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1.1.11内置缓冲盐配置体系数量：≥6；梯度种类：≥4种，至少包含流动相组成梯度，流速梯度，pH值梯度，盐浓度梯度等；</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ED286A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1.2自动进样器：样品容量：≥90。（2 mL样品瓶架）；进样体积：0.1~50 μL；样品室温度范围：4℃~40℃；进样残留（交叉污染）：≤0.0025%。</w:t>
            </w:r>
          </w:p>
          <w:p w14:paraId="6CB1DE94">
            <w:pPr>
              <w:pStyle w:val="2"/>
              <w:rPr>
                <w:rFonts w:ascii="Times New Roman" w:hAnsi="Times New Roman" w:cs="Times New Roman"/>
                <w:highlight w:val="none"/>
              </w:rPr>
            </w:pPr>
            <w:r>
              <w:rPr>
                <w:rFonts w:ascii="Times New Roman" w:hAnsi="Times New Roman" w:cs="Times New Roman"/>
                <w:highlight w:val="none"/>
              </w:rPr>
              <w:t>1.3柱温箱：温度范围：高于环境温度5.0℃~65℃，增量：≤0.1℃。</w:t>
            </w:r>
          </w:p>
          <w:p w14:paraId="7C6083C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1.4示差折光检测器：折光率范围：1.00~1.75 RIU；测量范围：5.0 x 10-4~7.0 x 10-9 RIU；线性动态范围： ≤ 5%；流速范围：0.1~10.0 mL/min；流通池：熔融石英，池体积≥10 µL；流通池设计：梯形狭缝的光路设计，从硬件上消除示差折光效应；最大耐压：≤ 100 psi；具有操作面板，可以独立设定工作参数、显示运行状态。</w:t>
            </w:r>
          </w:p>
          <w:p w14:paraId="5F612B4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1.5色谱数据管理系统：原厂源代码级全中文版操作界面；配置ORACLE® 数据库；具有数据安全性：符合法规的要求，具有电子记录，电子签名之功能。具有分配用户使用权限之功能；≥16种校正拟合定量计算方式，适应不同分析及不同检测器应用；≥10种数据检索模式，适应大量数据管理和检索；</w:t>
            </w:r>
          </w:p>
          <w:p w14:paraId="71149F65">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1.5.1用户具备自定义样品信息和编辑计算公式实现特殊的计算：样品信息类型 ≥6；数据类型≥6；</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0E45FD0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1.5.2积分模式：传统积分和ApexTrack峰尖寻迹拟和积分，具备提供更准确的肩峰、负峰和拖尾峰的积分。</w:t>
            </w:r>
          </w:p>
          <w:p w14:paraId="2EFBAD7A">
            <w:pPr>
              <w:pStyle w:val="2"/>
              <w:rPr>
                <w:rFonts w:ascii="Times New Roman" w:hAnsi="Times New Roman" w:cs="Times New Roman"/>
                <w:b/>
                <w:bCs/>
                <w:highlight w:val="none"/>
              </w:rPr>
            </w:pPr>
            <w:r>
              <w:rPr>
                <w:rFonts w:ascii="Times New Roman" w:hAnsi="Times New Roman" w:cs="Times New Roman"/>
                <w:b/>
                <w:bCs/>
                <w:highlight w:val="none"/>
              </w:rPr>
              <w:t>2.工作站技术指标</w:t>
            </w:r>
          </w:p>
          <w:p w14:paraId="67A9779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5B8A3ED1">
            <w:pPr>
              <w:pStyle w:val="2"/>
              <w:rPr>
                <w:rFonts w:ascii="Times New Roman" w:hAnsi="Times New Roman" w:cs="Times New Roman"/>
                <w:b/>
                <w:bCs/>
                <w:highlight w:val="none"/>
              </w:rPr>
            </w:pPr>
            <w:r>
              <w:rPr>
                <w:rFonts w:ascii="Times New Roman" w:hAnsi="Times New Roman" w:cs="Times New Roman"/>
                <w:b/>
                <w:bCs/>
                <w:highlight w:val="none"/>
              </w:rPr>
              <w:t>3.配套实验仪器技术指标</w:t>
            </w:r>
          </w:p>
          <w:p w14:paraId="329A6ED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3.1隔水式培养箱3台：控温范围：室温 + 5℃ ～ 65℃；温度分辨率：0.1℃；温度波动度：±0.5℃；加热方式：水套式（隔水式）加热；</w:t>
            </w:r>
          </w:p>
          <w:p w14:paraId="171A7EE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3.2水分测定仪3台：:最大称量：110g；可读性 / 分度值：10mg（0.01g）；重复性：±1%（2g 样品）；±0.5%（10g 样品）；线性误差：±10mg；卤素灯加热；控温范围：50℃～200℃可调。</w:t>
            </w:r>
          </w:p>
          <w:p w14:paraId="330CF70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3.3超净工作台4台：适用工位:双人单面；外壳：冷轧钢板静电喷塑；风流方向：垂直；尺寸:内尺寸(W*D*H)：≥1150×550×575mm</w:t>
            </w:r>
          </w:p>
          <w:p w14:paraId="11AE602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3.4梯度PCR仪2台：样品基座：3×32孔0.2mL，三个独立的模块单元，具备利用三个独立控制的加热模块同时完成三个不同的实验，或者在三个不同的时间分别开始实验；具备根据实验需要更换其他通量样本模块，5种可选：3×32孔，96孔，双96孔，双384孔，双平板模块支持数字芯片；最大模块变温速率：6.0℃/秒;最大样本变温速率：4.4℃/秒；温度范围：0-100℃,温度均一性：＜0.5℃(达到95℃后20秒),温度精确性：±0.25℃（35.0-99.9℃之间）；组独立控温区域，具备精确设置6个不同温度，实现真正意义的梯度PCR；内置热学模拟模式，具备模拟市面主流PCR仪热学性能，保证新旧仪器更换中实验的平稳过渡；仪器存储：5.9GB存储空间，最多具备存120万个程序文件。</w:t>
            </w:r>
          </w:p>
          <w:p w14:paraId="631802D3">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4EE5526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1.提供制造商或总代理商授权书。</w:t>
            </w:r>
          </w:p>
          <w:p w14:paraId="54D0E21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3B922A5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5834A700">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r w14:paraId="1FC6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noWrap w:val="0"/>
            <w:vAlign w:val="center"/>
          </w:tcPr>
          <w:p w14:paraId="6E45CA2C">
            <w:pPr>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5</w:t>
            </w:r>
          </w:p>
        </w:tc>
        <w:tc>
          <w:tcPr>
            <w:tcW w:w="1695" w:type="dxa"/>
            <w:noWrap w:val="0"/>
            <w:vAlign w:val="center"/>
          </w:tcPr>
          <w:p w14:paraId="13A91551">
            <w:pPr>
              <w:jc w:val="center"/>
              <w:rPr>
                <w:rFonts w:ascii="Times New Roman" w:hAnsi="Times New Roman" w:eastAsia="宋体" w:cs="Times New Roman"/>
                <w:highlight w:val="none"/>
              </w:rPr>
            </w:pPr>
            <w:r>
              <w:rPr>
                <w:rFonts w:ascii="Times New Roman" w:hAnsi="Times New Roman" w:eastAsia="宋体" w:cs="Times New Roman"/>
                <w:szCs w:val="21"/>
                <w:highlight w:val="none"/>
              </w:rPr>
              <w:t>活细胞工作站</w:t>
            </w:r>
          </w:p>
        </w:tc>
        <w:tc>
          <w:tcPr>
            <w:tcW w:w="6763" w:type="dxa"/>
            <w:noWrap w:val="0"/>
            <w:vAlign w:val="top"/>
          </w:tcPr>
          <w:p w14:paraId="6926832D">
            <w:pPr>
              <w:pStyle w:val="2"/>
              <w:numPr>
                <w:ilvl w:val="0"/>
                <w:numId w:val="1"/>
              </w:numPr>
              <w:rPr>
                <w:rFonts w:ascii="Times New Roman" w:hAnsi="Times New Roman" w:cs="Times New Roman"/>
                <w:b/>
                <w:bCs/>
                <w:highlight w:val="none"/>
              </w:rPr>
            </w:pPr>
            <w:r>
              <w:rPr>
                <w:rFonts w:ascii="Times New Roman" w:hAnsi="Times New Roman" w:cs="Times New Roman"/>
                <w:b/>
                <w:bCs/>
                <w:highlight w:val="none"/>
              </w:rPr>
              <w:t>主要用途</w:t>
            </w:r>
          </w:p>
          <w:p w14:paraId="1F25CFBB">
            <w:pPr>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highlight w:val="none"/>
              </w:rPr>
              <w:t>成活细胞环境控制系统与全自动荧光显微成像模块，能够维持细胞、植物原生质体、微生物活体样本的生理环境，实现长时间延时动态成像；用于观测细胞增殖、迁移、凋亡、细胞器运动与荧光蛋白亚细胞定位。</w:t>
            </w:r>
            <w:r>
              <w:rPr>
                <w:rFonts w:ascii="Times New Roman" w:hAnsi="Times New Roman" w:eastAsia="宋体" w:cs="Times New Roman"/>
                <w:szCs w:val="21"/>
                <w:highlight w:val="none"/>
              </w:rPr>
              <w:t xml:space="preserve"> </w:t>
            </w:r>
          </w:p>
          <w:p w14:paraId="75633C7D">
            <w:pPr>
              <w:spacing w:line="360" w:lineRule="auto"/>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lang w:eastAsia="zh-CN"/>
              </w:rPr>
              <w:t>二、配置清单</w:t>
            </w:r>
          </w:p>
          <w:p w14:paraId="3A93DAB2">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1.活细胞工作站1台（DAPI 滤光片（蓝色），GFP滤光片（绿色），RFP 滤光片（红色）；物镜，标配10倍、20倍；各1个）；</w:t>
            </w:r>
          </w:p>
          <w:p w14:paraId="775061B0">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2.工作站2台；</w:t>
            </w:r>
          </w:p>
          <w:p w14:paraId="7CDA4F70">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3.配套实验仪器：倒置荧光成像系统1套</w:t>
            </w:r>
          </w:p>
          <w:p w14:paraId="34E7A492">
            <w:pPr>
              <w:pStyle w:val="2"/>
              <w:rPr>
                <w:rFonts w:ascii="Times New Roman" w:hAnsi="Times New Roman" w:cs="Times New Roman"/>
                <w:b/>
                <w:bCs/>
                <w:highlight w:val="none"/>
              </w:rPr>
            </w:pPr>
            <w:r>
              <w:rPr>
                <w:rFonts w:ascii="Times New Roman" w:hAnsi="Times New Roman" w:cs="Times New Roman"/>
                <w:b/>
                <w:bCs/>
                <w:highlight w:val="none"/>
              </w:rPr>
              <w:t>三、技术指标</w:t>
            </w:r>
          </w:p>
          <w:p w14:paraId="658FCC3F">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1.活细胞工作站</w:t>
            </w:r>
            <w:r>
              <w:rPr>
                <w:rFonts w:ascii="Times New Roman" w:hAnsi="Times New Roman" w:eastAsia="宋体" w:cs="Times New Roman"/>
                <w:highlight w:val="none"/>
              </w:rPr>
              <w:t>主机</w:t>
            </w:r>
            <w:r>
              <w:rPr>
                <w:rFonts w:ascii="Times New Roman" w:hAnsi="Times New Roman" w:eastAsia="宋体" w:cs="Times New Roman"/>
                <w:b/>
                <w:bCs/>
                <w:highlight w:val="none"/>
              </w:rPr>
              <w:t>技术指标</w:t>
            </w:r>
          </w:p>
          <w:p w14:paraId="603D705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1.1成像模块参数</w:t>
            </w:r>
          </w:p>
          <w:p w14:paraId="7205887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1.1.1. 成像模式：荧光、高对比度明场成像。</w:t>
            </w:r>
          </w:p>
          <w:p w14:paraId="7BE5A07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1.1.2. 成像通道：具有四个荧光颜色通道，配置三色荧光：DAPI 滤光片（蓝色），GFP滤光片（绿色），RFP 滤光片（红色）</w:t>
            </w:r>
          </w:p>
          <w:p w14:paraId="5A84B06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1.1.3.检测方法：终点法，时间延迟法，动力学法，孔模式，图像自动全孔扫描，Z轴自动成像。</w:t>
            </w:r>
          </w:p>
          <w:p w14:paraId="088A4CEF">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1.1.4.光源：高能量具备置换LED，单个LED寿命50000小时，独立LED配合独立检测通道。</w:t>
            </w:r>
          </w:p>
          <w:p w14:paraId="3583E1F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1.1.5.CCD： 16 BIT CCD，像素点尺寸≥3.75μm，图像灰度扩展范围可达0-65535</w:t>
            </w:r>
          </w:p>
          <w:p w14:paraId="3736FEEA">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1.1.6.物镜容量：机载2位可置换物镜，电动物镜切换</w:t>
            </w:r>
          </w:p>
          <w:p w14:paraId="17CAC679">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1.1.7. 物镜：具有5种倍数以上可选物镜，标配10倍、20倍。</w:t>
            </w:r>
          </w:p>
          <w:p w14:paraId="6FFFADB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1.1.8. 聚焦方式：配备有图像自动聚焦模块，可选增加激光自动聚焦模式</w:t>
            </w:r>
          </w:p>
          <w:p w14:paraId="69DB298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1.1.9. Z轴层切成像：具有Z轴层切成像（2-200层）</w:t>
            </w:r>
          </w:p>
          <w:p w14:paraId="7165053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1.2.活细胞模块参数</w:t>
            </w:r>
          </w:p>
          <w:p w14:paraId="5F0C55E3">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1.2.1. 温度控制：室温 +4℃至45℃，温控精度≤±0.2℃@37℃，具备进行预热操作和温度梯度防凝集控制。</w:t>
            </w:r>
          </w:p>
          <w:p w14:paraId="4D14A06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1.2.2.气体控制：独立气体控制模块，控制、CO2浓度。CO2浓度0-20%，控制精度≤0.1%。</w:t>
            </w:r>
          </w:p>
          <w:p w14:paraId="2DDEC71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1.3.可升级定量模块参数</w:t>
            </w:r>
          </w:p>
          <w:p w14:paraId="3C0F0E7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1.3.1荧光：波长范围：≥200-850nm；波长选择：滤光片/二向色镜；荧光检测灵敏度：≤0.025fmol/孔；时间分辨荧光检测灵敏度：≤4amol/孔；荧光偏振检测灵敏度：≤1.2mP；</w:t>
            </w:r>
          </w:p>
          <w:p w14:paraId="2C880F1D">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 xml:space="preserve">1.3.2发光：闪光分析灵敏度(ATP)：≤10 amol /孔 ATP </w:t>
            </w:r>
          </w:p>
          <w:p w14:paraId="76789B6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1.3.3吸收光：波长范围：200-999nm，1nm步进；OD分辨率： ≤0.001 OD；</w:t>
            </w:r>
          </w:p>
          <w:p w14:paraId="0143A8E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1.4.软件</w:t>
            </w:r>
          </w:p>
          <w:p w14:paraId="230E2C3E">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1.4.1.软件可选择安装中文或英文。对仪器进行控制并具备同时完成数据分析及报告生成；模块化功能操作：具备任意调整程序编辑步骤。</w:t>
            </w:r>
          </w:p>
          <w:p w14:paraId="1FF65078">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1.4.2.高内涵分析：具备升级具有高内涵授权软件，具备进行细胞每个颜色通道双选域分析。</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263AB431">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1.4.3 反卷积分析：具备升级反卷积分析功能软件；背景自动优化调整：可调整图像背景数据，实现每个颜色通道背景自动优化。</w:t>
            </w:r>
          </w:p>
          <w:p w14:paraId="770DCDA7">
            <w:pPr>
              <w:spacing w:line="360" w:lineRule="auto"/>
              <w:rPr>
                <w:rFonts w:ascii="Times New Roman" w:hAnsi="Times New Roman" w:eastAsia="宋体" w:cs="Times New Roman"/>
                <w:highlight w:val="none"/>
              </w:rPr>
            </w:pPr>
            <w:r>
              <w:rPr>
                <w:rFonts w:hint="eastAsia" w:eastAsia="宋体"/>
                <w:highlight w:val="none"/>
              </w:rPr>
              <w:t>★</w:t>
            </w:r>
            <w:r>
              <w:rPr>
                <w:rFonts w:ascii="Times New Roman" w:hAnsi="Times New Roman" w:eastAsia="宋体" w:cs="Times New Roman"/>
                <w:highlight w:val="none"/>
              </w:rPr>
              <w:t>1.4.4孔板自动校正：针对不规则和非标准孔板，具备通过多点自动定位的方式，将图像定位于孔板中心。</w:t>
            </w:r>
            <w:r>
              <w:rPr>
                <w:rFonts w:ascii="Times New Roman" w:hAnsi="Times New Roman" w:eastAsia="宋体" w:cs="Times New Roman"/>
                <w:b/>
                <w:bCs/>
                <w:szCs w:val="21"/>
                <w:highlight w:val="none"/>
              </w:rPr>
              <w:t>提供技术白皮书、产品说明书、技术规格书（印刷版或官方网站可查）、第三方检测报告等公开可查的技术资料等证明材料。</w:t>
            </w:r>
          </w:p>
          <w:p w14:paraId="73FC16E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1.4.5荧光成像图形分析： 细胞图像色彩叠加，自动XY轴高度调整，自动LED强度调整。</w:t>
            </w:r>
          </w:p>
          <w:p w14:paraId="7DF3D84F">
            <w:pPr>
              <w:spacing w:line="360" w:lineRule="auto"/>
              <w:rPr>
                <w:rFonts w:ascii="Times New Roman" w:hAnsi="Times New Roman" w:eastAsia="宋体" w:cs="Times New Roman"/>
                <w:highlight w:val="none"/>
              </w:rPr>
            </w:pPr>
            <w:r>
              <w:rPr>
                <w:rFonts w:ascii="Times New Roman" w:hAnsi="Times New Roman" w:eastAsia="宋体" w:cs="Times New Roman"/>
                <w:b/>
                <w:bCs/>
                <w:highlight w:val="none"/>
              </w:rPr>
              <w:t>2.工作站技术指标</w:t>
            </w:r>
          </w:p>
          <w:p w14:paraId="7FD7D208">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CPU:≥睿频5.4GHz，20核心，28线程；内存≥32GB；硬盘≥2TB NVME；独立显卡，显存≥6GB；显示器：≥27英寸，分辨率≥1920×1080；</w:t>
            </w:r>
          </w:p>
          <w:p w14:paraId="28B298B3">
            <w:pPr>
              <w:spacing w:line="360" w:lineRule="auto"/>
              <w:rPr>
                <w:rFonts w:ascii="Times New Roman" w:hAnsi="Times New Roman" w:eastAsia="宋体" w:cs="Times New Roman"/>
                <w:b/>
                <w:bCs/>
                <w:highlight w:val="none"/>
              </w:rPr>
            </w:pPr>
            <w:r>
              <w:rPr>
                <w:rFonts w:ascii="Times New Roman" w:hAnsi="Times New Roman" w:eastAsia="宋体" w:cs="Times New Roman"/>
                <w:b/>
                <w:bCs/>
                <w:highlight w:val="none"/>
              </w:rPr>
              <w:t>3.配套实验仪器技术指标</w:t>
            </w:r>
          </w:p>
          <w:p w14:paraId="5F146007">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3.1倒置荧光成像系统1台：观察筒：45°倾斜，视度可调；目镜：不小于WF10×/23平场目镜，屈光度可调；物镜至少包含：无限远长工作距离平场消色差物镜LWDPLan 4X/N.A.0.10、无限远长工作距离平场半复相差物镜 10×/N.A.0.31  WD ≥7.1mm、无限远长工作距离平场半复相差物镜 20×/ N.A.0.46  WD ≥3.9mm、无限远长工作距离平场半复消色差物镜 40×/ N.A.0.65  WD≥ 3.2mm；调焦机构：粗微调同轴，配有限位装置和锁紧装置，低手位同轴调焦手轮，微调手轮格值1μm；物镜转换器：六孔内定位转换器，滚珠轴承内定位，有防霉装置；载物台：固定式载物台≥240mm×260mm；移动范围：≥135mm×80mm ；水滴载物片（φ≥118mm）；多功能载物片（≥76mm×25mm、）；荧光照明：6孔位荧光转盘，荧光模块可选，紫外(U) EX：375/28nm；DM：415nm；EM：460/50nm、蓝色(B) EX：470/40nm；DM：505nm；EM：535/40nm、绿色(G) EX：530/40nm；DM：565nm；EM：605/55nm；透射照明系统：暖白光LED，亮度连续可调，LED旋钮式亮度调节器，聚光镜：超长工作距离≥72mm，数值孔径N.A.=0.3，配三孔相衬板环；荧光照明系统：长寿命LED光源，≥20000小时寿命，四通道独立控制，保证每个通道亮度；成像系统：≥900万像素，≥1英寸彩色大尺寸芯片；40fps@3008 × 3000，123fps@1488× 1500，186fps@992× 998，任意尺寸ROI；像元尺寸：3.76μm × 3.76μm；曝光时间：100微秒到15 秒；</w:t>
            </w:r>
          </w:p>
          <w:p w14:paraId="6F7C4C30">
            <w:pPr>
              <w:spacing w:line="360" w:lineRule="auto"/>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四、其他要求</w:t>
            </w:r>
          </w:p>
          <w:p w14:paraId="35B9CBA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1.提供制造商或总代理商授权书。</w:t>
            </w:r>
          </w:p>
          <w:p w14:paraId="2F47AC44">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2.提供技术资料，包括仪器技术说明书、应用方案、安装指南、操作使用说明书、标准操作规程与维护规程。</w:t>
            </w:r>
          </w:p>
          <w:p w14:paraId="596D4886">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3.质保期内免费提供配件更换与故障维修服务，免费提供一次设备迁移服务，配套软件终身免费维护与版本升级。</w:t>
            </w:r>
          </w:p>
          <w:p w14:paraId="3B8B02BC">
            <w:pPr>
              <w:spacing w:line="360" w:lineRule="auto"/>
              <w:rPr>
                <w:rFonts w:ascii="Times New Roman" w:hAnsi="Times New Roman" w:eastAsia="宋体" w:cs="Times New Roman"/>
                <w:highlight w:val="none"/>
              </w:rPr>
            </w:pPr>
            <w:r>
              <w:rPr>
                <w:rFonts w:ascii="Times New Roman" w:hAnsi="Times New Roman" w:eastAsia="宋体" w:cs="Times New Roman"/>
                <w:highlight w:val="none"/>
              </w:rPr>
              <w:t>4.由技术人员提供现场培训，培训人数不限，内容包括仪器使用与维护、软件编程、应用方法开发及常见问题处理。每年巡检不少于4次，组织培训不少于2次。</w:t>
            </w:r>
          </w:p>
        </w:tc>
      </w:tr>
    </w:tbl>
    <w:p w14:paraId="0DA5C82B">
      <w:pPr>
        <w:numPr>
          <w:ilvl w:val="0"/>
          <w:numId w:val="0"/>
        </w:numPr>
        <w:spacing w:line="360" w:lineRule="auto"/>
        <w:ind w:left="0" w:leftChars="0" w:firstLine="0" w:firstLineChars="0"/>
        <w:rPr>
          <w:rFonts w:hint="eastAsia"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 xml:space="preserve">三、商务要求 </w:t>
      </w:r>
    </w:p>
    <w:p w14:paraId="087EC6F2">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3.1采购范围：河南科技学院现代农业产业科技创新平台—生物信息与生物医药技术研究中心项目所需1套组织切片荧光成像工作站、1套超灵敏多功能成像仪、1套高效液相色谱仪(二极管阵列检测器)、1套高效液相色谱仪(示差仪器)、1套活细胞工作站的供货、运输、保险、装卸、安装、检测、调试、试运行、验收交付、培训、技术支持、软件升级、售后保修及相关伴随服务等，详见河南省政府采购网附件“采购需求”。</w:t>
      </w:r>
    </w:p>
    <w:p w14:paraId="43C46C64">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3.2交货期：合同生效后60日历天内。</w:t>
      </w:r>
    </w:p>
    <w:p w14:paraId="488B4802">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3.3交货地点：河南科技学院。</w:t>
      </w:r>
    </w:p>
    <w:p w14:paraId="7E9DA242">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3.4质量标准：符合国家相关质量验收合格标准。</w:t>
      </w:r>
    </w:p>
    <w:p w14:paraId="230F995D">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3.5质保期：验收合格并正常运行之日起，提供原厂5年质保服务，质保期内免费提供配件更换与故障维修服务，免费提供一次设备迁移服务，配套软件终身免费维护与版本升级，质保期内故障响应时间不超过24小时，2个工作日内安排工程师到场检修。</w:t>
      </w:r>
    </w:p>
    <w:p w14:paraId="2F44AF68">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3.6投标有效期：递交投标文件的截止之日起90日历天。</w:t>
      </w:r>
    </w:p>
    <w:p w14:paraId="6418B768">
      <w:pPr>
        <w:numPr>
          <w:ilvl w:val="0"/>
          <w:numId w:val="0"/>
        </w:numPr>
        <w:spacing w:line="360" w:lineRule="auto"/>
        <w:ind w:leftChars="0" w:firstLine="420" w:firstLineChars="200"/>
        <w:rPr>
          <w:rFonts w:hint="eastAsia" w:ascii="Times New Roman" w:hAnsi="Times New Roman" w:eastAsia="宋体" w:cs="Times New Roman"/>
          <w:b w:val="0"/>
          <w:bCs w:val="0"/>
          <w:szCs w:val="21"/>
          <w:highlight w:val="none"/>
          <w:lang w:val="en-US" w:eastAsia="zh-CN"/>
        </w:rPr>
      </w:pPr>
      <w:r>
        <w:rPr>
          <w:rFonts w:hint="eastAsia" w:ascii="Times New Roman" w:hAnsi="Times New Roman" w:eastAsia="宋体" w:cs="Times New Roman"/>
          <w:b w:val="0"/>
          <w:bCs w:val="0"/>
          <w:szCs w:val="21"/>
          <w:highlight w:val="none"/>
          <w:lang w:val="en-US" w:eastAsia="zh-CN"/>
        </w:rPr>
        <w:t>3.7采购资金的支付方式、时间（付款方式）：合同生效后，中标人15个工作日内向采购人提供合同额65%的银行保函(有效期不低于12个月)，采购人收到银行保函后15个工作日内向中标人支付合同额65%的预付款；到货后，经初验合格，采购人15个工作日内支付初验合格货物金额的20%;自第三方验收合格之日起且乙方出具正式发票(其中国产教学科研用设备仪器、平台软件类须提供增值税专用发票)后30个工作日内，甲方向乙方支付剩余款项。第三方验收费用由乙方承担，项目验收方式及收费标准：第三方验收，合同金额*1.5%*0.72。</w:t>
      </w:r>
    </w:p>
    <w:p w14:paraId="3ECF9C73">
      <w:pPr>
        <w:spacing w:line="360" w:lineRule="auto"/>
        <w:rPr>
          <w:rFonts w:hint="eastAsia"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四、其他要求</w:t>
      </w:r>
    </w:p>
    <w:p w14:paraId="4BD2AACE">
      <w:pPr>
        <w:spacing w:line="360" w:lineRule="auto"/>
        <w:ind w:firstLine="420" w:firstLineChars="200"/>
        <w:rPr>
          <w:rFonts w:hint="eastAsia" w:ascii="Times New Roman" w:hAnsi="Times New Roman" w:eastAsia="宋体" w:cs="Times New Roman"/>
          <w:b w:val="0"/>
          <w:bCs w:val="0"/>
          <w:szCs w:val="21"/>
          <w:highlight w:val="none"/>
          <w:lang w:eastAsia="zh-CN"/>
        </w:rPr>
      </w:pPr>
      <w:r>
        <w:rPr>
          <w:rFonts w:hint="eastAsia" w:ascii="Times New Roman" w:hAnsi="Times New Roman" w:eastAsia="宋体" w:cs="Times New Roman"/>
          <w:b w:val="0"/>
          <w:bCs w:val="0"/>
          <w:szCs w:val="21"/>
          <w:highlight w:val="none"/>
          <w:lang w:val="en-US" w:eastAsia="zh-CN"/>
        </w:rPr>
        <w:t>4</w:t>
      </w:r>
      <w:r>
        <w:rPr>
          <w:rFonts w:hint="eastAsia" w:ascii="Times New Roman" w:hAnsi="Times New Roman" w:eastAsia="宋体" w:cs="Times New Roman"/>
          <w:b w:val="0"/>
          <w:bCs w:val="0"/>
          <w:szCs w:val="21"/>
          <w:highlight w:val="none"/>
          <w:lang w:eastAsia="zh-CN"/>
        </w:rPr>
        <w:t>.1</w:t>
      </w:r>
      <w:r>
        <w:rPr>
          <w:rFonts w:hint="eastAsia" w:ascii="Times New Roman" w:hAnsi="Times New Roman" w:eastAsia="宋体" w:cs="Times New Roman"/>
          <w:b w:val="0"/>
          <w:bCs w:val="0"/>
          <w:szCs w:val="21"/>
          <w:highlight w:val="none"/>
          <w:lang w:val="en-US" w:eastAsia="zh-CN"/>
        </w:rPr>
        <w:t>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w:t>
      </w:r>
      <w:r>
        <w:rPr>
          <w:rFonts w:hint="eastAsia" w:ascii="Times New Roman" w:hAnsi="Times New Roman" w:eastAsia="宋体" w:cs="Times New Roman"/>
          <w:b w:val="0"/>
          <w:bCs w:val="0"/>
          <w:szCs w:val="21"/>
          <w:highlight w:val="none"/>
          <w:lang w:val="en-US" w:eastAsia="zh-CN"/>
        </w:rPr>
        <w:t>供货方案</w:t>
      </w:r>
      <w:r>
        <w:rPr>
          <w:rFonts w:hint="eastAsia" w:ascii="Times New Roman" w:hAnsi="Times New Roman" w:eastAsia="宋体" w:cs="Times New Roman"/>
          <w:b w:val="0"/>
          <w:bCs w:val="0"/>
          <w:szCs w:val="21"/>
          <w:highlight w:val="none"/>
          <w:lang w:eastAsia="zh-CN"/>
        </w:rPr>
        <w:t>，包</w:t>
      </w:r>
      <w:r>
        <w:rPr>
          <w:rFonts w:hint="eastAsia" w:ascii="Times New Roman" w:hAnsi="Times New Roman" w:eastAsia="宋体" w:cs="Times New Roman"/>
          <w:b w:val="0"/>
          <w:bCs w:val="0"/>
          <w:szCs w:val="21"/>
          <w:highlight w:val="none"/>
          <w:lang w:val="en-US" w:eastAsia="zh-CN"/>
        </w:rPr>
        <w:t>含：</w:t>
      </w:r>
      <w:r>
        <w:rPr>
          <w:rFonts w:hint="eastAsia" w:ascii="Times New Roman" w:hAnsi="Times New Roman" w:eastAsia="宋体" w:cs="Times New Roman"/>
          <w:b w:val="0"/>
          <w:bCs w:val="0"/>
          <w:szCs w:val="21"/>
          <w:highlight w:val="none"/>
          <w:lang w:eastAsia="zh-CN"/>
        </w:rPr>
        <w:t>（1）供货计划（含供货周期、交货顺序、到货时间节点）；（2）货物运输方案（含运输方式、包装防护、运输保障措施）；（3）货物验收衔接方案（含验收流程、验收标准配合、异议处理）。</w:t>
      </w:r>
    </w:p>
    <w:p w14:paraId="0039A5F0">
      <w:pPr>
        <w:spacing w:line="360" w:lineRule="auto"/>
        <w:ind w:firstLine="420" w:firstLineChars="200"/>
        <w:rPr>
          <w:rFonts w:hint="eastAsia" w:ascii="Times New Roman" w:hAnsi="Times New Roman" w:eastAsia="宋体" w:cs="Times New Roman"/>
          <w:b w:val="0"/>
          <w:bCs w:val="0"/>
          <w:szCs w:val="21"/>
          <w:highlight w:val="none"/>
          <w:lang w:eastAsia="zh-CN"/>
        </w:rPr>
      </w:pPr>
      <w:r>
        <w:rPr>
          <w:rFonts w:hint="eastAsia" w:ascii="Times New Roman" w:hAnsi="Times New Roman" w:eastAsia="宋体" w:cs="Times New Roman"/>
          <w:b w:val="0"/>
          <w:bCs w:val="0"/>
          <w:szCs w:val="21"/>
          <w:highlight w:val="none"/>
          <w:lang w:val="en-US" w:eastAsia="zh-CN"/>
        </w:rPr>
        <w:t>4.2投标人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安装、调试方案，包含：（1）安装调试计划（含安装调试周期、人员分工、进度安排）；（2）安装调试流程（含现场准备、设备安装、系统调试步骤）；（3）安装调试质量保障措施（含操作规范、质量检验、安全防护）。</w:t>
      </w:r>
    </w:p>
    <w:p w14:paraId="0B9E2447">
      <w:pPr>
        <w:spacing w:line="360" w:lineRule="auto"/>
        <w:ind w:firstLine="420" w:firstLineChars="200"/>
        <w:rPr>
          <w:rFonts w:hint="eastAsia" w:ascii="Times New Roman" w:hAnsi="Times New Roman" w:eastAsia="宋体" w:cs="Times New Roman"/>
          <w:b w:val="0"/>
          <w:bCs w:val="0"/>
          <w:szCs w:val="21"/>
          <w:highlight w:val="none"/>
          <w:lang w:eastAsia="zh-CN"/>
        </w:rPr>
      </w:pPr>
      <w:r>
        <w:rPr>
          <w:rFonts w:hint="eastAsia" w:ascii="Times New Roman" w:hAnsi="Times New Roman" w:eastAsia="宋体" w:cs="Times New Roman"/>
          <w:b w:val="0"/>
          <w:bCs w:val="0"/>
          <w:szCs w:val="21"/>
          <w:highlight w:val="none"/>
          <w:lang w:val="en-US" w:eastAsia="zh-CN"/>
        </w:rPr>
        <w:t>4.3投标人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质保期内保证措施，包含：质保响应机制（含响应时限、故障处理流程）；（2）质保维修服务（含上门维修、故障排除、部件更换保障）；（3）质保期内巡检与维护计划（含定期巡检频次、维护内容、问题预判）。</w:t>
      </w:r>
    </w:p>
    <w:p w14:paraId="78C6FCE3">
      <w:pPr>
        <w:spacing w:line="360" w:lineRule="auto"/>
        <w:ind w:firstLine="420" w:firstLineChars="200"/>
        <w:rPr>
          <w:rFonts w:hint="eastAsia" w:ascii="Times New Roman" w:hAnsi="Times New Roman" w:eastAsia="宋体" w:cs="Times New Roman"/>
          <w:b w:val="0"/>
          <w:bCs w:val="0"/>
          <w:szCs w:val="21"/>
          <w:highlight w:val="none"/>
          <w:lang w:eastAsia="zh-CN"/>
        </w:rPr>
      </w:pPr>
      <w:r>
        <w:rPr>
          <w:rFonts w:hint="eastAsia" w:ascii="Times New Roman" w:hAnsi="Times New Roman" w:eastAsia="宋体" w:cs="Times New Roman"/>
          <w:b w:val="0"/>
          <w:bCs w:val="0"/>
          <w:szCs w:val="21"/>
          <w:highlight w:val="none"/>
          <w:lang w:val="en-US" w:eastAsia="zh-CN"/>
        </w:rPr>
        <w:t>4.4投标人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质保期外保证措施，包含：（1）质保期外维修服务方案（含维修收费标准、服务流程）；（2）长期技术支持（含技术咨询、系统升级指导、故障远程协助）；（3）备品备件长期供应保障（含备件储备、供应周期、价格承诺）。</w:t>
      </w:r>
    </w:p>
    <w:p w14:paraId="7D95D97F">
      <w:pPr>
        <w:spacing w:line="360" w:lineRule="auto"/>
        <w:ind w:firstLine="420" w:firstLineChars="200"/>
        <w:rPr>
          <w:rFonts w:hint="eastAsia" w:ascii="Times New Roman" w:hAnsi="Times New Roman" w:eastAsia="宋体" w:cs="Times New Roman"/>
          <w:b w:val="0"/>
          <w:bCs w:val="0"/>
          <w:szCs w:val="21"/>
          <w:highlight w:val="none"/>
          <w:lang w:eastAsia="zh-CN"/>
        </w:rPr>
      </w:pPr>
      <w:r>
        <w:rPr>
          <w:rFonts w:hint="eastAsia" w:ascii="Times New Roman" w:hAnsi="Times New Roman" w:eastAsia="宋体" w:cs="Times New Roman"/>
          <w:b w:val="0"/>
          <w:bCs w:val="0"/>
          <w:szCs w:val="21"/>
          <w:highlight w:val="none"/>
          <w:lang w:val="en-US" w:eastAsia="zh-CN"/>
        </w:rPr>
        <w:t>4.5投标人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编制培训计划，包含：（1）培训方式、培训人员数量；（2）培训内容；（3）培训质量保证措施。</w:t>
      </w:r>
    </w:p>
    <w:p w14:paraId="25A2A78A">
      <w:pPr>
        <w:spacing w:line="360" w:lineRule="auto"/>
        <w:ind w:firstLine="420" w:firstLineChars="200"/>
      </w:pPr>
      <w:r>
        <w:rPr>
          <w:rFonts w:hint="eastAsia" w:ascii="Times New Roman" w:hAnsi="Times New Roman" w:eastAsia="宋体" w:cs="Times New Roman"/>
          <w:b w:val="0"/>
          <w:bCs w:val="0"/>
          <w:szCs w:val="21"/>
          <w:highlight w:val="none"/>
          <w:lang w:val="en-US" w:eastAsia="zh-CN"/>
        </w:rPr>
        <w:t>4.6投标人</w:t>
      </w:r>
      <w:r>
        <w:rPr>
          <w:rFonts w:hint="eastAsia" w:ascii="Times New Roman" w:hAnsi="Times New Roman" w:eastAsia="宋体" w:cs="Times New Roman"/>
          <w:b w:val="0"/>
          <w:bCs w:val="0"/>
          <w:szCs w:val="21"/>
          <w:highlight w:val="none"/>
          <w:lang w:eastAsia="zh-CN"/>
        </w:rPr>
        <w:t>须</w:t>
      </w:r>
      <w:r>
        <w:rPr>
          <w:rFonts w:hint="eastAsia" w:ascii="Times New Roman" w:hAnsi="Times New Roman" w:eastAsia="宋体" w:cs="Times New Roman"/>
          <w:b w:val="0"/>
          <w:bCs w:val="0"/>
          <w:szCs w:val="21"/>
          <w:highlight w:val="none"/>
          <w:lang w:val="en-US" w:eastAsia="zh-CN"/>
        </w:rPr>
        <w:t>针对本项目</w:t>
      </w:r>
      <w:r>
        <w:rPr>
          <w:rFonts w:hint="eastAsia" w:ascii="Times New Roman" w:hAnsi="Times New Roman" w:eastAsia="宋体" w:cs="Times New Roman"/>
          <w:b w:val="0"/>
          <w:bCs w:val="0"/>
          <w:szCs w:val="21"/>
          <w:highlight w:val="none"/>
          <w:lang w:eastAsia="zh-CN"/>
        </w:rPr>
        <w:t>编制售后服务方案，包含：（1）服务质量承诺（含服务标准、投诉处理时限及承诺）；（2）响应时效承诺（含紧急故障、一般故障的响应及处理时限）；（3）售后服务计划与售后服务人员配置。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1FF642"/>
    <w:multiLevelType w:val="singleLevel"/>
    <w:tmpl w:val="451FF6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B61B9"/>
    <w:rsid w:val="19EB6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spacing w:line="312" w:lineRule="auto"/>
      <w:ind w:firstLine="0" w:firstLineChars="0"/>
      <w:jc w:val="both"/>
    </w:pPr>
    <w:rPr>
      <w:rFonts w:ascii="宋体" w:hAnsi="宋体" w:eastAsia="宋体" w:cs="宋体"/>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2026-10-23T04:25:00Z</dcterms:created>
  <dc:creator>恒信</dc:creator>
  <cp:lastModifiedBy>恒信</cp:lastModifiedBy>
  <dcterms:modified xsi:type="dcterms:W3CDTF">2026-10-23T04:26:26Z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4CF32C51D47E4523B41E87136F0FE4F7_11</vt:lpwstr>
  </property>
  <property fmtid="{D5CDD505-2E9C-101B-9397-08002B2CF9AE}" pid="4" name="KSOTemplateDocerSaveRecord">
    <vt:lpwstr>eyJoZGlkIjoiOWMwZTkwMTc2Y2Y1OGJhYWU2N2Q0YTcwMGJhY2I2MDYiLCJ1c2VySWQiOiI0Mjg2NDcwODQifQ==</vt:lpwstr>
  </property>
</Properties>
</file>