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8C016">
      <w:pPr>
        <w:keepNext/>
        <w:keepLines/>
        <w:spacing w:line="360" w:lineRule="auto"/>
        <w:jc w:val="center"/>
        <w:outlineLvl w:val="0"/>
        <w:rPr>
          <w:rFonts w:hint="default" w:ascii="Times New Roman" w:hAnsi="Times New Roman" w:eastAsia="宋体" w:cs="Times New Roman"/>
          <w:b/>
          <w:sz w:val="28"/>
          <w:szCs w:val="22"/>
          <w:highlight w:val="none"/>
          <w:lang w:val="en-US" w:eastAsia="zh-CN"/>
        </w:rPr>
      </w:pPr>
      <w:bookmarkStart w:id="1" w:name="_GoBack"/>
      <w:bookmarkStart w:id="0" w:name="_Toc18734"/>
      <w:r>
        <w:rPr>
          <w:rFonts w:hint="eastAsia" w:ascii="Times New Roman" w:hAnsi="Times New Roman" w:eastAsia="宋体" w:cs="Times New Roman"/>
          <w:b/>
          <w:sz w:val="28"/>
          <w:szCs w:val="22"/>
          <w:highlight w:val="none"/>
          <w:lang w:val="en-US" w:eastAsia="zh-CN"/>
        </w:rPr>
        <w:t>河南科技学院现代农业产业科技创新平台—生物信息与生物医药技术研究中心项目包</w:t>
      </w:r>
      <w:bookmarkEnd w:id="0"/>
      <w:r>
        <w:rPr>
          <w:rFonts w:hint="eastAsia" w:ascii="Times New Roman" w:hAnsi="Times New Roman" w:cs="Times New Roman"/>
          <w:b/>
          <w:sz w:val="28"/>
          <w:szCs w:val="22"/>
          <w:highlight w:val="none"/>
          <w:lang w:val="en-US" w:eastAsia="zh-CN"/>
        </w:rPr>
        <w:t>3采购需求</w:t>
      </w:r>
    </w:p>
    <w:bookmarkEnd w:id="1"/>
    <w:p w14:paraId="420FA5A8">
      <w:pPr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sz w:val="24"/>
          <w:szCs w:val="21"/>
          <w:highlight w:val="none"/>
        </w:rPr>
        <w:t>一、设备清单</w:t>
      </w:r>
    </w:p>
    <w:tbl>
      <w:tblPr>
        <w:tblStyle w:val="3"/>
        <w:tblW w:w="9229" w:type="dxa"/>
        <w:tblInd w:w="-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6"/>
        <w:gridCol w:w="2376"/>
        <w:gridCol w:w="810"/>
        <w:gridCol w:w="1126"/>
        <w:gridCol w:w="2171"/>
      </w:tblGrid>
      <w:tr w14:paraId="0D936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6" w:type="dxa"/>
            <w:noWrap w:val="0"/>
            <w:vAlign w:val="center"/>
          </w:tcPr>
          <w:p w14:paraId="66B81972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包名称</w:t>
            </w:r>
          </w:p>
        </w:tc>
        <w:tc>
          <w:tcPr>
            <w:tcW w:w="2376" w:type="dxa"/>
            <w:noWrap w:val="0"/>
            <w:vAlign w:val="center"/>
          </w:tcPr>
          <w:p w14:paraId="5164A590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设备名称</w:t>
            </w:r>
          </w:p>
        </w:tc>
        <w:tc>
          <w:tcPr>
            <w:tcW w:w="810" w:type="dxa"/>
            <w:noWrap w:val="0"/>
            <w:vAlign w:val="center"/>
          </w:tcPr>
          <w:p w14:paraId="77BECF8B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数量</w:t>
            </w:r>
          </w:p>
        </w:tc>
        <w:tc>
          <w:tcPr>
            <w:tcW w:w="1126" w:type="dxa"/>
            <w:noWrap w:val="0"/>
            <w:vAlign w:val="center"/>
          </w:tcPr>
          <w:p w14:paraId="5BAE31E0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是否接受进口</w:t>
            </w:r>
          </w:p>
        </w:tc>
        <w:tc>
          <w:tcPr>
            <w:tcW w:w="2171" w:type="dxa"/>
            <w:noWrap w:val="0"/>
            <w:vAlign w:val="center"/>
          </w:tcPr>
          <w:p w14:paraId="121AC032">
            <w:pPr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6201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6" w:type="dxa"/>
            <w:vMerge w:val="restart"/>
            <w:noWrap w:val="0"/>
            <w:vAlign w:val="center"/>
          </w:tcPr>
          <w:p w14:paraId="190E037E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河南科技学院现代农业产业科技创新平台—生物信息与生物医药技术研究中心项目包3</w:t>
            </w:r>
          </w:p>
        </w:tc>
        <w:tc>
          <w:tcPr>
            <w:tcW w:w="2376" w:type="dxa"/>
            <w:noWrap w:val="0"/>
            <w:vAlign w:val="center"/>
          </w:tcPr>
          <w:p w14:paraId="15CA3B40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全波长酶标仪</w:t>
            </w:r>
          </w:p>
        </w:tc>
        <w:tc>
          <w:tcPr>
            <w:tcW w:w="810" w:type="dxa"/>
            <w:noWrap w:val="0"/>
            <w:vAlign w:val="center"/>
          </w:tcPr>
          <w:p w14:paraId="0FF7AEEC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1套</w:t>
            </w:r>
          </w:p>
        </w:tc>
        <w:tc>
          <w:tcPr>
            <w:tcW w:w="1126" w:type="dxa"/>
            <w:noWrap w:val="0"/>
            <w:vAlign w:val="center"/>
          </w:tcPr>
          <w:p w14:paraId="1BB89335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</w:t>
            </w:r>
          </w:p>
        </w:tc>
        <w:tc>
          <w:tcPr>
            <w:tcW w:w="2171" w:type="dxa"/>
            <w:vMerge w:val="restart"/>
            <w:noWrap w:val="0"/>
            <w:vAlign w:val="center"/>
          </w:tcPr>
          <w:p w14:paraId="279C187C">
            <w:pPr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全波长酶标仪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荧光定量PCR仪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  <w:t>为本包段的核心产品</w:t>
            </w:r>
          </w:p>
        </w:tc>
      </w:tr>
      <w:tr w14:paraId="50697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6" w:type="dxa"/>
            <w:vMerge w:val="continue"/>
            <w:noWrap w:val="0"/>
            <w:vAlign w:val="center"/>
          </w:tcPr>
          <w:p w14:paraId="41626083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2376" w:type="dxa"/>
            <w:noWrap w:val="0"/>
            <w:vAlign w:val="center"/>
          </w:tcPr>
          <w:p w14:paraId="35D1CB02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离心机-落地高速冷冻离心机</w:t>
            </w:r>
          </w:p>
        </w:tc>
        <w:tc>
          <w:tcPr>
            <w:tcW w:w="810" w:type="dxa"/>
            <w:noWrap w:val="0"/>
            <w:vAlign w:val="center"/>
          </w:tcPr>
          <w:p w14:paraId="6A0C57F7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1套</w:t>
            </w:r>
          </w:p>
        </w:tc>
        <w:tc>
          <w:tcPr>
            <w:tcW w:w="1126" w:type="dxa"/>
            <w:noWrap w:val="0"/>
            <w:vAlign w:val="center"/>
          </w:tcPr>
          <w:p w14:paraId="507C7FEB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</w:t>
            </w:r>
          </w:p>
        </w:tc>
        <w:tc>
          <w:tcPr>
            <w:tcW w:w="2171" w:type="dxa"/>
            <w:vMerge w:val="continue"/>
            <w:noWrap w:val="0"/>
            <w:vAlign w:val="center"/>
          </w:tcPr>
          <w:p w14:paraId="62C33E0D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42BC4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6" w:type="dxa"/>
            <w:vMerge w:val="continue"/>
            <w:noWrap w:val="0"/>
            <w:vAlign w:val="center"/>
          </w:tcPr>
          <w:p w14:paraId="062B7EE1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2376" w:type="dxa"/>
            <w:noWrap w:val="0"/>
            <w:vAlign w:val="center"/>
          </w:tcPr>
          <w:p w14:paraId="6BCA061E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荧光定量PCR仪</w:t>
            </w:r>
          </w:p>
        </w:tc>
        <w:tc>
          <w:tcPr>
            <w:tcW w:w="810" w:type="dxa"/>
            <w:noWrap w:val="0"/>
            <w:vAlign w:val="center"/>
          </w:tcPr>
          <w:p w14:paraId="3C33E516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1套</w:t>
            </w:r>
          </w:p>
        </w:tc>
        <w:tc>
          <w:tcPr>
            <w:tcW w:w="1126" w:type="dxa"/>
            <w:noWrap w:val="0"/>
            <w:vAlign w:val="center"/>
          </w:tcPr>
          <w:p w14:paraId="227B54E4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</w:t>
            </w:r>
          </w:p>
        </w:tc>
        <w:tc>
          <w:tcPr>
            <w:tcW w:w="2171" w:type="dxa"/>
            <w:vMerge w:val="continue"/>
            <w:noWrap w:val="0"/>
            <w:vAlign w:val="center"/>
          </w:tcPr>
          <w:p w14:paraId="0B5B3265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22A97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6" w:type="dxa"/>
            <w:vMerge w:val="continue"/>
            <w:noWrap w:val="0"/>
            <w:vAlign w:val="center"/>
          </w:tcPr>
          <w:p w14:paraId="736D8621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2376" w:type="dxa"/>
            <w:noWrap w:val="0"/>
            <w:vAlign w:val="center"/>
          </w:tcPr>
          <w:p w14:paraId="27699E4C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冷冻干燥机</w:t>
            </w:r>
          </w:p>
        </w:tc>
        <w:tc>
          <w:tcPr>
            <w:tcW w:w="810" w:type="dxa"/>
            <w:noWrap w:val="0"/>
            <w:vAlign w:val="center"/>
          </w:tcPr>
          <w:p w14:paraId="1255D620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1套</w:t>
            </w:r>
          </w:p>
        </w:tc>
        <w:tc>
          <w:tcPr>
            <w:tcW w:w="1126" w:type="dxa"/>
            <w:noWrap w:val="0"/>
            <w:vAlign w:val="center"/>
          </w:tcPr>
          <w:p w14:paraId="5E84C5CD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</w:t>
            </w:r>
          </w:p>
        </w:tc>
        <w:tc>
          <w:tcPr>
            <w:tcW w:w="2171" w:type="dxa"/>
            <w:vMerge w:val="continue"/>
            <w:noWrap w:val="0"/>
            <w:vAlign w:val="center"/>
          </w:tcPr>
          <w:p w14:paraId="084066E3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</w:tr>
    </w:tbl>
    <w:p w14:paraId="1C9409F6">
      <w:pPr>
        <w:spacing w:line="360" w:lineRule="auto"/>
        <w:rPr>
          <w:rFonts w:ascii="宋体" w:hAnsi="宋体" w:eastAsia="宋体" w:cs="宋体"/>
          <w:b/>
          <w:bCs/>
          <w:sz w:val="24"/>
          <w:szCs w:val="32"/>
          <w:highlight w:val="none"/>
        </w:rPr>
      </w:pPr>
      <w:r>
        <w:rPr>
          <w:rFonts w:ascii="宋体" w:hAnsi="宋体" w:eastAsia="宋体" w:cs="宋体"/>
          <w:b/>
          <w:bCs/>
          <w:sz w:val="24"/>
          <w:szCs w:val="32"/>
          <w:highlight w:val="none"/>
        </w:rPr>
        <w:t>二、技术要求</w:t>
      </w:r>
    </w:p>
    <w:tbl>
      <w:tblPr>
        <w:tblStyle w:val="3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129"/>
        <w:gridCol w:w="7397"/>
      </w:tblGrid>
      <w:tr w14:paraId="44B5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6" w:type="dxa"/>
            <w:noWrap w:val="0"/>
            <w:vAlign w:val="center"/>
          </w:tcPr>
          <w:p w14:paraId="0BD551A6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序号</w:t>
            </w:r>
          </w:p>
        </w:tc>
        <w:tc>
          <w:tcPr>
            <w:tcW w:w="1129" w:type="dxa"/>
            <w:noWrap w:val="0"/>
            <w:vAlign w:val="center"/>
          </w:tcPr>
          <w:p w14:paraId="0E9525E6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设备名称</w:t>
            </w:r>
          </w:p>
        </w:tc>
        <w:tc>
          <w:tcPr>
            <w:tcW w:w="7397" w:type="dxa"/>
            <w:noWrap w:val="0"/>
            <w:vAlign w:val="center"/>
          </w:tcPr>
          <w:p w14:paraId="4591CBA2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技术参数与相关要求</w:t>
            </w:r>
          </w:p>
        </w:tc>
      </w:tr>
      <w:tr w14:paraId="0FA95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6" w:type="dxa"/>
            <w:noWrap w:val="0"/>
            <w:vAlign w:val="center"/>
          </w:tcPr>
          <w:p w14:paraId="18D3C79E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1129" w:type="dxa"/>
            <w:noWrap w:val="0"/>
            <w:vAlign w:val="center"/>
          </w:tcPr>
          <w:p w14:paraId="19554D58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全波长酶标仪</w:t>
            </w:r>
          </w:p>
        </w:tc>
        <w:tc>
          <w:tcPr>
            <w:tcW w:w="7397" w:type="dxa"/>
            <w:noWrap w:val="0"/>
            <w:vAlign w:val="center"/>
          </w:tcPr>
          <w:p w14:paraId="7CCA4B4B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一、主要用途</w:t>
            </w:r>
          </w:p>
          <w:p w14:paraId="2FF0BE6F">
            <w:pPr>
              <w:spacing w:line="360" w:lineRule="auto"/>
              <w:ind w:firstLine="420" w:firstLineChars="20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多模式微孔板检测平台，支持吸收光、荧光、化学发光、时间分辨荧光、荧光偏振等检测模式，主要用于生物医药研究中核酸 / 蛋白定量、ELISA 免疫检测、细胞增殖与细胞毒性评价、酶动力学分析、体外药物释放、生物标志物检测、高通量药物及生物材料筛选；可完成 96 孔、384 孔微孔板微量样本高通量测定，支撑分子生物学、细胞生物学、医用生物材料与药物制剂相关研究。</w:t>
            </w:r>
          </w:p>
          <w:p w14:paraId="36D1476F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  <w:t>二、配置清单</w:t>
            </w:r>
          </w:p>
          <w:p w14:paraId="32CD5100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1.全波长酶标仪2台（包括光吸收、荧光顶底读、化学发光功能；配套中英文在内8种语言版本高级分析软件2套，无安装限制；主机2台：包括光吸收、荧光顶底读、化学发光功能）；</w:t>
            </w:r>
          </w:p>
          <w:p w14:paraId="647E4B97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2.工作站2台；</w:t>
            </w:r>
          </w:p>
          <w:p w14:paraId="42855EB8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3.配套实验仪器：大容量台式冷冻离心机2台；梯度PCR仪1台；便携式光合作用测量仪1台；</w:t>
            </w:r>
          </w:p>
          <w:p w14:paraId="697ACC16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三、技术指标</w:t>
            </w:r>
          </w:p>
          <w:p w14:paraId="58A9240E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1.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highlight w:val="none"/>
              </w:rPr>
              <w:t>全波长酶标仪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主机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技术指标</w:t>
            </w:r>
          </w:p>
          <w:p w14:paraId="77DE05B5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1.1常规指标</w:t>
            </w:r>
          </w:p>
          <w:p w14:paraId="6E390EBC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1.1.1检测功能：标配支持光吸收、荧光(FRET)、化学发光(辉光和闪光)；光路设计：标配光栅光路和滤光片光路双系统；光源：高能氙闪灯；</w:t>
            </w:r>
          </w:p>
          <w:p w14:paraId="79080757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1.1.2检测器：≥3个独立检测器；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E85F686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1.1.3温控范围：室温+4℃-45℃；</w:t>
            </w:r>
          </w:p>
          <w:p w14:paraId="2EB7A61A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1.1.4读板类型：6-1536 孔板。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888369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1.2光吸收检测</w:t>
            </w:r>
          </w:p>
          <w:p w14:paraId="04C181B5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1.2.1波长范围：200 - 1000 nm，1nm间隔；</w:t>
            </w:r>
          </w:p>
          <w:p w14:paraId="3634F7A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1.2.2带宽： 200-1000nm范围内均是5nm；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13D1608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1.2.3读数范围：0 – 5Abs；杂散光：&lt; 0.006% at 230 nm。</w:t>
            </w:r>
          </w:p>
          <w:p w14:paraId="0F005DCA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1.3.荧光检测</w:t>
            </w:r>
          </w:p>
          <w:p w14:paraId="795A815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1.3.1光栅带宽可调，200-1000nm范围内最小带宽5 nm；波长范围：顶读激发200-1000nm，底读激发200-1000nm；波长范围：发射280-840 nm；荧光检测灵敏度：&lt; 0.5 fmol 荧光素/孔；荧光动态范围：&gt; 6个数量级。</w:t>
            </w:r>
          </w:p>
          <w:p w14:paraId="08402CEC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1.4.化学发光</w:t>
            </w:r>
          </w:p>
          <w:p w14:paraId="4F216F42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1.4.1独立化学发光检测模块，含光栅以及独立滤光片检测光路；标配8位滤光片轮，支持多色发光检测，实现在活细胞内实时监测蛋白相互作用；化学发光灵敏度：&lt; 8 amol ATP/孔；具备发光光谱扫描功能，可进行1 nm步进发光光谱扫描；</w:t>
            </w:r>
          </w:p>
          <w:p w14:paraId="0F23466C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/>
                <w:highlight w:val="none"/>
              </w:rPr>
              <w:t>★</w:t>
            </w:r>
            <w:r>
              <w:rPr>
                <w:rFonts w:ascii="Times New Roman" w:hAnsi="Times New Roman" w:cs="Times New Roman"/>
                <w:highlight w:val="none"/>
              </w:rPr>
              <w:t>1.4.2化学发光动态范围：≥7个数量级。</w:t>
            </w:r>
            <w:r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3C75653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1.5.配置要求</w:t>
            </w:r>
          </w:p>
          <w:p w14:paraId="5CC2BBAA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1.5.1主机：包括光吸收、荧光顶底读、化学发光功能；</w:t>
            </w:r>
          </w:p>
          <w:p w14:paraId="0432B7B9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1.5.2配套中英文在内8种语言版本高级分析软件1套，无安装限制；</w:t>
            </w:r>
          </w:p>
          <w:p w14:paraId="4444B312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配置清单：主机2台：包括光吸收、荧光顶底读、化学发光功能；配套中英文在内8种语言版本高级分析软件2套，无安装限制。</w:t>
            </w:r>
          </w:p>
          <w:p w14:paraId="067E736F">
            <w:pPr>
              <w:pStyle w:val="2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2.工作站技术指标</w:t>
            </w:r>
          </w:p>
          <w:p w14:paraId="63AF4B5C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CPU:≥睿频5.4GHz，20核心，28线程；内存≥32GB；硬盘≥2TB NVME；独立显卡，显存≥6GB；显示器：≥27英寸，分辨率≥1920×1080；</w:t>
            </w:r>
          </w:p>
          <w:p w14:paraId="28DDA10B">
            <w:pPr>
              <w:pStyle w:val="2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3.配套仪器设备技术指标</w:t>
            </w:r>
          </w:p>
          <w:p w14:paraId="5AB42D67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3.1台式大容量高速冷冻离心机2台：最高转速：≥18000rpm；最大离心力: ≥30310×g；最大容量: 4×400ml；控温范围：≥-20度到40度；速度/RCF转换：具备按离心力进行参数设定，1xg步进；定时功能：1秒-99小时59分59秒，及Hold连续离心功能；显示屏：≥7 英寸液晶触摸屏，快加速和减速，11级加速，12级减速；具有温度自动补偿功能；转头自动识别功能，每个转头拥有独立的ID；配置：主机一台；水平转子一个，最高速度4200rpm，最大离心力3500×g，含16×50ml尖底管适配器、36×15ml尖底管适配器。</w:t>
            </w:r>
          </w:p>
          <w:p w14:paraId="19CC33E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3.2 梯度PCR仪1台：样品基座：3×32孔0.2mL，三个独立的模块单元，具备利用三个独立控制的加热模块同时完成三个不同的实验，或者在三个不同的时间分别开始实验；具备根据实验需要更换其他通量样本模块，5种可选：3×32孔，96孔，双96孔，双384孔，双平板模块支持数字芯片；最大模块变温速率：6.0℃/秒；共6组独立控温区域，具备精确设置6个不同温度，具备模拟市面主流PCR仪热学性能；内置温度/时间递增选项（用于Touchdown PCR 或Long PCR）、变温速率可调节等可选功能辅助优化PCR程序。</w:t>
            </w:r>
          </w:p>
          <w:p w14:paraId="3841A137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3.3便携式光合作用测量仪1台：测量参数：测量单叶或群体的净光合速率或呼吸速率、蒸腾速率、气孔导度、胞间CO2浓度及进出叶室的空气CO2浓度、相对湿度、空气温度、叶面温度、光合有效辐射（PAR）；</w:t>
            </w:r>
          </w:p>
          <w:p w14:paraId="14705909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3.3.1特殊测量功能：具有快速连续光合测量功能，1秒钟内可测一组数据；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FDA37C7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电源：7.2V，具备连续使用4－6小时的充电锂电池，或使用交流适配器，6～12伏直流输入；数据存贮：4MB内存，存储≥160万个数据；显示：LCD 40×6字符;具备图形显示；重量：主机≤1.5kg(含叶室和6小时锂电池)； 体积：44.0×5.5×5.0cm；CO2分析器：使用对震动不敏感型非扩散式红外CO2分析器，测量范围为0～2000ppm，分辨率≤0.1ppm，精确度 ±2％，响应时间≤1s；空气温度：热电偶温度传感器，测量范围-15～50℃，精度±0.1℃；叶面温度：红外非接触式表面温度传感器，测量范围-10～50℃，精度±0.3℃；空气湿度：不怕结露型湿敏电容，测量范围0-100%RH，在10%RH时，精确度在±2%，在90%时精确度为±3.5 %；PAR：使用带余玄校正滤光片的GaAsP光电池，响应光谱为400～700nm，测量范围为0～2500μmol/m-2/s-1，精度为5μmol/m-2/s-1；空气流量计：电子流量计，气流速度100-1000L/min，精度：2%；叶室：标准叶室25×25×10 mm（深度）；光照控制附件：</w:t>
            </w:r>
          </w:p>
          <w:p w14:paraId="051E6CC6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3.3.2具有手动和自动控制方式；类 型：红蓝LED光源；红光波峰：25℃时660 nm ± 10 nm；蓝光波峰：25℃时470 nm ± 10 nm；光强范围：0～2500 μmol m-2 s-1；辐照面积：80 x 40 mm；尺寸：≥64 x 100 x 160 mm；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F0B0FE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基本配置：光合仪主机：包括单通道红外线气体分析仪；PAR传感器1个；红外温度传感器1个；苏打石灰管1个；硅胶管1个；具备充电电池1个；电池充电器1个；RS232电缆1根；数据传输软件1套；操作手册1本；便携式仪器箱1个；方形叶室一套；光照控制附件及配套电池包一套；备件工具1套；缓冲桶 1个</w:t>
            </w:r>
          </w:p>
          <w:p w14:paraId="2517EE51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四、其他要求</w:t>
            </w:r>
          </w:p>
          <w:p w14:paraId="41BC1BF6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1.提供制造商或总代理商授权书。</w:t>
            </w:r>
          </w:p>
          <w:p w14:paraId="6398FEB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2.提供技术资料，包括仪器技术说明书、应用方案、安装指南、操作使用说明书、标准操作规程与维护规程。</w:t>
            </w:r>
          </w:p>
          <w:p w14:paraId="685569C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3.质保期内免费提供配件更换与故障维修服务，免费提供一次设备迁移服务，配套软件终身免费维护与版本升级。</w:t>
            </w:r>
          </w:p>
          <w:p w14:paraId="35C5DBF9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4.由技术人员提供现场培训，培训人数不限，内容包括仪器使用与维护、软件编程、应用方法开发及常见问题处理。每年巡检不少于4次，组织培训不少于2次。</w:t>
            </w:r>
          </w:p>
        </w:tc>
      </w:tr>
      <w:tr w14:paraId="1BB1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6" w:type="dxa"/>
            <w:noWrap w:val="0"/>
            <w:vAlign w:val="center"/>
          </w:tcPr>
          <w:p w14:paraId="0D086456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2</w:t>
            </w:r>
          </w:p>
        </w:tc>
        <w:tc>
          <w:tcPr>
            <w:tcW w:w="1129" w:type="dxa"/>
            <w:noWrap w:val="0"/>
            <w:vAlign w:val="center"/>
          </w:tcPr>
          <w:p w14:paraId="75AC0CD5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离心机-落地高速冷冻离心机</w:t>
            </w:r>
          </w:p>
        </w:tc>
        <w:tc>
          <w:tcPr>
            <w:tcW w:w="7397" w:type="dxa"/>
            <w:noWrap w:val="0"/>
            <w:vAlign w:val="center"/>
          </w:tcPr>
          <w:p w14:paraId="78B9CDC8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一、主要用途</w:t>
            </w:r>
          </w:p>
          <w:p w14:paraId="32C58D95">
            <w:pPr>
              <w:spacing w:line="360" w:lineRule="auto"/>
              <w:ind w:firstLine="420" w:firstLineChars="20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生物样本低温高速分离纯化，实现细胞、菌体收集，核酸蛋白纯化、亚细胞组分及纳米生物制剂富集，保障生物活性样本前处理。</w:t>
            </w:r>
          </w:p>
          <w:p w14:paraId="3567C69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  <w:t>二、配置清单</w:t>
            </w:r>
          </w:p>
          <w:p w14:paraId="2E71D724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1.离心机-落地高速冷冻离心机1台（大容量6×1000mL角转头 1个（最大转速9,000rpm，最大离心力17,568 xg）；8×50mL角转头 1个（最大转速27000rpm，最大离心力87207 xg））；</w:t>
            </w:r>
          </w:p>
          <w:p w14:paraId="093D7B0B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2.配套实验仪器：大容量台式冷冻离心机2台</w:t>
            </w:r>
          </w:p>
          <w:p w14:paraId="04B9F123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三、技术指标</w:t>
            </w:r>
          </w:p>
          <w:p w14:paraId="258B1704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1.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highlight w:val="none"/>
              </w:rPr>
              <w:t>离心机-落地高速冷冻离心机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主机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技术指标</w:t>
            </w:r>
          </w:p>
          <w:p w14:paraId="77AEB33C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szCs w:val="21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1.1.最高转速：29,000 rpm（≥29,000 rpm）；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7236B5BC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1.2.最大离心力：100,605 ×g （≥100,000 ×g）；最大容量（角转头）：≥6×1,000 mL</w:t>
            </w:r>
          </w:p>
          <w:p w14:paraId="212238CE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szCs w:val="21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1.3.天然CO2制冷剂，全球升温潜能值（GWP）为1；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475C8D1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1.4.温度控制范围： -20℃至+40℃，温度控制精度：±2℃；具备预冷系统</w:t>
            </w:r>
          </w:p>
          <w:p w14:paraId="59618B94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1.5.时间控制：0~99小时59分钟59秒，及连续运行；可选“启动计时”或“到速计时”；</w:t>
            </w:r>
          </w:p>
          <w:p w14:paraId="76C8C79E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1.6.加减速控制：9级加速/10级减速</w:t>
            </w:r>
          </w:p>
          <w:p w14:paraId="67C366BA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1.7.可创建保存 120个程序，可用字母和数字命名程序，方便检索</w:t>
            </w:r>
          </w:p>
          <w:p w14:paraId="754A3314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.驱动系统：无碳刷大力矩电机，直接驱动，无须齿轮变速装置和皮带传动系统</w:t>
            </w:r>
          </w:p>
          <w:p w14:paraId="50E8885B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.转头安装到离心机后可立即自动识别，无需运行即可显示转头信息，无需输入转头代码，避免转头信息错误。</w:t>
            </w:r>
          </w:p>
          <w:p w14:paraId="05439FB8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eastAsia="宋体"/>
                <w:szCs w:val="21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.具有转头自锁系统，无需工具或手动拧紧即可完成转头锁定；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688B4BBC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具备设定3级用户权限管理，带密码保护功能；具备用户日志记录功能，具备通过 USB 端口记录和保存操作及运行数据；可选符合GMP/GLP 数据管理要求的管理软件。</w:t>
            </w:r>
          </w:p>
          <w:p w14:paraId="53D2A49D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控制系统：微电脑控制, 触摸式数字液晶显示；可以同时显示设定和实际温度、速度、时间；具备简单快捷设定运行条件和运行参数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  <w:t>；</w:t>
            </w:r>
          </w:p>
          <w:p w14:paraId="339A9B06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提供操作培训视频，转头计算器，ACE积分功能</w:t>
            </w:r>
            <w:r>
              <w:rPr>
                <w:rFonts w:hint="eastAsia" w:eastAsia="宋体"/>
                <w:highlight w:val="none"/>
                <w:lang w:eastAsia="zh-CN"/>
              </w:rPr>
              <w:t>；</w:t>
            </w:r>
          </w:p>
          <w:p w14:paraId="5D2EE15F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具有离心腔智能真空系统，仅在需要时运行，实现提高离心性能及节能的效果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  <w:t>；</w:t>
            </w:r>
          </w:p>
          <w:p w14:paraId="7EB0ADA2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1.15.离心机不平衡容忍度可达对位承重的5%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  <w:t>；</w:t>
            </w:r>
          </w:p>
          <w:p w14:paraId="2F344996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安全系统：具有自动门锁，转子不平衡检测，超速和超温保护停机功能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  <w:t>；</w:t>
            </w:r>
          </w:p>
          <w:p w14:paraId="4FA64C7B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外形紧凑，一体化工作台面不高于870mm，方便使用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  <w:t>；</w:t>
            </w:r>
          </w:p>
          <w:p w14:paraId="28769AAB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离心机无需锚定，满足国际安全标准，简化安装流程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  <w:t>；</w:t>
            </w:r>
          </w:p>
          <w:p w14:paraId="6F081F86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具有自动开门功能，即使不用双手，也可通过开门键完全、自动地开启离心腔门；运行安静，噪音等级角转头＜57 dBA，水平转头＜61 dBA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  <w:t>；</w:t>
            </w:r>
          </w:p>
          <w:p w14:paraId="43347706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可使用碳纤维转头，转头重量轻，使用寿命长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  <w:t>；</w:t>
            </w:r>
          </w:p>
          <w:p w14:paraId="23FEA9EC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提供经第三方认证的生物安全转头，并提供HPA证书</w:t>
            </w:r>
            <w:r>
              <w:rPr>
                <w:rFonts w:hint="eastAsia" w:eastAsia="宋体"/>
                <w:highlight w:val="none"/>
                <w:lang w:eastAsia="zh-CN"/>
              </w:rPr>
              <w:t>；</w:t>
            </w:r>
          </w:p>
          <w:p w14:paraId="22680120"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1.2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配置：高速落地离心机主机1台</w:t>
            </w:r>
          </w:p>
          <w:p w14:paraId="67EDD132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eastAsia="宋体"/>
                <w:szCs w:val="21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1.2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.1.大容量6×1000mL角转头 1个（最大转速9,000rpm，最大离心力17,568 xg）；8×50mL角转头 1个（最大转速27000rpm，最大离心力87207 xg）；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4898ADFA">
            <w:pPr>
              <w:pStyle w:val="2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2.配套实验仪器技术指标</w:t>
            </w:r>
          </w:p>
          <w:p w14:paraId="012A0E98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2.1大容量台式冷冻离心机2台：最高转速：≥14000 rpm，最大离心力（rcf）：＞20900×g；固定角转最大容量(ml)：6×85ml，水平转子可选最大容量(ml)：4×750ml；温控范围 ：-9－40℃ ；加/减速幅rpm：不少于10/10加减档；速度控制：单独的瞬时离心键，具备做瞬时离心；转速可从200rpm开始设定至最高转速 ；冷冻功能：最高转速时转子温度&lt;4℃；需有待机冷却功能；需要快速制冷功能,15分钟从室温降至4℃；制冷/散热方式：no-CFC制冷；</w:t>
            </w:r>
          </w:p>
          <w:p w14:paraId="1A87D1C5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2.2</w:t>
            </w:r>
            <w:r>
              <w:rPr>
                <w:rFonts w:hint="eastAsia" w:eastAsia="宋体"/>
                <w:szCs w:val="21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水平转子从0升至最大转速时间≤30s，从最大转速降至0时间≤30s；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2336674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2.3角转子具备循环使用次数不少于100000次；配置要求：高速冷冻离心机主机一台，6×50ml金属材质气密性角转子一个，最高转速 ≥12,000 rpm，最大相对离心力：≥20,000×g；具备进行高温高压灭菌 （121℃，20分钟）为保证离心效果6×50ml转子的适配器孔的角度必须≥40°水平转子一个，最高转速：≥4,000 rpm，最大相对离心力：≥3,220×g；配不少于36×15ml尖底管适配器一套；配不少于16×50ml尖底管适配器一套；配不少于16×MTP微孔板吊篮一套。</w:t>
            </w:r>
          </w:p>
          <w:p w14:paraId="25A5840D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四、其他要求</w:t>
            </w:r>
          </w:p>
          <w:p w14:paraId="34A63D04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1.提供制造商或总代理商授权书。</w:t>
            </w:r>
          </w:p>
          <w:p w14:paraId="2BBA46BC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2.提供技术资料，包括仪器技术说明书、应用方案、安装指南、操作使用说明书、标准操作规程与维护规程。</w:t>
            </w:r>
          </w:p>
          <w:p w14:paraId="57F31722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3.质保期内免费提供配件更换与故障维修服务，免费提供一次设备迁移服务，配套软件终身免费维护与版本升级。</w:t>
            </w:r>
          </w:p>
          <w:p w14:paraId="28DA56B8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4.由技术人员提供现场培训，培训人数不限，内容包括仪器使用与维护、软件编程、应用方法开发及常见问题处理。每年巡检不少于4次，组织培训不少于2次。</w:t>
            </w:r>
          </w:p>
        </w:tc>
      </w:tr>
      <w:tr w14:paraId="2292A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6" w:type="dxa"/>
            <w:noWrap w:val="0"/>
            <w:vAlign w:val="center"/>
          </w:tcPr>
          <w:p w14:paraId="23811CFB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1129" w:type="dxa"/>
            <w:noWrap w:val="0"/>
            <w:vAlign w:val="center"/>
          </w:tcPr>
          <w:p w14:paraId="753E8640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荧光定量PCR仪</w:t>
            </w:r>
          </w:p>
        </w:tc>
        <w:tc>
          <w:tcPr>
            <w:tcW w:w="7397" w:type="dxa"/>
            <w:noWrap w:val="0"/>
            <w:vAlign w:val="center"/>
          </w:tcPr>
          <w:p w14:paraId="309C2CF2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一、主要用途</w:t>
            </w:r>
          </w:p>
          <w:p w14:paraId="3863C558">
            <w:pPr>
              <w:spacing w:line="360" w:lineRule="auto"/>
              <w:ind w:firstLine="420" w:firstLineChars="200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用于生物医药领域核酸定量分析，具备实现基因表达水平检测、病原微生物核酸定性及定量、基因拷贝数分析、NGS 测序文库精确定量；对细胞、组织等样本核酸进行扩增与实时荧光检测，支撑分子机制研究、微生物检测、生物材料分子评价等相关科研工作。</w:t>
            </w:r>
          </w:p>
          <w:p w14:paraId="274F663F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  <w:t>二、配置清单</w:t>
            </w:r>
          </w:p>
          <w:p w14:paraId="7969ED26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1.荧光定量PCR仪2台（含96孔0.2ml模块2个；软件2套；安装验证试剂盒2个）；</w:t>
            </w:r>
          </w:p>
          <w:p w14:paraId="691EB8AC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2.工作站2台；</w:t>
            </w:r>
          </w:p>
          <w:p w14:paraId="215FADE7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3.配套实验仪器：梯度PCR仪3台；超低温冰箱3台；小型台式冷冻离心机2台；高速离心机3台；</w:t>
            </w:r>
          </w:p>
          <w:p w14:paraId="080FF36F">
            <w:pPr>
              <w:numPr>
                <w:ilvl w:val="0"/>
                <w:numId w:val="1"/>
              </w:numPr>
              <w:spacing w:line="360" w:lineRule="auto"/>
              <w:ind w:left="0" w:firstLine="0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技术指标</w:t>
            </w:r>
          </w:p>
          <w:p w14:paraId="1E7829DA">
            <w:pPr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  <w:lang w:val="en-US" w:eastAsia="zh-CN"/>
              </w:rPr>
              <w:t>1.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highlight w:val="none"/>
              </w:rPr>
              <w:t>荧光定量PCR仪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主机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技术指标</w:t>
            </w:r>
          </w:p>
          <w:p w14:paraId="27F0FD1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1.1热循环系统：珀耳帖效应半导体控温系统；≥6个独立控温的温度梯度；</w:t>
            </w:r>
          </w:p>
          <w:p w14:paraId="79EB4F5C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1.2反应模块体积：三种模块可选： 96孔0.1ml模块型号：10-30uL ；96孔0.2 ml模块型号：10-100uL；384孔模块型号：5–20 μL；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3FA2463B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1.3试剂耗材开放，兼容96孔板、pcr单管、8联排；</w:t>
            </w:r>
          </w:p>
          <w:p w14:paraId="3E713BF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1.4最高升降温速率：≥5°C/秒；温控范围： 4°C–99.9°C，可以保持在4°C长期保存扩增的产物；</w:t>
            </w:r>
          </w:p>
          <w:p w14:paraId="5C96DE74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1.5光学系统：高亮度白光半导体光源，工作寿命≥5年；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4A4A408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1.6激发光源：一体机设计，固定激发光源，加样过程中不移动；</w:t>
            </w:r>
          </w:p>
          <w:p w14:paraId="39EEF079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1.7通道数：≥6色激发光通道和≥6色检测光通道；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FF910A1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1.8激发/发射光范围涵盖：450-730nm；最高支持多重分析功能靶点≥6个；</w:t>
            </w:r>
          </w:p>
          <w:p w14:paraId="01F0914F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1.9荧光数据采集：CMOS检测器拍照式采集，所有反应孔同时拍照同时采集荧光数据，不同孔之间不存在时间差，且无需例如光纤等分光装置分光；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603F3E2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1.10具备通过ROX惰性染料矫正孔间误差和加样等物理误差；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44B6666C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1.11内置触摸屏电脑：具备通过触摸屏监测实时荧光定量PCR的实验结果并储存模块；</w:t>
            </w:r>
          </w:p>
          <w:p w14:paraId="31004441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1.12云服务平台：具备远程操作功能，具备云端分析实验数据、储存实验结果。</w:t>
            </w:r>
          </w:p>
          <w:p w14:paraId="688A80CA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1.13软件具有定性定量（绝对定量、相对定量）、自动报告熔解温度、自动报告基因分型结果、高分辨率溶解曲线等功能；</w:t>
            </w:r>
          </w:p>
          <w:p w14:paraId="3330E17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1.14</w:t>
            </w:r>
            <w:r>
              <w:rPr>
                <w:rFonts w:ascii="Times New Roman" w:hAnsi="Times New Roman" w:eastAsia="宋体" w:cs="Times New Roman"/>
                <w:highlight w:val="none"/>
              </w:rPr>
              <w:t>具备提供热稳定性分析软件，用于检测蛋白溶解温度和进行蛋白稳定性分析；</w:t>
            </w:r>
          </w:p>
          <w:p w14:paraId="4F14AC79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highlight w:val="none"/>
              </w:rPr>
              <w:t>提供≥1个细胞悬液前处理模块，每个模块通量≥4通道。用于制备组织匀浆或单细胞悬液。水浴加热和震荡模式结合，温度均一性：≤±1度。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5CAFAA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highlight w:val="none"/>
              </w:rPr>
              <w:t>基本配置和附件：荧光定量PCR主机2台（含96孔0.2ml模块一个）；标配数据处理工作站2台；软件2套；安装验证试剂盒2个。</w:t>
            </w:r>
          </w:p>
          <w:p w14:paraId="4F2AB268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2.工作站技术指标</w:t>
            </w:r>
          </w:p>
          <w:p w14:paraId="1FCB5C0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CPU:≥睿频5.4GHz，20核心，28线程；内存≥32GB；硬盘≥2TB NVME；独立显卡，显存≥6GB；显示器：≥27英寸，分辨率≥1920×1080；</w:t>
            </w:r>
          </w:p>
          <w:p w14:paraId="51C0FD26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3.配套实验仪器技术指标</w:t>
            </w:r>
          </w:p>
          <w:p w14:paraId="0884031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3.1梯度PCR仪3台：最大模块变温速率：6.0℃/秒，变温速率可调节,最大样本变温速率：4.4℃/秒；温度范围：0-100.0℃,温度均一性：＜0.5℃（达到95℃后30秒）温度准确性： ±0.25℃（35-99.9℃之间）；PCR体积范围：支持10—100 uL, 允许1-100 uL；6组独立控温区域，具备精确设置6个不同温度，实现真正意义的梯度PCR；支持区间温差最大5℃，整体25℃；允许区间最大10℃，整体30℃；8英寸彩色触摸式显示屏，直观的导航按钮，图形化编辑设置简单方便；以太网或Wi-Fi连接网络，支持手机或电脑端远程查看、监控、 预约提醒和打印机连接等；内置模拟模式，具备模拟市面主流PCR仪热学性能，保证实验的平稳过渡。</w:t>
            </w:r>
          </w:p>
          <w:p w14:paraId="0E1D5D1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3.2超低温冰箱3台：箱内温度范围 -40℃~-86℃ 可调，调节单位 0.1℃；有效容积 ≥690L；2ml 样本存放量 ≥48000 支;碳氢制冷剂，环保无污染；检测孔 ≥2 个（背部或左下角）；搭配 VIP PLUS 真空隔热发泡技术（保温层厚度 ≥70mm）。制冷系统：全封闭型变频压缩机，匹配成熟的复叠式制冷系统，运行稳定；标配膨胀罐，当因环境温度过高或其他原因导致制冷系统压力过大时，维持压缩机正常运行。</w:t>
            </w:r>
          </w:p>
          <w:p w14:paraId="312280B4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3.3小型台式冷冻离心机2台：设备最大离心力：≥21000xg，设备最大转速：≥14000 rpm；标配24×1.5ml/2ml转头1个，最大容量10×5ml；转子盖自动锁定功能：转子具有卡扣式自动锁盖功能，非传统旋转锁定盖子；静止状态加速到最高转速，时间不超过12秒，提高离心效率，温控范围：-9℃～+40℃，1℃步进可调；室温降至 4℃≤9 分钟。</w:t>
            </w:r>
          </w:p>
          <w:p w14:paraId="55398C27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3.4高速离心机3台：最高转速：≥16500r/min；最大相对离心力：≥21000xg；最大装载容量：6×50ml；转速控制精度：±30r/min；定时区间：1min～99min；配置：24*1.5；6×50ml。</w:t>
            </w:r>
          </w:p>
          <w:p w14:paraId="083E62C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其他要求</w:t>
            </w:r>
          </w:p>
          <w:p w14:paraId="2249B0A8">
            <w:pPr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1.</w:t>
            </w:r>
            <w:r>
              <w:rPr>
                <w:rFonts w:ascii="Times New Roman" w:hAnsi="Times New Roman" w:eastAsia="宋体" w:cs="Times New Roman"/>
                <w:highlight w:val="none"/>
              </w:rPr>
              <w:t>提供制造商或总代理商授权书。</w:t>
            </w:r>
          </w:p>
          <w:p w14:paraId="035AD8B5">
            <w:pPr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2.提供技术资料，包括仪器技术说明书、应用方案、安装指南、操作使用说明书、标准操作规程与维护规程。</w:t>
            </w:r>
          </w:p>
          <w:p w14:paraId="636A85BD">
            <w:pPr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3.质保期内免费提供配件更换与故障维修服务，免费提供一次设备迁移服务，配套软件终身免费维护与版本升级。</w:t>
            </w:r>
          </w:p>
          <w:p w14:paraId="0C6F3C03">
            <w:pPr>
              <w:numPr>
                <w:ilvl w:val="0"/>
                <w:numId w:val="0"/>
              </w:num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4.由技术人员提供现场培训，培训人数不限，内容包括仪器使用与维护、软件编程、应用方法开发及常见问题处理。每年巡检不少于4次，组织培训不少于2次。</w:t>
            </w:r>
          </w:p>
        </w:tc>
      </w:tr>
      <w:tr w14:paraId="06631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6" w:type="dxa"/>
            <w:noWrap w:val="0"/>
            <w:vAlign w:val="center"/>
          </w:tcPr>
          <w:p w14:paraId="3B1DF5A6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4</w:t>
            </w:r>
          </w:p>
        </w:tc>
        <w:tc>
          <w:tcPr>
            <w:tcW w:w="1129" w:type="dxa"/>
            <w:noWrap w:val="0"/>
            <w:vAlign w:val="center"/>
          </w:tcPr>
          <w:p w14:paraId="45383AC6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highlight w:val="none"/>
              </w:rPr>
              <w:t>冷冻干燥机</w:t>
            </w:r>
          </w:p>
        </w:tc>
        <w:tc>
          <w:tcPr>
            <w:tcW w:w="7397" w:type="dxa"/>
            <w:noWrap w:val="0"/>
            <w:vAlign w:val="center"/>
          </w:tcPr>
          <w:p w14:paraId="36B6D1AD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一、主要用途</w:t>
            </w:r>
          </w:p>
          <w:p w14:paraId="602649CC">
            <w:pPr>
              <w:spacing w:line="360" w:lineRule="auto"/>
              <w:ind w:firstLine="420" w:firstLineChars="20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将含水样品先低温冻结，再通过真空环境使冰晶直接升华去除水分，最大程度保留样品原有形态、生物活性与有效成分，避免高温干燥造成变质、收缩破损。实现样品常温长期保存，处理后的冻干制品疏松多孔，复溶速度快，广泛用于生物菌种、蛋白、中药提取物、实验标本等物料脱水制备。</w:t>
            </w:r>
          </w:p>
          <w:p w14:paraId="463DAE0B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  <w:t>二、配置清单</w:t>
            </w:r>
          </w:p>
          <w:p w14:paraId="1F8CFC16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1.冷冻干燥机1台（含真空泵、4层样本架（非加热）；推车1个）；</w:t>
            </w:r>
          </w:p>
          <w:p w14:paraId="216771F6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2.配套实验仪器：鼓风干燥箱4台；翘板摇床1台；加热磁力搅拌器4台；超声波清洗机2台；水浴锅8台；振荡培养箱1台；</w:t>
            </w:r>
          </w:p>
          <w:p w14:paraId="53CC0077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三、技术指标</w:t>
            </w:r>
          </w:p>
          <w:p w14:paraId="36EF35E2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1.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highlight w:val="none"/>
              </w:rPr>
              <w:t>冷冻干燥机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主机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技术指标</w:t>
            </w:r>
          </w:p>
          <w:p w14:paraId="466D6594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highlight w:val="none"/>
              </w:rPr>
              <w:t>.1冷凝器捕冰能力≥6kg，冷凝效率≥6kg/24h；</w:t>
            </w:r>
          </w:p>
          <w:p w14:paraId="088AD7AB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1.2冷凝器温度≤-55℃，满足绝大多数样品的冷冻干燥。高质量压缩机，保证温度的稳定和实验结果的具备重现性；</w:t>
            </w:r>
          </w:p>
          <w:p w14:paraId="28DE743C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1.3压缩机制冷功率≥1.97KW，可在10min左右降低到既定温度，节省实验时间。无R507CFC环保制冷剂；冷凝器表面积≥1410cm²，高冷凝面积和捕冰能力；</w:t>
            </w:r>
          </w:p>
          <w:p w14:paraId="7B562E73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1.4冷凝器直径≥300mm，冷凝盘管高强度抛光不锈钢设计；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3462C7C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1.5提供移动设备APP在线监控，随时随地了解设备运行状态；</w:t>
            </w:r>
          </w:p>
          <w:p w14:paraId="0C498043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1.6大屏幕触摸屏操控器，控制器屏幕角度可以0-90°调节，方便操作。可以控制真空泵的自动预热，设定和精确控制系统真空，显示冷阱进出口温度，干燥时间，干燥程序，仪器使用情况，代码和文字内容故障信息，真空泵油更换时间，进行泄露率和密封性测试等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83F7B02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1.7具有mT, mbar 和Pa多个压力单位供选择；</w:t>
            </w:r>
          </w:p>
          <w:p w14:paraId="32ED1388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1.8配备真空控制阀，压力调节阀，放气阀，皮拉尼压力计等组件，实现卓越的真空控制，所有阀门均为电磁阀，可以通过控制面板控制，免于手动操作和增强操作体验；</w:t>
            </w:r>
          </w:p>
          <w:p w14:paraId="4F58927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1.9仪器整体台式设计，结构紧凑，可以放在桌面上，或者放置在具备移动的手推车上，方便操作者使用；</w:t>
            </w:r>
          </w:p>
          <w:p w14:paraId="722BC9C2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1.10可选配加热隔板，温度范围-55℃-60℃，隔板温度均匀性±1.0℃，隔板间距可调，层数自由设定，为复杂样品和产品工艺控制提供最优方案；</w:t>
            </w:r>
          </w:p>
          <w:p w14:paraId="4BE11E7C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1.11具备加热隔板数量4个，运行过程中每个隔板温度单独监控，隔板温度，升温时间具备自由设定。可放置托盘直径22cm，可升级成6个隔板的干燥箱体；</w:t>
            </w:r>
          </w:p>
          <w:p w14:paraId="6CFB84F1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1.12设备运行可使用手动模式和程序模式，程序模式可以保存方法数量≥30个, 单个方法可以编辑步骤数量≥30个。每个方法中，可以设计多个第一干燥阶段模式和多个第二干燥阶段模式，每个模式中可以设定，隔板温度，隔板加热速度，真空泵，设定样品保护模式，和压力上升，温度差，压力差三种样品终点测定模式。设备运行过程中参数可以随时调节参数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07E97D66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1.13控制软件：可以控制冻干机系统，编辑方法，储存方法和历史数据，编进报告模板，打印报告，在任何时间，任何地方，通过电脑来控制仪器，设置参数，监控仪器实时状态和过程工艺参数；</w:t>
            </w:r>
          </w:p>
          <w:p w14:paraId="05D06C2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1.14干燥箱体，干燥箱直径≥300mm，透明钟罩式干燥室，安全直观，配置4层隔板。可放置2R/4R西林瓶≥300个。在主机不变的情况下可选配6层隔板，或4层隔板&amp;12位多歧管阀，或12位以及24位多歧管阀的干燥箱体；</w:t>
            </w:r>
          </w:p>
          <w:p w14:paraId="1B90ECF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1.15配备高质量真空泵， 标配油污过滤器，返油装置；</w:t>
            </w:r>
          </w:p>
          <w:p w14:paraId="02B54B29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1.16真空泵，极限压力≤3x10-3hpa，抽气效率5m3/h（50HZ）；</w:t>
            </w:r>
          </w:p>
          <w:p w14:paraId="71D7998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1.17系统密封性好，安装拆卸方便，系统带密封性自动检测功能；具备满足多种型号的圆底烧瓶或大开口干燥瓶，安瓿瓶，金属托盘等，满足不同样品的干燥需求；</w:t>
            </w:r>
          </w:p>
          <w:p w14:paraId="2B69E75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1.18配置：主机1台（含真空泵、4层样本架（非加热））；推车1个。</w:t>
            </w:r>
          </w:p>
          <w:p w14:paraId="66D9A3D6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2.配套实验仪器技术指标</w:t>
            </w:r>
          </w:p>
          <w:p w14:paraId="0F95986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2.1鼓风干燥箱4台：温控参数：控温区间室温 + 10℃～300℃，温度波动 ±1℃，PID 智能数显控温，定时范围 0~9999min，配备超温保护功能；腔体规格：内胆尺寸 ≥ 600×500×750mm，容积 ≥ 225L，不锈钢内胆，标配 2 块搁板，强制鼓风循环；</w:t>
            </w:r>
          </w:p>
          <w:p w14:paraId="0C3324A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2.2翘板摇床1台：振荡性能：翘板倾斜角度 9°，转速范围 10-70rpm，最大承载 10kg，支持定时 1min~19h59min 与连续运转双模式，双 LCD 屏分别显示转速、时间；</w:t>
            </w:r>
          </w:p>
          <w:p w14:paraId="08D258E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2.3加热磁力搅拌器4台：搅拌参数：转速范围 100–1500rpm，最大搅拌容量 20L，直流无刷电机，运行平稳无抖动，支持定时 0–999min 及连续搅拌模式；加热盘面最高温度 340℃，PID 精准控温，温度精度 ±0.5℃；</w:t>
            </w:r>
          </w:p>
          <w:p w14:paraId="7A66ACB1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2.4超声波清洗机2台：容积 10L，超声频率 40kHz，超声总功率 200W，支持 0-100% 功率无级调节，SUS304 不锈钢一体冲压内胆，标配排水阀；温控与定时参数：加热功率 300W，控温范围室温～80℃；定时区间 1–999min；</w:t>
            </w:r>
          </w:p>
          <w:p w14:paraId="3AE7C018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2.5水浴锅8台：温控性能：控温区间 - 5℃~100℃，温度均匀度 ±0.05℃，PID 智能控温，温度分辨率 0.01℃，带超温报警、断电保护功能；4列8孔</w:t>
            </w:r>
          </w:p>
          <w:p w14:paraId="3F0E1398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2.6振荡培养箱1台：转速范围：30～300rpm，精度 ±1rpm；摆振幅度：Φ26mm 回旋振荡；温控区间：4℃～60℃（环境温 - 15℃至 60℃）；温控精度：0.1℃，37℃均匀度 ±0.5℃；箱体容积：200L，双层摇板结构，单门设计定时时长：0～999 小时连续定时运行。</w:t>
            </w:r>
          </w:p>
          <w:p w14:paraId="0D2EB03F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四、其他要求</w:t>
            </w:r>
          </w:p>
          <w:p w14:paraId="61E886E5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1.提供制造商或总代理商授权书。</w:t>
            </w:r>
          </w:p>
          <w:p w14:paraId="0F7E579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2.提供技术资料，包括仪器技术说明书、应用方案、安装指南、操作使用说明书、标准操作规程与维护规程。</w:t>
            </w:r>
          </w:p>
          <w:p w14:paraId="11AD33ED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3.由技术人员提供现场培训，培训人数不限，内容包括仪器使用与维护、软件编程、应用方法开发及常见问题处理。每年巡检不少于4次，组织培训不少于2次。</w:t>
            </w:r>
          </w:p>
        </w:tc>
      </w:tr>
    </w:tbl>
    <w:p w14:paraId="6B5109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三、商务要求 </w:t>
      </w:r>
    </w:p>
    <w:p w14:paraId="353E5F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3.1采购范围：河南科技学院现代农业产业科技创新平台—生物信息与生物医药技术研究中心项目所需1套全波长酶标仪、1套离心机-落地高速冷冻离心机、1套荧光定量PCR仪、1套冷冻干燥机的供货、运输、保险、装卸、安装、检测、调试、试运行、验收交付、培训、技术支持、软件升级、售后保修及相关伴随服务等，详见河南省政府采购网附件“采购需求”。</w:t>
      </w:r>
    </w:p>
    <w:p w14:paraId="6FB76F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3.2交货期：合同生效后60日历天内。</w:t>
      </w:r>
    </w:p>
    <w:p w14:paraId="7DD662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3.3交货地点：河南科技学院。</w:t>
      </w:r>
    </w:p>
    <w:p w14:paraId="3F2029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3.4质量标准：符合国家相关质量验收合格标准。</w:t>
      </w:r>
    </w:p>
    <w:p w14:paraId="7CBDAE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3.5质保期：验收合格并正常运行之日起，提供原厂5年质保服务，质保期内免费提供配件更换与故障维修服务，免费提供一次设备迁移服务，配套软件终身免费维护与版本升级，质保期内故障响应时间不超过24小时，2个工作日内安排工程师到场检修。</w:t>
      </w:r>
    </w:p>
    <w:p w14:paraId="61397F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3.6投标有效期：递交投标文件的截止之日起90日历天。</w:t>
      </w:r>
    </w:p>
    <w:p w14:paraId="028A94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3.7采购资金的支付方式、时间（付款方式）：合同生效后，中标人15个工作日内向采购人提供合同额65%的银行保函(有效期不低于12个月)，采购人收到银行保函后15个工作日内向中标人支付合同额65%的预付款；到货后，经初验合格，采购人15个工作日内支付初验合格货物金额的20%;自第三方验收合格之日起且乙方出具正式发票(其中国产教学科研用设备仪器、平台软件类须提供增值税专用发票)后30个工作日内，甲方向乙方支付剩余款项。第三方验收费用由乙方承担，项目验收方式及收费标准：第三方验收，合同金额*1.5%*0.72。</w:t>
      </w:r>
    </w:p>
    <w:p w14:paraId="7BBC43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四、其他要求</w:t>
      </w:r>
    </w:p>
    <w:p w14:paraId="2AC8D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.1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供货方案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，包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含：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（1）供货计划（含供货周期、交货顺序、到货时间节点）；（2）货物运输方案（含运输方式、包装防护、运输保障措施）；（3）货物验收衔接方案（含验收流程、验收标准配合、异议处理）。</w:t>
      </w:r>
    </w:p>
    <w:p w14:paraId="3CADA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4.2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安装、调试方案，包含：（1）安装调试计划（含安装调试周期、人员分工、进度安排）；（2）安装调试流程（含现场准备、设备安装、系统调试步骤）；（3）安装调试质量保障措施（含操作规范、质量检验、安全防护）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。</w:t>
      </w:r>
    </w:p>
    <w:p w14:paraId="23B43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4.3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质保期内保证措施，包含：质保响应机制（含响应时限、故障处理流程）；（2）质保维修服务（含上门维修、故障排除、部件更换保障）；（3）质保期内巡检与维护计划（含定期巡检频次、维护内容、问题预判）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。</w:t>
      </w:r>
    </w:p>
    <w:p w14:paraId="0AF6F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4.4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质保期外保证措施，包含：（1）质保期外维修服务方案（含维修收费标准、服务流程）；（2）长期技术支持（含技术咨询、系统升级指导、故障远程协助）；（3）备品备件长期供应保障（含备件储备、供应周期、价格承诺）。</w:t>
      </w:r>
    </w:p>
    <w:p w14:paraId="745B9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培训计划，包含：（1）培训方式、培训人员数量；（2）培训内容；（3）培训质量保证措施。</w:t>
      </w:r>
    </w:p>
    <w:p w14:paraId="79EEA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4.6投标人须针对本项目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val="en-US"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售后服务方案，包含：（1）服务质量承诺（含服务标准、投诉处理时限及承诺）；（2）响应时效承诺（含紧急故障、一般故障的响应及处理时限）；（3）售后服务计划与售后服务人员配置。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A893AE"/>
    <w:multiLevelType w:val="singleLevel"/>
    <w:tmpl w:val="6EA893A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21A42"/>
    <w:rsid w:val="2AF2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spacing w:line="312" w:lineRule="auto"/>
      <w:ind w:firstLine="0" w:firstLineChars="0"/>
      <w:jc w:val="both"/>
    </w:pPr>
    <w:rPr>
      <w:rFonts w:ascii="宋体" w:hAnsi="宋体" w:eastAsia="宋体" w:cs="宋体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2026-10-23T04:24:00Z</dcterms:created>
  <dc:creator>恒信</dc:creator>
  <cp:lastModifiedBy>恒信</cp:lastModifiedBy>
  <dcterms:modified xsi:type="dcterms:W3CDTF">2026-10-23T04:26:10Z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798976BF544A4DCB9876598891C41A46_11</vt:lpwstr>
  </property>
  <property fmtid="{D5CDD505-2E9C-101B-9397-08002B2CF9AE}" pid="4" name="KSOTemplateDocerSaveRecord">
    <vt:lpwstr>eyJoZGlkIjoiOWMwZTkwMTc2Y2Y1OGJhYWU2N2Q0YTcwMGJhY2I2MDYiLCJ1c2VySWQiOiI0Mjg2NDcwODQifQ==</vt:lpwstr>
  </property>
</Properties>
</file>