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8C016">
      <w:pPr>
        <w:keepNext/>
        <w:keepLines/>
        <w:spacing w:line="360" w:lineRule="auto"/>
        <w:jc w:val="center"/>
        <w:outlineLvl w:val="0"/>
        <w:rPr>
          <w:rFonts w:hint="default" w:ascii="Times New Roman" w:hAnsi="Times New Roman" w:eastAsia="宋体" w:cs="Times New Roman"/>
          <w:b/>
          <w:sz w:val="28"/>
          <w:szCs w:val="22"/>
          <w:highlight w:val="none"/>
          <w:lang w:val="en-US" w:eastAsia="zh-CN"/>
        </w:rPr>
      </w:pPr>
      <w:bookmarkStart w:id="0" w:name="_Toc18734"/>
      <w:bookmarkStart w:id="1" w:name="_Toc3881"/>
      <w:bookmarkStart w:id="6" w:name="_GoBack"/>
      <w:r>
        <w:rPr>
          <w:rFonts w:hint="eastAsia" w:ascii="Times New Roman" w:hAnsi="Times New Roman" w:eastAsia="宋体" w:cs="Times New Roman"/>
          <w:b/>
          <w:sz w:val="28"/>
          <w:szCs w:val="22"/>
          <w:highlight w:val="none"/>
          <w:lang w:val="en-US" w:eastAsia="zh-CN"/>
        </w:rPr>
        <w:t>河南科技学院现代农业产业科技创新平台—生物信息与生物医药技术研究中心项目包1</w:t>
      </w:r>
      <w:bookmarkEnd w:id="0"/>
      <w:r>
        <w:rPr>
          <w:rFonts w:hint="eastAsia" w:ascii="Times New Roman" w:hAnsi="Times New Roman" w:cs="Times New Roman"/>
          <w:b/>
          <w:sz w:val="28"/>
          <w:szCs w:val="22"/>
          <w:highlight w:val="none"/>
          <w:lang w:val="en-US" w:eastAsia="zh-CN"/>
        </w:rPr>
        <w:t>采购需求</w:t>
      </w:r>
    </w:p>
    <w:bookmarkEnd w:id="6"/>
    <w:p w14:paraId="18BD8CDB">
      <w:pPr>
        <w:spacing w:line="360" w:lineRule="auto"/>
        <w:rPr>
          <w:rFonts w:eastAsia="宋体"/>
          <w:b/>
          <w:bCs/>
          <w:sz w:val="24"/>
          <w:szCs w:val="32"/>
          <w:highlight w:val="none"/>
        </w:rPr>
      </w:pPr>
      <w:r>
        <w:rPr>
          <w:rFonts w:eastAsia="宋体"/>
          <w:b/>
          <w:bCs/>
          <w:sz w:val="24"/>
          <w:szCs w:val="32"/>
          <w:highlight w:val="none"/>
        </w:rPr>
        <w:t>一、设备清单</w:t>
      </w:r>
      <w:bookmarkEnd w:id="1"/>
    </w:p>
    <w:tbl>
      <w:tblPr>
        <w:tblStyle w:val="2"/>
        <w:tblW w:w="91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7"/>
        <w:gridCol w:w="2064"/>
        <w:gridCol w:w="716"/>
        <w:gridCol w:w="1073"/>
        <w:gridCol w:w="2434"/>
      </w:tblGrid>
      <w:tr w14:paraId="0DCA5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47" w:type="dxa"/>
            <w:noWrap w:val="0"/>
            <w:vAlign w:val="center"/>
          </w:tcPr>
          <w:p w14:paraId="37F71680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包名称</w:t>
            </w:r>
          </w:p>
        </w:tc>
        <w:tc>
          <w:tcPr>
            <w:tcW w:w="2064" w:type="dxa"/>
            <w:noWrap w:val="0"/>
            <w:vAlign w:val="center"/>
          </w:tcPr>
          <w:p w14:paraId="36DC4738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设备名称</w:t>
            </w:r>
          </w:p>
        </w:tc>
        <w:tc>
          <w:tcPr>
            <w:tcW w:w="716" w:type="dxa"/>
            <w:noWrap w:val="0"/>
            <w:vAlign w:val="center"/>
          </w:tcPr>
          <w:p w14:paraId="26E7000B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数量</w:t>
            </w:r>
          </w:p>
        </w:tc>
        <w:tc>
          <w:tcPr>
            <w:tcW w:w="1073" w:type="dxa"/>
            <w:noWrap w:val="0"/>
            <w:vAlign w:val="center"/>
          </w:tcPr>
          <w:p w14:paraId="4E35A66E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是否接受进口</w:t>
            </w:r>
          </w:p>
        </w:tc>
        <w:tc>
          <w:tcPr>
            <w:tcW w:w="2434" w:type="dxa"/>
            <w:noWrap w:val="0"/>
            <w:vAlign w:val="center"/>
          </w:tcPr>
          <w:p w14:paraId="35665570">
            <w:pPr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22FC2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47" w:type="dxa"/>
            <w:vMerge w:val="restart"/>
            <w:noWrap w:val="0"/>
            <w:vAlign w:val="center"/>
          </w:tcPr>
          <w:p w14:paraId="3ABEB819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  <w:shd w:val="clear" w:color="auto" w:fill="FFFFFF"/>
              </w:rPr>
              <w:t>河南科技学院现代农业产业科技创新平台—生物信息与生物医药技术研究中心项目包1</w:t>
            </w:r>
          </w:p>
        </w:tc>
        <w:tc>
          <w:tcPr>
            <w:tcW w:w="2064" w:type="dxa"/>
            <w:noWrap w:val="0"/>
            <w:vAlign w:val="center"/>
          </w:tcPr>
          <w:p w14:paraId="1D1DBFE9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流式细胞仪</w:t>
            </w:r>
          </w:p>
        </w:tc>
        <w:tc>
          <w:tcPr>
            <w:tcW w:w="716" w:type="dxa"/>
            <w:noWrap w:val="0"/>
            <w:vAlign w:val="center"/>
          </w:tcPr>
          <w:p w14:paraId="74E6C8A1">
            <w:pPr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1073" w:type="dxa"/>
            <w:noWrap w:val="0"/>
            <w:vAlign w:val="center"/>
          </w:tcPr>
          <w:p w14:paraId="4847EF69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是</w:t>
            </w:r>
          </w:p>
        </w:tc>
        <w:tc>
          <w:tcPr>
            <w:tcW w:w="2434" w:type="dxa"/>
            <w:vMerge w:val="restart"/>
            <w:noWrap w:val="0"/>
            <w:vAlign w:val="center"/>
          </w:tcPr>
          <w:p w14:paraId="5F971AB6">
            <w:pPr>
              <w:jc w:val="center"/>
              <w:rPr>
                <w:rFonts w:hint="default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  <w:highlight w:val="none"/>
                <w:lang w:val="en-US" w:eastAsia="zh-CN"/>
              </w:rPr>
              <w:t>气质联用仪为本包段的核心产品</w:t>
            </w:r>
          </w:p>
        </w:tc>
      </w:tr>
      <w:tr w14:paraId="23950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47" w:type="dxa"/>
            <w:vMerge w:val="continue"/>
            <w:noWrap w:val="0"/>
            <w:vAlign w:val="center"/>
          </w:tcPr>
          <w:p w14:paraId="62935A06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2064" w:type="dxa"/>
            <w:noWrap w:val="0"/>
            <w:vAlign w:val="center"/>
          </w:tcPr>
          <w:p w14:paraId="2308D59C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fldChar w:fldCharType="begin"/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instrText xml:space="preserve"> HYPERLINK "javascript:void(0)" </w:instrTex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fldChar w:fldCharType="separate"/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活细胞观测系统</w:t>
            </w: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fldChar w:fldCharType="end"/>
            </w:r>
          </w:p>
        </w:tc>
        <w:tc>
          <w:tcPr>
            <w:tcW w:w="716" w:type="dxa"/>
            <w:noWrap w:val="0"/>
            <w:vAlign w:val="center"/>
          </w:tcPr>
          <w:p w14:paraId="74B5A711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1073" w:type="dxa"/>
            <w:noWrap w:val="0"/>
            <w:vAlign w:val="center"/>
          </w:tcPr>
          <w:p w14:paraId="44758019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否</w:t>
            </w:r>
          </w:p>
        </w:tc>
        <w:tc>
          <w:tcPr>
            <w:tcW w:w="2434" w:type="dxa"/>
            <w:vMerge w:val="continue"/>
            <w:noWrap w:val="0"/>
            <w:vAlign w:val="center"/>
          </w:tcPr>
          <w:p w14:paraId="4A526DCC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3C203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47" w:type="dxa"/>
            <w:vMerge w:val="continue"/>
            <w:noWrap w:val="0"/>
            <w:vAlign w:val="center"/>
          </w:tcPr>
          <w:p w14:paraId="12BFD769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2064" w:type="dxa"/>
            <w:noWrap w:val="0"/>
            <w:vAlign w:val="center"/>
          </w:tcPr>
          <w:p w14:paraId="755A8A87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气质联用仪</w:t>
            </w:r>
          </w:p>
        </w:tc>
        <w:tc>
          <w:tcPr>
            <w:tcW w:w="716" w:type="dxa"/>
            <w:noWrap w:val="0"/>
            <w:vAlign w:val="center"/>
          </w:tcPr>
          <w:p w14:paraId="5B738018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1073" w:type="dxa"/>
            <w:noWrap w:val="0"/>
            <w:vAlign w:val="center"/>
          </w:tcPr>
          <w:p w14:paraId="2039A6CA">
            <w:pPr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是</w:t>
            </w:r>
          </w:p>
        </w:tc>
        <w:tc>
          <w:tcPr>
            <w:tcW w:w="2434" w:type="dxa"/>
            <w:vMerge w:val="continue"/>
            <w:noWrap w:val="0"/>
            <w:vAlign w:val="center"/>
          </w:tcPr>
          <w:p w14:paraId="5273DA17">
            <w:pPr>
              <w:jc w:val="center"/>
              <w:rPr>
                <w:rFonts w:hint="default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</w:p>
        </w:tc>
      </w:tr>
    </w:tbl>
    <w:p w14:paraId="029BAACC">
      <w:pPr>
        <w:spacing w:line="360" w:lineRule="auto"/>
        <w:rPr>
          <w:rFonts w:eastAsia="宋体"/>
          <w:b/>
          <w:bCs/>
          <w:sz w:val="24"/>
          <w:szCs w:val="32"/>
          <w:highlight w:val="none"/>
        </w:rPr>
      </w:pPr>
      <w:r>
        <w:rPr>
          <w:rFonts w:hint="eastAsia" w:eastAsia="宋体"/>
          <w:b/>
          <w:bCs/>
          <w:sz w:val="24"/>
          <w:szCs w:val="32"/>
          <w:highlight w:val="none"/>
          <w:lang w:val="en-US" w:eastAsia="zh-CN"/>
        </w:rPr>
        <w:t>二</w:t>
      </w:r>
      <w:r>
        <w:rPr>
          <w:rFonts w:eastAsia="宋体"/>
          <w:b/>
          <w:bCs/>
          <w:sz w:val="24"/>
          <w:szCs w:val="32"/>
          <w:highlight w:val="none"/>
        </w:rPr>
        <w:t>、技术要求</w:t>
      </w:r>
    </w:p>
    <w:tbl>
      <w:tblPr>
        <w:tblStyle w:val="2"/>
        <w:tblW w:w="91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074"/>
        <w:gridCol w:w="6784"/>
        <w:gridCol w:w="637"/>
      </w:tblGrid>
      <w:tr w14:paraId="3F7E2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tblHeader/>
          <w:jc w:val="center"/>
        </w:trPr>
        <w:tc>
          <w:tcPr>
            <w:tcW w:w="623" w:type="dxa"/>
            <w:noWrap w:val="0"/>
            <w:vAlign w:val="center"/>
          </w:tcPr>
          <w:p w14:paraId="60753282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  <w:t>序号</w:t>
            </w:r>
          </w:p>
        </w:tc>
        <w:tc>
          <w:tcPr>
            <w:tcW w:w="1074" w:type="dxa"/>
            <w:noWrap w:val="0"/>
            <w:vAlign w:val="center"/>
          </w:tcPr>
          <w:p w14:paraId="4350153B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  <w:t>设备名称</w:t>
            </w:r>
          </w:p>
        </w:tc>
        <w:tc>
          <w:tcPr>
            <w:tcW w:w="6784" w:type="dxa"/>
            <w:noWrap w:val="0"/>
            <w:vAlign w:val="center"/>
          </w:tcPr>
          <w:p w14:paraId="27AA8055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  <w:t>技术参数与相关要求</w:t>
            </w:r>
          </w:p>
        </w:tc>
        <w:tc>
          <w:tcPr>
            <w:tcW w:w="637" w:type="dxa"/>
            <w:noWrap w:val="0"/>
            <w:vAlign w:val="center"/>
          </w:tcPr>
          <w:p w14:paraId="6DF7FB5D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  <w:t>备注</w:t>
            </w:r>
          </w:p>
        </w:tc>
      </w:tr>
      <w:tr w14:paraId="62CCE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  <w:noWrap w:val="0"/>
            <w:vAlign w:val="center"/>
          </w:tcPr>
          <w:p w14:paraId="6303B139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  <w:t>1</w:t>
            </w:r>
          </w:p>
        </w:tc>
        <w:tc>
          <w:tcPr>
            <w:tcW w:w="1074" w:type="dxa"/>
            <w:noWrap w:val="0"/>
            <w:vAlign w:val="center"/>
          </w:tcPr>
          <w:p w14:paraId="6FEF59CE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  <w:t>流式细胞仪</w:t>
            </w:r>
          </w:p>
        </w:tc>
        <w:tc>
          <w:tcPr>
            <w:tcW w:w="6784" w:type="dxa"/>
            <w:noWrap w:val="0"/>
            <w:vAlign w:val="center"/>
          </w:tcPr>
          <w:p w14:paraId="0EF6891F">
            <w:pPr>
              <w:numPr>
                <w:ilvl w:val="0"/>
                <w:numId w:val="1"/>
              </w:numPr>
              <w:spacing w:line="360" w:lineRule="auto"/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主要用途</w:t>
            </w:r>
          </w:p>
          <w:p w14:paraId="3F179CE7">
            <w:pPr>
              <w:spacing w:line="360" w:lineRule="auto"/>
              <w:ind w:firstLine="420" w:firstLineChars="200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对悬浮单细胞进行多参数荧光定量分析，用于免疫分型、细胞凋亡周期、干细胞及微生物相关基础科研检测。</w:t>
            </w:r>
          </w:p>
          <w:p w14:paraId="482D581D">
            <w:pPr>
              <w:numPr>
                <w:ilvl w:val="0"/>
                <w:numId w:val="1"/>
              </w:numPr>
              <w:spacing w:line="360" w:lineRule="auto"/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配置清单：</w:t>
            </w:r>
          </w:p>
          <w:p w14:paraId="1ECD3945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1.流式细胞仪主机1台（含光路系统、流路系统、数据处理及分析系统、自动加样系统、清洗液、冲洗液、鞘液）；</w:t>
            </w:r>
          </w:p>
          <w:p w14:paraId="35EED759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2.工作站1台；</w:t>
            </w:r>
          </w:p>
          <w:p w14:paraId="1153AF5F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3.配套实验仪器：智能脂质纳米颗粒制备系统 1 台、紫外可见分光光度1台、万分之一天平2台、千分之一天平3台可见分光光度计4台、PH计2台、电子天平4台、恒温振荡培养箱（低温摇床）2 台。</w:t>
            </w:r>
          </w:p>
          <w:p w14:paraId="044A0070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三、技术指标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1</w:t>
            </w:r>
            <w:bookmarkStart w:id="2" w:name="OLE_LINK9"/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.流式细胞仪主机技术指标</w:t>
            </w:r>
          </w:p>
          <w:p w14:paraId="01F852D1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1.1光路系统</w:t>
            </w:r>
          </w:p>
          <w:p w14:paraId="1D5F58CD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★1.1.1激光器:非风冷模式带TEC温控功能低功耗全固体激光器， 488 nm，功率≥60 mW；640 nm，功率≥40 mW ；405nm，功率≥50mW ，以确保在长时间工作状态下激光器保持稳定的高性能；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2057AA14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1.1.2激光激发方式：激光立体空间激发方式；细胞探测器类型：高灵敏度全数字化PMT。</w:t>
            </w:r>
          </w:p>
          <w:p w14:paraId="02CB6486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★1.1.3灵敏度：FITC≤45 MESF, PE≤15 MESF, APC≤15 MESF, Pacific Blue≤35 MESF；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5201B712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1.1.4前向散射角分辨率：0.4 μm；侧向散射角分辨率：0.1 μm</w:t>
            </w:r>
          </w:p>
          <w:p w14:paraId="4E644977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1.2.1荧光通道：紫光通道：Pacific Blue，AmCyan，Pacific Orange，Qdot 655，BV711, Qdot 800（445 nm，525 nm，572 nm，667 nm，725 nm, 780 nm）；蓝光通道：FITC，PE，PerCP，PerCP-eFlour710, PE-Cy7(525 nm, 572 nm, 667 nm, 725 nm, 780 nm) ；红光通道：APC,  Alexa Fluro 700, APC-Cy 7 (667 nm, 725 nm, 780 nm)</w:t>
            </w:r>
          </w:p>
          <w:p w14:paraId="2A0FB217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1.3全峰宽变异系数：CV&lt;3%</w:t>
            </w:r>
          </w:p>
          <w:p w14:paraId="7543840E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1.4光路传导：激光传递和荧光传导采用直接导入技术，具备减少因光纤导入重新设计和调整光路反而导致的光子能量损失</w:t>
            </w:r>
          </w:p>
          <w:p w14:paraId="107E5F5C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 xml:space="preserve">1.5流路系统 </w:t>
            </w:r>
          </w:p>
          <w:p w14:paraId="09F51174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★1.5.1采样速度: ≥100,000颗粒/秒，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62618314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★1.5.2最小上样体积：5 μl，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1966ED13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1.5.3可检测颗粒直径：0.1~50 μm；交叉污染：&lt;0.1%；绝对计数：样本体积精确控制，无需任何耗材直接绝对计数，体积法绝对计数误差&lt;±5%</w:t>
            </w:r>
          </w:p>
          <w:p w14:paraId="4F17835B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1.5.4液路控制：注射泵驱动（非蠕动泵驱动），可提供更大驱动压力，不易堵管；高精度压力传感器实时监测流速，液路防堵报警；</w:t>
            </w:r>
          </w:p>
          <w:p w14:paraId="18465B5B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1.5.5自动清洗消毒系统，自动进样针内外壁清洗，减少交叉污染；开关机及换样时自动启动清洗流程，无需手动设置及操作</w:t>
            </w:r>
          </w:p>
          <w:p w14:paraId="644730D8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★1.5.6样本流速：在可高中低三档的选调设置基础上，具备根据实际样本处理要求，实现5-120uL/min连续上样流速调节，满足不同客户需求。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3EC5D942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1.5.7清洗流程：一键开关机，自动清洗，</w:t>
            </w:r>
          </w:p>
          <w:p w14:paraId="62C5FE15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1.6数据处理及分析系统；参数: 包括FSC、SSC和荧光通道面积（A）和高度（H），d（W）和时间信号处理: 24-位动态范围，即动态检测范围10^7.2(无需PMT增益电压调节)，32位浮点解析度。荧光补偿功能：离线、在线荧光自动及手动补偿；补偿方式：矩阵补偿、快速补偿、自动补偿。自动补偿一键设置，自动计算荧光补偿矩阵，避免手工补偿误差；快速补偿通过拖动补偿条快速调节荧光通道间的补偿系数，直观显示补偿结果，；数据分析及导出：支持边采集边分析的实时数据分析，实时支持FCS文件的导入分析，及数据的FCS文件及CSV文件导出格式，并具备编辑定制PDF数据报告，满足用户第三方软件及Microsoft Excel程序的数据分析需求以及出具报告的需求。</w:t>
            </w:r>
          </w:p>
          <w:p w14:paraId="4EA516A1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1.7自动加样系统；自动校准板无需手动校准；支持各种上样模式（40管流式管/EP管架，24/48/96/384孔板或定制模式），通量更高；小于20分钟可完成96孔板快速高通量进样，384孔板进样小于80分钟；提供开放的应用程序接口（API）可连接其他实验室自动化设备；可靠的涡旋式振荡使样品始终处于悬浮状态；安装后自动校准，具有条形码扫描功能，样本混匀速度、时间及加速度可调，撞针后自动修复获取下个样本，样本采集后自动清洗。</w:t>
            </w:r>
          </w:p>
          <w:p w14:paraId="36336250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2.工作台技术指标</w:t>
            </w:r>
          </w:p>
          <w:bookmarkEnd w:id="2"/>
          <w:p w14:paraId="42CEFDC1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CPU:≥睿频5.4GHz，20核心，28线程；内存≥32GB；硬盘≥2TB NVME；独立显卡，显存≥6GB；显示器：≥27英寸，分辨率≥1920×1080。</w:t>
            </w:r>
          </w:p>
          <w:p w14:paraId="44DE5039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3.配套实验仪器技术指标</w:t>
            </w:r>
          </w:p>
          <w:p w14:paraId="13266E85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3.1智能脂质纳米颗粒制备系统1台：具备制备粒径 30 nm～200 nm、单分散系数小于 0.2 的纳米颗粒；具备至少两路独立液体输送能力；微流控芯片具备耐受合成工况工作压力，在规定工作压力及极端配比实验条件下具备稳定运行，不易发生泄漏、堵塞；设备内置压力监测模块；具备起始位置自动确认功能，具备自动判定体系启动条件；</w:t>
            </w:r>
          </w:p>
          <w:p w14:paraId="3A18521E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3.2紫外可见分光光度1台；波长范围190～1100nm；波长准确度 ±0.3nm；波长重复性≤0.1nm；光谱带宽可调范围覆盖0.2nm～5nm，至少具备5档调节档位；光学系统稳定性好，测量准确度高；光度测量范围-4.0～4.0Abs；</w:t>
            </w:r>
          </w:p>
          <w:p w14:paraId="5B273392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3.3万分之一天平2台：超级单体传感器，可读性0.1mg，最大称量210g，可全自动内部校准功能；</w:t>
            </w:r>
          </w:p>
          <w:p w14:paraId="5F835777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3.4千分之一天平3台：超级单体传感器，可读性1mg，量程210g，可全自动内部校准功能；</w:t>
            </w:r>
          </w:p>
          <w:p w14:paraId="5EC26BD6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3.5可见分光光度计4台：波长范围320～1050nm，波长准确度±2nm；</w:t>
            </w:r>
          </w:p>
          <w:p w14:paraId="7366035B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3.6 PH计2台：自动缓冲液识别；自动温度补偿；测量范围 0～14.00，分辨率/精度≤±0.01pH，支持自动温度补偿及3点校准；</w:t>
            </w:r>
          </w:p>
          <w:p w14:paraId="0CF2F229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3.7电子天平4台：可读性0.01g，最大称量：500g；</w:t>
            </w:r>
          </w:p>
          <w:p w14:paraId="79DA3985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3.8恒温振荡培养箱（低温摇床）2 台：温控范围4℃～60℃；温控设置精度0.1℃；温度均匀性±0.3℃（@37℃，空载条件下）；摇板有效装载尺寸不小于 550×470mm（或等效装载面积）；腔体有效容量≥200L；转速范围 30～300rpm；回转振幅Φ26mm（允许偏差 ±1mm）；开门 30s 后关闭重启，温度恢复至37℃的时间≤6min；配备≥7 英寸彩色触控操作屏；具备自动除霜功能。</w:t>
            </w:r>
          </w:p>
          <w:p w14:paraId="10490320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四、其他要求</w:t>
            </w:r>
          </w:p>
          <w:p w14:paraId="77022DE5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1.提供制造商或总代理商授权书。</w:t>
            </w:r>
          </w:p>
          <w:p w14:paraId="148DDF5D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2.提供技术资料，包括仪器技术说明书、应用方案、安装指南、操作使用说明书、标准操作规程与维护规程。</w:t>
            </w:r>
          </w:p>
          <w:p w14:paraId="689A2B2E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3.质保期内免费提供配件更换与故障维修服务，免费提供一次设备迁移服务，配套软件终身免费维护与版本升级。</w:t>
            </w:r>
          </w:p>
          <w:p w14:paraId="00CF7F07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4.由技术人员提供现场培训，培训人数不限，内容包括仪器使用与维护、软件编程、应用方法开发及常见问题处理。每年巡检不少于4次，组织培训不少于2次。</w:t>
            </w:r>
          </w:p>
        </w:tc>
        <w:tc>
          <w:tcPr>
            <w:tcW w:w="637" w:type="dxa"/>
            <w:noWrap w:val="0"/>
            <w:vAlign w:val="center"/>
          </w:tcPr>
          <w:p w14:paraId="38D39FC6">
            <w:pPr>
              <w:wordWrap w:val="0"/>
              <w:adjustRightInd w:val="0"/>
              <w:snapToGrid w:val="0"/>
              <w:spacing w:line="360" w:lineRule="auto"/>
              <w:jc w:val="right"/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</w:pPr>
          </w:p>
        </w:tc>
      </w:tr>
      <w:tr w14:paraId="50713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  <w:noWrap w:val="0"/>
            <w:vAlign w:val="center"/>
          </w:tcPr>
          <w:p w14:paraId="456A24FB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  <w:t>2</w:t>
            </w:r>
          </w:p>
        </w:tc>
        <w:tc>
          <w:tcPr>
            <w:tcW w:w="1074" w:type="dxa"/>
            <w:noWrap w:val="0"/>
            <w:vAlign w:val="center"/>
          </w:tcPr>
          <w:p w14:paraId="5EC12BCF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  <w:t>活细胞观测系统</w:t>
            </w:r>
          </w:p>
        </w:tc>
        <w:tc>
          <w:tcPr>
            <w:tcW w:w="6784" w:type="dxa"/>
            <w:noWrap w:val="0"/>
            <w:vAlign w:val="center"/>
          </w:tcPr>
          <w:p w14:paraId="226FD430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一、主要用途</w:t>
            </w:r>
          </w:p>
          <w:p w14:paraId="7951E2A5">
            <w:pPr>
              <w:spacing w:line="360" w:lineRule="auto"/>
              <w:ind w:firstLine="420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对贴壁细胞、悬浮细胞及活体样本进行长时间、多模式（明场、相差、DIC及多色荧光）实时观测与成像，用于细胞形态学观察、动态过程记录、荧光定位与定量分析等基础科研检测。</w:t>
            </w:r>
          </w:p>
          <w:p w14:paraId="2D25DF5A">
            <w:pPr>
              <w:spacing w:line="360" w:lineRule="auto"/>
              <w:rPr>
                <w:rFonts w:hint="eastAsia" w:ascii="宋体" w:hAnsi="宋体" w:eastAsia="宋体" w:cs="宋体"/>
                <w:highlight w:val="none"/>
                <w:lang w:eastAsia="zh-CN"/>
              </w:rPr>
            </w:pPr>
            <w:r>
              <w:rPr>
                <w:rFonts w:hint="eastAsia" w:eastAsia="宋体" w:cs="宋体"/>
                <w:b/>
                <w:highlight w:val="none"/>
                <w:lang w:eastAsia="zh-CN"/>
              </w:rPr>
              <w:t>二、配置清单</w:t>
            </w:r>
          </w:p>
          <w:p w14:paraId="6416CC51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研究级倒置荧光显微镜主机1台（1.目镜：PL10X22mm，视度可调；数量：1对。2.物镜：长工作距平场半复消色差物镜4倍、10倍、20倍、40倍；数量：1组。3.主机机架组：电动机架，含电动左光口、电动Z轴、电动物镜转换器，双光路；数量：1台。4.聚光镜：电动七孔位聚光镜；数量：1个。5.明场照明系统：10W LED冷色照明灯室。数量：1个。6.荧光照明系统：电动8孔转盘系统，3色荧光激发块，多波段LED荧光光源。数量：1套。7.控制器：电动控制箱。数量：1个。8.附件：说明书、防尘罩、电源线；数量：1套。9. 显微成像系统：显微镜荧光成像拍摄系统。数量：1个）；</w:t>
            </w:r>
          </w:p>
          <w:p w14:paraId="5F5E8747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2.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工作站1台；</w:t>
            </w:r>
          </w:p>
          <w:p w14:paraId="17AFAA3F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3.配套实验仪器：研究级倒置荧光显微镜1台、冷冻研磨机1台、冷藏箱（4℃）4台、纯水超纯水一体化系统1台、细胞转染系统1台。</w:t>
            </w:r>
          </w:p>
          <w:p w14:paraId="380D3B93">
            <w:pPr>
              <w:spacing w:line="360" w:lineRule="auto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三、技术指标</w:t>
            </w:r>
          </w:p>
          <w:p w14:paraId="77EBE953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highlight w:val="none"/>
              </w:rPr>
              <w:t>1.研究级倒置荧光显微镜主机技术指标</w:t>
            </w:r>
          </w:p>
          <w:p w14:paraId="713C8572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highlight w:val="none"/>
              </w:rPr>
              <w:t>光学系统：无限远色差校正光学系统，齐焦距离≤45mm。</w:t>
            </w:r>
          </w:p>
          <w:p w14:paraId="4087A736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1.2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highlight w:val="none"/>
              </w:rPr>
              <w:t>观察筒：人机工程学设计，20°~45°可调倾角，无限远铰链双目观察头，瞳距调节范围50~76mm。</w:t>
            </w:r>
          </w:p>
          <w:p w14:paraId="0EFF2BE7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1.3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highlight w:val="none"/>
              </w:rPr>
              <w:t>目镜：高眼点大视野平场目镜PL10X，视野数≥22mm，视度可调。</w:t>
            </w:r>
          </w:p>
          <w:p w14:paraId="09F34C2D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1.4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highlight w:val="none"/>
              </w:rPr>
              <w:t>转换器：电动6孔转换器（带DIC插槽），通过机身的按钮、PC端软件控制物镜切换。</w:t>
            </w:r>
          </w:p>
          <w:p w14:paraId="1152842C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★1.5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highlight w:val="none"/>
              </w:rPr>
              <w:t>物镜：长工作距离平场半复消色差相差物镜4X/N.A.0.13, WD≥17.00mm，用于相差观察。长工作距离平场半复消色差物镜10X/N.A.0.30, WD≥8.8mm；20X/N.A.0.45, WD=6.5~7.6mm, 带校正环，可调盖玻片厚度0~2mm；40X/N.A.0.60, WD=2.85~4.05mm, 带校正环，可调盖玻片厚度=0~2mm；60X/N.A.0.70,WD=1.43~2.10mm, 带校正环，可调盖玻片厚度=0~1.3mm；用于DIC微分干涉观察。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325CBAC9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1.6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highlight w:val="none"/>
              </w:rPr>
              <w:t>载物台：台面尺寸≥300mm(X)×240mm(Y)，移动范围≥135mm(X) ×85mm(Y)，平台厚度30mm；右手低手位万向活动手柄，人机工程学设计，可进行360°旋转，降低手部疲劳。具有XY移动锁止功能，锁止后，移动范围≤50mm（X）×50mm（Y）。带压片夹（可夹持切片、培养瓶），Ø110mm玻璃圆盘（内径30）。</w:t>
            </w:r>
          </w:p>
          <w:p w14:paraId="2DB69548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★1.7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highlight w:val="none"/>
              </w:rPr>
              <w:t>聚光镜：电动聚光镜，≥7孔位，NA≥0.55，WD≥27mm；≥3孔用于φ30mm（相衬）、4孔用于φ38mm（DIC）；带电动孔径光阑、电动转盘、电动起偏镜；支持明场、相衬、DIC观察。聚光镜正面有孔径光阑、转盘、起偏镜控制按钮。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70AB5D99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★1.8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highlight w:val="none"/>
              </w:rPr>
              <w:t>机架：研究级倒置电动机架,低手位粗、微同轴电动调焦机构，Z 轴电动行程≥10.5mm，精度≤1um。机身前置数字化显示屏，方便直观了解设备状态，具备实时显示显微镜物镜倍率、透射照明亮度、荧光滤色块选择、左右出光口的打开关闭状态、起偏镜状态、荧光衰减片选择、光闸开关、中间变倍体等多个部件的实时状态。通过机身按键或PC端控制软件，具备完成所有观察方式的设定、光口状态的选择、以及荧光光闸的开关，设备根据设定选择自动运转进入对应观察模式。同时机身集成的电动控制按钮，具备一键自动对焦并实现聚光镜、亮度、物镜、光口等功能快速切换，保留机身按键与PC端软件双重按钮。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663952BE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★1.9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highlight w:val="none"/>
              </w:rPr>
              <w:t>电动出光口和多层荧光光路：主机内置电动上光口，位于机身左侧，分光比 100:0、0:100；内置电动左光口，分光比 0:100、 50:50、100:0。主机具有双层荧光光路，设计有上下两层光路，每层光路可选择配备不低于8孔荧光转盘系统，上下两层光路可选配不低于16个荧光滤色片，系统具备判定转盘放置在机架的上下层位置，并带有电动光闸功能，具备直接挡住荧光照明光源。带有荧光护目板。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17948814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1.10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highlight w:val="none"/>
              </w:rPr>
              <w:t>透射照明系统：可倾斜透射照明支架，透射柯拉照明系统，聚光镜托架升降可调，行程不小于 65mm，带有 4 组滤色片安装位置，含毛玻璃组。透射照明光源：10W 冷色LED灯箱组。</w:t>
            </w:r>
          </w:p>
          <w:p w14:paraId="035E9330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1.11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highlight w:val="none"/>
              </w:rPr>
              <w:t>电动控制：电动控制箱，输入电压为90-265VAC宽电压，输出有12V10W，通过CAN总线数字可调输出电压，另还有24V5A/15V5A/5V5A三种输出，装有强制风冷，支持热插拔；带1根3C电源线；DB9外置连接电缆线（200cm）</w:t>
            </w:r>
          </w:p>
          <w:p w14:paraId="2C5407E1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★1.12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highlight w:val="none"/>
              </w:rPr>
              <w:t>荧光装置：标配电动8孔荧光转盘系统；设计触发开关，具备自动判定转盘放置在机架的上下层位置；并带有光闸功能，具备直接挡住荧光照明光源。上下两层光路，可选配不低于16个荧光滤色片。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53B36002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1.13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highlight w:val="none"/>
              </w:rPr>
              <w:t>荧光光源：L型荧光照明器，带衰减滤色片插板防止猝灭，分别配备ND25\ND50；多波段LED光源,含365/460/525/625四激发通道，通道触发控制&lt;500ms，光强独立可控，≥10W大功率LED，可瞬间开启或关闭，无须预热或冷却，支持SDK控制。</w:t>
            </w:r>
          </w:p>
          <w:p w14:paraId="68EA8E5D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1.14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highlight w:val="none"/>
              </w:rPr>
              <w:t>荧光滤色片组: 标准 B/G/UV三组进口模块。技术指标为B ，EX480/30,DI505DC,EM535/40 ；G，EX560/40,DI600DC,EM635/60；UV，EX375/28,DI415DC,EM460/50。</w:t>
            </w:r>
          </w:p>
          <w:p w14:paraId="50ABBD1D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1.15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highlight w:val="none"/>
              </w:rPr>
              <w:t>光学附件：透射DIC插板组、10X透射DIC环板、20X透射DIC环板、40X/60X透射DIC环板。</w:t>
            </w:r>
          </w:p>
          <w:p w14:paraId="05EF879D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1.16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highlight w:val="none"/>
              </w:rPr>
              <w:t>显微成像系统：物理像素≥500万，芯片尺寸≥2/3英寸，帧率≥30fps@5.0MP，像素点≥3.4umX3.4um。</w:t>
            </w:r>
          </w:p>
          <w:p w14:paraId="25112A3A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1.17</w:t>
            </w:r>
            <w:r>
              <w:rPr>
                <w:rFonts w:hint="eastAsia" w:eastAsia="宋体" w:cs="宋体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highlight w:val="none"/>
              </w:rPr>
              <w:t>适配采集处理软件：正版软件。支持PC端控制显微镜，具备实现图像实时采集与图像拍照、录像，动静态分辨率可以动态切换；支持Z栈、延时采集，支持多色荧光合成及染料库管理，支持荧光通道做双通道、三通道合成，支持形态学测量及比例尺、标注，支持荧光定量测量，软件含加密狗。</w:t>
            </w:r>
          </w:p>
          <w:p w14:paraId="67A3A696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highlight w:val="none"/>
              </w:rPr>
              <w:t>2.工作站：</w:t>
            </w:r>
          </w:p>
          <w:p w14:paraId="5F6BC29D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CPU:≥睿频5.4GHz，20核心，28线程；内存≥32GB；硬盘≥2TB NVME；独立显卡，显存≥6GB；显示器：≥27英寸，分辨率≥1920×1080；</w:t>
            </w:r>
          </w:p>
          <w:p w14:paraId="6C466426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3.配套实验仪器技术指标</w:t>
            </w:r>
          </w:p>
          <w:p w14:paraId="08E2C0C8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3.1研究级倒置荧光显微镜1台：</w:t>
            </w:r>
            <w:bookmarkStart w:id="3" w:name="OLE_LINK8"/>
            <w:r>
              <w:rPr>
                <w:rFonts w:hint="eastAsia" w:ascii="宋体" w:hAnsi="宋体" w:eastAsia="宋体" w:cs="宋体"/>
                <w:highlight w:val="none"/>
              </w:rPr>
              <w:t>目镜：平场高眼点目镜10X/23，标配对中望远镜；目镜筒：45°倾斜，瞳距50~75mm，视度可调；平场半复荧光物镜：4X/0.13、10X/0.30、20X/0.45、40X/0.65，；光源：宽光谱大功率LED（350~760nm）；荧光模块：6孔位转盘式，切换便捷；标配激发块：紫外（U）EX375/28nm，DM415nm，EM460/50nm（DAPI）；蓝色（B）EX470/40nm，DM505nm，EM530/40nm（FITC）；绿色（G）EX530/40nm，DM565nm，EM605/55nm（TRITC/Cy3）；物镜转换器：六孔内定位，滚珠轴承，防霉；调焦：粗/微调同轴，微调格值1μm，带限位与锁紧；载物台：固定式240×260mm，行程135×85mm；聚光镜：超长工作距离72mm，NA=0.30，带相衬环板；透射光源：暖光LED，亮度连续可调；</w:t>
            </w:r>
          </w:p>
          <w:bookmarkEnd w:id="3"/>
          <w:p w14:paraId="4F742447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3.2冷冻研磨机1台：</w:t>
            </w:r>
            <w:r>
              <w:rPr>
                <w:rFonts w:hint="eastAsia" w:ascii="宋体" w:hAnsi="宋体" w:eastAsia="宋体" w:cs="宋体"/>
                <w:highlight w:val="none"/>
              </w:rPr>
              <w:t>兼容样品量：24×2mL/12×5mL；触摸屏显示；可存储≥20组实验数据，支持自定义实验模式（或预置常见样本模式）；模式循环：根据设置的实验参数，可在多个设定参数间循环；开盖运行保护：电磁锁定；最大进料尺寸：根据适配器调节；研磨管固定采用简便式试管压紧技术，高强度研磨下研磨管完整度高于99.95%；带自动中心定位的紧固装置，工作时安全锁全程保护；均质/振荡速度可调（如振荡频率10-70Hz），智能启动：可设定预冷时间，达到条件后自动启动；制冷功能：采用冷冻研磨装置，可实现-50℃到室温可调节；自动离心功能；电子锁/安全锁功能。</w:t>
            </w:r>
          </w:p>
          <w:p w14:paraId="596ED032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3.3冷藏箱（4℃）4台：</w:t>
            </w:r>
            <w:r>
              <w:rPr>
                <w:rFonts w:hint="eastAsia" w:ascii="宋体" w:hAnsi="宋体" w:eastAsia="宋体" w:cs="宋体"/>
                <w:highlight w:val="none"/>
              </w:rPr>
              <w:t>控温范围：2～8℃可调，显示精度0.1℃（或等效）；</w:t>
            </w:r>
          </w:p>
          <w:p w14:paraId="07E69D1B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有效容积：≥200L；制冷方式：风冷无霜，温度均匀性满足2～8℃控温要求（≤±2℃，或等效）；安全报警：高低温、断电、传感器故障、开门报警；蜂鸣+灯光提示，支持远程报警接口。</w:t>
            </w:r>
          </w:p>
          <w:p w14:paraId="07DCEC6A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3.4</w:t>
            </w:r>
            <w:r>
              <w:rPr>
                <w:rFonts w:hint="eastAsia" w:ascii="宋体" w:hAnsi="宋体" w:eastAsia="宋体" w:cs="宋体"/>
                <w:bCs/>
                <w:highlight w:val="none"/>
              </w:rPr>
              <w:t>纯水超纯水一体化系统1台</w:t>
            </w:r>
            <w:r>
              <w:rPr>
                <w:rFonts w:hint="eastAsia" w:ascii="宋体" w:hAnsi="宋体" w:eastAsia="宋体" w:cs="宋体"/>
                <w:highlight w:val="none"/>
              </w:rPr>
              <w:t>：自来水直接进水，纯水产水量≥10L/h；超纯水电阻率稳定≥18.2MΩ·cm@25℃，超纯水TOC≤10ppb、纯水TOC&lt;30ppb，微生物&lt;0.01CFU/mL；纯化系统：反渗透+EDI连续电除盐，配套紫外灯（双波长）、终端超滤）；操作取水配置：具备伸缩移动取水手臂，取水流速0–2L/min无级可调；触控显示屏（≥5英寸），实时显示水质、耗材寿命，支持运行数据存储导出，具备漏水、低压自动保护功能。</w:t>
            </w:r>
          </w:p>
          <w:p w14:paraId="479C6CEA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3.5细胞转染系统1台</w:t>
            </w:r>
            <w:r>
              <w:rPr>
                <w:rFonts w:hint="eastAsia" w:ascii="宋体" w:hAnsi="宋体" w:eastAsia="宋体" w:cs="宋体"/>
                <w:highlight w:val="none"/>
              </w:rPr>
              <w:t>：1–400V，脉冲宽度、脉冲段数可调；处理容量与电极配置：兼容12/24/96孔培养板，单孔处理体积可调；配套电极杯/电转杯，耗材满足细胞培养级灭菌要求（或GMP级灭菌）；智能操控系统：支持程序存储、调用与导出，波形实时显示。</w:t>
            </w:r>
          </w:p>
          <w:p w14:paraId="5675359B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四、其他要求</w:t>
            </w:r>
          </w:p>
          <w:p w14:paraId="32A999CD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1.提供技术资料，包括仪器技术说明书、应用方案、安装指南、操作使用说明书、标准操作规程与维护规程。</w:t>
            </w:r>
          </w:p>
          <w:p w14:paraId="454DAACE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2.质保期内免费提供配件更换与故障维修服务，免费提供一次设备迁移服务，配套软件终身免费维护与版本升级。</w:t>
            </w:r>
          </w:p>
          <w:p w14:paraId="322BDE88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3.由技术人员提供现场培训，培训人数不限，内容包括仪器使用与维护、软件编程、应用方法开发及常见问题处理。每年巡检不少于4次，组织培训不少于2次。</w:t>
            </w:r>
          </w:p>
        </w:tc>
        <w:tc>
          <w:tcPr>
            <w:tcW w:w="637" w:type="dxa"/>
            <w:noWrap w:val="0"/>
            <w:vAlign w:val="center"/>
          </w:tcPr>
          <w:p w14:paraId="40EDE4AA">
            <w:pPr>
              <w:wordWrap w:val="0"/>
              <w:adjustRightInd w:val="0"/>
              <w:snapToGrid w:val="0"/>
              <w:spacing w:line="360" w:lineRule="auto"/>
              <w:jc w:val="right"/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</w:pPr>
          </w:p>
        </w:tc>
      </w:tr>
      <w:tr w14:paraId="60C07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" w:type="dxa"/>
            <w:noWrap w:val="0"/>
            <w:vAlign w:val="center"/>
          </w:tcPr>
          <w:p w14:paraId="5B5FCED1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  <w:t>3</w:t>
            </w:r>
          </w:p>
        </w:tc>
        <w:tc>
          <w:tcPr>
            <w:tcW w:w="1074" w:type="dxa"/>
            <w:noWrap w:val="0"/>
            <w:vAlign w:val="center"/>
          </w:tcPr>
          <w:p w14:paraId="2DCC69D4">
            <w:pPr>
              <w:wordWrap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  <w:t>气质联用仪</w:t>
            </w:r>
          </w:p>
        </w:tc>
        <w:tc>
          <w:tcPr>
            <w:tcW w:w="6784" w:type="dxa"/>
            <w:noWrap w:val="0"/>
            <w:vAlign w:val="center"/>
          </w:tcPr>
          <w:p w14:paraId="29EF4E2D">
            <w:pPr>
              <w:spacing w:line="360" w:lineRule="auto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一、主要用途</w:t>
            </w:r>
          </w:p>
          <w:p w14:paraId="03DC7D2E">
            <w:pPr>
              <w:spacing w:line="360" w:lineRule="auto"/>
              <w:ind w:firstLine="420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用于挥发性及半挥发性有机化合物的气相色谱分离与质谱定性、定量分析，可开展环境、食品、药品、化工、材料等领域样品中痕量有机物检测、未知物快速筛查及多组分同时分析。</w:t>
            </w:r>
          </w:p>
          <w:p w14:paraId="6FE821EF">
            <w:pPr>
              <w:spacing w:line="360" w:lineRule="auto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二、配置清单</w:t>
            </w:r>
          </w:p>
          <w:p w14:paraId="0ACDEA19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  <w:t>气质联用仪</w:t>
            </w:r>
            <w:r>
              <w:rPr>
                <w:rFonts w:hint="eastAsia" w:ascii="宋体" w:hAnsi="宋体" w:eastAsia="宋体" w:cs="宋体"/>
                <w:bCs/>
                <w:highlight w:val="none"/>
              </w:rPr>
              <w:t>主机1套（质谱主机1套、气相主机1套、涡轮分子泵1套、机械泵1套、软件1套、谱库1套、扳手等工具包1套、进样垫、石墨压环、O型圈、微量进样针等消耗品1套、AFC分流过滤器、灯丝、金箔、铝箔等消耗品1套、He专用过滤器（除氧，除湿，除烃）1套、载气管，5m一根、氦气一套）；</w:t>
            </w:r>
          </w:p>
          <w:p w14:paraId="1EBCE2A3">
            <w:pPr>
              <w:spacing w:line="360" w:lineRule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2.工作站2台；</w:t>
            </w:r>
          </w:p>
          <w:p w14:paraId="3B9C1F9A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3.配套实验仪器（含全自动化学发光图像分析系统1套、超微量分光光度计2台、</w:t>
            </w:r>
            <w:r>
              <w:rPr>
                <w:rFonts w:hint="eastAsia" w:ascii="宋体" w:hAnsi="宋体" w:eastAsia="宋体" w:cs="宋体"/>
                <w:bCs/>
                <w:color w:val="000000"/>
                <w:highlight w:val="none"/>
              </w:rPr>
              <w:t>实时无标记细胞分析系统1台</w:t>
            </w:r>
            <w:r>
              <w:rPr>
                <w:rFonts w:hint="eastAsia" w:ascii="宋体" w:hAnsi="宋体" w:eastAsia="宋体" w:cs="宋体"/>
                <w:bCs/>
                <w:highlight w:val="none"/>
              </w:rPr>
              <w:t>、旋转 3D 细胞培养系统1台、荧光细胞计数仪2台、小型台式冷冻离心机1台、梯度PCR仪2台）。</w:t>
            </w:r>
          </w:p>
          <w:p w14:paraId="24E7C1A4">
            <w:pPr>
              <w:spacing w:line="360" w:lineRule="auto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三、技术指标</w:t>
            </w:r>
          </w:p>
          <w:p w14:paraId="3D3FD41F">
            <w:pPr>
              <w:spacing w:line="360" w:lineRule="auto"/>
              <w:rPr>
                <w:rFonts w:hint="eastAsia" w:ascii="宋体" w:hAnsi="宋体" w:eastAsia="宋体" w:cs="宋体"/>
                <w:b/>
                <w:highlight w:val="none"/>
              </w:rPr>
            </w:pPr>
            <w:bookmarkStart w:id="4" w:name="OLE_LINK7"/>
            <w:r>
              <w:rPr>
                <w:rFonts w:hint="eastAsia" w:ascii="宋体" w:hAnsi="宋体" w:eastAsia="宋体" w:cs="宋体"/>
                <w:b/>
                <w:highlight w:val="none"/>
              </w:rPr>
              <w:t>1.气质联用仪主机技术指标</w:t>
            </w:r>
          </w:p>
          <w:p w14:paraId="64315F5E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1.1 气相色谱部分</w:t>
            </w:r>
          </w:p>
          <w:p w14:paraId="42FC4FDC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★1.1.1 柱箱 操作温度范围：室温以上2℃~450℃；可设定升温速率：≥250℃/min；程序升温的阶数：≥32阶33平台；温度设定精度：≤0.1℃；控温精度：设定值(K) ± 1% (可校准至0.01℃)；温度稳定性：周围温度每变化1℃，柱温箱温度变化≤0.01℃；冷却速度：从450降到50℃≤3.4min（204s）；运行时间≥9999.99分钟；人机交互操作屏：气相色谱主机配置彩色触控操作显示屏，屏幕尺寸≥7 英寸，整机参数设置、状态查看、方法运行等操作均可通过本机触控屏完成；操作权限锁定功能：主机可参数锁定、屏幕锁定双重防护功能，两类锁定功能均可通过本机触控屏界面设置启用；载气泄漏自检功能：设备集成载气泄漏自检程序，完成检漏后可在本机触控屏直观展示检漏结果；主机配备彩色触摸屏，可直观配置、显示至少3路流路通道；具有一键设置柱温箱降温速率功能；柱温箱内置耐高温照明灯，开启箱门时灯具自动点亮；流路系统：需具有室温补偿和自动环境补偿功能，需具有恒线速度控制功能。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44BA3B35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★1.1.2 分流/不分流进样口 压力、流量和分流比可通过先进的流量控制系统进行数字化设定；配备全自动电子流量控制系统，具备室温补偿和自动环境补偿功能；具有恒线速度控制功能；进样口标配手动开关锁扣功能，徒手无需任何工具1秒内即可完成进样口的打开或关闭，仪器自动感知最佳气密位置，大幅简化维护操作；最高温度：≥450℃；压力设定范围：0~1035kPa（相当于0~150psi）；压力控制精度：≤0.001psi；压力程序比率设定范围：-400~400kPa/min；压力程序的阶数：≥7；分流比设定范围可达到12500:1；流量设定范围：0~1300mL/min。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2FA91BBB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1.1.3 自动进样器单元 样品位：≥150位样品盘；进样量范围：0.01~200 uL，10μL注射器以0.1μL步进；交叉污染：≤10-4(使用4种溶剂清洗，测定正己烷中1% 联苯)；具有样品优先模式；保留时间重复性：≤0.0008min；峰面积重复性：≤1% RSD。</w:t>
            </w:r>
          </w:p>
          <w:p w14:paraId="5D363076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1.1.4 程序升温进样口 最高温度：≥450℃，配备全自动电子流量控制系统，可室温补偿和自动环境补偿功能；支持恒流，恒压，程序增加流速，程序升压及压力脉冲等操作模式以及独特的恒线速度控制功能；标准配备载气节省模式；压力设定范围：0~1035kPa（相当于0~150psi）；分流比设定范围可达到9999.9:1；流量设定范围：0~1300mL/min；可设定升温速率：≥250℃/min；PTV方式升温程序的阶数：≥7阶。</w:t>
            </w:r>
          </w:p>
          <w:p w14:paraId="6AE48478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1.2 质谱部分</w:t>
            </w:r>
          </w:p>
          <w:p w14:paraId="7E53CD6F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★1.2.1 质谱分析性能 质量范围：1.5 u~1090 u；分辨率：0.4 u~2.0 u；质量稳定性：≤±0.1u/48小时 (恒温)；最大扫描速度：≥20000 u/sec。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7516164E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★1.2.2 灵敏度及检出限指标：</w:t>
            </w:r>
          </w:p>
          <w:p w14:paraId="008F29A0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EI Scan（氦气）：1pg，八氟萘 OFN ，m/z 272，S/N ≥ 2000；须采用30米毛细柱进行验收EI Scan（氢气）：1pg，八氟萘 OFN，m/z 272，S/N≥300；CI Scan：100 pg，二苯酮benzophenone，m/z 183，S/N≥1200；须采用30米毛细柱进行验收。NCI Scan：100 fg，八氟萘 OFN，m/z 272，S/N ≥1000；须采用30米毛细柱进行验收。IDL（SIM）：IDL ≤10 fg（100 fg，OFN， 8次连续进样，272m/z，峰面积RSD 3.4%）。仪器检出限 IDL ≤10 fg；测试条件：100 fg OFN 标液，连续 8 次进样，m/z 272，峰面积相对标准偏差 RSD≤3.4%。IDL（高速扫描Scan）： IDL ≤500 fg（1pg，OFN，8次连续进样，272m/z，扫描速度20,000 u/sec）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32E4A2C5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1.2.3 离子源 EI（标配）；离子源材质：整体惰性化高灵敏度离子源；离子化能量：10~200eV；离子源温度：独立控温，140~300℃；灯丝电流：5~250 μA（发射电流），双灯丝设计；GCMS 接口温度：50~350℃。</w:t>
            </w:r>
          </w:p>
          <w:p w14:paraId="711DE43B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1.2.4 质量分析器 配备预四极的高精度全金属四极杆，控温四极杆需提供四套备用；预四极可转动可清洗打磨，主四极杆可清洗打磨，预四极杆有效避免主四极杆，以及检测器的污染；四极杆具有自动优化加速功能。</w:t>
            </w:r>
          </w:p>
          <w:p w14:paraId="7E971511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1.2.5 扫描功能 支持全扫描模式(Scan)、选择离子扫描模式(SIM)以及Scan/SIM同时扫描模式；SIM模式下，支持≥64个离子通道，可设置≥128组分组方法。</w:t>
            </w:r>
          </w:p>
          <w:p w14:paraId="42A70523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1.2.6 检测系统 二次电子倍增管，配备偏转透镜（Overdrive Lens）和±10kV转换打拿；离轴连续打拿电子倍增器；动态范围：≥8×106。</w:t>
            </w:r>
          </w:p>
          <w:p w14:paraId="45050190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1.2.7 真空系统 高真空：双入口差动式涡轮分子泵排气系统，190L/sec +170L/sec（更换离子源后抽真空50分钟后，仪器恢复到分析状态）；低真空：30L/min（60Hz）机械泵；标配皮拉尼规、离子规，工作站软件可实时直观监测高真空、低真空数值；柱流量最大可达15mL/min（He），可直接连接最大0.53mm内径的色谱柱。</w:t>
            </w:r>
          </w:p>
          <w:p w14:paraId="04E5B5B6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★1.3.数据处理系统：①支持Scan，SIM和FASST（快速自动Scan/SIM同时扫描）数据采集方式。一体化数据结构，利用定量浏览器和数据浏览器具备方便的进行分析操作和信息追溯，满足GLP操作规范。②支持“Smart SIM”功能（自动创建SIM表）和“AART”功能（基于保留指数的保留时间自动校正），支持单次分析≥400种化合物。③支持中/英文工作站，一套软件即可安装成中文，亦可安装成英文。支持全中文的样品名、文件名、序列名等输入。④支持NIST库，Wiley库，同时还有多种基于保留指数开发的方法包和数据库，如Compound Composer快速筛查数据库，代谢物分析数据库，农药分析方法包，水质分析方法包，农药谱库，香精香料谱库，法医毒品数据库，EPA分析软件，VOC分析软件等。以上谱库均支持带保留指数的相似度检索（LRI），帮助用户在没有标准品的情况下对未知物进行更为准确的定性。支持通用谱库和自建谱库功能。⑤具有相似度检索，指定条件的相似度检索，反检索，索引查询等功能。⑥具有高度灵活的报告制作功能，各种类型的模板文件快捷选用，并支持自建模板。测定数据能够以AIA，JCAMP，ASCII，mzData或mzXML形式转换输出，自建谱库也可转换为JCAMP格式，强化与NIST提供的AMDIS程序的联合使用。⑦具有高精度控制QA/QC功能，支持自动计算信噪比、精密度、回收率、检出限等方法学指标，仪器系统检查功能和用户安全管理功能。⑧快速进样口维护功能：与质谱联机时可以在不卸真空的情况下更换进样垫和衬管，进行进样口维护。配备生态学模式Eco Mode，有效降低耗电量与装置的运行成本，并具备在批处理完成后自动运行。⑨支持智能钟功能。系统启动后真空状态、调谐结果自动判定，无需人为确认即可直接开始分析工作，序列运行、维护时间直观显示。⑩具有实时记录电力使用节约量和气源使用节约量的功能，可直观显示二氧化碳减排量。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  <w:t>提供技术白皮书、产品说明书、技术规格书（印刷版或官方网站可查）、第三方检测报告等公开可查的技术资料等证明材料。</w:t>
            </w:r>
          </w:p>
          <w:p w14:paraId="01ABA19D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1.4.配置要求：质谱主机1套、气相主机1套、涡轮分子泵1套、机械泵1套、软件1套、谱库1套、扳手等工具包1套、进样垫、石墨压环、O型圈、微量进样针等消耗品1套、AFC分流过滤器、灯丝、金箔、铝箔等消耗品1套、He专用过滤器（除氧，除湿，除烃）1套、载气管，5m一根、氦气一套、</w:t>
            </w:r>
          </w:p>
          <w:p w14:paraId="502DB29F">
            <w:pPr>
              <w:spacing w:line="360" w:lineRule="auto"/>
              <w:rPr>
                <w:rFonts w:hint="eastAsia" w:ascii="宋体" w:hAnsi="宋体" w:eastAsia="宋体" w:cs="宋体"/>
                <w:b/>
                <w:highlight w:val="none"/>
              </w:rPr>
            </w:pPr>
            <w:bookmarkStart w:id="5" w:name="OLE_LINK11"/>
            <w:r>
              <w:rPr>
                <w:rFonts w:hint="eastAsia" w:ascii="宋体" w:hAnsi="宋体" w:eastAsia="宋体" w:cs="宋体"/>
                <w:b/>
                <w:highlight w:val="none"/>
              </w:rPr>
              <w:t>2.工作站技术指标</w:t>
            </w:r>
          </w:p>
          <w:bookmarkEnd w:id="4"/>
          <w:bookmarkEnd w:id="5"/>
          <w:p w14:paraId="7CF32A8C">
            <w:pPr>
              <w:spacing w:line="360" w:lineRule="auto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CPU:≥睿频5.4GHz，20核心，28线程；内存≥32GB；硬盘≥2TB NVME；独立显卡，显存≥6GB；显示器：≥27英寸，分辨率≥1920×1080；</w:t>
            </w:r>
          </w:p>
          <w:p w14:paraId="005DDA43">
            <w:pPr>
              <w:spacing w:line="360" w:lineRule="auto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3.配套实验仪器技术指标</w:t>
            </w:r>
          </w:p>
          <w:p w14:paraId="3315396F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3.1 全自动化学发光图像分析系统1套：相机：科研级高分辨率数码深度制冷 CCD 或 CMOS 相机，具备深度制冷能力，制冷温度可达 -30℃及以下，并具备实时显示相机制冷温度。镜头：配备大口径、高通透电动变焦镜头，具备通过成像软件远程调节焦距与光圈，对焦操作便捷。激发光源与滤光系统：配备多色荧光激发光源（含蓝光、绿光、红光等），具备满足化学发光及多色荧光样品的成像检测需要；配备 ≥5 位电动滤光片轮，具备通过软件一键切换，适配不同荧光通道。载物平台与拍摄功能：配备可调节载物（样品）平台，兼容不同厚度的凝胶、膜片及培养样品拍摄；具备自动曝光与手动曝光、具备实时自动曝光，支持序列图像连续采集与批量保存，无需逐张单独存储。成像分析软件：配备中文成像分析软件，具备完成图像采集、标注、灰度 / 光密度分析及报告导出，支持用户管理与数据追溯。</w:t>
            </w:r>
          </w:p>
          <w:p w14:paraId="5C4B8C21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3.2 超微量分光光度</w:t>
            </w:r>
            <w:r>
              <w:rPr>
                <w:rFonts w:hint="eastAsia" w:eastAsia="宋体" w:cs="宋体"/>
                <w:bCs/>
                <w:highlight w:val="none"/>
                <w:lang w:val="en-US" w:eastAsia="zh-CN"/>
              </w:rPr>
              <w:t>计</w:t>
            </w:r>
            <w:r>
              <w:rPr>
                <w:rFonts w:hint="eastAsia" w:ascii="宋体" w:hAnsi="宋体" w:eastAsia="宋体" w:cs="宋体"/>
                <w:bCs/>
                <w:highlight w:val="none"/>
              </w:rPr>
              <w:t>2台：≥10寸高清触摸屏，触摸屏可左右移动且前后≥90度角调整角度；检测波长范围≥190nm-1100nm；波长精度：±1nm；波长分辨率：≤1.6n样本体积要求：0.5-2.0ul；光程数量：≥3个；光程规格：0.02mm、0.03mm、0.05mm、0.1mm、0.2mm 、1mm。光源：≥2个，至少包含氙闪灯光、LED发光二</w:t>
            </w:r>
            <w:r>
              <w:rPr>
                <w:rFonts w:hint="eastAsia" w:eastAsia="宋体" w:cs="宋体"/>
                <w:bCs/>
                <w:highlight w:val="none"/>
                <w:lang w:val="en-US" w:eastAsia="zh-CN"/>
              </w:rPr>
              <w:t>极</w:t>
            </w:r>
            <w:r>
              <w:rPr>
                <w:rFonts w:hint="eastAsia" w:ascii="宋体" w:hAnsi="宋体" w:eastAsia="宋体" w:cs="宋体"/>
                <w:bCs/>
                <w:highlight w:val="none"/>
              </w:rPr>
              <w:t>管。检测器：2048—像素线型硅CMOS阵列。吸光度准确度：≤±3%（@302nm)。吸光率范围(等效于10mm) ≥0.04 - 300A。核酸检测范围≥2-30000ng/μl（dsDNA）。检测时间：≤8S。OD600吸光度范围：0~4.000 Abs。OD600吸光度稳定性：[0,3）≤0.5%, [3,4）≤2%。OD600吸光度重复性：[0,3）≤0.5%, [3,4）≤2%。荧光计模式灵敏度：dsDNA:＜0.5pg/ul。荧光计模式线性度：R2≥0.995荧光计模式下荧光检测可通过动力学实时监测样本荧光强度的变化。安全性：支持人脸识别功能，保证数据保密性；仪器内置照相机，在检测前对样品形成的液柱进行数码成像，快速判断液柱成形情况，保证测试结果准确性，提供相机物理结构照片作为佐证。仪器内置蛋白库、染料库以及标准曲线库，能将所需信息提前存入系统，用户在使用过程中可直接调取，无需重复设置，简化操作流程。提供对应的dsDNA高灵敏度检测试剂盒1份；石英比色皿一份。</w:t>
            </w:r>
          </w:p>
          <w:p w14:paraId="26E158F8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3.3实时无标记细胞分析系统1台：检测方式：实时连续的细胞检测；标记方式：无需标记物，细胞无损伤；阻抗检测范围：10欧姆到5千欧姆；阻抗检测准确度：± (1.5% + 1 Ω)；电极数：≥1500个/孔（E-Plate）；细胞增殖实验：实时无标记检测细胞检测细胞长时程增殖过程，包括对细胞进行基因沉默/过表达后，细胞增殖的变化过程；检测通量：≥1×16个样本；检测周期：秒～天/周；阻抗测试信号: 在10kHz下为22 mV rms ± 20%</w:t>
            </w:r>
          </w:p>
          <w:p w14:paraId="50C26D1D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 xml:space="preserve">3.4旋转 3D 细胞培养系统1台：极限微重力模拟效应可达 0.001g，可自定义模拟微重力效应模拟水平（需配合 SG-RWV、SG-NSV、SG-PRV 等配套反应容器使用） 转速调节：0~120RPM,增量 0.2RPM,误差小于±0.2RPM；气体控制：具备控气流流动方式实现气体主动交换； 梯度模拟：支持 1~3 个微重力梯度模拟；载荷能力：适配 SG-RWV、SG-NSV 反应容器，适配容量范围 1ml-500ml,独立装载； 全封闭气路，自带可更换滤芯的进气过滤系统； 正压驱动，在 SG-RWV 半封闭旋转壁气体交换膜表面实现持续微压吹扫，增强反应腔体内外 O2/CO2交换能力； 控制方式：≥7寸彩色高清触摸显示屏，全触摸控制； </w:t>
            </w:r>
          </w:p>
          <w:p w14:paraId="42DBBF3E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3.5荧光细胞计数仪2台 ：仪器类型：一体化台式细胞计数仪，无需额外配置电脑。检测通量：单次可检测样本数量≥4个，无需专用细胞计数板。：设备采用无耗材技术，直接加样计数，无需一次性细胞计数板、血球计数板等耗材。设备可进行明场，荧光、AOPI的成像和统计分析以及GFP, mCherry的转染效率统计分析。无需人工计算，软件具备直接计算出达到目的浓度的稀释方法。检测浓度范围1x103-3x107/ml。设备可检测细胞直径范围：1-200μm。上样体积：可根据不同样本选择≤20μl上样体积。检测速度：明场≤3秒，荧光 ≤5秒；单个样本可检测视野数：≥ 5个。荧光激发光源：488nm和587nm 长寿命LED荧光光源。发射通道：535nm和600nm LP。明场照明：长寿命白光LED光源。对焦方式：系统全自动聚焦。成像元件： ≥600万像素显微专用cmos成像相机。</w:t>
            </w:r>
          </w:p>
          <w:p w14:paraId="3B006989">
            <w:pPr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3.6 小型台式冷冻离心机1台：离心性能：设备最大离心力 ≥21000×g，最大转速 ≥14000rpm；标配 24×1.5ml/2ml 转头 1 个，最大容量 10×5ml。转子盖锁定：转子盖具备安全锁定与不平衡保护功能，盖锁未到位不能启动、运行中开盖自动停机，并配超速、超温保护。加速时间：静止状态加速到最高转速，时间 ≤12 秒，可提高离心效率。温控范围与降温速度：温控范围 -9℃～+40℃，1℃步进可调；室温降至 4℃ ≤9 分钟。</w:t>
            </w:r>
          </w:p>
          <w:p w14:paraId="2DC86686">
            <w:pPr>
              <w:tabs>
                <w:tab w:val="left" w:pos="5136"/>
              </w:tabs>
              <w:spacing w:line="360" w:lineRule="auto"/>
              <w:rPr>
                <w:rFonts w:hint="eastAsia" w:ascii="宋体" w:hAnsi="宋体" w:eastAsia="宋体" w:cs="宋体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highlight w:val="none"/>
              </w:rPr>
              <w:t>3.7 梯度PCR仪2台：温控性能：温控范围 0℃～100.0℃，温度设定分辨率 ≤0.1℃；在常用扩增温度区间（约 35～99.9℃）温度准确度约 ±0.25℃；升至 95℃ 稳定后，整板孔间温度均一性≤ 0.5℃。梯度功能：支持温度梯度，模块分为多个可独立控温的区块，相邻区块温差可在约 0.1～5℃ 范围内调节，便于一次运行筛选最适退火温度。通量与反应体系：配备96×0.2mL 孔位模块，单孔反应体积具备覆盖约 10～80μL（或 10～100μL）。升降温速率：金属模块具备较快的升降温速率，缩短程序运行时间。</w:t>
            </w:r>
          </w:p>
          <w:p w14:paraId="45432F4C">
            <w:pPr>
              <w:spacing w:line="360" w:lineRule="auto"/>
              <w:rPr>
                <w:rFonts w:hint="eastAsia" w:ascii="宋体" w:hAnsi="宋体" w:eastAsia="宋体" w:cs="宋体"/>
                <w:b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highlight w:val="none"/>
              </w:rPr>
              <w:t>四、其他要求</w:t>
            </w:r>
          </w:p>
          <w:p w14:paraId="7C0D2D06"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highlight w:val="none"/>
              </w:rPr>
              <w:t>1.提供制造商或总代理商授权书。</w:t>
            </w:r>
          </w:p>
          <w:p w14:paraId="24850F0B"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highlight w:val="none"/>
              </w:rPr>
              <w:t>2.提供技术资料，包括仪器技术说明书、应用方案、安装指南、操作使用说明书、标准操作规程与维护规程。</w:t>
            </w:r>
          </w:p>
          <w:p w14:paraId="69064AE4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highlight w:val="none"/>
              </w:rPr>
              <w:t>3.质保期内免费提供配件更换与故障维修服务，免费提供一次设备迁移服务，配套软件终身免费维护与版本升级。</w:t>
            </w:r>
          </w:p>
          <w:p w14:paraId="4F6BD90D"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highlight w:val="none"/>
              </w:rPr>
              <w:t>4.由技术人员提供现场培训，培训人数不限，内容包括仪器使用与维护、软件编程、应用方法开发及常见问题处理。每年巡检不少于4次，组织培训不少于2次。</w:t>
            </w:r>
          </w:p>
        </w:tc>
        <w:tc>
          <w:tcPr>
            <w:tcW w:w="637" w:type="dxa"/>
            <w:noWrap w:val="0"/>
            <w:vAlign w:val="center"/>
          </w:tcPr>
          <w:p w14:paraId="21590992">
            <w:pPr>
              <w:wordWrap w:val="0"/>
              <w:adjustRightInd w:val="0"/>
              <w:snapToGrid w:val="0"/>
              <w:spacing w:line="360" w:lineRule="auto"/>
              <w:jc w:val="right"/>
              <w:rPr>
                <w:rFonts w:hint="eastAsia" w:ascii="宋体" w:hAnsi="宋体" w:eastAsia="宋体" w:cs="宋体"/>
                <w:color w:val="000000"/>
                <w:szCs w:val="21"/>
                <w:highlight w:val="none"/>
              </w:rPr>
            </w:pPr>
          </w:p>
        </w:tc>
      </w:tr>
    </w:tbl>
    <w:p w14:paraId="658F1E2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eastAsia="宋体" w:cs="宋体"/>
          <w:b/>
          <w:bCs/>
          <w:color w:val="000000"/>
          <w:kern w:val="0"/>
          <w:sz w:val="21"/>
          <w:szCs w:val="21"/>
          <w:highlight w:val="none"/>
          <w:lang w:val="en-US" w:eastAsia="zh-CN" w:bidi="ar"/>
        </w:rPr>
        <w:t>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highlight w:val="none"/>
          <w:lang w:val="en-US" w:eastAsia="zh-CN" w:bidi="ar"/>
        </w:rPr>
        <w:t xml:space="preserve">、商务要求 </w:t>
      </w:r>
    </w:p>
    <w:p w14:paraId="6DEE9CE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.1采购范围：河南科技学院现代农业产业科技创新平台—生物信息与生物医药技术研究中心项目所需1套流式细胞仪、1套活细胞观测系统、1套气质联用仪的供货、运输、保险、装卸、安装、检测、调试、试运行、验收交付、培训、技术支持、软件升级、售后保修及相关伴随服务等，详见河南省政府采购网附件“采购需求”。</w:t>
      </w:r>
    </w:p>
    <w:p w14:paraId="70C4FFA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.2交货期：合同生效后60日历天内。</w:t>
      </w:r>
    </w:p>
    <w:p w14:paraId="701D02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.3交货地点：河南科技学院。</w:t>
      </w:r>
    </w:p>
    <w:p w14:paraId="7BD9EA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.4质量标准：符合国家相关质量验收合格标准。</w:t>
      </w:r>
    </w:p>
    <w:p w14:paraId="7D7F9F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.5质保期：验收合格并正常运行之日起，提供原厂5年质保服务，质保期内免费提供配件更换与故障维修服务，免费提供一次设备迁移服务，配套软件终身免费维护与版本升级，质保期内故障响应时间不超过24小时，2个工作日内安排工程师到场检修。</w:t>
      </w:r>
    </w:p>
    <w:p w14:paraId="39AC1DC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.6投标有效期：递交投标文件的截止之日起90日历天。</w:t>
      </w:r>
    </w:p>
    <w:p w14:paraId="2BCB3A1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3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 w:bidi="ar"/>
        </w:rPr>
        <w:t>.7采购资金的支付方式、时间（付款方式）：合同生效后，中标人15个工作日内向采购人提供合同额65%的银行保函(有效期不低于12个月)，采购人收到银行保函后15个工作日内向中标人支付合同额65%的预付款；到货后，经初验合格，采购人15个工作日内支付初验合格货物金额的20%;自第三方验收合格之日起且乙方出具正式发票(其中国产教学科研用设备仪器、平台软件类须提供增值税专用发票)后30个工作日内，甲方向乙方支付剩余款项。第三方验收费用由乙方承担，项目验收方式及收费标准：第三方验收，合同金额*1.5%*0.72。</w:t>
      </w:r>
    </w:p>
    <w:p w14:paraId="6009F8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四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、其他要求</w:t>
      </w:r>
    </w:p>
    <w:p w14:paraId="52A10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</w:pPr>
      <w:r>
        <w:rPr>
          <w:rFonts w:hint="eastAsia" w:eastAsia="宋体" w:cs="宋体"/>
          <w:kern w:val="2"/>
          <w:sz w:val="21"/>
          <w:szCs w:val="21"/>
          <w:highlight w:val="none"/>
          <w:lang w:val="en-US" w:eastAsia="zh-CN" w:bidi="ar-SA"/>
        </w:rPr>
        <w:t>4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.1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投标人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针对本项目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编制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供货方案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，包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含：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（1）供货计划（含供货周期、交货顺序、到货时间节点）；（2）货物运输方案（含运输方式、包装防护、运输保障措施）；（3）货物验收衔接方案（含验收流程、验收标准配合、异议处理）。</w:t>
      </w:r>
    </w:p>
    <w:p w14:paraId="0EDA00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eastAsia="宋体" w:cs="宋体"/>
          <w:kern w:val="2"/>
          <w:sz w:val="21"/>
          <w:szCs w:val="21"/>
          <w:highlight w:val="none"/>
          <w:lang w:val="en-US" w:eastAsia="zh-CN" w:bidi="ar-SA"/>
        </w:rPr>
        <w:t>4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.2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投标人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针对本项目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编制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安装、调试方案，包含：（1）安装调试计划（含安装调试周期、人员分工、进度安排）；（2）安装调试流程（含现场准备、设备安装、系统调试步骤）；（3）安装调试质量保障措施（含操作规范、质量检验、安全防护）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。</w:t>
      </w:r>
    </w:p>
    <w:p w14:paraId="5EAA5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eastAsia="宋体" w:cs="宋体"/>
          <w:kern w:val="2"/>
          <w:sz w:val="21"/>
          <w:szCs w:val="21"/>
          <w:highlight w:val="none"/>
          <w:lang w:val="en-US" w:eastAsia="zh-CN" w:bidi="ar-SA"/>
        </w:rPr>
        <w:t>4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.3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投标人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针对本项目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编制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质保期内保证措施，包含：质保响应机制（含响应时限、故障处理流程）；（2）质保维修服务（含上门维修、故障排除、部件更换保障）；（3）质保期内巡检与维护计划（含定期巡检频次、维护内容、问题预判）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。</w:t>
      </w:r>
    </w:p>
    <w:p w14:paraId="078BB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eastAsia="宋体" w:cs="宋体"/>
          <w:kern w:val="2"/>
          <w:sz w:val="21"/>
          <w:szCs w:val="21"/>
          <w:highlight w:val="none"/>
          <w:lang w:val="en-US" w:eastAsia="zh-CN" w:bidi="ar-SA"/>
        </w:rPr>
        <w:t>4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.4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投标人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针对本项目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编制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质保期外保证措施，包含：（1）质保期外维修服务方案（含维修收费标准、服务流程）；（2）长期技术支持（含技术咨询、系统升级指导、故障远程协助）；（3）备品备件长期供应保障（含备件储备、供应周期、价格承诺）。</w:t>
      </w:r>
    </w:p>
    <w:p w14:paraId="1AEEE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360" w:lineRule="auto"/>
        <w:ind w:firstLine="420" w:firstLineChars="200"/>
        <w:jc w:val="both"/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eastAsia="宋体" w:cs="宋体"/>
          <w:kern w:val="2"/>
          <w:sz w:val="21"/>
          <w:szCs w:val="21"/>
          <w:highlight w:val="none"/>
          <w:lang w:val="en-US" w:eastAsia="zh-CN" w:bidi="ar-SA"/>
        </w:rPr>
        <w:t>4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.5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投标人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针对本项目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编制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培训计划，包含：（1）培训方式、培训人员数量；（2）培训内容；（3）培训质量保证措施。</w:t>
      </w:r>
    </w:p>
    <w:p w14:paraId="28481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360" w:lineRule="auto"/>
        <w:ind w:firstLine="420" w:firstLineChars="200"/>
        <w:jc w:val="both"/>
      </w:pPr>
      <w:r>
        <w:rPr>
          <w:rFonts w:hint="eastAsia" w:eastAsia="宋体" w:cs="宋体"/>
          <w:kern w:val="2"/>
          <w:sz w:val="21"/>
          <w:szCs w:val="21"/>
          <w:highlight w:val="none"/>
          <w:lang w:val="en-US" w:eastAsia="zh-CN" w:bidi="ar-SA"/>
        </w:rPr>
        <w:t>4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 w:bidi="ar-SA"/>
        </w:rPr>
        <w:t>.6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投标人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针对本项目</w:t>
      </w:r>
      <w:r>
        <w:rPr>
          <w:rFonts w:hint="eastAsia" w:eastAsia="宋体" w:cs="宋体"/>
          <w:kern w:val="2"/>
          <w:sz w:val="21"/>
          <w:szCs w:val="21"/>
          <w:highlight w:val="none"/>
          <w:lang w:eastAsia="zh-CN" w:bidi="ar-SA"/>
        </w:rPr>
        <w:t>编制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eastAsia="zh-CN" w:bidi="ar-SA"/>
        </w:rPr>
        <w:t>售后服务方案，包含：（1）服务质量承诺（含服务标准、投诉处理时限及承诺）；（2）响应时效承诺（含紧急故障、一般故障的响应及处理时限）；（3）售后服务计划与售后服务人员配置。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1E21EE"/>
    <w:multiLevelType w:val="singleLevel"/>
    <w:tmpl w:val="371E21E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6961D1"/>
    <w:rsid w:val="6569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2026-10-23T04:22:00Z</dcterms:created>
  <dc:creator>恒信</dc:creator>
  <cp:lastModifiedBy>恒信</cp:lastModifiedBy>
  <dcterms:modified xsi:type="dcterms:W3CDTF">2026-10-23T04:23:26Z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01431948E0004B76956DA8C9303BE1C2_11</vt:lpwstr>
  </property>
  <property fmtid="{D5CDD505-2E9C-101B-9397-08002B2CF9AE}" pid="4" name="KSOTemplateDocerSaveRecord">
    <vt:lpwstr>eyJoZGlkIjoiOWMwZTkwMTc2Y2Y1OGJhYWU2N2Q0YTcwMGJhY2I2MDYiLCJ1c2VySWQiOiI0Mjg2NDcwODQifQ==</vt:lpwstr>
  </property>
</Properties>
</file>