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8C016">
      <w:pPr>
        <w:keepNext/>
        <w:keepLines/>
        <w:spacing w:line="360" w:lineRule="auto"/>
        <w:jc w:val="center"/>
        <w:outlineLvl w:val="0"/>
        <w:rPr>
          <w:rFonts w:hint="default" w:ascii="Times New Roman" w:hAnsi="Times New Roman" w:eastAsia="宋体" w:cs="Times New Roman"/>
          <w:b/>
          <w:sz w:val="28"/>
          <w:szCs w:val="22"/>
          <w:highlight w:val="none"/>
          <w:lang w:val="en-US" w:eastAsia="zh-CN"/>
        </w:rPr>
      </w:pPr>
      <w:bookmarkStart w:id="0" w:name="_Toc18734"/>
      <w:r>
        <w:rPr>
          <w:rFonts w:hint="eastAsia" w:ascii="Times New Roman" w:hAnsi="Times New Roman" w:eastAsia="宋体" w:cs="Times New Roman"/>
          <w:b/>
          <w:sz w:val="28"/>
          <w:szCs w:val="22"/>
          <w:highlight w:val="none"/>
          <w:lang w:val="en-US" w:eastAsia="zh-CN"/>
        </w:rPr>
        <w:t>河南科技学院现代农业产业科技创新平台—生物信息与生物医药技术研究中心项目包</w:t>
      </w:r>
      <w:bookmarkEnd w:id="0"/>
      <w:r>
        <w:rPr>
          <w:rFonts w:hint="eastAsia" w:ascii="Times New Roman" w:hAnsi="Times New Roman" w:cs="Times New Roman"/>
          <w:b/>
          <w:sz w:val="28"/>
          <w:szCs w:val="22"/>
          <w:highlight w:val="none"/>
          <w:lang w:val="en-US" w:eastAsia="zh-CN"/>
        </w:rPr>
        <w:t>2</w:t>
      </w:r>
      <w:bookmarkStart w:id="5" w:name="_GoBack"/>
      <w:bookmarkEnd w:id="5"/>
      <w:r>
        <w:rPr>
          <w:rFonts w:hint="eastAsia" w:ascii="Times New Roman" w:hAnsi="Times New Roman" w:cs="Times New Roman"/>
          <w:b/>
          <w:sz w:val="28"/>
          <w:szCs w:val="22"/>
          <w:highlight w:val="none"/>
          <w:lang w:val="en-US" w:eastAsia="zh-CN"/>
        </w:rPr>
        <w:t>采购需求</w:t>
      </w:r>
    </w:p>
    <w:p w14:paraId="1DB7191F">
      <w:pPr>
        <w:spacing w:line="360" w:lineRule="auto"/>
        <w:rPr>
          <w:rFonts w:ascii="宋体" w:hAnsi="宋体" w:eastAsia="宋体" w:cs="宋体"/>
          <w:b/>
          <w:bCs/>
          <w:sz w:val="24"/>
          <w:szCs w:val="32"/>
          <w:highlight w:val="none"/>
        </w:rPr>
      </w:pPr>
      <w:r>
        <w:rPr>
          <w:rFonts w:ascii="宋体" w:hAnsi="宋体" w:eastAsia="宋体" w:cs="宋体"/>
          <w:b/>
          <w:bCs/>
          <w:sz w:val="24"/>
          <w:szCs w:val="32"/>
          <w:highlight w:val="none"/>
        </w:rPr>
        <w:t>一、设备清单</w:t>
      </w:r>
    </w:p>
    <w:tbl>
      <w:tblPr>
        <w:tblStyle w:val="3"/>
        <w:tblW w:w="9164" w:type="dxa"/>
        <w:tblInd w:w="-3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8"/>
        <w:gridCol w:w="2587"/>
        <w:gridCol w:w="854"/>
        <w:gridCol w:w="1197"/>
        <w:gridCol w:w="1748"/>
      </w:tblGrid>
      <w:tr w14:paraId="615D0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78" w:type="dxa"/>
            <w:noWrap w:val="0"/>
            <w:vAlign w:val="center"/>
          </w:tcPr>
          <w:p w14:paraId="4E89F51A">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包名称</w:t>
            </w:r>
          </w:p>
        </w:tc>
        <w:tc>
          <w:tcPr>
            <w:tcW w:w="2587" w:type="dxa"/>
            <w:noWrap w:val="0"/>
            <w:vAlign w:val="center"/>
          </w:tcPr>
          <w:p w14:paraId="65BFA526">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设备名称</w:t>
            </w:r>
          </w:p>
        </w:tc>
        <w:tc>
          <w:tcPr>
            <w:tcW w:w="854" w:type="dxa"/>
            <w:noWrap w:val="0"/>
            <w:vAlign w:val="center"/>
          </w:tcPr>
          <w:p w14:paraId="7E404070">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数量</w:t>
            </w:r>
          </w:p>
        </w:tc>
        <w:tc>
          <w:tcPr>
            <w:tcW w:w="1197" w:type="dxa"/>
            <w:noWrap w:val="0"/>
            <w:vAlign w:val="center"/>
          </w:tcPr>
          <w:p w14:paraId="15A9D1EB">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是否接受进口</w:t>
            </w:r>
          </w:p>
        </w:tc>
        <w:tc>
          <w:tcPr>
            <w:tcW w:w="1748" w:type="dxa"/>
            <w:noWrap w:val="0"/>
            <w:vAlign w:val="center"/>
          </w:tcPr>
          <w:p w14:paraId="524B65A0">
            <w:pPr>
              <w:jc w:val="center"/>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备注</w:t>
            </w:r>
          </w:p>
        </w:tc>
      </w:tr>
      <w:tr w14:paraId="62BB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78" w:type="dxa"/>
            <w:vMerge w:val="restart"/>
            <w:noWrap w:val="0"/>
            <w:vAlign w:val="center"/>
          </w:tcPr>
          <w:p w14:paraId="3CCF9C5A">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河南科技学院现代农业产业科技创新平台—生物信息与生物医药技术研究中心项目包2</w:t>
            </w:r>
          </w:p>
        </w:tc>
        <w:tc>
          <w:tcPr>
            <w:tcW w:w="2587" w:type="dxa"/>
            <w:noWrap w:val="0"/>
            <w:vAlign w:val="center"/>
          </w:tcPr>
          <w:p w14:paraId="58E52089">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蛋白高精度液相分析系统</w:t>
            </w:r>
          </w:p>
        </w:tc>
        <w:tc>
          <w:tcPr>
            <w:tcW w:w="854" w:type="dxa"/>
            <w:noWrap w:val="0"/>
            <w:vAlign w:val="center"/>
          </w:tcPr>
          <w:p w14:paraId="30185E23">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1套</w:t>
            </w:r>
          </w:p>
        </w:tc>
        <w:tc>
          <w:tcPr>
            <w:tcW w:w="1197" w:type="dxa"/>
            <w:noWrap w:val="0"/>
            <w:vAlign w:val="center"/>
          </w:tcPr>
          <w:p w14:paraId="56FF5A8C">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是</w:t>
            </w:r>
          </w:p>
        </w:tc>
        <w:tc>
          <w:tcPr>
            <w:tcW w:w="1748" w:type="dxa"/>
            <w:vMerge w:val="restart"/>
            <w:noWrap w:val="0"/>
            <w:vAlign w:val="center"/>
          </w:tcPr>
          <w:p w14:paraId="69FCC5A3">
            <w:pPr>
              <w:jc w:val="center"/>
              <w:rPr>
                <w:rFonts w:hint="default" w:ascii="Times New Roman" w:hAnsi="Times New Roman" w:eastAsia="宋体" w:cs="Times New Roman"/>
                <w:szCs w:val="21"/>
                <w:highlight w:val="none"/>
                <w:lang w:val="en-US" w:eastAsia="zh-CN"/>
              </w:rPr>
            </w:pPr>
            <w:r>
              <w:rPr>
                <w:rFonts w:ascii="Times New Roman" w:hAnsi="Times New Roman" w:eastAsia="宋体" w:cs="Times New Roman"/>
                <w:b/>
                <w:bCs/>
                <w:szCs w:val="21"/>
                <w:highlight w:val="none"/>
              </w:rPr>
              <w:t>蛋白高精度液相分析系统</w:t>
            </w:r>
            <w:r>
              <w:rPr>
                <w:rFonts w:hint="eastAsia" w:ascii="Times New Roman" w:hAnsi="Times New Roman" w:eastAsia="宋体" w:cs="Times New Roman"/>
                <w:b/>
                <w:bCs/>
                <w:szCs w:val="21"/>
                <w:highlight w:val="none"/>
                <w:lang w:eastAsia="zh-CN"/>
              </w:rPr>
              <w:t>、</w:t>
            </w:r>
            <w:r>
              <w:rPr>
                <w:rFonts w:hint="eastAsia" w:ascii="Times New Roman" w:hAnsi="Times New Roman" w:eastAsia="宋体" w:cs="Times New Roman"/>
                <w:b/>
                <w:bCs/>
                <w:szCs w:val="21"/>
                <w:highlight w:val="none"/>
                <w:lang w:val="en-US" w:eastAsia="zh-CN"/>
              </w:rPr>
              <w:t>流变仪为本包段的核心产品</w:t>
            </w:r>
          </w:p>
        </w:tc>
      </w:tr>
      <w:tr w14:paraId="2B869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78" w:type="dxa"/>
            <w:vMerge w:val="continue"/>
            <w:noWrap w:val="0"/>
            <w:vAlign w:val="center"/>
          </w:tcPr>
          <w:p w14:paraId="48AEE9E3">
            <w:pPr>
              <w:jc w:val="center"/>
              <w:rPr>
                <w:rFonts w:ascii="Times New Roman" w:hAnsi="Times New Roman" w:eastAsia="宋体" w:cs="Times New Roman"/>
                <w:szCs w:val="21"/>
                <w:highlight w:val="none"/>
              </w:rPr>
            </w:pPr>
          </w:p>
        </w:tc>
        <w:tc>
          <w:tcPr>
            <w:tcW w:w="2587" w:type="dxa"/>
            <w:noWrap w:val="0"/>
            <w:vAlign w:val="center"/>
          </w:tcPr>
          <w:p w14:paraId="2B7C1FD2">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流变仪</w:t>
            </w:r>
          </w:p>
        </w:tc>
        <w:tc>
          <w:tcPr>
            <w:tcW w:w="854" w:type="dxa"/>
            <w:noWrap w:val="0"/>
            <w:vAlign w:val="center"/>
          </w:tcPr>
          <w:p w14:paraId="2DD2B180">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1套</w:t>
            </w:r>
          </w:p>
        </w:tc>
        <w:tc>
          <w:tcPr>
            <w:tcW w:w="1197" w:type="dxa"/>
            <w:noWrap w:val="0"/>
            <w:vAlign w:val="center"/>
          </w:tcPr>
          <w:p w14:paraId="0C6B8EA5">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是</w:t>
            </w:r>
          </w:p>
        </w:tc>
        <w:tc>
          <w:tcPr>
            <w:tcW w:w="1748" w:type="dxa"/>
            <w:vMerge w:val="continue"/>
            <w:noWrap w:val="0"/>
            <w:vAlign w:val="center"/>
          </w:tcPr>
          <w:p w14:paraId="4A242CE3">
            <w:pPr>
              <w:jc w:val="center"/>
              <w:rPr>
                <w:rFonts w:ascii="Times New Roman" w:hAnsi="Times New Roman" w:eastAsia="宋体" w:cs="Times New Roman"/>
                <w:szCs w:val="21"/>
                <w:highlight w:val="none"/>
              </w:rPr>
            </w:pPr>
          </w:p>
        </w:tc>
      </w:tr>
      <w:tr w14:paraId="63BA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78" w:type="dxa"/>
            <w:vMerge w:val="continue"/>
            <w:noWrap w:val="0"/>
            <w:vAlign w:val="center"/>
          </w:tcPr>
          <w:p w14:paraId="029096C8">
            <w:pPr>
              <w:jc w:val="center"/>
              <w:rPr>
                <w:rFonts w:ascii="Times New Roman" w:hAnsi="Times New Roman" w:eastAsia="宋体" w:cs="Times New Roman"/>
                <w:szCs w:val="21"/>
                <w:highlight w:val="none"/>
              </w:rPr>
            </w:pPr>
          </w:p>
        </w:tc>
        <w:tc>
          <w:tcPr>
            <w:tcW w:w="2587" w:type="dxa"/>
            <w:noWrap w:val="0"/>
            <w:vAlign w:val="center"/>
          </w:tcPr>
          <w:p w14:paraId="31A9CBD5">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纳米粒度Zeta电位仪</w:t>
            </w:r>
          </w:p>
        </w:tc>
        <w:tc>
          <w:tcPr>
            <w:tcW w:w="854" w:type="dxa"/>
            <w:noWrap w:val="0"/>
            <w:vAlign w:val="center"/>
          </w:tcPr>
          <w:p w14:paraId="1195474C">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1套</w:t>
            </w:r>
          </w:p>
        </w:tc>
        <w:tc>
          <w:tcPr>
            <w:tcW w:w="1197" w:type="dxa"/>
            <w:noWrap w:val="0"/>
            <w:vAlign w:val="center"/>
          </w:tcPr>
          <w:p w14:paraId="0AB4CF61">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是</w:t>
            </w:r>
          </w:p>
        </w:tc>
        <w:tc>
          <w:tcPr>
            <w:tcW w:w="1748" w:type="dxa"/>
            <w:vMerge w:val="continue"/>
            <w:noWrap w:val="0"/>
            <w:vAlign w:val="center"/>
          </w:tcPr>
          <w:p w14:paraId="1BC3F639">
            <w:pPr>
              <w:jc w:val="center"/>
              <w:rPr>
                <w:rFonts w:ascii="Times New Roman" w:hAnsi="Times New Roman" w:eastAsia="宋体" w:cs="Times New Roman"/>
                <w:szCs w:val="21"/>
                <w:highlight w:val="none"/>
              </w:rPr>
            </w:pPr>
          </w:p>
        </w:tc>
      </w:tr>
      <w:tr w14:paraId="427AD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78" w:type="dxa"/>
            <w:vMerge w:val="continue"/>
            <w:noWrap w:val="0"/>
            <w:vAlign w:val="center"/>
          </w:tcPr>
          <w:p w14:paraId="29D8E537">
            <w:pPr>
              <w:jc w:val="center"/>
              <w:rPr>
                <w:rFonts w:ascii="Times New Roman" w:hAnsi="Times New Roman" w:eastAsia="宋体" w:cs="Times New Roman"/>
                <w:szCs w:val="21"/>
                <w:highlight w:val="none"/>
              </w:rPr>
            </w:pPr>
          </w:p>
        </w:tc>
        <w:tc>
          <w:tcPr>
            <w:tcW w:w="2587" w:type="dxa"/>
            <w:noWrap w:val="0"/>
            <w:vAlign w:val="center"/>
          </w:tcPr>
          <w:p w14:paraId="2312A3E8">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超声聚焦核酸破碎系统</w:t>
            </w:r>
          </w:p>
        </w:tc>
        <w:tc>
          <w:tcPr>
            <w:tcW w:w="854" w:type="dxa"/>
            <w:noWrap w:val="0"/>
            <w:vAlign w:val="center"/>
          </w:tcPr>
          <w:p w14:paraId="698413B9">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1套</w:t>
            </w:r>
          </w:p>
        </w:tc>
        <w:tc>
          <w:tcPr>
            <w:tcW w:w="1197" w:type="dxa"/>
            <w:noWrap w:val="0"/>
            <w:vAlign w:val="center"/>
          </w:tcPr>
          <w:p w14:paraId="0DDF475A">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是</w:t>
            </w:r>
          </w:p>
        </w:tc>
        <w:tc>
          <w:tcPr>
            <w:tcW w:w="1748" w:type="dxa"/>
            <w:vMerge w:val="continue"/>
            <w:noWrap w:val="0"/>
            <w:vAlign w:val="center"/>
          </w:tcPr>
          <w:p w14:paraId="05175BA8">
            <w:pPr>
              <w:jc w:val="center"/>
              <w:rPr>
                <w:rFonts w:ascii="Times New Roman" w:hAnsi="Times New Roman" w:eastAsia="宋体" w:cs="Times New Roman"/>
                <w:szCs w:val="21"/>
                <w:highlight w:val="none"/>
              </w:rPr>
            </w:pPr>
          </w:p>
        </w:tc>
      </w:tr>
      <w:tr w14:paraId="0E22D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78" w:type="dxa"/>
            <w:vMerge w:val="continue"/>
            <w:noWrap w:val="0"/>
            <w:vAlign w:val="center"/>
          </w:tcPr>
          <w:p w14:paraId="316C7FF6">
            <w:pPr>
              <w:jc w:val="center"/>
              <w:rPr>
                <w:rFonts w:ascii="Times New Roman" w:hAnsi="Times New Roman" w:eastAsia="宋体" w:cs="Times New Roman"/>
                <w:szCs w:val="21"/>
                <w:highlight w:val="none"/>
              </w:rPr>
            </w:pPr>
          </w:p>
        </w:tc>
        <w:tc>
          <w:tcPr>
            <w:tcW w:w="2587" w:type="dxa"/>
            <w:noWrap w:val="0"/>
            <w:vAlign w:val="center"/>
          </w:tcPr>
          <w:p w14:paraId="0CA04040">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蛋白常规液相分析系统</w:t>
            </w:r>
          </w:p>
        </w:tc>
        <w:tc>
          <w:tcPr>
            <w:tcW w:w="854" w:type="dxa"/>
            <w:noWrap w:val="0"/>
            <w:vAlign w:val="center"/>
          </w:tcPr>
          <w:p w14:paraId="2375CF56">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1套</w:t>
            </w:r>
          </w:p>
        </w:tc>
        <w:tc>
          <w:tcPr>
            <w:tcW w:w="1197" w:type="dxa"/>
            <w:noWrap w:val="0"/>
            <w:vAlign w:val="center"/>
          </w:tcPr>
          <w:p w14:paraId="4F491C8E">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否</w:t>
            </w:r>
          </w:p>
        </w:tc>
        <w:tc>
          <w:tcPr>
            <w:tcW w:w="1748" w:type="dxa"/>
            <w:vMerge w:val="continue"/>
            <w:noWrap w:val="0"/>
            <w:vAlign w:val="center"/>
          </w:tcPr>
          <w:p w14:paraId="01FC874A">
            <w:pPr>
              <w:jc w:val="center"/>
              <w:rPr>
                <w:rFonts w:ascii="Times New Roman" w:hAnsi="Times New Roman" w:eastAsia="宋体" w:cs="Times New Roman"/>
                <w:szCs w:val="21"/>
                <w:highlight w:val="none"/>
              </w:rPr>
            </w:pPr>
          </w:p>
        </w:tc>
      </w:tr>
    </w:tbl>
    <w:p w14:paraId="4EE051A2">
      <w:pPr>
        <w:spacing w:line="360" w:lineRule="auto"/>
        <w:rPr>
          <w:rFonts w:ascii="宋体" w:hAnsi="宋体" w:eastAsia="宋体" w:cs="宋体"/>
          <w:b/>
          <w:bCs/>
          <w:sz w:val="24"/>
          <w:szCs w:val="32"/>
          <w:highlight w:val="none"/>
        </w:rPr>
      </w:pPr>
      <w:r>
        <w:rPr>
          <w:rFonts w:hint="eastAsia" w:ascii="宋体" w:hAnsi="宋体" w:eastAsia="宋体" w:cs="宋体"/>
          <w:b/>
          <w:bCs/>
          <w:sz w:val="24"/>
          <w:szCs w:val="32"/>
          <w:highlight w:val="none"/>
          <w:lang w:val="en-US" w:eastAsia="zh-CN"/>
        </w:rPr>
        <w:t>二</w:t>
      </w:r>
      <w:r>
        <w:rPr>
          <w:rFonts w:ascii="宋体" w:hAnsi="宋体" w:eastAsia="宋体" w:cs="宋体"/>
          <w:b/>
          <w:bCs/>
          <w:sz w:val="24"/>
          <w:szCs w:val="32"/>
          <w:highlight w:val="none"/>
        </w:rPr>
        <w:t>、技术要求</w:t>
      </w:r>
    </w:p>
    <w:tbl>
      <w:tblPr>
        <w:tblStyle w:val="3"/>
        <w:tblW w:w="91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1129"/>
        <w:gridCol w:w="7397"/>
      </w:tblGrid>
      <w:tr w14:paraId="76B21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blHeader/>
          <w:jc w:val="center"/>
        </w:trPr>
        <w:tc>
          <w:tcPr>
            <w:tcW w:w="656" w:type="dxa"/>
            <w:noWrap w:val="0"/>
            <w:vAlign w:val="center"/>
          </w:tcPr>
          <w:p w14:paraId="625B1BB1">
            <w:pPr>
              <w:wordWrap w:val="0"/>
              <w:adjustRightInd w:val="0"/>
              <w:snapToGrid w:val="0"/>
              <w:spacing w:line="360" w:lineRule="auto"/>
              <w:jc w:val="center"/>
              <w:rPr>
                <w:rFonts w:ascii="Times New Roman" w:hAnsi="Times New Roman" w:eastAsia="宋体" w:cs="Times New Roman"/>
                <w:color w:val="000000"/>
                <w:szCs w:val="21"/>
                <w:highlight w:val="none"/>
              </w:rPr>
            </w:pPr>
            <w:r>
              <w:rPr>
                <w:rFonts w:ascii="Times New Roman" w:hAnsi="Times New Roman" w:eastAsia="宋体" w:cs="Times New Roman"/>
                <w:color w:val="000000"/>
                <w:szCs w:val="21"/>
                <w:highlight w:val="none"/>
              </w:rPr>
              <w:t>序号</w:t>
            </w:r>
          </w:p>
        </w:tc>
        <w:tc>
          <w:tcPr>
            <w:tcW w:w="1129" w:type="dxa"/>
            <w:noWrap w:val="0"/>
            <w:vAlign w:val="center"/>
          </w:tcPr>
          <w:p w14:paraId="0EE1063F">
            <w:pPr>
              <w:wordWrap w:val="0"/>
              <w:adjustRightInd w:val="0"/>
              <w:snapToGrid w:val="0"/>
              <w:spacing w:line="360" w:lineRule="auto"/>
              <w:jc w:val="center"/>
              <w:rPr>
                <w:rFonts w:ascii="Times New Roman" w:hAnsi="Times New Roman" w:eastAsia="宋体" w:cs="Times New Roman"/>
                <w:color w:val="000000"/>
                <w:szCs w:val="21"/>
                <w:highlight w:val="none"/>
              </w:rPr>
            </w:pPr>
            <w:r>
              <w:rPr>
                <w:rFonts w:ascii="Times New Roman" w:hAnsi="Times New Roman" w:eastAsia="宋体" w:cs="Times New Roman"/>
                <w:color w:val="000000"/>
                <w:szCs w:val="21"/>
                <w:highlight w:val="none"/>
              </w:rPr>
              <w:t>设备名称</w:t>
            </w:r>
          </w:p>
        </w:tc>
        <w:tc>
          <w:tcPr>
            <w:tcW w:w="7397" w:type="dxa"/>
            <w:noWrap w:val="0"/>
            <w:vAlign w:val="center"/>
          </w:tcPr>
          <w:p w14:paraId="46DD3DDE">
            <w:pPr>
              <w:wordWrap w:val="0"/>
              <w:adjustRightInd w:val="0"/>
              <w:snapToGrid w:val="0"/>
              <w:spacing w:line="360" w:lineRule="auto"/>
              <w:jc w:val="center"/>
              <w:rPr>
                <w:rFonts w:ascii="Times New Roman" w:hAnsi="Times New Roman" w:eastAsia="宋体" w:cs="Times New Roman"/>
                <w:color w:val="000000"/>
                <w:szCs w:val="21"/>
                <w:highlight w:val="none"/>
              </w:rPr>
            </w:pPr>
            <w:r>
              <w:rPr>
                <w:rFonts w:ascii="Times New Roman" w:hAnsi="Times New Roman" w:eastAsia="宋体" w:cs="Times New Roman"/>
                <w:color w:val="000000"/>
                <w:szCs w:val="21"/>
                <w:highlight w:val="none"/>
              </w:rPr>
              <w:t>技术参数与相关要求</w:t>
            </w:r>
          </w:p>
        </w:tc>
      </w:tr>
      <w:tr w14:paraId="09F1F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noWrap w:val="0"/>
            <w:vAlign w:val="center"/>
          </w:tcPr>
          <w:p w14:paraId="63AC9774">
            <w:pPr>
              <w:wordWrap w:val="0"/>
              <w:adjustRightInd w:val="0"/>
              <w:snapToGrid w:val="0"/>
              <w:spacing w:line="360" w:lineRule="auto"/>
              <w:jc w:val="center"/>
              <w:rPr>
                <w:rFonts w:ascii="Times New Roman" w:hAnsi="Times New Roman" w:eastAsia="宋体" w:cs="Times New Roman"/>
                <w:color w:val="000000"/>
                <w:szCs w:val="21"/>
                <w:highlight w:val="none"/>
              </w:rPr>
            </w:pPr>
            <w:r>
              <w:rPr>
                <w:rFonts w:ascii="Times New Roman" w:hAnsi="Times New Roman" w:eastAsia="宋体" w:cs="Times New Roman"/>
                <w:color w:val="000000"/>
                <w:szCs w:val="21"/>
                <w:highlight w:val="none"/>
              </w:rPr>
              <w:t>1</w:t>
            </w:r>
          </w:p>
        </w:tc>
        <w:tc>
          <w:tcPr>
            <w:tcW w:w="1129" w:type="dxa"/>
            <w:noWrap w:val="0"/>
            <w:vAlign w:val="center"/>
          </w:tcPr>
          <w:p w14:paraId="660D440F">
            <w:pPr>
              <w:wordWrap w:val="0"/>
              <w:adjustRightInd w:val="0"/>
              <w:snapToGrid w:val="0"/>
              <w:spacing w:line="360" w:lineRule="auto"/>
              <w:jc w:val="center"/>
              <w:rPr>
                <w:rFonts w:ascii="Times New Roman" w:hAnsi="Times New Roman" w:eastAsia="宋体" w:cs="Times New Roman"/>
                <w:color w:val="000000"/>
                <w:szCs w:val="21"/>
                <w:highlight w:val="none"/>
              </w:rPr>
            </w:pPr>
            <w:r>
              <w:rPr>
                <w:rFonts w:ascii="Times New Roman" w:hAnsi="Times New Roman" w:eastAsia="宋体" w:cs="Times New Roman"/>
                <w:szCs w:val="21"/>
                <w:highlight w:val="none"/>
              </w:rPr>
              <w:t>蛋白高精度液相分析系统</w:t>
            </w:r>
          </w:p>
        </w:tc>
        <w:tc>
          <w:tcPr>
            <w:tcW w:w="7397" w:type="dxa"/>
            <w:noWrap w:val="0"/>
            <w:vAlign w:val="center"/>
          </w:tcPr>
          <w:p w14:paraId="5C83795F">
            <w:pPr>
              <w:spacing w:line="360" w:lineRule="auto"/>
              <w:ind w:left="456" w:hanging="456"/>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一、主要用途</w:t>
            </w:r>
          </w:p>
          <w:p w14:paraId="07EDDBBC">
            <w:pPr>
              <w:spacing w:line="360" w:lineRule="auto"/>
              <w:ind w:firstLine="420" w:firstLineChars="200"/>
              <w:rPr>
                <w:rFonts w:ascii="Times New Roman" w:hAnsi="Times New Roman" w:eastAsia="宋体" w:cs="Times New Roman"/>
                <w:szCs w:val="21"/>
                <w:highlight w:val="none"/>
              </w:rPr>
            </w:pPr>
            <w:r>
              <w:rPr>
                <w:rFonts w:ascii="Times New Roman" w:hAnsi="Times New Roman" w:eastAsia="宋体" w:cs="Times New Roman"/>
                <w:highlight w:val="none"/>
              </w:rPr>
              <w:t>快速分析多种生物分子，如蛋白质、多糖、肽类、寡核苷酸、核苷酸疫苗、病毒及天然小分子（TCM）等，分析含量从微克至克级生物活性物质。</w:t>
            </w:r>
          </w:p>
          <w:p w14:paraId="1E7513DA">
            <w:pPr>
              <w:spacing w:line="360" w:lineRule="auto"/>
              <w:rPr>
                <w:rFonts w:hint="eastAsia" w:ascii="Times New Roman" w:hAnsi="Times New Roman" w:eastAsia="宋体" w:cs="Times New Roman"/>
                <w:b/>
                <w:bCs/>
                <w:szCs w:val="21"/>
                <w:highlight w:val="none"/>
                <w:lang w:eastAsia="zh-CN"/>
              </w:rPr>
            </w:pPr>
            <w:r>
              <w:rPr>
                <w:rFonts w:hint="eastAsia" w:ascii="Times New Roman" w:hAnsi="Times New Roman" w:eastAsia="宋体" w:cs="Times New Roman"/>
                <w:b/>
                <w:bCs/>
                <w:szCs w:val="21"/>
                <w:highlight w:val="none"/>
                <w:lang w:eastAsia="zh-CN"/>
              </w:rPr>
              <w:t>二、配置清单</w:t>
            </w:r>
          </w:p>
          <w:p w14:paraId="34F019FF">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1.蛋白高精度液相分析系统主机1台（凝胶过滤层析色谱柱（分析型，10/300规格）：数量1；凝胶过滤层析色谱柱（小分子分离型，10/300规格）：数量1；金属螯合</w:t>
            </w:r>
            <w:r>
              <w:rPr>
                <w:rFonts w:hint="eastAsia" w:ascii="Times New Roman" w:hAnsi="Times New Roman" w:eastAsia="宋体" w:cs="Times New Roman"/>
                <w:szCs w:val="21"/>
                <w:highlight w:val="none"/>
              </w:rPr>
              <w:t>镍柱</w:t>
            </w:r>
            <w:r>
              <w:rPr>
                <w:rFonts w:ascii="Times New Roman" w:hAnsi="Times New Roman" w:eastAsia="宋体" w:cs="Times New Roman"/>
                <w:szCs w:val="21"/>
                <w:highlight w:val="none"/>
              </w:rPr>
              <w:t>亲和层析柱（</w:t>
            </w:r>
            <w:r>
              <w:rPr>
                <w:rFonts w:hint="eastAsia" w:ascii="Times New Roman" w:hAnsi="Times New Roman" w:eastAsia="宋体" w:cs="Times New Roman"/>
                <w:szCs w:val="21"/>
                <w:highlight w:val="none"/>
              </w:rPr>
              <w:t>5</w:t>
            </w:r>
            <w:r>
              <w:rPr>
                <w:rFonts w:ascii="Times New Roman" w:hAnsi="Times New Roman" w:eastAsia="宋体" w:cs="Times New Roman"/>
                <w:szCs w:val="21"/>
                <w:highlight w:val="none"/>
              </w:rPr>
              <w:t xml:space="preserve"> mL</w:t>
            </w:r>
            <w:r>
              <w:rPr>
                <w:rFonts w:hint="eastAsia" w:ascii="Times New Roman" w:hAnsi="Times New Roman" w:eastAsia="宋体" w:cs="Times New Roman"/>
                <w:szCs w:val="21"/>
                <w:highlight w:val="none"/>
              </w:rPr>
              <w:t>*4</w:t>
            </w:r>
            <w:r>
              <w:rPr>
                <w:rFonts w:ascii="Times New Roman" w:hAnsi="Times New Roman" w:eastAsia="宋体" w:cs="Times New Roman"/>
                <w:szCs w:val="21"/>
                <w:highlight w:val="none"/>
              </w:rPr>
              <w:t>规格）：数量4；Protein A亲和层析柱（</w:t>
            </w:r>
            <w:r>
              <w:rPr>
                <w:rFonts w:hint="eastAsia" w:ascii="Times New Roman" w:hAnsi="Times New Roman" w:eastAsia="宋体" w:cs="Times New Roman"/>
                <w:szCs w:val="21"/>
                <w:highlight w:val="none"/>
              </w:rPr>
              <w:t>5</w:t>
            </w:r>
            <w:r>
              <w:rPr>
                <w:rFonts w:ascii="Times New Roman" w:hAnsi="Times New Roman" w:eastAsia="宋体" w:cs="Times New Roman"/>
                <w:szCs w:val="21"/>
                <w:highlight w:val="none"/>
              </w:rPr>
              <w:t xml:space="preserve"> mL</w:t>
            </w:r>
            <w:r>
              <w:rPr>
                <w:rFonts w:hint="eastAsia" w:ascii="Times New Roman" w:hAnsi="Times New Roman" w:eastAsia="宋体" w:cs="Times New Roman"/>
                <w:szCs w:val="21"/>
                <w:highlight w:val="none"/>
              </w:rPr>
              <w:t>*4</w:t>
            </w:r>
            <w:r>
              <w:rPr>
                <w:rFonts w:ascii="Times New Roman" w:hAnsi="Times New Roman" w:eastAsia="宋体" w:cs="Times New Roman"/>
                <w:szCs w:val="21"/>
                <w:highlight w:val="none"/>
              </w:rPr>
              <w:t>规格）：数量1。</w:t>
            </w:r>
            <w:r>
              <w:rPr>
                <w:rFonts w:hint="eastAsia" w:ascii="Times New Roman" w:hAnsi="Times New Roman" w:eastAsia="宋体" w:cs="Times New Roman"/>
                <w:szCs w:val="21"/>
                <w:highlight w:val="none"/>
              </w:rPr>
              <w:t>）</w:t>
            </w:r>
            <w:r>
              <w:rPr>
                <w:rFonts w:hint="eastAsia" w:ascii="Times New Roman" w:hAnsi="Times New Roman" w:eastAsia="宋体" w:cs="Times New Roman"/>
                <w:szCs w:val="21"/>
                <w:highlight w:val="none"/>
                <w:lang w:eastAsia="zh-CN"/>
              </w:rPr>
              <w:t>。</w:t>
            </w:r>
          </w:p>
          <w:p w14:paraId="331F49CB">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3.配套实验仪器：磁驱恒温振荡器2台；加热恒温金属浴3台；涡旋仪3台；蓝光切胶仪1台；脱色摇床2台；超低温冰箱2台；层析柜3台；微生物培养振荡器1台；掌上离心机2台；二氧化碳培养箱6台；超微量分光光度计1台；生物安全柜4台；凝胶成像系统 2台；高压灭菌器 1台</w:t>
            </w:r>
          </w:p>
          <w:p w14:paraId="711E117A">
            <w:pPr>
              <w:spacing w:line="360" w:lineRule="auto"/>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三、技术指标</w:t>
            </w:r>
          </w:p>
          <w:p w14:paraId="7C20FF6F">
            <w:pPr>
              <w:spacing w:line="360" w:lineRule="auto"/>
              <w:rPr>
                <w:rFonts w:ascii="Times New Roman" w:hAnsi="Times New Roman" w:eastAsia="宋体" w:cs="Times New Roman"/>
                <w:b/>
                <w:szCs w:val="21"/>
                <w:highlight w:val="none"/>
              </w:rPr>
            </w:pPr>
            <w:r>
              <w:rPr>
                <w:rFonts w:ascii="Times New Roman" w:hAnsi="Times New Roman" w:eastAsia="宋体" w:cs="Times New Roman"/>
                <w:b/>
                <w:bCs/>
                <w:szCs w:val="21"/>
                <w:highlight w:val="none"/>
              </w:rPr>
              <w:t>1.</w:t>
            </w:r>
            <w:r>
              <w:rPr>
                <w:rFonts w:ascii="Times New Roman" w:hAnsi="Times New Roman" w:eastAsia="宋体" w:cs="Times New Roman"/>
                <w:b/>
                <w:szCs w:val="21"/>
                <w:highlight w:val="none"/>
              </w:rPr>
              <w:t>蛋白高精度液相分析系统</w:t>
            </w:r>
            <w:r>
              <w:rPr>
                <w:rFonts w:ascii="Times New Roman" w:hAnsi="Times New Roman" w:eastAsia="宋体" w:cs="Times New Roman"/>
                <w:b/>
                <w:bCs/>
                <w:szCs w:val="21"/>
                <w:highlight w:val="none"/>
              </w:rPr>
              <w:t>技术指标</w:t>
            </w:r>
          </w:p>
          <w:p w14:paraId="4789C35E">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1</w:t>
            </w:r>
            <w:r>
              <w:rPr>
                <w:rFonts w:ascii="Times New Roman" w:hAnsi="Times New Roman" w:eastAsia="宋体" w:cs="Times New Roman"/>
                <w:highlight w:val="none"/>
              </w:rPr>
              <w:t>.系统泵</w:t>
            </w:r>
          </w:p>
          <w:p w14:paraId="2E6C2A74">
            <w:pPr>
              <w:spacing w:line="360" w:lineRule="auto"/>
              <w:rPr>
                <w:rFonts w:ascii="Times New Roman" w:hAnsi="Times New Roman" w:eastAsia="宋体" w:cs="Times New Roman"/>
                <w:bCs/>
                <w:highlight w:val="none"/>
              </w:rPr>
            </w:pPr>
            <w:r>
              <w:rPr>
                <w:rFonts w:hint="eastAsia" w:eastAsia="宋体"/>
                <w:highlight w:val="none"/>
              </w:rPr>
              <w:t>★</w:t>
            </w: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1</w:t>
            </w:r>
            <w:r>
              <w:rPr>
                <w:rFonts w:ascii="Times New Roman" w:hAnsi="Times New Roman" w:eastAsia="宋体" w:cs="Times New Roman"/>
                <w:highlight w:val="none"/>
              </w:rPr>
              <w:t>.1 全自动微量柱塞泵，双泵四泵头，泵头材质为钛合金，每个泵头都有独立除气阀，每个泵后都有润洗通路，泵后具有单向截止阀。</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2101C593">
            <w:pPr>
              <w:spacing w:line="360" w:lineRule="auto"/>
              <w:rPr>
                <w:rFonts w:ascii="Times New Roman" w:hAnsi="Times New Roman" w:eastAsia="宋体" w:cs="Times New Roman"/>
                <w:b/>
                <w:bCs/>
                <w:szCs w:val="21"/>
                <w:highlight w:val="none"/>
              </w:rPr>
            </w:pPr>
            <w:r>
              <w:rPr>
                <w:rFonts w:hint="eastAsia" w:eastAsia="宋体"/>
                <w:highlight w:val="none"/>
              </w:rPr>
              <w:t>★</w:t>
            </w: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.1</w:t>
            </w:r>
            <w:r>
              <w:rPr>
                <w:rFonts w:ascii="Times New Roman" w:hAnsi="Times New Roman" w:eastAsia="宋体" w:cs="Times New Roman"/>
                <w:highlight w:val="none"/>
              </w:rPr>
              <w:t>.2 单泵流速：0.001-25ml/min，系统泵可以双泵模式运行，流速达到0.1–50ml/min：从低流速到50ml的流速的变化可软件设置，不需更换泵头。</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7816967E">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1</w:t>
            </w:r>
            <w:r>
              <w:rPr>
                <w:rFonts w:ascii="Times New Roman" w:hAnsi="Times New Roman" w:eastAsia="宋体" w:cs="Times New Roman"/>
                <w:highlight w:val="none"/>
              </w:rPr>
              <w:t>.3 压力范围：0–20 MPa (200bar，2900 psi)；流速重复性：条件：0.25–25 ml/min, &lt;3MPa, 0.8–2cP，流速准确度：±1.2%，流速精度：RSD&lt;0.5%</w:t>
            </w:r>
          </w:p>
          <w:p w14:paraId="71D97D7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1</w:t>
            </w:r>
            <w:r>
              <w:rPr>
                <w:rFonts w:ascii="Times New Roman" w:hAnsi="Times New Roman" w:eastAsia="宋体" w:cs="Times New Roman"/>
                <w:highlight w:val="none"/>
              </w:rPr>
              <w:t>.4梯度准确度: ±0.6%,（条件：5~95%B，梯度流速范围：0.6-25ml/min，压力0.2~2MPa，黏度0.8~2cP）实验时，只需要配置两个缓冲液，放置在A泵和B泵的不同入口，设置%B即可进行梯度洗脱。</w:t>
            </w:r>
          </w:p>
          <w:p w14:paraId="291A5C7A">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1</w:t>
            </w:r>
            <w:r>
              <w:rPr>
                <w:rFonts w:ascii="Times New Roman" w:hAnsi="Times New Roman" w:eastAsia="宋体" w:cs="Times New Roman"/>
                <w:highlight w:val="none"/>
              </w:rPr>
              <w:t>.5粘度：0.35-10 cp (流速大于12.5ml/min时，5cp)；具备恒压调速功能：自动根据压力调节流速输出。</w:t>
            </w:r>
          </w:p>
          <w:p w14:paraId="1BF49AA9">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2</w:t>
            </w:r>
            <w:r>
              <w:rPr>
                <w:rFonts w:ascii="Times New Roman" w:hAnsi="Times New Roman" w:eastAsia="宋体" w:cs="Times New Roman"/>
                <w:highlight w:val="none"/>
              </w:rPr>
              <w:t>.检测器</w:t>
            </w:r>
          </w:p>
          <w:p w14:paraId="516A7AAA">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2</w:t>
            </w:r>
            <w:r>
              <w:rPr>
                <w:rFonts w:ascii="Times New Roman" w:hAnsi="Times New Roman" w:eastAsia="宋体" w:cs="Times New Roman"/>
                <w:highlight w:val="none"/>
              </w:rPr>
              <w:t>.1紫外可见检测器:紫外检测器使用两个LED光源，待机时光源自动关闭，同时通过软件可随时开启和关闭光源。波长检测范围： 280 nm和260 nm，可以实时显示前两个波长吸收的比值。检测范围：-6 到 +6 AU，线性：±2%，在0–2 AU之间。光纤同时传导光源及采集数据，光源和流动池分开，配置2mm光径的流通池。</w:t>
            </w:r>
          </w:p>
          <w:p w14:paraId="5A6EC01D">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2</w:t>
            </w:r>
            <w:r>
              <w:rPr>
                <w:rFonts w:ascii="Times New Roman" w:hAnsi="Times New Roman" w:eastAsia="宋体" w:cs="Times New Roman"/>
                <w:highlight w:val="none"/>
              </w:rPr>
              <w:t>.2 电导检测器;检测范围：0.01－999.99 ms/cm；压力：0-5Mpa。紫外检测器和电导检测器分开，可在两者之间添加任何模块，可选配第二个电导检测器共两个，放置在分析柱前后或者用于多步串联实验。</w:t>
            </w:r>
          </w:p>
          <w:p w14:paraId="4EE5DD75">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2</w:t>
            </w:r>
            <w:r>
              <w:rPr>
                <w:rFonts w:ascii="Times New Roman" w:hAnsi="Times New Roman" w:eastAsia="宋体" w:cs="Times New Roman"/>
                <w:highlight w:val="none"/>
              </w:rPr>
              <w:t>.3 温度检测器:温度范围：0 - 99℃;温度准确度：± 1.5℃ 在 4℃–45℃ 之间。</w:t>
            </w:r>
          </w:p>
          <w:p w14:paraId="3BA8EF81">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2</w:t>
            </w:r>
            <w:r>
              <w:rPr>
                <w:rFonts w:ascii="Times New Roman" w:hAnsi="Times New Roman" w:eastAsia="宋体" w:cs="Times New Roman"/>
                <w:highlight w:val="none"/>
              </w:rPr>
              <w:t>.4 pH检测器:检测范围: 0-14 (有效使用范围2-12)；精度: ±0.1 pH单位，温度补偿。无需拔出pH电极头，即可用pH矫正液对pH电极进行矫正。</w:t>
            </w:r>
          </w:p>
          <w:p w14:paraId="6D82052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2</w:t>
            </w:r>
            <w:r>
              <w:rPr>
                <w:rFonts w:ascii="Times New Roman" w:hAnsi="Times New Roman" w:eastAsia="宋体" w:cs="Times New Roman"/>
                <w:highlight w:val="none"/>
              </w:rPr>
              <w:t>.5 压力传感器：系统泵压力传感器，检测范围：0-20MPa(2900psi)。</w:t>
            </w:r>
          </w:p>
          <w:p w14:paraId="4096F663">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3</w:t>
            </w:r>
            <w:r>
              <w:rPr>
                <w:rFonts w:ascii="Times New Roman" w:hAnsi="Times New Roman" w:eastAsia="宋体" w:cs="Times New Roman"/>
                <w:highlight w:val="none"/>
              </w:rPr>
              <w:t>.阀门:单入口缓冲液切换阀：1个，在单个阀上可实现2个A缓冲液入口和2个B缓冲液入口的选择。自动进样阀：1个，无需更改管线连接方式即可实现平衡、载样，冲洗，进样。阀门一共有6个模式，分别为手动载样，样品环进样，样品泵进样，系统泵排废、样品泵排废、样品泵载样。pH计阀 ：1个，pH计固定在阀门上，阀门上同时连接反压阀，可选择pH计和反压阀两者同时使用、单一使用或都不用。单出口阀组件：1个，可自动切换收集位置。其中一个位置与收集器相连，实现数目较多样品的收集，另外有一个位置为大体积收集出口, 最后一个位置接废液。</w:t>
            </w:r>
          </w:p>
          <w:p w14:paraId="67FA2D05">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4</w:t>
            </w:r>
            <w:r>
              <w:rPr>
                <w:rFonts w:ascii="Times New Roman" w:hAnsi="Times New Roman" w:eastAsia="宋体" w:cs="Times New Roman"/>
                <w:highlight w:val="none"/>
              </w:rPr>
              <w:t>.其他部件:混合器：混合腔体积≤2ml，电动混合器，在线溶液搅拌，混合器内置在线滤膜。压力感应器，柱架，限压器。主机机身上有控制面板，具有暂停和继续的按钮，紧急情况可以快速暂停和继续实验，控制面板可以通过颜色显示仪器状态。</w:t>
            </w:r>
          </w:p>
          <w:p w14:paraId="4F1D3E3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5</w:t>
            </w:r>
            <w:r>
              <w:rPr>
                <w:rFonts w:ascii="Times New Roman" w:hAnsi="Times New Roman" w:eastAsia="宋体" w:cs="Times New Roman"/>
                <w:highlight w:val="none"/>
              </w:rPr>
              <w:t>.组分收集器 :可接2个组分收集器，标配一个：可以连接两种不同或者相同的收集器，增加收集体积。可根据体积或峰自动收集：最多具备同时放置175个 3mL 收集管，收集范围从0.1ml-50ml兼容3，8，15 ml的收集管</w:t>
            </w:r>
            <w:r>
              <w:rPr>
                <w:rFonts w:hint="eastAsia" w:ascii="Times New Roman" w:hAnsi="Times New Roman" w:eastAsia="宋体" w:cs="Times New Roman"/>
                <w:highlight w:val="none"/>
                <w:lang w:eastAsia="zh-CN"/>
              </w:rPr>
              <w:t>。</w:t>
            </w:r>
            <w:r>
              <w:rPr>
                <w:rFonts w:ascii="Times New Roman" w:hAnsi="Times New Roman" w:eastAsia="宋体" w:cs="Times New Roman"/>
                <w:highlight w:val="none"/>
              </w:rPr>
              <w:t xml:space="preserve"> </w:t>
            </w:r>
          </w:p>
          <w:p w14:paraId="41492EDD">
            <w:pPr>
              <w:spacing w:line="360" w:lineRule="auto"/>
              <w:rPr>
                <w:rFonts w:ascii="Times New Roman" w:hAnsi="Times New Roman" w:eastAsia="宋体" w:cs="Times New Roman"/>
                <w:b/>
                <w:bCs/>
                <w:szCs w:val="21"/>
                <w:highlight w:val="none"/>
              </w:rPr>
            </w:pPr>
            <w:r>
              <w:rPr>
                <w:rFonts w:hint="eastAsia" w:eastAsia="宋体"/>
                <w:highlight w:val="none"/>
              </w:rPr>
              <w:t>★</w:t>
            </w: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6.</w:t>
            </w:r>
            <w:r>
              <w:rPr>
                <w:rFonts w:ascii="Times New Roman" w:hAnsi="Times New Roman" w:eastAsia="宋体" w:cs="Times New Roman"/>
                <w:highlight w:val="none"/>
              </w:rPr>
              <w:t>收集器滴头具有液滴检测器，在更换收集管时，防止液滴溅到管外，损失样品。</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10DF768A">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7</w:t>
            </w:r>
            <w:r>
              <w:rPr>
                <w:rFonts w:ascii="Times New Roman" w:hAnsi="Times New Roman" w:eastAsia="宋体" w:cs="Times New Roman"/>
                <w:highlight w:val="none"/>
              </w:rPr>
              <w:t>.控制和分析软件</w:t>
            </w:r>
          </w:p>
          <w:p w14:paraId="7C80D45A">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7</w:t>
            </w:r>
            <w:r>
              <w:rPr>
                <w:rFonts w:ascii="Times New Roman" w:hAnsi="Times New Roman" w:eastAsia="宋体" w:cs="Times New Roman"/>
                <w:highlight w:val="none"/>
              </w:rPr>
              <w:t>.1 系统软件控制平台可随时加减控制元件。可从5个模块升级到24个模块。</w:t>
            </w:r>
          </w:p>
          <w:p w14:paraId="701198F1">
            <w:pPr>
              <w:spacing w:line="360" w:lineRule="auto"/>
              <w:rPr>
                <w:rFonts w:ascii="Times New Roman" w:hAnsi="Times New Roman" w:eastAsia="宋体" w:cs="Times New Roman"/>
                <w:b/>
                <w:bCs/>
                <w:szCs w:val="21"/>
                <w:highlight w:val="none"/>
              </w:rPr>
            </w:pPr>
            <w:r>
              <w:rPr>
                <w:rFonts w:hint="eastAsia" w:eastAsia="宋体"/>
                <w:highlight w:val="none"/>
              </w:rPr>
              <w:t>★</w:t>
            </w: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7</w:t>
            </w:r>
            <w:r>
              <w:rPr>
                <w:rFonts w:ascii="Times New Roman" w:hAnsi="Times New Roman" w:eastAsia="宋体" w:cs="Times New Roman"/>
                <w:highlight w:val="none"/>
              </w:rPr>
              <w:t>.2软件能够记录硬件模块的序列号，运行时长或者次数，如紫外灯使用时长、阀门开闭次数。</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78443679">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7</w:t>
            </w:r>
            <w:r>
              <w:rPr>
                <w:rFonts w:ascii="Times New Roman" w:hAnsi="Times New Roman" w:eastAsia="宋体" w:cs="Times New Roman"/>
                <w:highlight w:val="none"/>
              </w:rPr>
              <w:t>.3 具有自动积分、一键积分功能，操作简单，具备打印结果报告。流路实时在线，实时监控和控制。交互式的流路控制，方便了解液体流向，并且直接具备在流路图上进行控制。软件应能够实现使用移动设备（手机和平板）或计算机在局域网内通过浏览器查看设备的使用情况，具备同时显示5条实时曲线和不少于50个运行数据，同时具备查看仪器报警信息。符合GMP/GLP要求。软件具有21 CFR Part 11 认证。软件应能够实现使用移动设备（手机和平板）或计算机在局域网内通过浏览器通过手动命令，直接对设备进行远程控制，具备远程查看实验结果数据。软件的程序编辑有模板编辑和文本编辑两种方式，模板应包含常用的六种以上分析类型，还有系统清洗、层析柱清洗、柱效测定等实验。文本编程方式可以直接用操作命令编程，具备对实验参数进行实时监测，包括紫外数值，紫外比值、电导率，pH值，流速，压力。两种编辑方式均可选择时间、体积、柱体积作为程序进度单位进行参数或者命令的编辑。压力控制模式在超压时，降低流速，从而保证整个实验过程不超压连续运行。各种模块之间具备自由转换，即系统在运行时，可以同时进行方法编辑和结果处理。</w:t>
            </w:r>
          </w:p>
          <w:p w14:paraId="20B023BA">
            <w:pPr>
              <w:adjustRightInd/>
              <w:snapToGrid/>
              <w:spacing w:line="360" w:lineRule="auto"/>
              <w:jc w:val="left"/>
              <w:rPr>
                <w:rFonts w:ascii="Times New Roman" w:hAnsi="Times New Roman" w:eastAsia="宋体" w:cs="Times New Roman"/>
                <w:highlight w:val="none"/>
              </w:rPr>
            </w:pPr>
            <w:r>
              <w:rPr>
                <w:rFonts w:ascii="Times New Roman" w:hAnsi="Times New Roman" w:eastAsia="宋体" w:cs="Times New Roman"/>
                <w:highlight w:val="none"/>
              </w:rPr>
              <w:t>仪器仪器具有节电模式，当仪器待机或者实验暂停超过软件设置的时长后，仪器可以进入节电模式。软件结果分析窗口可以编辑实验数据处理小程序，每次实验结束后可以自动完成数据处理，或者对多个实验结果进行批处理。</w:t>
            </w:r>
          </w:p>
          <w:p w14:paraId="4985B504">
            <w:pPr>
              <w:adjustRightInd/>
              <w:snapToGrid/>
              <w:spacing w:line="360" w:lineRule="auto"/>
              <w:jc w:val="left"/>
              <w:rPr>
                <w:rFonts w:ascii="Times New Roman" w:hAnsi="Times New Roman" w:eastAsia="宋体" w:cs="Times New Roman"/>
                <w:b/>
                <w:bCs/>
                <w:szCs w:val="21"/>
                <w:highlight w:val="none"/>
              </w:rPr>
            </w:pPr>
            <w:r>
              <w:rPr>
                <w:rFonts w:hint="eastAsia" w:eastAsia="宋体"/>
                <w:highlight w:val="none"/>
              </w:rPr>
              <w:t>★</w:t>
            </w: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7</w:t>
            </w:r>
            <w:r>
              <w:rPr>
                <w:rFonts w:ascii="Times New Roman" w:hAnsi="Times New Roman" w:eastAsia="宋体" w:cs="Times New Roman"/>
                <w:highlight w:val="none"/>
              </w:rPr>
              <w:t>.4软件具备自动或手动完成电泳泳道识别、条带定位、背景扣除并计算相对含量，自定义分析报告内容并导出，同时关联色谱曲线分析蛋白纯度，并将凝胶样品编号标记在色谱图中。</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27628A7B">
            <w:pPr>
              <w:numPr>
                <w:ilvl w:val="0"/>
                <w:numId w:val="0"/>
              </w:numPr>
              <w:adjustRightInd/>
              <w:snapToGrid/>
              <w:spacing w:line="360" w:lineRule="auto"/>
              <w:jc w:val="left"/>
              <w:rPr>
                <w:rFonts w:ascii="Times New Roman" w:hAnsi="Times New Roman" w:eastAsia="宋体" w:cs="Times New Roman"/>
                <w:highlight w:val="none"/>
              </w:rPr>
            </w:pPr>
            <w:r>
              <w:rPr>
                <w:rFonts w:hint="eastAsia" w:ascii="Times New Roman" w:hAnsi="Times New Roman" w:eastAsia="宋体" w:cs="Times New Roman"/>
                <w:b/>
                <w:bCs/>
                <w:szCs w:val="21"/>
                <w:highlight w:val="none"/>
                <w:lang w:val="en-US" w:eastAsia="zh-CN"/>
              </w:rPr>
              <w:t>2.</w:t>
            </w:r>
            <w:r>
              <w:rPr>
                <w:rFonts w:ascii="Times New Roman" w:hAnsi="Times New Roman" w:eastAsia="宋体" w:cs="Times New Roman"/>
                <w:highlight w:val="none"/>
              </w:rPr>
              <w:t>色谱柱配置</w:t>
            </w:r>
            <w:r>
              <w:rPr>
                <w:rFonts w:hint="eastAsia" w:ascii="Times New Roman" w:hAnsi="Times New Roman" w:eastAsia="宋体" w:cs="Times New Roman"/>
                <w:highlight w:val="none"/>
                <w:lang w:eastAsia="zh-CN"/>
              </w:rPr>
              <w:t>：</w:t>
            </w:r>
            <w:r>
              <w:rPr>
                <w:rFonts w:ascii="Times New Roman" w:hAnsi="Times New Roman" w:eastAsia="宋体" w:cs="Times New Roman"/>
                <w:szCs w:val="21"/>
                <w:highlight w:val="none"/>
              </w:rPr>
              <w:t>凝胶过滤层析色谱柱（</w:t>
            </w:r>
            <w:r>
              <w:rPr>
                <w:rFonts w:hint="eastAsia" w:ascii="Times New Roman" w:hAnsi="Times New Roman" w:eastAsia="宋体" w:cs="Times New Roman"/>
                <w:szCs w:val="21"/>
                <w:highlight w:val="none"/>
              </w:rPr>
              <w:t>大分子</w:t>
            </w:r>
            <w:r>
              <w:rPr>
                <w:rFonts w:ascii="Times New Roman" w:hAnsi="Times New Roman" w:eastAsia="宋体" w:cs="Times New Roman"/>
                <w:szCs w:val="21"/>
                <w:highlight w:val="none"/>
              </w:rPr>
              <w:t>分析型，10/300规格）：数量1；凝胶过滤层析色谱柱（小分子分离型，10/300规格）：数量1；金属螯合</w:t>
            </w:r>
            <w:r>
              <w:rPr>
                <w:rFonts w:hint="eastAsia" w:ascii="Times New Roman" w:hAnsi="Times New Roman" w:eastAsia="宋体" w:cs="Times New Roman"/>
                <w:szCs w:val="21"/>
                <w:highlight w:val="none"/>
              </w:rPr>
              <w:t>镍柱</w:t>
            </w:r>
            <w:r>
              <w:rPr>
                <w:rFonts w:ascii="Times New Roman" w:hAnsi="Times New Roman" w:eastAsia="宋体" w:cs="Times New Roman"/>
                <w:szCs w:val="21"/>
                <w:highlight w:val="none"/>
              </w:rPr>
              <w:t>亲和层析柱（</w:t>
            </w:r>
            <w:r>
              <w:rPr>
                <w:rFonts w:hint="eastAsia" w:ascii="Times New Roman" w:hAnsi="Times New Roman" w:eastAsia="宋体" w:cs="Times New Roman"/>
                <w:szCs w:val="21"/>
                <w:highlight w:val="none"/>
              </w:rPr>
              <w:t>5</w:t>
            </w:r>
            <w:r>
              <w:rPr>
                <w:rFonts w:ascii="Times New Roman" w:hAnsi="Times New Roman" w:eastAsia="宋体" w:cs="Times New Roman"/>
                <w:szCs w:val="21"/>
                <w:highlight w:val="none"/>
              </w:rPr>
              <w:t xml:space="preserve"> mL</w:t>
            </w:r>
            <w:r>
              <w:rPr>
                <w:rFonts w:hint="eastAsia" w:ascii="Times New Roman" w:hAnsi="Times New Roman" w:eastAsia="宋体" w:cs="Times New Roman"/>
                <w:szCs w:val="21"/>
                <w:highlight w:val="none"/>
              </w:rPr>
              <w:t>*4</w:t>
            </w:r>
            <w:r>
              <w:rPr>
                <w:rFonts w:ascii="Times New Roman" w:hAnsi="Times New Roman" w:eastAsia="宋体" w:cs="Times New Roman"/>
                <w:szCs w:val="21"/>
                <w:highlight w:val="none"/>
              </w:rPr>
              <w:t>规格）：数量4；Protein A亲和层析柱（</w:t>
            </w:r>
            <w:r>
              <w:rPr>
                <w:rFonts w:hint="eastAsia" w:ascii="Times New Roman" w:hAnsi="Times New Roman" w:eastAsia="宋体" w:cs="Times New Roman"/>
                <w:szCs w:val="21"/>
                <w:highlight w:val="none"/>
              </w:rPr>
              <w:t>5</w:t>
            </w:r>
            <w:r>
              <w:rPr>
                <w:rFonts w:ascii="Times New Roman" w:hAnsi="Times New Roman" w:eastAsia="宋体" w:cs="Times New Roman"/>
                <w:szCs w:val="21"/>
                <w:highlight w:val="none"/>
              </w:rPr>
              <w:t xml:space="preserve"> mL</w:t>
            </w:r>
            <w:r>
              <w:rPr>
                <w:rFonts w:hint="eastAsia" w:ascii="Times New Roman" w:hAnsi="Times New Roman" w:eastAsia="宋体" w:cs="Times New Roman"/>
                <w:szCs w:val="21"/>
                <w:highlight w:val="none"/>
              </w:rPr>
              <w:t>*4</w:t>
            </w:r>
            <w:r>
              <w:rPr>
                <w:rFonts w:ascii="Times New Roman" w:hAnsi="Times New Roman" w:eastAsia="宋体" w:cs="Times New Roman"/>
                <w:szCs w:val="21"/>
                <w:highlight w:val="none"/>
              </w:rPr>
              <w:t>规格）：数量1。</w:t>
            </w:r>
          </w:p>
          <w:p w14:paraId="647537DE">
            <w:pPr>
              <w:adjustRightInd/>
              <w:snapToGrid/>
              <w:spacing w:line="360" w:lineRule="auto"/>
              <w:jc w:val="left"/>
              <w:rPr>
                <w:rFonts w:ascii="Times New Roman" w:hAnsi="Times New Roman" w:eastAsia="宋体" w:cs="Times New Roman"/>
                <w:b/>
                <w:bCs/>
                <w:highlight w:val="none"/>
              </w:rPr>
            </w:pPr>
            <w:r>
              <w:rPr>
                <w:rFonts w:ascii="Times New Roman" w:hAnsi="Times New Roman" w:eastAsia="宋体" w:cs="Times New Roman"/>
                <w:b/>
                <w:bCs/>
                <w:highlight w:val="none"/>
              </w:rPr>
              <w:t>3.工作站技术指标</w:t>
            </w:r>
          </w:p>
          <w:p w14:paraId="35605AF9">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CPU:≥睿频5.4GHz，20核心，28线程；内存≥32GB；硬盘≥2TB NVME；独立显卡，显存≥6GB；显示器：≥27英寸，分辨率≥1920×1080。</w:t>
            </w:r>
          </w:p>
          <w:p w14:paraId="4C7EA766">
            <w:pPr>
              <w:numPr>
                <w:ilvl w:val="0"/>
                <w:numId w:val="0"/>
              </w:numPr>
              <w:spacing w:line="360" w:lineRule="auto"/>
              <w:ind w:left="0" w:leftChars="0" w:firstLine="0" w:firstLineChars="0"/>
              <w:rPr>
                <w:rFonts w:ascii="Times New Roman" w:hAnsi="Times New Roman" w:eastAsia="宋体" w:cs="Times New Roman"/>
                <w:b/>
                <w:bCs/>
                <w:szCs w:val="21"/>
                <w:highlight w:val="none"/>
              </w:rPr>
            </w:pPr>
            <w:r>
              <w:rPr>
                <w:rFonts w:hint="eastAsia" w:ascii="Times New Roman" w:hAnsi="Times New Roman" w:eastAsia="宋体" w:cs="Times New Roman"/>
                <w:highlight w:val="none"/>
                <w:lang w:val="en-US" w:eastAsia="zh-CN"/>
              </w:rPr>
              <w:t>4.</w:t>
            </w:r>
            <w:r>
              <w:rPr>
                <w:rFonts w:ascii="Times New Roman" w:hAnsi="Times New Roman" w:eastAsia="宋体" w:cs="Times New Roman"/>
                <w:b/>
                <w:sz w:val="28"/>
                <w:szCs w:val="22"/>
                <w:highlight w:val="none"/>
              </w:rPr>
              <w:br w:type="page"/>
            </w:r>
            <w:r>
              <w:rPr>
                <w:rFonts w:ascii="Times New Roman" w:hAnsi="Times New Roman" w:eastAsia="宋体" w:cs="Times New Roman"/>
                <w:b/>
                <w:bCs/>
                <w:szCs w:val="21"/>
                <w:highlight w:val="none"/>
              </w:rPr>
              <w:t>配套实验仪器技术指标</w:t>
            </w:r>
          </w:p>
          <w:p w14:paraId="019AE4D5">
            <w:pPr>
              <w:numPr>
                <w:ilvl w:val="0"/>
                <w:numId w:val="0"/>
              </w:numPr>
              <w:spacing w:line="360" w:lineRule="auto"/>
              <w:ind w:leftChars="0"/>
              <w:rPr>
                <w:rFonts w:hint="eastAsia" w:ascii="Times New Roman" w:hAnsi="Times New Roman" w:eastAsia="宋体" w:cs="Times New Roman"/>
                <w:highlight w:val="none"/>
                <w:lang w:eastAsia="zh-CN"/>
              </w:rPr>
            </w:pPr>
            <w:r>
              <w:rPr>
                <w:rFonts w:ascii="Times New Roman" w:hAnsi="Times New Roman" w:eastAsia="宋体" w:cs="Times New Roman"/>
                <w:highlight w:val="none"/>
              </w:rPr>
              <w:t>4.1磁驱恒温振荡器2台：温控范围：（环境温度-18℃）~60℃ (最低4℃)；温控设置精度： 0.1℃；温度均匀性：±0.3℃ (@37℃)；摇板尺寸（非抽拉式）：460×460mm；容  量：180L；旋转转速：0 (停止)，30~300rpm；转速精度：1rpm；转速驱动：磁力驱动，无电机，无皮带；CO2传感器：IR (红外线)；CO2浓度控制范围：0-20%；CO2浓度设置精度：±0.1%；灭 菌：紫外杀菌；无霜设计：有</w:t>
            </w:r>
            <w:r>
              <w:rPr>
                <w:rFonts w:hint="eastAsia" w:ascii="Times New Roman" w:hAnsi="Times New Roman" w:eastAsia="宋体" w:cs="Times New Roman"/>
                <w:highlight w:val="none"/>
                <w:lang w:eastAsia="zh-CN"/>
              </w:rPr>
              <w:t>。</w:t>
            </w:r>
          </w:p>
          <w:p w14:paraId="4AE008C9">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4.2加热恒温金属浴3台：控温范围：室温 + 5℃～100℃，控温精度≤±0.5℃，模块温度均匀性≤±0.5℃；适配模块：标配 F-100 模块，兼容 24 孔 0.5mL 离心管 + 30 孔 1.5mL 离心管，定时区间 1min～9999min</w:t>
            </w:r>
          </w:p>
          <w:p w14:paraId="0BADCD23">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4.3 涡旋仪3台：转速范围：0–3000rpm 可调，连续 / 点动双模式；适配多种试管、离心管，偏心振荡，振荡平稳无溢液；</w:t>
            </w:r>
          </w:p>
          <w:p w14:paraId="770ED024">
            <w:pPr>
              <w:numPr>
                <w:ilvl w:val="0"/>
                <w:numId w:val="0"/>
              </w:numPr>
              <w:spacing w:line="360" w:lineRule="auto"/>
              <w:ind w:leftChars="0"/>
              <w:rPr>
                <w:rFonts w:hint="eastAsia" w:ascii="Times New Roman" w:hAnsi="Times New Roman" w:eastAsia="宋体" w:cs="Times New Roman"/>
                <w:highlight w:val="none"/>
                <w:lang w:eastAsia="zh-CN"/>
              </w:rPr>
            </w:pPr>
            <w:r>
              <w:rPr>
                <w:rFonts w:ascii="Times New Roman" w:hAnsi="Times New Roman" w:eastAsia="宋体" w:cs="Times New Roman"/>
                <w:highlight w:val="none"/>
              </w:rPr>
              <w:t>4.4蓝光切胶仪 1台；激发光源：470nm 均匀 LED 蓝光，观察台面尺寸 200×120mm，配套琥珀色防护滤光盖</w:t>
            </w:r>
            <w:r>
              <w:rPr>
                <w:rFonts w:hint="eastAsia" w:ascii="Times New Roman" w:hAnsi="Times New Roman" w:eastAsia="宋体" w:cs="Times New Roman"/>
                <w:highlight w:val="none"/>
                <w:lang w:eastAsia="zh-CN"/>
              </w:rPr>
              <w:t>；</w:t>
            </w:r>
          </w:p>
          <w:p w14:paraId="58C2C78B">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4.5 脱色摇床2台：转速范围：10–80rpm，平稳低速往复摇摆；</w:t>
            </w:r>
          </w:p>
          <w:p w14:paraId="0D8DA227">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4.6掌</w:t>
            </w:r>
            <w:r>
              <w:rPr>
                <w:rFonts w:hint="eastAsia" w:ascii="Times New Roman" w:hAnsi="Times New Roman" w:eastAsia="宋体" w:cs="Times New Roman"/>
                <w:highlight w:val="none"/>
                <w:lang w:val="en-US" w:eastAsia="zh-CN"/>
              </w:rPr>
              <w:t>上</w:t>
            </w:r>
            <w:r>
              <w:rPr>
                <w:rFonts w:ascii="Times New Roman" w:hAnsi="Times New Roman" w:eastAsia="宋体" w:cs="Times New Roman"/>
                <w:highlight w:val="none"/>
              </w:rPr>
              <w:t>离心机2台：最大转速 7000rpm，离心容量适配 8×1.5/2.0mL 微量离心管 ；瞬时点动离心，体积小巧静音，开盖即停安全保护</w:t>
            </w:r>
          </w:p>
          <w:p w14:paraId="2CB7F89C">
            <w:pPr>
              <w:spacing w:line="360" w:lineRule="auto"/>
              <w:rPr>
                <w:rFonts w:ascii="Times New Roman" w:hAnsi="Times New Roman" w:eastAsia="宋体" w:cs="Times New Roman"/>
                <w:bCs/>
                <w:highlight w:val="none"/>
              </w:rPr>
            </w:pPr>
            <w:r>
              <w:rPr>
                <w:rFonts w:ascii="Times New Roman" w:hAnsi="Times New Roman" w:eastAsia="宋体" w:cs="Times New Roman"/>
                <w:bCs/>
                <w:highlight w:val="none"/>
              </w:rPr>
              <w:t>4.7 超低温冰箱2台：</w:t>
            </w:r>
            <w:bookmarkStart w:id="1" w:name="OLE_LINK10"/>
            <w:r>
              <w:rPr>
                <w:rFonts w:ascii="Times New Roman" w:hAnsi="Times New Roman" w:eastAsia="宋体" w:cs="Times New Roman"/>
                <w:bCs/>
                <w:highlight w:val="none"/>
              </w:rPr>
              <w:t>箱内温度范围 -40℃~-86℃ 可调，调节单位 0.1℃；有效容积 ≥690L；2ml 样本存放量 ≥48000 支;碳氢制冷剂，环保无污染；检测孔 ≥2 个（背部或左下角）；搭配 VIP PLUS 真空隔热发泡技术（保温层厚度 ≥70mm）。制冷系统：全封闭型变频压缩机，匹配成熟的复叠式制冷系统，运行稳定；标配膨胀罐，当因环境温度过高或其他原因导致制冷系统压力过大时，维持压缩机正常运行。</w:t>
            </w:r>
          </w:p>
          <w:bookmarkEnd w:id="1"/>
          <w:p w14:paraId="3EDCE40E">
            <w:pPr>
              <w:spacing w:line="360" w:lineRule="auto"/>
              <w:rPr>
                <w:rFonts w:ascii="Times New Roman" w:hAnsi="Times New Roman" w:eastAsia="宋体" w:cs="Times New Roman"/>
                <w:bCs/>
                <w:highlight w:val="none"/>
              </w:rPr>
            </w:pPr>
            <w:r>
              <w:rPr>
                <w:rFonts w:ascii="Times New Roman" w:hAnsi="Times New Roman" w:eastAsia="宋体" w:cs="Times New Roman"/>
                <w:bCs/>
                <w:highlight w:val="none"/>
              </w:rPr>
              <w:t>4.8层析柜3台：温度范围 0℃～10℃；有效容积 ≥1040L。内设 LED 照明，高亮节能。内部配置与附件：标配不锈钢层析柱2个，试管夹2组（4个），不锈钢搁架3个；柜体侧面配有测试孔，方便用户测试；双紫外灯设计（波长253.7nm），分别位于内箱左右两侧，灭菌效果良好；箱体左右各带1组（2 个）防水插头，使用方便。</w:t>
            </w:r>
          </w:p>
          <w:p w14:paraId="6EE2697A">
            <w:pPr>
              <w:spacing w:line="360" w:lineRule="auto"/>
              <w:rPr>
                <w:rFonts w:ascii="Times New Roman" w:hAnsi="Times New Roman" w:eastAsia="宋体" w:cs="Times New Roman"/>
                <w:bCs/>
                <w:highlight w:val="none"/>
              </w:rPr>
            </w:pPr>
            <w:r>
              <w:rPr>
                <w:rFonts w:ascii="Times New Roman" w:hAnsi="Times New Roman" w:eastAsia="宋体" w:cs="Times New Roman"/>
                <w:bCs/>
                <w:highlight w:val="none"/>
              </w:rPr>
              <w:t>4.9微生物培养振荡器（CO2）1台：</w:t>
            </w:r>
            <w:bookmarkStart w:id="2" w:name="OLE_LINK18"/>
            <w:r>
              <w:rPr>
                <w:rFonts w:ascii="Times New Roman" w:hAnsi="Times New Roman" w:eastAsia="宋体" w:cs="Times New Roman"/>
                <w:bCs/>
                <w:highlight w:val="none"/>
              </w:rPr>
              <w:t>304抑菌不锈钢内衬，抑菌率≥</w:t>
            </w:r>
            <w:r>
              <w:rPr>
                <w:rFonts w:ascii="Times New Roman" w:hAnsi="Times New Roman" w:eastAsia="宋体" w:cs="Times New Roman"/>
                <w:bCs/>
                <w:szCs w:val="21"/>
                <w:highlight w:val="none"/>
              </w:rPr>
              <w:t>99.9%</w:t>
            </w:r>
            <w:r>
              <w:rPr>
                <w:rFonts w:ascii="Times New Roman" w:hAnsi="Times New Roman" w:eastAsia="宋体" w:cs="Times New Roman"/>
                <w:bCs/>
                <w:highlight w:val="none"/>
              </w:rPr>
              <w:t>，门和玻璃具有独立加热功能，加热功率可调；触摸显示屏控制面板，具备数据记录功能，每分钟记录一次数据，具备记录数据时长≥5年，并具备生成温度、速度、CO₂ 浓度实时监控曲线，有 USB 接口具备将数据导出并保存。箱体内腔底部具备进行全方位无死角冲洗。配置增湿盘，箱体内自然增湿，最大容量（三角瓶放样量）：单层 ≥250ml×50 或 500ml×35 或 1000ml×20 或 2000ml×12。控温模块：温度探头 PT100；温控范围 4～60℃；温度调节精度 ±0.1℃；温度均匀度 ±0.5℃；控制方式： P.I.D 微电脑智能控制；对流方式：强制对流；定时范围 0-999.9 小时；4℃～60℃任意温度点稳定性后波动度不超过 ±0.5℃；CO₂ 控制模块：红外线 CO₂ 传感器，高灵敏、高精度、高自动控制 CO₂ 浓度；配置一套控制器、电磁阀、减压阀，联接 CO₂ 气源使用；耗气量：CO₂ 控制范围 0-20%；CO₂ 控制精度 0.1%。机械模块：高质伺服电机或直流无刷电机；机械驱动采用多轴偏三轮驱动或三维三轴传动；振荡频率 10-300rpm；振荡频率精度 ±1rpm；摇板振幅 Ф50mm（或 Ф26mm 可选）；摇板尺寸（长×宽）≥920mm×530mm；摇板在开门情况下停止摇动。配置紫外灯灭菌；箱体内腔底部支持全方位水冲洗灭菌。配置具备单手操作放取样品的一体成型塑胶三角瓶夹具，保证装载玻璃三角瓶时避免三角瓶被夹破裂。配置：1、箱体：1台；控温模块：1套；CO2控制模块：1套；机械模块：1套；灭菌装置：1套；夹具：1套。</w:t>
            </w:r>
            <w:bookmarkEnd w:id="2"/>
          </w:p>
          <w:p w14:paraId="5ED74975">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4.10二氧化碳培养箱6台：内部容积：170L。标配两种灭菌方式：180℃高温干热灭菌、紫外灭菌，灭菌时无需拆卸箱内部件。高温灭菌时长12小时。无臭氧型UV灯可以照射到水盘和整个风道，杀灭箱体内循环空气和增湿盘水蒸汽中的霉菌，支持细胞培养过程中实时灭菌。二氧化碳浓度控制范围：0-20%，控制精度：±0.1%。温度范围：(室温+5)-50°C。温度控制精度：0.1°C；温度均一性：±0.25°C；温度波动度±0.1°C。加湿系统：增湿盘自然蒸发，95%RH ±5%；采用进口红外IR传感器，精度更高，不受温湿度影响，耐受180℃高温，灭菌无需拆卸。六面加热方式，高性能加热系统，为整个培养箱提供了高度均匀的温度分布，使整个培养箱的温度更为均一。</w:t>
            </w:r>
          </w:p>
          <w:p w14:paraId="1B219DA0">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4</w:t>
            </w:r>
            <w:r>
              <w:rPr>
                <w:rFonts w:hint="eastAsia" w:ascii="Times New Roman" w:hAnsi="Times New Roman" w:eastAsia="宋体" w:cs="Times New Roman"/>
                <w:highlight w:val="none"/>
                <w:lang w:val="en-US" w:eastAsia="zh-CN"/>
              </w:rPr>
              <w:t>.</w:t>
            </w:r>
            <w:r>
              <w:rPr>
                <w:rFonts w:ascii="Times New Roman" w:hAnsi="Times New Roman" w:eastAsia="宋体" w:cs="Times New Roman"/>
                <w:highlight w:val="none"/>
              </w:rPr>
              <w:t>11超微量分光光度计1台：波长范围: 190-850nm，可对少至1ul的微量样品进行快速测定，耗费样本更少，节省样品。低波长下亦具备准确检测蛋白质，如205nm下可准确检测多肽的浓度；检测范围更加宽泛，对于dsDNA, 从2ng/μl到27500ng/μl，不用稀释均可直接测量。波长精度: ±1nm；光谱分辨率: 1.8 nm (FWHM at Hg 253.7 nm)；光程: 内含0.03,0.05,0.1,0.2,1mm 5个光程，根据样品浓度进行自动匹配最佳光程，无需手工设置，光程调节器不会曝露在空气中，避免灰尘，纸屑或体进入生锈导致光程不准确；检测下限：≥2ng/ul（dsDNA），0.06mg/ml（BSA），0.03mg/ml（IgG）；检测上限：≤27,500ng/ul（dsDNA），820mg/ml（BSA），400mg/ml（IgG）；当样本中存在污染物时，能鉴定的污染物（≤5种）；样本检测的结果会自动扣除污染物的OD值，保证得到精确的样本浓度；仪器内置CMOS检测器传感器，在检测前对样品形成的液柱进行数码成像，保证检测的可靠性；</w:t>
            </w:r>
          </w:p>
          <w:p w14:paraId="10FCF97B">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 xml:space="preserve">4.12生物安全柜4台：类 别：II级，A2型，单面操作。工作区尺寸(W×D×H)：1560×630×660mm。气流模式：30%外排，70%循环。前窗工作高度250mm，提供更广阔的操作空间。HEPA过滤器，过滤效率99.995%@MPPS(H14)，带有过滤器寿命倒计时报警，过滤器压差报警，并可以实时查看过滤器的压差值。降风和流入风采用双风机独立控制，且带有风机联动功能。可实时测量并单独控制下降气流流速和流入气流流速，保证引、送风机按一定的顺序启动和停止，可维持恒定风速，双直流风机系统，采用直流电机，具备根据环境压力，过滤器的脏堵情况自动调节风机转速。双系统控制，当排风风机停止运行时，下降气流风机自动停止运行。前窗玻璃采用6mm厚防紫外线防爆钢化玻璃。移门开启高度上下限位声光报警并与照明控制联动。玻璃门具备任意升降定位，并具备下拉至最底部，实现全幅清洁。 </w:t>
            </w:r>
          </w:p>
          <w:p w14:paraId="765BF73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4.13凝胶成像系统2台：相机：≥2000万像素CMOS相机；镜头：采用电动聚焦镜头，具备自动聚焦；光源：标配三波段集成LED光源，302nm波长LED紫外光源，470nm波长LED蓝光光源，全波段LED白色光源；</w:t>
            </w:r>
          </w:p>
          <w:p w14:paraId="0683FAE9">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4.14高压灭菌器1台：</w:t>
            </w:r>
            <w:bookmarkStart w:id="3" w:name="OLE_LINK20"/>
            <w:r>
              <w:rPr>
                <w:rFonts w:ascii="Times New Roman" w:hAnsi="Times New Roman" w:eastAsia="宋体" w:cs="Times New Roman"/>
                <w:highlight w:val="none"/>
              </w:rPr>
              <w:t>腔内容积≥80L。设计压力：0.3Mpa；安全阀起跳压力：0.28Mpa。压力表量程：0~0.4Mpa。开门方式：快开联锁机构一体式上掀盖设计，增加防烫遮盖板。预设三种灭菌工作模式：灭菌：105℃~135℃（关阀）、溶解：60~110℃（开阀）、保温：45~60℃（开阀）。水桶外置;标配快排接口，具备排出腔内废水。</w:t>
            </w:r>
          </w:p>
          <w:bookmarkEnd w:id="3"/>
          <w:p w14:paraId="23A41BE4">
            <w:pPr>
              <w:spacing w:line="360" w:lineRule="auto"/>
              <w:rPr>
                <w:rFonts w:ascii="Times New Roman" w:hAnsi="Times New Roman" w:eastAsia="宋体" w:cs="Times New Roman"/>
                <w:b/>
                <w:szCs w:val="21"/>
                <w:highlight w:val="none"/>
              </w:rPr>
            </w:pPr>
            <w:r>
              <w:rPr>
                <w:rFonts w:ascii="Times New Roman" w:hAnsi="Times New Roman" w:eastAsia="宋体" w:cs="Times New Roman"/>
                <w:b/>
                <w:szCs w:val="21"/>
                <w:highlight w:val="none"/>
              </w:rPr>
              <w:t>四、其他要求</w:t>
            </w:r>
          </w:p>
          <w:p w14:paraId="2E10E46A">
            <w:pPr>
              <w:spacing w:line="360" w:lineRule="auto"/>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1.提供制造商或总代理商授权书。</w:t>
            </w:r>
          </w:p>
          <w:p w14:paraId="63EA5778">
            <w:pPr>
              <w:spacing w:line="360" w:lineRule="auto"/>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2.提供技术资料，包括仪器技术说明书、应用方案、安装指南、操作使用说明书、标准操作规程与维护规程。</w:t>
            </w:r>
          </w:p>
          <w:p w14:paraId="3BFF2374">
            <w:pPr>
              <w:widowControl/>
              <w:spacing w:line="360" w:lineRule="auto"/>
              <w:jc w:val="left"/>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3.质保期内免费提供配件更换与故障维修服务，免费提供一次设备迁移服务，配套软件终身免费维护与版本升级。</w:t>
            </w:r>
          </w:p>
          <w:p w14:paraId="2B84DCF4">
            <w:pPr>
              <w:widowControl/>
              <w:spacing w:line="360" w:lineRule="auto"/>
              <w:jc w:val="left"/>
              <w:rPr>
                <w:rFonts w:ascii="Times New Roman" w:hAnsi="Times New Roman" w:eastAsia="宋体" w:cs="Times New Roman"/>
                <w:szCs w:val="21"/>
                <w:highlight w:val="none"/>
              </w:rPr>
            </w:pPr>
            <w:r>
              <w:rPr>
                <w:rFonts w:ascii="Times New Roman" w:hAnsi="Times New Roman" w:eastAsia="宋体" w:cs="Times New Roman"/>
                <w:bCs/>
                <w:szCs w:val="21"/>
                <w:highlight w:val="none"/>
              </w:rPr>
              <w:t>4.由技术人员提供现场培训，培训人数不限，内容包括仪器使用与维护、软件编程、应用方法开发及常见问题处理。每年巡检不少于4次，组织培训不少于2次。</w:t>
            </w:r>
          </w:p>
        </w:tc>
      </w:tr>
      <w:tr w14:paraId="093C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noWrap w:val="0"/>
            <w:vAlign w:val="center"/>
          </w:tcPr>
          <w:p w14:paraId="7C536B3C">
            <w:pPr>
              <w:wordWrap w:val="0"/>
              <w:adjustRightInd w:val="0"/>
              <w:snapToGrid w:val="0"/>
              <w:spacing w:line="360" w:lineRule="auto"/>
              <w:jc w:val="center"/>
              <w:rPr>
                <w:rFonts w:ascii="Times New Roman" w:hAnsi="Times New Roman" w:eastAsia="宋体" w:cs="Times New Roman"/>
                <w:color w:val="000000"/>
                <w:szCs w:val="21"/>
                <w:highlight w:val="none"/>
              </w:rPr>
            </w:pPr>
            <w:r>
              <w:rPr>
                <w:rFonts w:ascii="Times New Roman" w:hAnsi="Times New Roman" w:eastAsia="宋体" w:cs="Times New Roman"/>
                <w:color w:val="000000"/>
                <w:szCs w:val="21"/>
                <w:highlight w:val="none"/>
              </w:rPr>
              <w:t>2</w:t>
            </w:r>
          </w:p>
        </w:tc>
        <w:tc>
          <w:tcPr>
            <w:tcW w:w="1129" w:type="dxa"/>
            <w:noWrap w:val="0"/>
            <w:vAlign w:val="center"/>
          </w:tcPr>
          <w:p w14:paraId="0C555A9B">
            <w:pPr>
              <w:wordWrap w:val="0"/>
              <w:adjustRightInd w:val="0"/>
              <w:snapToGrid w:val="0"/>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流变仪</w:t>
            </w:r>
          </w:p>
        </w:tc>
        <w:tc>
          <w:tcPr>
            <w:tcW w:w="7397" w:type="dxa"/>
            <w:noWrap w:val="0"/>
            <w:vAlign w:val="center"/>
          </w:tcPr>
          <w:p w14:paraId="3C10A914">
            <w:pPr>
              <w:spacing w:line="360" w:lineRule="auto"/>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一、主要用途</w:t>
            </w:r>
          </w:p>
          <w:p w14:paraId="4A537D34">
            <w:pPr>
              <w:spacing w:line="360" w:lineRule="auto"/>
              <w:ind w:firstLine="420" w:firstLineChars="200"/>
              <w:rPr>
                <w:rFonts w:ascii="Times New Roman" w:hAnsi="Times New Roman" w:eastAsia="宋体" w:cs="Times New Roman"/>
                <w:szCs w:val="21"/>
                <w:highlight w:val="none"/>
              </w:rPr>
            </w:pPr>
            <w:r>
              <w:rPr>
                <w:rFonts w:ascii="Times New Roman" w:hAnsi="Times New Roman" w:eastAsia="宋体" w:cs="Times New Roman"/>
                <w:highlight w:val="none"/>
              </w:rPr>
              <w:t>生物医用材料、生物高分子、药物制剂的粘弹性表征，开展旋转及振荡流变测试，具备完成制剂流动性、触变性、凝胶相变、固化动力学、材料模量、松弛特性、粘附性能等测试，支撑原位凝胶、组织工程支架、医用敷料、高分子原料、生物体液等生物医药相关样品研发与质量评价。</w:t>
            </w:r>
          </w:p>
          <w:p w14:paraId="5F6605B7">
            <w:pPr>
              <w:numPr>
                <w:ilvl w:val="0"/>
                <w:numId w:val="1"/>
              </w:numPr>
              <w:spacing w:line="360" w:lineRule="auto"/>
              <w:ind w:left="0" w:leftChars="0" w:firstLine="0" w:firstLineChars="0"/>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配置清单：</w:t>
            </w:r>
          </w:p>
          <w:p w14:paraId="73CF7146">
            <w:pPr>
              <w:numPr>
                <w:ilvl w:val="0"/>
                <w:numId w:val="0"/>
              </w:numPr>
              <w:spacing w:line="360" w:lineRule="auto"/>
              <w:rPr>
                <w:rFonts w:ascii="Times New Roman" w:hAnsi="Times New Roman" w:eastAsia="宋体" w:cs="Times New Roman"/>
                <w:highlight w:val="none"/>
              </w:rPr>
            </w:pPr>
            <w:r>
              <w:rPr>
                <w:rFonts w:hint="eastAsia" w:ascii="Times New Roman" w:hAnsi="Times New Roman" w:eastAsia="宋体" w:cs="Times New Roman"/>
                <w:highlight w:val="none"/>
                <w:lang w:val="en-US" w:eastAsia="zh-CN"/>
              </w:rPr>
              <w:t>1.</w:t>
            </w:r>
            <w:r>
              <w:rPr>
                <w:rFonts w:ascii="Times New Roman" w:hAnsi="Times New Roman" w:eastAsia="宋体" w:cs="Times New Roman"/>
                <w:highlight w:val="none"/>
              </w:rPr>
              <w:t>流变仪主机1台（软件1套；控温附件1套，温度范围：-45至210℃；下盖板1个；浸入式下板1个；专用测量转子2个；国内配套部分：空气过滤干燥单元1套；无油静音空压机1台；带制冷功能的循环水浴1台）；</w:t>
            </w:r>
          </w:p>
          <w:p w14:paraId="3D4C9D65">
            <w:pPr>
              <w:numPr>
                <w:ilvl w:val="0"/>
                <w:numId w:val="0"/>
              </w:numPr>
              <w:spacing w:line="360" w:lineRule="auto"/>
              <w:ind w:leftChars="0"/>
              <w:rPr>
                <w:rFonts w:ascii="Times New Roman" w:hAnsi="Times New Roman" w:eastAsia="宋体" w:cs="Times New Roman"/>
                <w:highlight w:val="none"/>
              </w:rPr>
            </w:pPr>
            <w:r>
              <w:rPr>
                <w:rFonts w:hint="eastAsia" w:ascii="Times New Roman" w:hAnsi="Times New Roman" w:eastAsia="宋体" w:cs="Times New Roman"/>
                <w:highlight w:val="none"/>
                <w:lang w:val="en-US" w:eastAsia="zh-CN"/>
              </w:rPr>
              <w:t>2.</w:t>
            </w:r>
            <w:r>
              <w:rPr>
                <w:rFonts w:ascii="Times New Roman" w:hAnsi="Times New Roman" w:eastAsia="宋体" w:cs="Times New Roman"/>
                <w:highlight w:val="none"/>
              </w:rPr>
              <w:t>工作站3台；</w:t>
            </w:r>
          </w:p>
          <w:p w14:paraId="327C802C">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3.配套实验仪器：光学显微镜1套；微生物培养振荡器2台；高压灭菌器1台；荧光显微镜1套</w:t>
            </w:r>
          </w:p>
          <w:p w14:paraId="5AF5DE94">
            <w:pPr>
              <w:numPr>
                <w:ilvl w:val="0"/>
                <w:numId w:val="0"/>
              </w:numPr>
              <w:spacing w:line="360" w:lineRule="auto"/>
              <w:ind w:leftChars="0"/>
              <w:rPr>
                <w:rFonts w:ascii="Times New Roman" w:hAnsi="Times New Roman" w:eastAsia="宋体" w:cs="Times New Roman"/>
                <w:b/>
                <w:bCs/>
                <w:highlight w:val="none"/>
              </w:rPr>
            </w:pPr>
            <w:r>
              <w:rPr>
                <w:rFonts w:ascii="Times New Roman" w:hAnsi="Times New Roman" w:eastAsia="宋体" w:cs="Times New Roman"/>
                <w:b/>
                <w:bCs/>
                <w:highlight w:val="none"/>
              </w:rPr>
              <w:t>三、技术指标</w:t>
            </w:r>
          </w:p>
          <w:p w14:paraId="6942319A">
            <w:pPr>
              <w:numPr>
                <w:ilvl w:val="0"/>
                <w:numId w:val="0"/>
              </w:numPr>
              <w:spacing w:line="360" w:lineRule="auto"/>
              <w:ind w:leftChars="0"/>
              <w:rPr>
                <w:rFonts w:ascii="Times New Roman" w:hAnsi="Times New Roman" w:eastAsia="宋体" w:cs="Times New Roman"/>
                <w:b/>
                <w:bCs/>
                <w:highlight w:val="none"/>
              </w:rPr>
            </w:pPr>
            <w:r>
              <w:rPr>
                <w:rFonts w:ascii="Times New Roman" w:hAnsi="Times New Roman" w:eastAsia="宋体" w:cs="Times New Roman"/>
                <w:b/>
                <w:bCs/>
                <w:highlight w:val="none"/>
              </w:rPr>
              <w:t>1.流变仪主机技术指标</w:t>
            </w:r>
          </w:p>
          <w:p w14:paraId="50ECFFB2">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1.1测量模式：旋转测量和振荡测量；旋转测量模式：流动曲线、粘度曲线、粘温曲线、剪切应力、剪切速率、屈服应力、触变性、滞后环面积、流动模型拟合和分析、零剪切粘度计算；振荡测量模式：应变扫描、频率扫描、温度扫描、时间扫描等模式，可得到储能模量、损耗模量、复数模量、复数粘度；</w:t>
            </w:r>
          </w:p>
          <w:p w14:paraId="1AC01448">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1.2仪器配备光学编码器；空气轴承；触摸屏，方便仪器操作；可样品区域可调照明功能；可电子水平功能；支持识别测量转子类型和型号；</w:t>
            </w:r>
          </w:p>
          <w:p w14:paraId="1CDF81FF">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3</w:t>
            </w:r>
            <w:r>
              <w:rPr>
                <w:rFonts w:ascii="Times New Roman" w:hAnsi="Times New Roman" w:eastAsia="宋体" w:cs="Times New Roman"/>
                <w:highlight w:val="none"/>
              </w:rPr>
              <w:t>最大扭矩：≥200mNm；</w:t>
            </w:r>
          </w:p>
          <w:p w14:paraId="1C597A5C">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4</w:t>
            </w:r>
            <w:r>
              <w:rPr>
                <w:rFonts w:ascii="Times New Roman" w:hAnsi="Times New Roman" w:eastAsia="宋体" w:cs="Times New Roman"/>
                <w:highlight w:val="none"/>
              </w:rPr>
              <w:t>最小旋转扭矩：≤1nNm；</w:t>
            </w:r>
          </w:p>
          <w:p w14:paraId="120E62D3">
            <w:pPr>
              <w:numPr>
                <w:ilvl w:val="0"/>
                <w:numId w:val="0"/>
              </w:numPr>
              <w:spacing w:line="360" w:lineRule="auto"/>
              <w:ind w:leftChars="0"/>
              <w:rPr>
                <w:rFonts w:ascii="Times New Roman" w:hAnsi="Times New Roman" w:eastAsia="宋体" w:cs="Times New Roman"/>
                <w:b/>
                <w:bCs/>
                <w:szCs w:val="21"/>
                <w:highlight w:val="none"/>
              </w:rPr>
            </w:pPr>
            <w:r>
              <w:rPr>
                <w:rFonts w:hint="eastAsia" w:eastAsia="宋体"/>
                <w:highlight w:val="none"/>
              </w:rPr>
              <w:t>★</w:t>
            </w: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5</w:t>
            </w:r>
            <w:r>
              <w:rPr>
                <w:rFonts w:ascii="Times New Roman" w:hAnsi="Times New Roman" w:eastAsia="宋体" w:cs="Times New Roman"/>
                <w:highlight w:val="none"/>
              </w:rPr>
              <w:t>最小振荡扭矩：≤0.2nNm；</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5B84FD87">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6</w:t>
            </w:r>
            <w:r>
              <w:rPr>
                <w:rFonts w:ascii="Times New Roman" w:hAnsi="Times New Roman" w:eastAsia="宋体" w:cs="Times New Roman"/>
                <w:highlight w:val="none"/>
              </w:rPr>
              <w:t>最大转速：≥2000rpm；最大频率：≥200Hz；</w:t>
            </w:r>
          </w:p>
          <w:p w14:paraId="2B48A6A2">
            <w:pPr>
              <w:numPr>
                <w:ilvl w:val="0"/>
                <w:numId w:val="0"/>
              </w:numPr>
              <w:spacing w:line="360" w:lineRule="auto"/>
              <w:ind w:leftChars="0"/>
              <w:rPr>
                <w:rFonts w:ascii="Times New Roman" w:hAnsi="Times New Roman" w:eastAsia="宋体" w:cs="Times New Roman"/>
                <w:b/>
                <w:bCs/>
                <w:szCs w:val="21"/>
                <w:highlight w:val="none"/>
              </w:rPr>
            </w:pPr>
            <w:r>
              <w:rPr>
                <w:rFonts w:hint="eastAsia" w:eastAsia="宋体"/>
                <w:highlight w:val="none"/>
              </w:rPr>
              <w:t>★</w:t>
            </w: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7</w:t>
            </w:r>
            <w:r>
              <w:rPr>
                <w:rFonts w:ascii="Times New Roman" w:hAnsi="Times New Roman" w:eastAsia="宋体" w:cs="Times New Roman"/>
                <w:highlight w:val="none"/>
              </w:rPr>
              <w:t>最小法向力：≤0.001N；</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5FB2CD00">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8</w:t>
            </w:r>
            <w:r>
              <w:rPr>
                <w:rFonts w:ascii="Times New Roman" w:hAnsi="Times New Roman" w:eastAsia="宋体" w:cs="Times New Roman"/>
                <w:highlight w:val="none"/>
              </w:rPr>
              <w:t>最大法向力：≥10N；偏转角分辨率：≤1nrad；</w:t>
            </w:r>
          </w:p>
          <w:p w14:paraId="03025273">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9</w:t>
            </w:r>
            <w:r>
              <w:rPr>
                <w:rFonts w:ascii="Times New Roman" w:hAnsi="Times New Roman" w:eastAsia="宋体" w:cs="Times New Roman"/>
                <w:highlight w:val="none"/>
              </w:rPr>
              <w:t>支持轴向和tack测试、快速调频测量，可记录显示利萨如图、波形、傅里叶变换流变、振荡原始信号；</w:t>
            </w:r>
          </w:p>
          <w:p w14:paraId="37A956DF">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10</w:t>
            </w:r>
            <w:r>
              <w:rPr>
                <w:rFonts w:ascii="Times New Roman" w:hAnsi="Times New Roman" w:eastAsia="宋体" w:cs="Times New Roman"/>
                <w:highlight w:val="none"/>
              </w:rPr>
              <w:t>软件包含时温叠加、松弛时间谱计算；</w:t>
            </w:r>
          </w:p>
          <w:p w14:paraId="02EE8AA1">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1.1</w:t>
            </w:r>
            <w:r>
              <w:rPr>
                <w:rFonts w:hint="eastAsia" w:ascii="Times New Roman" w:hAnsi="Times New Roman" w:eastAsia="宋体" w:cs="Times New Roman"/>
                <w:highlight w:val="none"/>
                <w:lang w:val="en-US" w:eastAsia="zh-CN"/>
              </w:rPr>
              <w:t>1</w:t>
            </w:r>
            <w:r>
              <w:rPr>
                <w:rFonts w:ascii="Times New Roman" w:hAnsi="Times New Roman" w:eastAsia="宋体" w:cs="Times New Roman"/>
                <w:highlight w:val="none"/>
              </w:rPr>
              <w:t>仪器配置要求仪器主机1台；软件1套；控温附件1套，温度范围：-45至210℃；下盖板1个；浸入式下板1个；专用测量转子2个；国内配套部分：</w:t>
            </w:r>
          </w:p>
          <w:p w14:paraId="15F49F60">
            <w:pPr>
              <w:numPr>
                <w:ilvl w:val="0"/>
                <w:numId w:val="0"/>
              </w:numPr>
              <w:spacing w:line="360" w:lineRule="auto"/>
              <w:ind w:leftChars="0"/>
              <w:rPr>
                <w:rFonts w:ascii="Times New Roman" w:hAnsi="Times New Roman" w:eastAsia="宋体" w:cs="Times New Roman"/>
                <w:b/>
                <w:bCs/>
                <w:highlight w:val="none"/>
              </w:rPr>
            </w:pPr>
            <w:r>
              <w:rPr>
                <w:rFonts w:ascii="Times New Roman" w:hAnsi="Times New Roman" w:eastAsia="宋体" w:cs="Times New Roman"/>
                <w:highlight w:val="none"/>
              </w:rPr>
              <w:t>空气过滤干燥单元1套；无油静音空压机1台；带制冷功能的循环水浴1台；</w:t>
            </w:r>
            <w:r>
              <w:rPr>
                <w:rFonts w:ascii="Times New Roman" w:hAnsi="Times New Roman" w:eastAsia="宋体" w:cs="Times New Roman"/>
                <w:b/>
                <w:bCs/>
                <w:kern w:val="2"/>
                <w:sz w:val="21"/>
                <w:szCs w:val="24"/>
                <w:highlight w:val="none"/>
                <w:lang w:val="en-US" w:eastAsia="zh-CN" w:bidi="ar-SA"/>
              </w:rPr>
              <w:t>2.工作台技术指标</w:t>
            </w:r>
          </w:p>
          <w:p w14:paraId="46232F9F">
            <w:pPr>
              <w:pStyle w:val="2"/>
              <w:rPr>
                <w:rFonts w:ascii="Times New Roman" w:hAnsi="Times New Roman" w:cs="Times New Roman"/>
                <w:highlight w:val="none"/>
              </w:rPr>
            </w:pPr>
            <w:r>
              <w:rPr>
                <w:rFonts w:ascii="Times New Roman" w:hAnsi="Times New Roman" w:cs="Times New Roman"/>
                <w:highlight w:val="none"/>
              </w:rPr>
              <w:t>CPU:≥睿频5.4GHz，20核心，28线程；内存≥32GB；硬盘≥2TB NVME；独立显卡，显存≥6GB；显示器：≥27英寸，分辨率≥1920×1080。</w:t>
            </w:r>
          </w:p>
          <w:p w14:paraId="74F907F7">
            <w:pPr>
              <w:numPr>
                <w:ilvl w:val="0"/>
                <w:numId w:val="0"/>
              </w:numPr>
              <w:spacing w:line="360" w:lineRule="auto"/>
              <w:ind w:leftChars="0"/>
              <w:rPr>
                <w:rFonts w:ascii="Times New Roman" w:hAnsi="Times New Roman" w:eastAsia="宋体" w:cs="Times New Roman"/>
                <w:b/>
                <w:bCs/>
                <w:highlight w:val="none"/>
              </w:rPr>
            </w:pPr>
            <w:r>
              <w:rPr>
                <w:rFonts w:ascii="Times New Roman" w:hAnsi="Times New Roman" w:eastAsia="宋体" w:cs="Times New Roman"/>
                <w:b/>
                <w:bCs/>
                <w:highlight w:val="none"/>
              </w:rPr>
              <w:t>3.配套实验仪器技术指标</w:t>
            </w:r>
          </w:p>
          <w:p w14:paraId="5800307E">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3.1光学显微镜 1台：</w:t>
            </w:r>
          </w:p>
          <w:p w14:paraId="5EC07BD3">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3.1.1放大倍数：40X-1000X；齐焦距离≤45mm；观察筒：5°~35°可调倾角，瞳距调节范围50~76mm，三档分光比,双目：三目=100:0或50:50或0:100。目镜：宽光束成像系统，PL10X，视场数≥23mm，两目镜都支持±5屈光度调节；转换器：六孔编码转换器，带DIC插槽可升级DIC观察，带编码记忆；载物台：双层复合式机械平台，矩形平台周身圆弧过渡设计减少应力集中。面积≥186mmX166mm，移动范围≥80X55mm, 精度≤0.1mm。双向采用线轨传动，扭矩松紧可调。物镜：万能平场全复消色差物镜，带国际通用Apo标识，NA值不得低于以下数值并提供实物照片证明: 4X/NA≥0.16/WD≥12.50mm、10X/NA≥0.40/WD≥3.2mm、20X/NA≥0.75/WD≥0.60mm、40X（S）/NA≥0.95/WD≥0.15mm、60X（S、O）/NA≥0.9/WD≥0.25mm、100X，N.A.≥1.35，W.D.≥0.13mm；粗调总行程≥25mm，微调精度≤0.001mm。聚光镜：万能聚光镜，≥8孔转盘式主体，内设3小5大孔，具备用于明场、暗场、相称、DIC和简易偏光；采用数字调光，具有光强设定与复位功能，re-set复位按钮将光强设置在使用LBD 滤色镜进行显微摄影时的最佳电压约8V方便采集图像和相机标志位置，一键RE-set照明，快捷方便。</w:t>
            </w:r>
          </w:p>
          <w:p w14:paraId="04D51984">
            <w:pPr>
              <w:numPr>
                <w:ilvl w:val="0"/>
                <w:numId w:val="0"/>
              </w:numPr>
              <w:spacing w:line="360" w:lineRule="auto"/>
              <w:ind w:leftChars="0"/>
              <w:rPr>
                <w:rFonts w:ascii="Times New Roman" w:hAnsi="Times New Roman" w:eastAsia="宋体" w:cs="Times New Roman"/>
                <w:b/>
                <w:bCs/>
                <w:szCs w:val="21"/>
                <w:highlight w:val="none"/>
              </w:rPr>
            </w:pPr>
            <w:r>
              <w:rPr>
                <w:rFonts w:ascii="Times New Roman" w:hAnsi="Times New Roman" w:eastAsia="宋体" w:cs="Times New Roman"/>
                <w:highlight w:val="none"/>
              </w:rPr>
              <w:t>3.1.2</w:t>
            </w:r>
            <w:r>
              <w:rPr>
                <w:rFonts w:hint="eastAsia" w:eastAsia="宋体"/>
                <w:highlight w:val="none"/>
              </w:rPr>
              <w:t>★</w:t>
            </w:r>
            <w:r>
              <w:rPr>
                <w:rFonts w:ascii="Times New Roman" w:hAnsi="Times New Roman" w:eastAsia="宋体" w:cs="Times New Roman"/>
                <w:highlight w:val="none"/>
              </w:rPr>
              <w:t>反射荧光系统：多波段LED光源,含365/460/525/625四激发通道，通道触发控制&lt;500ms，光强独立可控，≥10W大功率LED，具备瞬间开启或关闭，无须预热或冷却，支持SDK控制。≥6孔盘式反射荧光照明器。带荧光护目板。荧光滤色片组: 标准 B/G/UV三组进口模块。分别对应蓝色（对应DIPI）、绿色(对应GFP)、红色（对应RFP）。技术指标为B ：EX480/30,DI505DC,EM535/40 ；G：EX560/40,DI600DC,EM635/60；UV：EX375/28,DI415DC,EM460/50；微分干涉附件：透射DIC插板、10X，20X，40X/60X透射DIC环板，支持10X\20X\40X\60X物镜DIC观察；</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7115F89B">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3.1.3物镜成像清晰圆直径：4X≥17.4mm，10X≥17.3mm，20X≥17.5mm，40X≥18.6mm，100X≥18.5mm；载物台受5N水平方向作用力，最大位移≤0.012mm；不重复性≤0.003mm；用机械使用标本在5mmX5mm范围内移动时的离焦量：≤0.003mm；10倍物镜景深范围内像面的偏摆：≤0.01mm。物镜放大率准确度误差范围：不超过±0.83%；目镜放大率准确度：≤±0.55%；左右两系统放大率差≤0.35%。显微成像系统，双相机配置：物理像素≥500万，芯片尺寸≥2/3英寸，帧率≥30fps@5.0MP，像素点≥3.4umX3.4um；有效像素：≥2100万，Sony 4/3英寸背照式CMOS传感器，数据接口：USB3.2 ，图像速度：49@5280x3956，115@2640x1978，240@1760x1318，像素大小：3.3umx3.3um。配置清单：目镜：PL10X/23mm，视度可调；数量：1对。物镜：万能复消色差物镜（带NA标识），4倍、10倍、20倍、40倍、60倍、100倍； 数量：1组。观察筒：仰角可调三目观察筒，瞳距50mm-76mm，三档分光； 数量：1个。主机机架组：含调焦机构，6孔编码物镜转盘；电器开关；八孔万能聚光镜；数量：1台。荧光照明组件：大功率多色LED光源，6孔盘式转盘、三色激发块；数量：1套。透射照明组件：照明灯室、照明光源、DIC微分干涉附件；数量：1个。成像系统：原厂荧光专用相机（含C型接口、标准软件）；数量：1套。成像系统：高速高分辨率USB3.2相机（含C型接口、标准软件）；数量：1套。附件：说明书、防尘罩、电源线；数量：1套。</w:t>
            </w:r>
          </w:p>
          <w:p w14:paraId="0DC986A4">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3.2高压灭菌器1台：腔内容积≥80L。设计压力：0.3Mpa；安全阀起跳压力：0.28Mpa。压力表量程：0~0.4Mpa。开门方式：快开联锁机构一体式上掀盖设计，增加防烫遮盖板。预设三种灭菌工作模式：灭菌：105℃~135℃（关阀）、溶解：60~110℃（开阀）、保温：45~60℃（开阀）。水桶外置;标配快排接口，具备排出腔内废水。</w:t>
            </w:r>
          </w:p>
          <w:p w14:paraId="072A56F0">
            <w:pPr>
              <w:numPr>
                <w:ilvl w:val="0"/>
                <w:numId w:val="0"/>
              </w:numPr>
              <w:spacing w:line="360" w:lineRule="auto"/>
              <w:ind w:leftChars="0"/>
              <w:rPr>
                <w:rFonts w:ascii="Times New Roman" w:hAnsi="Times New Roman" w:eastAsia="宋体" w:cs="Times New Roman"/>
                <w:szCs w:val="20"/>
                <w:highlight w:val="none"/>
              </w:rPr>
            </w:pPr>
            <w:r>
              <w:rPr>
                <w:rFonts w:ascii="Times New Roman" w:hAnsi="Times New Roman" w:eastAsia="宋体" w:cs="Times New Roman"/>
                <w:highlight w:val="none"/>
              </w:rPr>
              <w:t>3.3微生物培养振荡器2台：</w:t>
            </w:r>
            <w:r>
              <w:rPr>
                <w:rFonts w:ascii="Times New Roman" w:hAnsi="Times New Roman" w:eastAsia="宋体" w:cs="Times New Roman"/>
                <w:szCs w:val="20"/>
                <w:highlight w:val="none"/>
              </w:rPr>
              <w:t>304抑菌不锈钢内衬，抑菌率≥99.9%，门和玻璃具有独立加热功能，加热功率可调；触摸显示屏控制面板，具备数据记录功能，每分钟记录一次数据，具备记录数据时长≥5年，并具备生成温度、速度、CO₂ 浓度实时监控曲线，有 USB 接口具备将数据导出并保存。箱体内腔底部具备进行全方位无死角冲洗。配置增湿盘，箱体内自然增湿，最大容量（三角瓶放样量）：单层 ≥250ml×50 或 500ml×35 或 1000ml×20 或 2000ml×12。控温模块：温度探头 PT100；温控范围 4～60℃；温度调节精度 ±0.1℃；温度均匀度 ±0.5℃；控制方式： P.I.D 微电脑智能控制；对流方式：强制对流；定时范围 0-999.9 小时；4℃～60℃任意温度点稳定性后波动度不超过 ±0.5℃；CO₂ 控制模块：红外线 CO₂ 传感器，高灵敏、高精度、高自动控制 CO₂ 浓度；配置一套控制器、电磁阀、减压阀，联接 CO₂ 气源使用；耗气量：CO₂ 控制范围 0-20%；CO₂ 控制精度 0.1%。机械模块：高质伺服电机或直流无刷电机；机械驱动采用多轴偏三轮驱动或三维三轴传动；振荡频率 10-300rpm；振荡频率精度 ±1rpm；摇板振幅 Ф50mm（或 Ф26mm 可选）；摇板尺寸（长×宽）≥920mm×530mm；摇板在开门情况下停止摇动。配置紫外灯灭菌；箱体内腔底部支持全方位水冲洗灭菌。配置具备单手操作放取样品的一体成型塑胶三角瓶夹具，保证装载玻璃三角瓶时避免三角瓶被夹破裂。配置：1、箱体：1台；控温模块：1套；CO2控制模块：1套；机械模块：1套；灭菌装置：1套；夹具：1套。</w:t>
            </w:r>
          </w:p>
          <w:p w14:paraId="30B5CB99">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3.4荧光显微镜1套：放大倍数：40X-1000X；光学系统：齐焦距离≤45mm；观察筒； 30°倾斜，瞳距调节范围50mm-76mm。三档分光比,双目：三目=100:0或20:80或0:100；目镜：需采用宽光束成像系统，PL10X，视场数≥25mm，两目镜都支持±5屈光度调节；转换器：六孔转换器，带DIC插槽具备升级DIC观察；载物台：复合式机械平台，矩形平台周身圆弧过渡设计减少应力集中。面积≥186mmX165mm，移动范围≥80X54mm。阻尼式双片夹，具备同时加持两块切片，方便对比观察。XY双向线导轨传动；物镜：万能平场复消色差物镜，NA值不得低于以下数值并提供实物照片证明:4X/NA≥0.16/WD≥12.80mm、10X/NA≥0.40/WD≥3.2mm、20X/NA≥0.75/WD≥0.60mm、40X（S）/NA≥0.95/WD≥0.15mm、60X（S）/NA≥0.90/WD≥0.26mm 、100X（S、O）/NA≥1.35/WD≥0.13mm，粗调总行程≥25mm，微调精度≤0.001mm。机身底部内置透射光滤色镜（LBD、ND6、ND25)（需提供实物照片）便于科研中不同样本的观察使用；聚光镜：万能聚光镜，带8孔转盘式主体，内设3小5大孔，具备用于明场、暗场、相称、DIC和简易偏光；透射照明系统：采用数字调光，具有光强设定与复位功能，re-set复位按钮将光强设置在使用LBD 滤色镜进行显微摄影时的最佳电压约8V方便采集图像和相机标志位置，一键RE-set照明，四波长，大功率，长寿命LED光源。具备瞬间开启或关闭，无须预热或冷却。6孔盘式反射荧光照明器，带具备变视场光阑、孔径光阑、中心均可调。带荧光护目板；荧光滤色片组:分别对应蓝色（对应DIPI）、绿色(对应GFP)、红色（对应RFP）。技术指标为B ：EX480/30,DI505DC,EM535/40 ；G：EX560/40,DI600DC,EM635/60；UV：EX375/28,DI415DC,EM460/50；微分干涉附件：透射DIC插板、10X，20X，40X/60X透射DIC环板，支持10X\20X\40X\60X物镜DIC观察；目镜放大率准确度：不超过±0.55%；物镜放大率准确度误差范围：不超过±0.83%；物镜成像清晰圆直径：4X≥17.4mm，10X≥17.3mm，20X≥17.5mm，40X≥18.6mm，100X≥18.5mm；转换器稳定性≤0.008mm；载物台受5N水平方向作用力最大位移≤0.012mm；不重复性≤0.003mm；用机械使用标本在5mmX5mm范围内移动时的离焦量≤0.003mm；用机械使标本在5mmX5mm范围内移动时的离焦量≤0.003mm；10倍物镜景深范围内像面的偏摆≤0.01mm；左右两系统放大率差≤0.35%；零视度时，左右系统的目镜端面位置差≤0.06mm；显微成像系统：高速度相机，物理像素≥700万，像素点≥4.5um，传输速度≥50fps@7.0MP,芯片尺寸≥1英寸；适配采集处理软件：含测量模块，荧光分析，景深融合，大图拼接，颗粒计数，3D视图，图库管理。原厂正版图像分析软件,软件终身免费更新，具备自主下载，提供下载网址；工作站：CPU:≥睿频5.4GHz，20核心，28线程；内存≥32GB；硬盘≥2TB NVME；独立显卡，显存≥6GB；显示器：≥27英寸，分辨率≥1920×1080；</w:t>
            </w:r>
          </w:p>
          <w:p w14:paraId="1005936F">
            <w:pPr>
              <w:spacing w:line="360" w:lineRule="auto"/>
              <w:rPr>
                <w:rFonts w:ascii="Times New Roman" w:hAnsi="Times New Roman" w:eastAsia="宋体" w:cs="Times New Roman"/>
                <w:highlight w:val="none"/>
              </w:rPr>
            </w:pPr>
            <w:r>
              <w:rPr>
                <w:rFonts w:hint="eastAsia" w:ascii="Times New Roman" w:hAnsi="Times New Roman" w:eastAsia="宋体" w:cs="Times New Roman"/>
                <w:highlight w:val="none"/>
                <w:lang w:val="en-US" w:eastAsia="zh-CN"/>
              </w:rPr>
              <w:t>3.5</w:t>
            </w:r>
            <w:r>
              <w:rPr>
                <w:rFonts w:ascii="Times New Roman" w:hAnsi="Times New Roman" w:eastAsia="宋体" w:cs="Times New Roman"/>
                <w:highlight w:val="none"/>
              </w:rPr>
              <w:t>配置清单：目镜：PL10X/25mm，视度可调，数量：1对；物镜：万能复消色差物镜（带标识），4倍、10倍、20倍、40倍、60倍、100倍，数量：1组；观察筒：三目观察筒，瞳距50mm-76mm，三档分光，数量：1个；主机机架组：含调焦机构，6孔物镜转盘；电器开关；线轨平台，数量：1台；聚光镜：8孔转盘万能聚光镜，数量：1个；荧光照明组件：长寿命LED光源，6孔盘式转盘、多色激发块， 数量：1个；透射照明组件：照明灯室含光源，数量：1个；成像系统：高速大靶面专用相机（含C型接口、标准软件），数量：1套；附件：说明书、防尘罩、电源线，数量：1套；计算机，数量：1套。</w:t>
            </w:r>
          </w:p>
          <w:p w14:paraId="5B751CF4">
            <w:pPr>
              <w:numPr>
                <w:ilvl w:val="0"/>
                <w:numId w:val="1"/>
              </w:numPr>
              <w:spacing w:line="360" w:lineRule="auto"/>
              <w:ind w:left="0" w:leftChars="0" w:firstLine="0" w:firstLineChars="0"/>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其他要求</w:t>
            </w:r>
          </w:p>
          <w:p w14:paraId="188B85D9">
            <w:pPr>
              <w:numPr>
                <w:ilvl w:val="0"/>
                <w:numId w:val="0"/>
              </w:numPr>
              <w:spacing w:line="360" w:lineRule="auto"/>
              <w:rPr>
                <w:rFonts w:ascii="Times New Roman" w:hAnsi="Times New Roman" w:eastAsia="宋体" w:cs="Times New Roman"/>
                <w:highlight w:val="none"/>
              </w:rPr>
            </w:pPr>
            <w:r>
              <w:rPr>
                <w:rFonts w:hint="eastAsia" w:ascii="Times New Roman" w:hAnsi="Times New Roman" w:eastAsia="宋体" w:cs="Times New Roman"/>
                <w:highlight w:val="none"/>
                <w:lang w:val="en-US" w:eastAsia="zh-CN"/>
              </w:rPr>
              <w:t>1.</w:t>
            </w:r>
            <w:r>
              <w:rPr>
                <w:rFonts w:ascii="Times New Roman" w:hAnsi="Times New Roman" w:eastAsia="宋体" w:cs="Times New Roman"/>
                <w:highlight w:val="none"/>
              </w:rPr>
              <w:t>提供制造商或总代理商授权书。</w:t>
            </w:r>
          </w:p>
          <w:p w14:paraId="46D2D132">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2.提供技术资料，包括仪器技术说明书、应用方案、安装指南、操作使用说明书、标准操作规程与维护规程。</w:t>
            </w:r>
          </w:p>
          <w:p w14:paraId="78BB0011">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3.质保期内免费提供配件更换与故障维修服务，免费提供一次设备迁移服务，配套软件终身免费维护与版本升级。</w:t>
            </w:r>
          </w:p>
          <w:p w14:paraId="01A83C8C">
            <w:pPr>
              <w:numPr>
                <w:ilvl w:val="0"/>
                <w:numId w:val="0"/>
              </w:numPr>
              <w:spacing w:line="360" w:lineRule="auto"/>
              <w:rPr>
                <w:rFonts w:ascii="Times New Roman" w:hAnsi="Times New Roman" w:eastAsia="宋体" w:cs="Times New Roman"/>
                <w:szCs w:val="21"/>
                <w:highlight w:val="none"/>
              </w:rPr>
            </w:pPr>
            <w:r>
              <w:rPr>
                <w:rFonts w:ascii="Times New Roman" w:hAnsi="Times New Roman" w:eastAsia="宋体" w:cs="Times New Roman"/>
                <w:highlight w:val="none"/>
              </w:rPr>
              <w:t>4.由技术人员提供现场培训，培训人数不限，内容包括仪器使用与维护、软件编程、应用方法开发及常见问题处理。每年巡检不少于4次，组织培训不少于2次。</w:t>
            </w:r>
          </w:p>
        </w:tc>
      </w:tr>
      <w:tr w14:paraId="2DD5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noWrap w:val="0"/>
            <w:vAlign w:val="center"/>
          </w:tcPr>
          <w:p w14:paraId="3F0510DA">
            <w:pPr>
              <w:wordWrap w:val="0"/>
              <w:adjustRightInd w:val="0"/>
              <w:snapToGrid w:val="0"/>
              <w:spacing w:line="360" w:lineRule="auto"/>
              <w:jc w:val="center"/>
              <w:rPr>
                <w:rFonts w:ascii="Times New Roman" w:hAnsi="Times New Roman" w:eastAsia="宋体" w:cs="Times New Roman"/>
                <w:color w:val="000000"/>
                <w:szCs w:val="21"/>
                <w:highlight w:val="none"/>
              </w:rPr>
            </w:pPr>
            <w:r>
              <w:rPr>
                <w:rFonts w:ascii="Times New Roman" w:hAnsi="Times New Roman" w:eastAsia="宋体" w:cs="Times New Roman"/>
                <w:color w:val="000000"/>
                <w:szCs w:val="21"/>
                <w:highlight w:val="none"/>
              </w:rPr>
              <w:t>3</w:t>
            </w:r>
          </w:p>
        </w:tc>
        <w:tc>
          <w:tcPr>
            <w:tcW w:w="1129" w:type="dxa"/>
            <w:noWrap w:val="0"/>
            <w:vAlign w:val="center"/>
          </w:tcPr>
          <w:p w14:paraId="7896BFD5">
            <w:pPr>
              <w:wordWrap w:val="0"/>
              <w:adjustRightInd w:val="0"/>
              <w:snapToGrid w:val="0"/>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纳米粒度Zeta电位仪</w:t>
            </w:r>
          </w:p>
        </w:tc>
        <w:tc>
          <w:tcPr>
            <w:tcW w:w="7397" w:type="dxa"/>
            <w:noWrap w:val="0"/>
            <w:vAlign w:val="center"/>
          </w:tcPr>
          <w:p w14:paraId="6C8E8CAF">
            <w:pPr>
              <w:spacing w:line="360" w:lineRule="auto"/>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一、主要用途</w:t>
            </w:r>
          </w:p>
          <w:p w14:paraId="674208AD">
            <w:pPr>
              <w:spacing w:line="360" w:lineRule="auto"/>
              <w:ind w:firstLine="420" w:firstLineChars="200"/>
              <w:rPr>
                <w:rFonts w:ascii="Times New Roman" w:hAnsi="Times New Roman" w:eastAsia="宋体" w:cs="Times New Roman"/>
                <w:szCs w:val="21"/>
                <w:highlight w:val="none"/>
              </w:rPr>
            </w:pPr>
            <w:r>
              <w:rPr>
                <w:rFonts w:ascii="Times New Roman" w:hAnsi="Times New Roman" w:eastAsia="宋体" w:cs="Times New Roman"/>
                <w:highlight w:val="none"/>
              </w:rPr>
              <w:t>用于生物医药纳米制剂、脂质体、LNP、蛋白药物、细胞外囊泡、医用胶体材料的纳米粒径、多分散指数、Zeta 电位及颗粒浓度检测；具备评价纳米颗粒分散均一性、胶体稳定性，筛选药物处方、优化制备工艺，监测样品储存稳定性，支撑纳米给药系统、生物大分子、医用生物材料等方向研究。</w:t>
            </w:r>
          </w:p>
          <w:p w14:paraId="76A99B0B">
            <w:pPr>
              <w:numPr>
                <w:ilvl w:val="0"/>
                <w:numId w:val="2"/>
              </w:numPr>
              <w:spacing w:line="360" w:lineRule="auto"/>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配置清单：</w:t>
            </w:r>
          </w:p>
          <w:p w14:paraId="788D29F3">
            <w:pPr>
              <w:numPr>
                <w:ilvl w:val="0"/>
                <w:numId w:val="0"/>
              </w:numPr>
              <w:spacing w:line="360" w:lineRule="auto"/>
              <w:rPr>
                <w:rFonts w:ascii="Times New Roman" w:hAnsi="Times New Roman" w:eastAsia="宋体" w:cs="Times New Roman"/>
                <w:highlight w:val="none"/>
              </w:rPr>
            </w:pPr>
            <w:r>
              <w:rPr>
                <w:rFonts w:hint="eastAsia" w:ascii="Times New Roman" w:hAnsi="Times New Roman" w:eastAsia="宋体" w:cs="Times New Roman"/>
                <w:highlight w:val="none"/>
                <w:lang w:val="en-US" w:eastAsia="zh-CN"/>
              </w:rPr>
              <w:t>1.</w:t>
            </w:r>
            <w:r>
              <w:rPr>
                <w:rFonts w:ascii="Times New Roman" w:hAnsi="Times New Roman" w:eastAsia="宋体" w:cs="Times New Roman"/>
                <w:highlight w:val="none"/>
              </w:rPr>
              <w:t>纳米粒度Zeta电位仪1台（粒径样品池≥100个（用于测试粒径）；电极≥15套（用于测试ZETA 电位））；</w:t>
            </w:r>
          </w:p>
          <w:p w14:paraId="05127B56">
            <w:pPr>
              <w:numPr>
                <w:ilvl w:val="0"/>
                <w:numId w:val="0"/>
              </w:numPr>
              <w:spacing w:line="360" w:lineRule="auto"/>
              <w:ind w:leftChars="0"/>
              <w:rPr>
                <w:rFonts w:ascii="Times New Roman" w:hAnsi="Times New Roman" w:eastAsia="宋体" w:cs="Times New Roman"/>
                <w:highlight w:val="none"/>
              </w:rPr>
            </w:pPr>
            <w:r>
              <w:rPr>
                <w:rFonts w:hint="eastAsia" w:ascii="Times New Roman" w:hAnsi="Times New Roman" w:eastAsia="宋体" w:cs="Times New Roman"/>
                <w:highlight w:val="none"/>
                <w:lang w:val="en-US" w:eastAsia="zh-CN"/>
              </w:rPr>
              <w:t>2.</w:t>
            </w:r>
            <w:r>
              <w:rPr>
                <w:rFonts w:ascii="Times New Roman" w:hAnsi="Times New Roman" w:eastAsia="宋体" w:cs="Times New Roman"/>
                <w:highlight w:val="none"/>
              </w:rPr>
              <w:t>工作站1台；</w:t>
            </w:r>
          </w:p>
          <w:p w14:paraId="15DB02B2">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3.配套实验仪器：恒温震荡金属浴1台；卧式矩形电热蒸汽灭菌器1台；超声波细胞粉碎机1台；生化培养箱6台；小型台式离心机7台；小型台式冷冻离心机2台；微生物培养振荡器1台；振荡培养箱3台；解剖镜1台；</w:t>
            </w:r>
          </w:p>
          <w:p w14:paraId="658735FC">
            <w:pPr>
              <w:numPr>
                <w:ilvl w:val="0"/>
                <w:numId w:val="0"/>
              </w:numPr>
              <w:spacing w:line="360" w:lineRule="auto"/>
              <w:ind w:leftChars="0"/>
              <w:rPr>
                <w:rFonts w:ascii="Times New Roman" w:hAnsi="Times New Roman" w:eastAsia="宋体" w:cs="Times New Roman"/>
                <w:b/>
                <w:bCs/>
                <w:highlight w:val="none"/>
              </w:rPr>
            </w:pPr>
            <w:r>
              <w:rPr>
                <w:rFonts w:ascii="Times New Roman" w:hAnsi="Times New Roman" w:eastAsia="宋体" w:cs="Times New Roman"/>
                <w:b/>
                <w:bCs/>
                <w:highlight w:val="none"/>
              </w:rPr>
              <w:t>三、技术指标</w:t>
            </w:r>
          </w:p>
          <w:p w14:paraId="74D7D465">
            <w:pPr>
              <w:numPr>
                <w:ilvl w:val="0"/>
                <w:numId w:val="0"/>
              </w:numPr>
              <w:spacing w:line="360" w:lineRule="auto"/>
              <w:ind w:leftChars="0"/>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1.纳米粒度Zeta电位仪主机技术指标</w:t>
            </w:r>
          </w:p>
          <w:p w14:paraId="439DF4ED">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1.1粒径测量：</w:t>
            </w:r>
          </w:p>
          <w:p w14:paraId="7615E043">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1.1.1颗粒粒径测量原理：动态光散射；</w:t>
            </w:r>
          </w:p>
          <w:p w14:paraId="1A738DA4">
            <w:pPr>
              <w:numPr>
                <w:ilvl w:val="0"/>
                <w:numId w:val="0"/>
              </w:numPr>
              <w:spacing w:line="360" w:lineRule="auto"/>
              <w:ind w:leftChars="0"/>
              <w:rPr>
                <w:rFonts w:ascii="Times New Roman" w:hAnsi="Times New Roman" w:eastAsia="宋体" w:cs="Times New Roman"/>
                <w:b/>
                <w:bCs/>
                <w:szCs w:val="21"/>
                <w:highlight w:val="none"/>
              </w:rPr>
            </w:pPr>
            <w:r>
              <w:rPr>
                <w:rFonts w:hint="eastAsia" w:eastAsia="宋体"/>
                <w:highlight w:val="none"/>
              </w:rPr>
              <w:t>★</w:t>
            </w:r>
            <w:r>
              <w:rPr>
                <w:rFonts w:ascii="Times New Roman" w:hAnsi="Times New Roman" w:eastAsia="宋体" w:cs="Times New Roman"/>
                <w:highlight w:val="none"/>
              </w:rPr>
              <w:t>1.1.2粒度测量范围：0.3nm-15um；</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322FE84F">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1.1.3测量角度：13度，173度，90度共3个测量角度；测量浓度：0.1 mg/mL-40%w/v；粒径测量最小样品量：3μL。</w:t>
            </w:r>
          </w:p>
          <w:p w14:paraId="1C656EED">
            <w:pPr>
              <w:numPr>
                <w:ilvl w:val="0"/>
                <w:numId w:val="0"/>
              </w:numPr>
              <w:spacing w:line="360" w:lineRule="auto"/>
              <w:ind w:leftChars="0"/>
              <w:rPr>
                <w:rFonts w:ascii="Times New Roman" w:hAnsi="Times New Roman" w:eastAsia="宋体" w:cs="Times New Roman"/>
                <w:b/>
                <w:bCs/>
                <w:szCs w:val="21"/>
                <w:highlight w:val="none"/>
              </w:rPr>
            </w:pPr>
            <w:r>
              <w:rPr>
                <w:rFonts w:hint="eastAsia" w:eastAsia="宋体"/>
                <w:highlight w:val="none"/>
              </w:rPr>
              <w:t>★</w:t>
            </w:r>
            <w:r>
              <w:rPr>
                <w:rFonts w:ascii="Times New Roman" w:hAnsi="Times New Roman" w:eastAsia="宋体" w:cs="Times New Roman"/>
                <w:highlight w:val="none"/>
              </w:rPr>
              <w:t>1.1.4粒径测量样品池：使用可抛弃式样品池，避免样品交叉污染和降低仪器的损伤。不能使用固定样品池，避免样品污染样品池造成高额维修成本。</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778A8975">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1.2 Zeta 电位测量</w:t>
            </w:r>
          </w:p>
          <w:p w14:paraId="3140B3EF">
            <w:pPr>
              <w:numPr>
                <w:ilvl w:val="0"/>
                <w:numId w:val="0"/>
              </w:numPr>
              <w:spacing w:line="360" w:lineRule="auto"/>
              <w:ind w:leftChars="0"/>
              <w:rPr>
                <w:rFonts w:hint="eastAsia" w:ascii="Times New Roman" w:hAnsi="Times New Roman" w:eastAsia="宋体" w:cs="Times New Roman"/>
                <w:highlight w:val="none"/>
                <w:lang w:eastAsia="zh-CN"/>
              </w:rPr>
            </w:pPr>
            <w:r>
              <w:rPr>
                <w:rFonts w:ascii="Times New Roman" w:hAnsi="Times New Roman" w:eastAsia="宋体" w:cs="Times New Roman"/>
                <w:highlight w:val="none"/>
              </w:rPr>
              <w:t>1.2.1测量原理：混合模式测量，相分析光散射，恒流模式；Zeta电位测量最小样品量：20uL</w:t>
            </w:r>
            <w:r>
              <w:rPr>
                <w:rFonts w:hint="eastAsia" w:ascii="Times New Roman" w:hAnsi="Times New Roman" w:eastAsia="宋体" w:cs="Times New Roman"/>
                <w:highlight w:val="none"/>
                <w:lang w:eastAsia="zh-CN"/>
              </w:rPr>
              <w:t>；</w:t>
            </w:r>
          </w:p>
          <w:p w14:paraId="6B3038FF">
            <w:pPr>
              <w:numPr>
                <w:ilvl w:val="0"/>
                <w:numId w:val="0"/>
              </w:numPr>
              <w:spacing w:line="360" w:lineRule="auto"/>
              <w:ind w:leftChars="0"/>
              <w:rPr>
                <w:rFonts w:ascii="Times New Roman" w:hAnsi="Times New Roman" w:eastAsia="宋体" w:cs="Times New Roman"/>
                <w:b/>
                <w:bCs/>
                <w:szCs w:val="21"/>
                <w:highlight w:val="none"/>
              </w:rPr>
            </w:pPr>
            <w:r>
              <w:rPr>
                <w:rFonts w:hint="eastAsia" w:eastAsia="宋体"/>
                <w:highlight w:val="none"/>
              </w:rPr>
              <w:t>★</w:t>
            </w:r>
            <w:r>
              <w:rPr>
                <w:rFonts w:ascii="Times New Roman" w:hAnsi="Times New Roman" w:eastAsia="宋体" w:cs="Times New Roman"/>
                <w:highlight w:val="none"/>
              </w:rPr>
              <w:t>1.2.2可抛弃式电位样品池：可提供可抛弃式电位样品池，要求电极片在样品池上，可重复利用，也可以使用后抛弃，避免样品间的交叉污染。</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0E9FA627">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1.2.3浓度范围： 40% w/v（使用胆汁酸测量）；最大样品导电率：260mS/cm</w:t>
            </w:r>
          </w:p>
          <w:p w14:paraId="661CFC7C">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1.2.4 Zeta 电位范围：无有效限制，有电位范围限制视为负偏离。</w:t>
            </w:r>
          </w:p>
          <w:p w14:paraId="3DEECDE2">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1.3颗粒浓度测试：仪器具备测量颗粒浓度的功能；颗粒浓度测试范围：1*10^8-1*10^12个颗粒/mL。</w:t>
            </w:r>
          </w:p>
          <w:p w14:paraId="4AB37574">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 xml:space="preserve">1.4仪器系统 </w:t>
            </w:r>
          </w:p>
          <w:p w14:paraId="34F6E931">
            <w:pPr>
              <w:numPr>
                <w:ilvl w:val="0"/>
                <w:numId w:val="0"/>
              </w:numPr>
              <w:spacing w:line="360" w:lineRule="auto"/>
              <w:ind w:leftChars="0"/>
              <w:rPr>
                <w:rFonts w:ascii="Times New Roman" w:hAnsi="Times New Roman" w:eastAsia="宋体" w:cs="Times New Roman"/>
                <w:b/>
                <w:bCs/>
                <w:szCs w:val="21"/>
                <w:highlight w:val="none"/>
              </w:rPr>
            </w:pPr>
            <w:r>
              <w:rPr>
                <w:rFonts w:hint="eastAsia" w:eastAsia="宋体"/>
                <w:highlight w:val="none"/>
              </w:rPr>
              <w:t>★</w:t>
            </w:r>
            <w:r>
              <w:rPr>
                <w:rFonts w:ascii="Times New Roman" w:hAnsi="Times New Roman" w:eastAsia="宋体" w:cs="Times New Roman"/>
                <w:highlight w:val="none"/>
              </w:rPr>
              <w:t>1.4.1检测器：雪崩光电二极管 APD 检测器，超高灵敏度，量子效率QE≥60%；</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18B32B15">
            <w:pPr>
              <w:numPr>
                <w:ilvl w:val="0"/>
                <w:numId w:val="0"/>
              </w:numPr>
              <w:spacing w:line="360" w:lineRule="auto"/>
              <w:ind w:leftChars="0"/>
              <w:rPr>
                <w:rFonts w:hint="eastAsia" w:ascii="Times New Roman" w:hAnsi="Times New Roman" w:eastAsia="宋体" w:cs="Times New Roman"/>
                <w:highlight w:val="none"/>
                <w:lang w:eastAsia="zh-CN"/>
              </w:rPr>
            </w:pPr>
            <w:r>
              <w:rPr>
                <w:rFonts w:ascii="Times New Roman" w:hAnsi="Times New Roman" w:eastAsia="宋体" w:cs="Times New Roman"/>
                <w:highlight w:val="none"/>
              </w:rPr>
              <w:t>1.4.2激光器类型：高性能 He-Ne 激光器，非固体激光器；激光器波长：632.8nm；激光器功率：10mW</w:t>
            </w:r>
            <w:r>
              <w:rPr>
                <w:rFonts w:hint="eastAsia" w:ascii="Times New Roman" w:hAnsi="Times New Roman" w:eastAsia="宋体" w:cs="Times New Roman"/>
                <w:highlight w:val="none"/>
                <w:lang w:eastAsia="zh-CN"/>
              </w:rPr>
              <w:t>；</w:t>
            </w:r>
          </w:p>
          <w:p w14:paraId="4B1972C1">
            <w:pPr>
              <w:numPr>
                <w:ilvl w:val="0"/>
                <w:numId w:val="0"/>
              </w:numPr>
              <w:spacing w:line="360" w:lineRule="auto"/>
              <w:ind w:leftChars="0"/>
              <w:rPr>
                <w:rFonts w:hint="eastAsia" w:ascii="Times New Roman" w:hAnsi="Times New Roman" w:eastAsia="宋体" w:cs="Times New Roman"/>
                <w:highlight w:val="none"/>
                <w:lang w:eastAsia="zh-CN"/>
              </w:rPr>
            </w:pPr>
            <w:r>
              <w:rPr>
                <w:rFonts w:ascii="Times New Roman" w:hAnsi="Times New Roman" w:eastAsia="宋体" w:cs="Times New Roman"/>
                <w:highlight w:val="none"/>
              </w:rPr>
              <w:t>1.4</w:t>
            </w:r>
            <w:r>
              <w:rPr>
                <w:rFonts w:hint="eastAsia" w:ascii="Times New Roman" w:hAnsi="Times New Roman" w:eastAsia="宋体" w:cs="Times New Roman"/>
                <w:highlight w:val="none"/>
                <w:lang w:val="en-US" w:eastAsia="zh-CN"/>
              </w:rPr>
              <w:t>.</w:t>
            </w:r>
            <w:r>
              <w:rPr>
                <w:rFonts w:ascii="Times New Roman" w:hAnsi="Times New Roman" w:eastAsia="宋体" w:cs="Times New Roman"/>
                <w:highlight w:val="none"/>
              </w:rPr>
              <w:t>3样品温度控制范围：0℃～120℃，样品的控制温度范围更广，适应不同检测要求</w:t>
            </w:r>
            <w:r>
              <w:rPr>
                <w:rFonts w:hint="eastAsia" w:ascii="Times New Roman" w:hAnsi="Times New Roman" w:eastAsia="宋体" w:cs="Times New Roman"/>
                <w:highlight w:val="none"/>
                <w:lang w:eastAsia="zh-CN"/>
              </w:rPr>
              <w:t>；</w:t>
            </w:r>
          </w:p>
          <w:p w14:paraId="2FCB7106">
            <w:pPr>
              <w:numPr>
                <w:ilvl w:val="0"/>
                <w:numId w:val="0"/>
              </w:numPr>
              <w:spacing w:line="360" w:lineRule="auto"/>
              <w:ind w:leftChars="0"/>
              <w:rPr>
                <w:rFonts w:hint="eastAsia" w:ascii="Times New Roman" w:hAnsi="Times New Roman" w:eastAsia="宋体" w:cs="Times New Roman"/>
                <w:highlight w:val="none"/>
                <w:lang w:eastAsia="zh-CN"/>
              </w:rPr>
            </w:pPr>
            <w:r>
              <w:rPr>
                <w:rFonts w:ascii="Times New Roman" w:hAnsi="Times New Roman" w:eastAsia="宋体" w:cs="Times New Roman"/>
                <w:highlight w:val="none"/>
              </w:rPr>
              <w:t>1.4.4软件包含“自适应相关”算法：可使软件确定最佳测量持续时间，并识别与瞬态伪影相关的数据，生成可靠且可重复的数据，结果分为稳态(大量的有代表性的数据),瞬态(异常数据)，未过滤结果(未分类)</w:t>
            </w:r>
            <w:r>
              <w:rPr>
                <w:rFonts w:hint="eastAsia" w:ascii="Times New Roman" w:hAnsi="Times New Roman" w:eastAsia="宋体" w:cs="Times New Roman"/>
                <w:highlight w:val="none"/>
                <w:lang w:eastAsia="zh-CN"/>
              </w:rPr>
              <w:t>；</w:t>
            </w:r>
          </w:p>
          <w:p w14:paraId="1BAB5977">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1.4.5软件专家指导系统：通过深度学习实现的数据质量系统可以评估粒度数据质量问题，并针对如何改进结果提供明确的建议。</w:t>
            </w:r>
          </w:p>
          <w:p w14:paraId="1C62567C">
            <w:pPr>
              <w:spacing w:line="360" w:lineRule="auto"/>
              <w:rPr>
                <w:rFonts w:ascii="Times New Roman" w:hAnsi="Times New Roman" w:eastAsia="宋体" w:cs="Times New Roman"/>
                <w:b/>
                <w:bCs/>
                <w:highlight w:val="none"/>
              </w:rPr>
            </w:pPr>
            <w:r>
              <w:rPr>
                <w:rFonts w:ascii="Times New Roman" w:hAnsi="Times New Roman" w:eastAsia="宋体" w:cs="Times New Roman"/>
                <w:b/>
                <w:bCs/>
                <w:highlight w:val="none"/>
              </w:rPr>
              <w:t>2 工作站技术指标</w:t>
            </w:r>
          </w:p>
          <w:p w14:paraId="4CDB1009">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CPU:≥睿频5.4GHz，20核心，28线程；内存≥32GB；硬盘≥2TB NVME；独立显卡，显存≥6GB；显示器：≥27英寸，分辨率≥1920×1080；</w:t>
            </w:r>
          </w:p>
          <w:p w14:paraId="4D5B71DB">
            <w:pPr>
              <w:spacing w:line="360" w:lineRule="auto"/>
              <w:rPr>
                <w:rFonts w:ascii="Times New Roman" w:hAnsi="Times New Roman" w:eastAsia="宋体" w:cs="Times New Roman"/>
                <w:b/>
                <w:bCs/>
                <w:highlight w:val="none"/>
              </w:rPr>
            </w:pPr>
            <w:r>
              <w:rPr>
                <w:rFonts w:ascii="Times New Roman" w:hAnsi="Times New Roman" w:eastAsia="宋体" w:cs="Times New Roman"/>
                <w:b/>
                <w:bCs/>
                <w:highlight w:val="none"/>
              </w:rPr>
              <w:t>3.配套仪器技术指标</w:t>
            </w:r>
          </w:p>
          <w:p w14:paraId="39E3A413">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3.1恒温震荡金属浴1台：控温范围：室温 - 15℃～100℃，设定区间 0–100℃；震荡转速：200–1500rpm，混匀轨道直径 3mm；控温精度：20–45℃区间精度 ±0.5℃，温度均一性 ±0.5℃；升降温速率：最大升温 5.5℃/min；100℃降至室温最大降温 5℃/min；</w:t>
            </w:r>
          </w:p>
          <w:p w14:paraId="206A79C1">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 xml:space="preserve">3.2卧式矩形电热蒸汽灭菌器1台：灭菌温度范围：105℃～134℃可调，常规灭菌 121℃、132℃双常用档位；额定工作压力：0.14–0.22MPa；腔体设计最高压力 0.25MPa，安全阀泄压 0.28MPa；加热供电与功率：三相 380V/50Hz，内置电热蒸汽发生器；安全联锁配置：压力＞0.027MPa </w:t>
            </w:r>
          </w:p>
          <w:p w14:paraId="66ED6E10">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3.3超声波细胞粉碎机1台：超声功率：0–450W 连续可调；工作频率：20kHz 自动频率追踪；时间设置：超声 0.1–99.9s，间歇 0.1–99.9s，总时长最长 99 小时 59 分 59 秒；温控保护：实时测温 0–99.9℃，超温自动停机；处理容量：标配变幅杆适配 10–200mL 样品。</w:t>
            </w:r>
          </w:p>
          <w:p w14:paraId="28FDA5C7">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3.4生化培养箱 6台：容积：70L；控温区间：0℃～60℃，精度 0.1℃；温度波动度：±0.5℃；</w:t>
            </w:r>
          </w:p>
          <w:p w14:paraId="669B8E0C">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3.5小型台式离心机7台：最高转速：≥15000rpm，转速精度 ±30rpm；最大相对离心力：≥20916×g；标准转子容量：24×1.5mL 离心管；</w:t>
            </w:r>
          </w:p>
          <w:p w14:paraId="73467481">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3.6小型台式冷冻离心机2台：设备最大离心力：≥21100xg，设备最大转速：≥14800 rpm；标配24×1.5ml/2ml转头1个，最大容量10×5ml；转子盖自动锁定功能：转子具有卡扣式自动锁盖功能，安全便捷，非传统旋转锁定盖子；静止状态加速到最高转速，时间不超过12秒，提高离心效率；</w:t>
            </w:r>
          </w:p>
          <w:p w14:paraId="219EF0F1">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3.7微生物培养振荡器1台：304抑菌不锈钢内衬，抑菌率≥99.9%，门和玻璃具有独立加热功能，加热功率可调；触摸显示屏控制面板，具备数据记录功能，每分钟记录一次数据，具备记录数据时长≥5年，并具备生成温度、速度、CO₂ 浓度实时监控曲线，有 USB 接口具备将数据导出并保存。箱体内腔底部具备进行全方位无死角冲洗。配置增湿盘，箱体内自然增湿，最大容量（三角瓶放样量）：单层 ≥250ml×50 或 500ml×35 或 1000ml×20 或 2000ml×12。控温模块：温度探头 PT100；温控范围 4～60℃；温度调节精度 ±0.1℃；温度均匀度 ±0.5℃；控制方式： P.I.D 微电脑智能控制；对流方式：强制对流；定时范围 0-999.9 小时；4℃～60℃任意温度点稳定性后波动度不超过 ±0.5℃；CO₂ 控制模块：红外线 CO₂ 传感器，高灵敏、高精度、高自动控制 CO₂ 浓度；配置一套控制器、电磁阀、减压阀，联接 CO₂ 气源使用；耗气量：CO₂ 控制范围 0-20%；CO₂ 控制精度 0.1%。机械模块：高质伺服电机或直流无刷电机；机械驱动采用多轴偏三轮驱动或三维三轴传动；振荡频率 10-300rpm；振荡频率精度 ±1rpm；摇板振幅 Ф50mm（或 Ф26mm 可选）；摇板尺寸（长×宽）≥920mm×530mm；摇板在开门情况下停止摇动。配置紫外灯灭菌；箱体内腔底部支持全方位水冲洗灭菌。配置具备单手操作放取样品的一体成型塑胶三角瓶夹具，保证装载玻璃三角瓶时避免三角瓶被夹破裂。配置：1、箱体：1台；控温模块：1套；CO2控制模块：1套；机械模块：1套；灭菌装置：1套；夹具：1套。</w:t>
            </w:r>
          </w:p>
          <w:p w14:paraId="6466564B">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3.8振荡培养箱3台：转速范围：30～300rpm，精度 ±1rpm；摆振幅度：Φ26mm 回旋振荡；温控区间：4℃～60℃（环境温 - 15℃至 60℃）；温控精度：0.1℃，37℃均匀度 ±0.5℃；箱体容积：200L，双层摇板结构。</w:t>
            </w:r>
          </w:p>
          <w:p w14:paraId="39507DCF">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3.9解剖镜1台：主物镜的分辨率：08X≥50，2X≥130,4X≥200,6X≥260,8X≥320；变倍时像平面位移量≤0.20mm；左右光学系统相面方位差≤0.20mm；左右光学系统聚焦差≤0.20mm；显微成像系统：C型接口；2000万像素数字摄像头，靶面尺寸1英寸，逐行扫描/连续输出；最大分辨率5440x3648；数据接口：USB3.0；增配辅助平场复消色差物镜：0.5X  WD70mm，可选配0.5X、1.5X、2X物镜。带2孔物镜转换器，具备同时安装2个物镜；配套1X平场复消色差物镜，工作距离80mm；光源：反射光源： 100V-240V LED冷光源照明，≥20W，照明角度任意可调；透射光源：100V-240V LED光源照明，3000-5600K冷暖色温可调；上下光源独立调节。同时配套LED同轴光源照明。</w:t>
            </w:r>
          </w:p>
          <w:p w14:paraId="654C4A3E">
            <w:pPr>
              <w:numPr>
                <w:ilvl w:val="0"/>
                <w:numId w:val="2"/>
              </w:numPr>
              <w:spacing w:line="360" w:lineRule="auto"/>
              <w:ind w:left="0" w:leftChars="0" w:firstLine="0" w:firstLineChars="0"/>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其他要求</w:t>
            </w:r>
          </w:p>
          <w:p w14:paraId="4A46EB81">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1.提供制造商或总代理商授权书。</w:t>
            </w:r>
          </w:p>
          <w:p w14:paraId="20C21E7E">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2.提供技术资料，包括仪器技术说明书、应用方案、安装指南、操作使用说明书、标准操作规程与维护规程。</w:t>
            </w:r>
          </w:p>
          <w:p w14:paraId="7DBA78B8">
            <w:pPr>
              <w:numPr>
                <w:ilvl w:val="0"/>
                <w:numId w:val="0"/>
              </w:numPr>
              <w:spacing w:line="360" w:lineRule="auto"/>
              <w:ind w:leftChars="0"/>
              <w:rPr>
                <w:rFonts w:ascii="Times New Roman" w:hAnsi="Times New Roman" w:eastAsia="宋体" w:cs="Times New Roman"/>
                <w:highlight w:val="none"/>
              </w:rPr>
            </w:pPr>
            <w:r>
              <w:rPr>
                <w:rFonts w:ascii="Times New Roman" w:hAnsi="Times New Roman" w:eastAsia="宋体" w:cs="Times New Roman"/>
                <w:highlight w:val="none"/>
              </w:rPr>
              <w:t>3.质保期内免费提供配件更换与故障维修服务，免费提供一次设备迁移服务，配套软件终身免费维护与版本升级。</w:t>
            </w:r>
          </w:p>
          <w:p w14:paraId="0DAE9F7F">
            <w:pPr>
              <w:numPr>
                <w:ilvl w:val="0"/>
                <w:numId w:val="0"/>
              </w:numPr>
              <w:spacing w:line="360" w:lineRule="auto"/>
              <w:ind w:leftChars="0"/>
              <w:rPr>
                <w:rFonts w:ascii="Times New Roman" w:hAnsi="Times New Roman" w:eastAsia="宋体" w:cs="Times New Roman"/>
                <w:b/>
                <w:bCs/>
                <w:highlight w:val="none"/>
              </w:rPr>
            </w:pPr>
            <w:r>
              <w:rPr>
                <w:rFonts w:ascii="Times New Roman" w:hAnsi="Times New Roman" w:eastAsia="宋体" w:cs="Times New Roman"/>
                <w:highlight w:val="none"/>
              </w:rPr>
              <w:t>4.由技术人员提供现场培训，培训人数不限，内容包括仪器使用与维护、软件编程、应用方法开发及常见问题处理。每年巡检不少于4次，组织培训不少于2次。</w:t>
            </w:r>
          </w:p>
        </w:tc>
      </w:tr>
      <w:tr w14:paraId="64FA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noWrap w:val="0"/>
            <w:vAlign w:val="center"/>
          </w:tcPr>
          <w:p w14:paraId="319D398C">
            <w:pPr>
              <w:wordWrap w:val="0"/>
              <w:adjustRightInd w:val="0"/>
              <w:snapToGrid w:val="0"/>
              <w:spacing w:line="360" w:lineRule="auto"/>
              <w:jc w:val="center"/>
              <w:rPr>
                <w:rFonts w:ascii="Times New Roman" w:hAnsi="Times New Roman" w:eastAsia="宋体" w:cs="Times New Roman"/>
                <w:color w:val="000000"/>
                <w:szCs w:val="21"/>
                <w:highlight w:val="none"/>
              </w:rPr>
            </w:pPr>
            <w:r>
              <w:rPr>
                <w:rFonts w:ascii="Times New Roman" w:hAnsi="Times New Roman" w:eastAsia="宋体" w:cs="Times New Roman"/>
                <w:color w:val="000000"/>
                <w:szCs w:val="21"/>
                <w:highlight w:val="none"/>
              </w:rPr>
              <w:t>4</w:t>
            </w:r>
          </w:p>
        </w:tc>
        <w:tc>
          <w:tcPr>
            <w:tcW w:w="1129" w:type="dxa"/>
            <w:noWrap w:val="0"/>
            <w:vAlign w:val="center"/>
          </w:tcPr>
          <w:p w14:paraId="2E13C02A">
            <w:pPr>
              <w:wordWrap w:val="0"/>
              <w:adjustRightInd w:val="0"/>
              <w:snapToGrid w:val="0"/>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超声聚焦核酸破碎系统</w:t>
            </w:r>
          </w:p>
        </w:tc>
        <w:tc>
          <w:tcPr>
            <w:tcW w:w="7397" w:type="dxa"/>
            <w:noWrap w:val="0"/>
            <w:vAlign w:val="center"/>
          </w:tcPr>
          <w:p w14:paraId="36E5FD5F">
            <w:pPr>
              <w:numPr>
                <w:ilvl w:val="0"/>
                <w:numId w:val="3"/>
              </w:numPr>
              <w:spacing w:line="360" w:lineRule="auto"/>
              <w:ind w:leftChars="0"/>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主要用途</w:t>
            </w:r>
          </w:p>
          <w:p w14:paraId="3E4A787F">
            <w:pPr>
              <w:numPr>
                <w:ilvl w:val="0"/>
                <w:numId w:val="0"/>
              </w:numPr>
              <w:spacing w:line="360" w:lineRule="auto"/>
              <w:ind w:firstLine="420" w:firstLineChars="200"/>
              <w:rPr>
                <w:rFonts w:ascii="Times New Roman" w:hAnsi="Times New Roman" w:eastAsia="宋体" w:cs="Times New Roman"/>
                <w:highlight w:val="none"/>
              </w:rPr>
            </w:pPr>
            <w:r>
              <w:rPr>
                <w:rFonts w:ascii="Times New Roman" w:hAnsi="Times New Roman" w:eastAsia="宋体" w:cs="Times New Roman"/>
                <w:highlight w:val="none"/>
              </w:rPr>
              <w:t>主要用于生物医药、分子生物学样本前处理；具备对基因组 DNA 进行精准具备控片段化，满足二代测序文库构建；具备完成染色质剪切，支撑 ChIP‑seq、ATAC‑seq 等表观基因组研究；同时实现细胞、组织、FFPE 临床样本、病原微生物的裂解匀浆，用于核酸、蛋白、代谢物提取。设备采用非接触式聚焦超声、等温控温，密闭管处理，无交叉污染，适用于肿瘤分子检测、液体活检、基因组与蛋白组学等生物医学研究。</w:t>
            </w:r>
          </w:p>
          <w:p w14:paraId="1FA54FFF">
            <w:pPr>
              <w:numPr>
                <w:ilvl w:val="0"/>
                <w:numId w:val="3"/>
              </w:numPr>
              <w:spacing w:line="360" w:lineRule="auto"/>
              <w:ind w:left="0" w:leftChars="0" w:firstLine="0" w:firstLineChars="0"/>
              <w:rPr>
                <w:rFonts w:ascii="Times New Roman" w:hAnsi="Times New Roman" w:eastAsia="宋体" w:cs="Times New Roman"/>
                <w:b/>
                <w:bCs/>
                <w:highlight w:val="none"/>
              </w:rPr>
            </w:pPr>
            <w:r>
              <w:rPr>
                <w:rFonts w:ascii="Times New Roman" w:hAnsi="Times New Roman" w:eastAsia="宋体" w:cs="Times New Roman"/>
                <w:b/>
                <w:bCs/>
                <w:highlight w:val="none"/>
              </w:rPr>
              <w:t>配置清单：</w:t>
            </w:r>
          </w:p>
          <w:p w14:paraId="12A2EB50">
            <w:pPr>
              <w:numPr>
                <w:ilvl w:val="0"/>
                <w:numId w:val="0"/>
              </w:numPr>
              <w:spacing w:line="360" w:lineRule="auto"/>
              <w:rPr>
                <w:rFonts w:ascii="Times New Roman" w:hAnsi="Times New Roman" w:eastAsia="宋体" w:cs="Times New Roman"/>
                <w:highlight w:val="none"/>
              </w:rPr>
            </w:pPr>
            <w:r>
              <w:rPr>
                <w:rFonts w:hint="eastAsia" w:ascii="Times New Roman" w:hAnsi="Times New Roman" w:eastAsia="宋体" w:cs="Times New Roman"/>
                <w:highlight w:val="none"/>
                <w:lang w:val="en-US" w:eastAsia="zh-CN"/>
              </w:rPr>
              <w:t>1.</w:t>
            </w:r>
            <w:r>
              <w:rPr>
                <w:rFonts w:ascii="Times New Roman" w:hAnsi="Times New Roman" w:eastAsia="宋体" w:cs="Times New Roman"/>
                <w:highlight w:val="none"/>
              </w:rPr>
              <w:t>超声聚焦核酸破碎系统1台；</w:t>
            </w:r>
          </w:p>
          <w:p w14:paraId="4E1EB96A">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2.配套实验仪器：振荡培养箱1台；真空离心浓缩仪1台；</w:t>
            </w:r>
            <w:r>
              <w:rPr>
                <w:rFonts w:hint="eastAsia" w:ascii="Times New Roman" w:hAnsi="Times New Roman" w:eastAsia="宋体" w:cs="Times New Roman"/>
                <w:highlight w:val="none"/>
                <w:lang w:val="en-US" w:eastAsia="zh-CN"/>
              </w:rPr>
              <w:t>解剖镜</w:t>
            </w:r>
            <w:r>
              <w:rPr>
                <w:rFonts w:ascii="Times New Roman" w:hAnsi="Times New Roman" w:eastAsia="宋体" w:cs="Times New Roman"/>
                <w:highlight w:val="none"/>
              </w:rPr>
              <w:t>1台；摇床1台</w:t>
            </w:r>
          </w:p>
          <w:p w14:paraId="66A19F1F">
            <w:pPr>
              <w:numPr>
                <w:ilvl w:val="0"/>
                <w:numId w:val="0"/>
              </w:numPr>
              <w:spacing w:line="360" w:lineRule="auto"/>
              <w:rPr>
                <w:rFonts w:ascii="Times New Roman" w:hAnsi="Times New Roman" w:eastAsia="宋体" w:cs="Times New Roman"/>
                <w:b/>
                <w:bCs/>
                <w:highlight w:val="none"/>
              </w:rPr>
            </w:pPr>
            <w:r>
              <w:rPr>
                <w:rFonts w:ascii="Times New Roman" w:hAnsi="Times New Roman" w:eastAsia="宋体" w:cs="Times New Roman"/>
                <w:b/>
                <w:bCs/>
                <w:highlight w:val="none"/>
              </w:rPr>
              <w:t>三、技术指标</w:t>
            </w:r>
          </w:p>
          <w:p w14:paraId="0BFAC950">
            <w:pPr>
              <w:numPr>
                <w:ilvl w:val="0"/>
                <w:numId w:val="0"/>
              </w:numPr>
              <w:spacing w:line="360" w:lineRule="auto"/>
              <w:rPr>
                <w:rFonts w:ascii="Times New Roman" w:hAnsi="Times New Roman" w:eastAsia="宋体" w:cs="Times New Roman"/>
                <w:b/>
                <w:bCs/>
                <w:highlight w:val="none"/>
              </w:rPr>
            </w:pPr>
            <w:r>
              <w:rPr>
                <w:rFonts w:ascii="Times New Roman" w:hAnsi="Times New Roman" w:eastAsia="宋体" w:cs="Times New Roman"/>
                <w:b/>
                <w:bCs/>
                <w:highlight w:val="none"/>
              </w:rPr>
              <w:t>1.超声聚焦核酸破碎系统主机技术指标</w:t>
            </w:r>
          </w:p>
          <w:p w14:paraId="3D0DA7C7">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1.1工作原理：基于自动声波聚焦原理，利用几何聚焦声波能量，通过≥400kHz的球面固态超声传感器可将波长≤3mm的声波能量聚焦在样品上；</w:t>
            </w:r>
          </w:p>
          <w:p w14:paraId="261079A2">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1.2样本上压强达到1Mpa 所需功率≤0.8W；</w:t>
            </w:r>
          </w:p>
          <w:p w14:paraId="2F789AFB">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1.3整合非线性、高强度、会聚性声学冲击波和高级计算机控制系统，可根据应用范围和样品量来选择波频率和波形来控制聚焦带的尺寸和声波强度；</w:t>
            </w:r>
          </w:p>
          <w:p w14:paraId="79E79B1F">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1.4等温过程：内置整合冷却水浴系统，样品处理在等温下进行，温度可调范围：8℃ - 20℃，温度精度±0.1℃步进，无热损伤；</w:t>
            </w:r>
          </w:p>
          <w:p w14:paraId="42AB8F81">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1.5内置冷却水浴系统：水浴内置于仪器内，不占用额外空间，整机占地面积＜0.15㎡；</w:t>
            </w:r>
          </w:p>
          <w:p w14:paraId="3214ED9C">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1.6水浴温度监控：具备，且能实时显示水浴系统温度；</w:t>
            </w:r>
          </w:p>
          <w:p w14:paraId="31BA43DD">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1.7封闭无接触体系：具备，样品在密闭的非接触体系中，无需探头，没有交叉污染，不同样本之间无需清洁；</w:t>
            </w:r>
          </w:p>
          <w:p w14:paraId="3512F027">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1.8能量可调且控制精准：超声波输出功率具备自由调节；专业的软件参数控制及优化的Protocol；</w:t>
            </w:r>
          </w:p>
          <w:p w14:paraId="1375442C">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1.9单点会聚式传感器，高速：1/15,000 秒16x100mm（11ml），样品管水位2.5ml；</w:t>
            </w:r>
          </w:p>
          <w:p w14:paraId="1FF50AEC">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1.10超声波传感器频率：≥400k Hz，噪音低；</w:t>
            </w:r>
          </w:p>
          <w:p w14:paraId="4C018861">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1.11超声波波长：≤ 3 mm，处于处理生物大分子的理想波长范围内；</w:t>
            </w:r>
          </w:p>
          <w:p w14:paraId="28479D58">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1.12超声能量可调：具备设置的超声能量≥6档，以满足不同样品处理需求；</w:t>
            </w:r>
          </w:p>
          <w:p w14:paraId="0B2A078E">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1.13 DNA剪切：</w:t>
            </w:r>
          </w:p>
          <w:p w14:paraId="6D38ED28">
            <w:pPr>
              <w:numPr>
                <w:ilvl w:val="0"/>
                <w:numId w:val="0"/>
              </w:num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1.13.1剪切片段范围：100 bp-5 kb，DNA剪切的片段均匀分布在预定大小内；</w:t>
            </w:r>
          </w:p>
          <w:p w14:paraId="283F9ABF">
            <w:pPr>
              <w:numPr>
                <w:ilvl w:val="0"/>
                <w:numId w:val="0"/>
              </w:numPr>
              <w:spacing w:line="360" w:lineRule="auto"/>
              <w:rPr>
                <w:rFonts w:ascii="Times New Roman" w:hAnsi="Times New Roman" w:eastAsia="宋体" w:cs="Times New Roman"/>
                <w:b/>
                <w:bCs/>
                <w:szCs w:val="21"/>
                <w:highlight w:val="none"/>
              </w:rPr>
            </w:pPr>
            <w:r>
              <w:rPr>
                <w:rFonts w:ascii="Times New Roman" w:hAnsi="Times New Roman" w:eastAsia="宋体" w:cs="Times New Roman"/>
                <w:highlight w:val="none"/>
              </w:rPr>
              <w:t>1.13.2优化程序：≥22种，无需条件摸索；</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6B03C82F">
            <w:pPr>
              <w:numPr>
                <w:ilvl w:val="0"/>
                <w:numId w:val="0"/>
              </w:numPr>
              <w:spacing w:line="360" w:lineRule="auto"/>
              <w:rPr>
                <w:rFonts w:ascii="Times New Roman" w:hAnsi="Times New Roman" w:eastAsia="宋体" w:cs="Times New Roman"/>
                <w:b/>
                <w:bCs/>
                <w:szCs w:val="21"/>
                <w:highlight w:val="none"/>
              </w:rPr>
            </w:pPr>
            <w:r>
              <w:rPr>
                <w:rFonts w:hint="eastAsia" w:eastAsia="宋体"/>
                <w:highlight w:val="none"/>
              </w:rPr>
              <w:t>★</w:t>
            </w:r>
            <w:r>
              <w:rPr>
                <w:rFonts w:ascii="Times New Roman" w:hAnsi="Times New Roman" w:eastAsia="宋体" w:cs="Times New Roman"/>
                <w:highlight w:val="none"/>
              </w:rPr>
              <w:t>1.13.3专用剪切管DNA剪切长度最高可达20kb；</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40688015">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1.13.4剪切管带二维码标记，方便追踪记录，实现实验流程化；</w:t>
            </w:r>
          </w:p>
          <w:p w14:paraId="749CDF01">
            <w:pPr>
              <w:numPr>
                <w:ilvl w:val="0"/>
                <w:numId w:val="0"/>
              </w:numPr>
              <w:spacing w:line="360" w:lineRule="auto"/>
              <w:rPr>
                <w:rFonts w:ascii="Times New Roman" w:hAnsi="Times New Roman" w:eastAsia="宋体" w:cs="Times New Roman"/>
                <w:b/>
                <w:bCs/>
                <w:szCs w:val="21"/>
                <w:highlight w:val="none"/>
              </w:rPr>
            </w:pPr>
            <w:r>
              <w:rPr>
                <w:rFonts w:hint="eastAsia" w:eastAsia="宋体"/>
                <w:highlight w:val="none"/>
              </w:rPr>
              <w:t>★</w:t>
            </w:r>
            <w:r>
              <w:rPr>
                <w:rFonts w:ascii="Times New Roman" w:hAnsi="Times New Roman" w:eastAsia="宋体" w:cs="Times New Roman"/>
                <w:highlight w:val="none"/>
              </w:rPr>
              <w:t>1.13.5样本最小体积：≤16ul。</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50C0B39C">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1.14 染色质剪切：</w:t>
            </w:r>
          </w:p>
          <w:p w14:paraId="7450385F">
            <w:pPr>
              <w:numPr>
                <w:ilvl w:val="0"/>
                <w:numId w:val="0"/>
              </w:numPr>
              <w:spacing w:line="360" w:lineRule="auto"/>
              <w:rPr>
                <w:rFonts w:ascii="Times New Roman" w:hAnsi="Times New Roman" w:eastAsia="宋体" w:cs="Times New Roman"/>
                <w:b/>
                <w:bCs/>
                <w:szCs w:val="21"/>
                <w:highlight w:val="none"/>
              </w:rPr>
            </w:pPr>
            <w:r>
              <w:rPr>
                <w:rFonts w:hint="eastAsia" w:eastAsia="宋体"/>
                <w:highlight w:val="none"/>
              </w:rPr>
              <w:t>★</w:t>
            </w:r>
            <w:r>
              <w:rPr>
                <w:rFonts w:ascii="Times New Roman" w:hAnsi="Times New Roman" w:eastAsia="宋体" w:cs="Times New Roman"/>
                <w:highlight w:val="none"/>
              </w:rPr>
              <w:t>1.14.1单次处理最多3x107个细胞，可检测≥60个靶标；</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1D74F0DB">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1.14.2标准转录因子和组蛋白芯片检测仅需5x10</w:t>
            </w:r>
            <w:r>
              <w:rPr>
                <w:rFonts w:ascii="Times New Roman" w:hAnsi="Times New Roman" w:eastAsia="宋体" w:cs="Times New Roman"/>
                <w:highlight w:val="none"/>
                <w:vertAlign w:val="superscript"/>
              </w:rPr>
              <w:t>4</w:t>
            </w:r>
            <w:r>
              <w:rPr>
                <w:rFonts w:ascii="Times New Roman" w:hAnsi="Times New Roman" w:eastAsia="宋体" w:cs="Times New Roman"/>
                <w:highlight w:val="none"/>
              </w:rPr>
              <w:t>个细胞；</w:t>
            </w:r>
          </w:p>
          <w:p w14:paraId="188DC610">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1.14.3最低使用5ng DNA即可检测到组蛋白H2B和低含量转录因子Suz12的富集效果；</w:t>
            </w:r>
          </w:p>
          <w:p w14:paraId="52AA0700">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1.14.4提供染色质片段化（ChIP）剪切试剂盒；剪切管带二维码标记，方便追踪记录，实现实验流程化；其他应用：DNA 剪切、RNA 剪切、低体积细胞裂解；</w:t>
            </w:r>
          </w:p>
          <w:p w14:paraId="021A20E9">
            <w:pPr>
              <w:numPr>
                <w:ilvl w:val="0"/>
                <w:numId w:val="0"/>
              </w:numPr>
              <w:spacing w:line="360" w:lineRule="auto"/>
              <w:rPr>
                <w:rFonts w:ascii="Times New Roman" w:hAnsi="Times New Roman" w:eastAsia="宋体" w:cs="Times New Roman"/>
                <w:b/>
                <w:bCs/>
                <w:highlight w:val="none"/>
              </w:rPr>
            </w:pPr>
            <w:r>
              <w:rPr>
                <w:rFonts w:ascii="Times New Roman" w:hAnsi="Times New Roman" w:eastAsia="宋体" w:cs="Times New Roman"/>
                <w:b/>
                <w:bCs/>
                <w:highlight w:val="none"/>
              </w:rPr>
              <w:t>2.配套实验仪器技术指标</w:t>
            </w:r>
          </w:p>
          <w:p w14:paraId="685DB3AD">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2.1振荡培养箱1台：转速范围：30～300rpm，精度 ±1rpm；摆振幅度：Φ26mm 回旋振荡；温控区间：4℃～60℃（环境温 - 15℃至 60℃）；温控精度：0.1℃，37℃均匀度 ±0.5℃；箱体容积：200L，双层摇板结构，单门设计定时时长：0～999 小时连续定时运行。</w:t>
            </w:r>
          </w:p>
          <w:p w14:paraId="2BF59A70">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2.2真空离心浓缩仪1台：固定转速：≥1400 rpm（定速，不可调）；最大容量：96×1.5/2 mL离心管；真空度（整机）：≤20 hPa（20 mbar）；配有喷射式冷凝器可对高达85%的排气进行纯化，保护机器不被腐蚀；根据使用溶剂的不同，具备自由选择三种运行模式（水溶性、酒精溶剂和高气压）。具有自动排出冷凝水功能，延长了直接与蒸汽接触的所有组件的使用寿命；温控档位：常温（不加热）、30 ℃、45 ℃、60 ℃；运行模式：浓缩（V AQ/V AL）、离心（CEFU）、干燥（D AQ/D AL）；免维护的抗化学腐蚀PTEE膜片泵，泵工作能力：1.7立方米/小时；自动真空抽吸，延长泵使用寿命；详细配置：主机1台,包括内置隔膜泵；48×1.5/2.0ml锥形管角转子1个；6×15/50ml锥形管角转子1个。</w:t>
            </w:r>
          </w:p>
          <w:p w14:paraId="4E91DED2">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2.3</w:t>
            </w:r>
            <w:bookmarkStart w:id="4" w:name="OLE_LINK12"/>
            <w:r>
              <w:rPr>
                <w:rFonts w:hint="eastAsia" w:ascii="Times New Roman" w:hAnsi="Times New Roman" w:eastAsia="宋体" w:cs="Times New Roman"/>
                <w:highlight w:val="none"/>
                <w:lang w:val="en-US" w:eastAsia="zh-CN"/>
              </w:rPr>
              <w:t>解剖镜</w:t>
            </w:r>
            <w:r>
              <w:rPr>
                <w:rFonts w:ascii="Times New Roman" w:hAnsi="Times New Roman" w:eastAsia="宋体" w:cs="Times New Roman"/>
                <w:highlight w:val="none"/>
              </w:rPr>
              <w:t>1台</w:t>
            </w:r>
            <w:bookmarkEnd w:id="4"/>
            <w:r>
              <w:rPr>
                <w:rFonts w:ascii="Times New Roman" w:hAnsi="Times New Roman" w:eastAsia="宋体" w:cs="Times New Roman"/>
                <w:highlight w:val="none"/>
              </w:rPr>
              <w:t>：主物镜的分辨率：08X≥502X≥130,4X≥200,6X≥260,8X≥320；变倍时像平面位移量≤0.2mm；左右光学系统相面方位差≤0.2mm；左右光学系统聚焦差≤0.2mm；显微成像系统：C型接口；2000万像素数字摄像头，靶面尺寸1英寸，逐行扫描/连续输出；最大分辨率5440x3648；数据接口：USB3.0；增配辅助平场复消色差物镜：0.5X  WD70mm，可选配0.5X、1.5X、2X物镜。带2孔物镜转换器，可同时安装2个物镜；配套1X平场复消色差物镜，工作距离80mm。；光源：反射光源： 100V-240V LED冷光源照明，≥20W，照明角度任意可调；透射光源：100V-240V LED光源照明，3000-5600K冷暖色温可调；上下光源独立调节。同时配套LED同轴光源照明。</w:t>
            </w:r>
          </w:p>
          <w:p w14:paraId="06BBB2AE">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2.4摇床1台：温控范围： 室温以下18℃～60℃ (最低4℃)；温控设置精度： 0.1℃；驱动：磁力驱动；温度均匀性： ±0.3℃ (@37℃)；摇板尺寸：≥550×470mm； 容量： ≥205L；旋转转速：30～300rpm；转速设置精度： 1rpm；振幅： φ26mm；开门30s重启后温度恢复时间：≤6min (@37℃)；具备编程段数：12段；照明：LED照明；灭菌：紫外杀菌；显示方式：电容式，≥7英寸彩色触控屏；无霜设计，有。</w:t>
            </w:r>
          </w:p>
          <w:p w14:paraId="21F63C68">
            <w:pPr>
              <w:numPr>
                <w:ilvl w:val="0"/>
                <w:numId w:val="0"/>
              </w:numPr>
              <w:spacing w:line="360" w:lineRule="auto"/>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四、其他要求</w:t>
            </w:r>
          </w:p>
          <w:p w14:paraId="29554797">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1.提供制造商或总代理商授权书。</w:t>
            </w:r>
          </w:p>
          <w:p w14:paraId="40051F20">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2.提供技术资料，包括仪器技术说明书、应用方案、安装指南、操作使用说明书、标准操作规程与维护规程。</w:t>
            </w:r>
          </w:p>
          <w:p w14:paraId="76C9A212">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3.质保期内免费提供配件更换与故障维修服务，免费提供一次设备迁移服务，配套软件终身免费维护与版本升级。</w:t>
            </w:r>
          </w:p>
          <w:p w14:paraId="51B4ECEF">
            <w:pPr>
              <w:pStyle w:val="2"/>
              <w:rPr>
                <w:rFonts w:ascii="Times New Roman" w:hAnsi="Times New Roman" w:cs="Times New Roman"/>
                <w:highlight w:val="none"/>
              </w:rPr>
            </w:pPr>
            <w:r>
              <w:rPr>
                <w:rFonts w:ascii="Times New Roman" w:hAnsi="Times New Roman" w:cs="Times New Roman"/>
                <w:highlight w:val="none"/>
              </w:rPr>
              <w:t>4.由技术人员提供现场培训，培训人数不限，内容包括仪器使用与维护、软件编程、应用方法开发及常见问题处理。每年巡检不少于4次，组织培训不少于2次。</w:t>
            </w:r>
          </w:p>
        </w:tc>
      </w:tr>
      <w:tr w14:paraId="33A9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noWrap w:val="0"/>
            <w:vAlign w:val="center"/>
          </w:tcPr>
          <w:p w14:paraId="6A69BE19">
            <w:pPr>
              <w:wordWrap w:val="0"/>
              <w:adjustRightInd w:val="0"/>
              <w:snapToGrid w:val="0"/>
              <w:spacing w:line="360" w:lineRule="auto"/>
              <w:jc w:val="center"/>
              <w:rPr>
                <w:rFonts w:ascii="Times New Roman" w:hAnsi="Times New Roman" w:eastAsia="宋体" w:cs="Times New Roman"/>
                <w:color w:val="000000"/>
                <w:szCs w:val="21"/>
                <w:highlight w:val="none"/>
              </w:rPr>
            </w:pPr>
            <w:r>
              <w:rPr>
                <w:rFonts w:ascii="Times New Roman" w:hAnsi="Times New Roman" w:eastAsia="宋体" w:cs="Times New Roman"/>
                <w:color w:val="000000"/>
                <w:szCs w:val="21"/>
                <w:highlight w:val="none"/>
              </w:rPr>
              <w:t>5</w:t>
            </w:r>
          </w:p>
        </w:tc>
        <w:tc>
          <w:tcPr>
            <w:tcW w:w="1129" w:type="dxa"/>
            <w:noWrap w:val="0"/>
            <w:vAlign w:val="center"/>
          </w:tcPr>
          <w:p w14:paraId="4578AF93">
            <w:pPr>
              <w:wordWrap w:val="0"/>
              <w:adjustRightInd w:val="0"/>
              <w:snapToGrid w:val="0"/>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蛋白常规液相分析系统</w:t>
            </w:r>
          </w:p>
        </w:tc>
        <w:tc>
          <w:tcPr>
            <w:tcW w:w="7397" w:type="dxa"/>
            <w:noWrap w:val="0"/>
            <w:vAlign w:val="center"/>
          </w:tcPr>
          <w:p w14:paraId="36AC8637">
            <w:pPr>
              <w:numPr>
                <w:ilvl w:val="0"/>
                <w:numId w:val="0"/>
              </w:numPr>
              <w:spacing w:line="360" w:lineRule="auto"/>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一、主要用途</w:t>
            </w:r>
          </w:p>
          <w:p w14:paraId="6C15D9AA">
            <w:pPr>
              <w:pStyle w:val="2"/>
              <w:ind w:firstLine="420" w:firstLineChars="200"/>
              <w:rPr>
                <w:rFonts w:ascii="Times New Roman" w:hAnsi="Times New Roman" w:cs="Times New Roman"/>
                <w:highlight w:val="none"/>
              </w:rPr>
            </w:pPr>
            <w:r>
              <w:rPr>
                <w:rFonts w:ascii="Times New Roman" w:hAnsi="Times New Roman" w:cs="Times New Roman"/>
                <w:highlight w:val="none"/>
              </w:rPr>
              <w:t>快速分析多种生物分子，如蛋白质、多糖、肽类、寡核苷酸、核苷酸疫苗、病毒及天然小分子（TCM）等，分析含量从微克至克级生物活性物质。</w:t>
            </w:r>
          </w:p>
          <w:p w14:paraId="0EF857E7">
            <w:pPr>
              <w:numPr>
                <w:ilvl w:val="0"/>
                <w:numId w:val="0"/>
              </w:numPr>
              <w:spacing w:line="360" w:lineRule="auto"/>
              <w:ind w:leftChars="0"/>
              <w:rPr>
                <w:rFonts w:ascii="Times New Roman" w:hAnsi="Times New Roman" w:eastAsia="宋体" w:cs="Times New Roman"/>
                <w:b/>
                <w:bCs/>
                <w:szCs w:val="21"/>
                <w:highlight w:val="none"/>
              </w:rPr>
            </w:pPr>
            <w:r>
              <w:rPr>
                <w:rFonts w:hint="eastAsia" w:ascii="Times New Roman" w:hAnsi="Times New Roman" w:eastAsia="宋体" w:cs="Times New Roman"/>
                <w:b/>
                <w:bCs/>
                <w:szCs w:val="21"/>
                <w:highlight w:val="none"/>
                <w:lang w:val="en-US" w:eastAsia="zh-CN"/>
              </w:rPr>
              <w:t>二、</w:t>
            </w:r>
            <w:r>
              <w:rPr>
                <w:rFonts w:ascii="Times New Roman" w:hAnsi="Times New Roman" w:eastAsia="宋体" w:cs="Times New Roman"/>
                <w:b/>
                <w:bCs/>
                <w:szCs w:val="21"/>
                <w:highlight w:val="none"/>
              </w:rPr>
              <w:t>配置清单</w:t>
            </w:r>
          </w:p>
          <w:p w14:paraId="3135AD19">
            <w:pPr>
              <w:numPr>
                <w:ilvl w:val="0"/>
                <w:numId w:val="0"/>
              </w:numPr>
              <w:spacing w:line="360" w:lineRule="auto"/>
              <w:rPr>
                <w:rFonts w:ascii="Times New Roman" w:hAnsi="Times New Roman" w:eastAsia="宋体" w:cs="Times New Roman"/>
                <w:highlight w:val="none"/>
              </w:rPr>
            </w:pPr>
            <w:r>
              <w:rPr>
                <w:rFonts w:hint="eastAsia" w:ascii="Times New Roman" w:hAnsi="Times New Roman" w:eastAsia="宋体" w:cs="Times New Roman"/>
                <w:highlight w:val="none"/>
                <w:lang w:val="en-US" w:eastAsia="zh-CN"/>
              </w:rPr>
              <w:t>1.</w:t>
            </w:r>
            <w:r>
              <w:rPr>
                <w:rFonts w:ascii="Times New Roman" w:hAnsi="Times New Roman" w:eastAsia="宋体" w:cs="Times New Roman"/>
                <w:highlight w:val="none"/>
              </w:rPr>
              <w:t>蛋白常规液相分析系统主机2台</w:t>
            </w:r>
          </w:p>
          <w:p w14:paraId="6216C0DA">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2.工作站2台；</w:t>
            </w:r>
          </w:p>
          <w:p w14:paraId="4859E09B">
            <w:pPr>
              <w:numPr>
                <w:ilvl w:val="0"/>
                <w:numId w:val="0"/>
              </w:numPr>
              <w:spacing w:line="360" w:lineRule="auto"/>
              <w:rPr>
                <w:rFonts w:hint="eastAsia" w:ascii="Times New Roman" w:hAnsi="Times New Roman" w:eastAsia="宋体" w:cs="Times New Roman"/>
                <w:highlight w:val="none"/>
                <w:lang w:eastAsia="zh-CN"/>
              </w:rPr>
            </w:pPr>
            <w:r>
              <w:rPr>
                <w:rFonts w:ascii="Times New Roman" w:hAnsi="Times New Roman" w:eastAsia="宋体" w:cs="Times New Roman"/>
                <w:highlight w:val="none"/>
              </w:rPr>
              <w:t>3.配套实验仪器：高压均质机1台；高速离心机3台；超低温冰箱3台；人工气候箱（小）1台</w:t>
            </w:r>
            <w:r>
              <w:rPr>
                <w:rFonts w:hint="eastAsia" w:ascii="Times New Roman" w:hAnsi="Times New Roman" w:eastAsia="宋体" w:cs="Times New Roman"/>
                <w:highlight w:val="none"/>
                <w:lang w:eastAsia="zh-CN"/>
              </w:rPr>
              <w:t>。</w:t>
            </w:r>
          </w:p>
          <w:p w14:paraId="7B3118C2">
            <w:pPr>
              <w:numPr>
                <w:ilvl w:val="0"/>
                <w:numId w:val="0"/>
              </w:numPr>
              <w:spacing w:line="360" w:lineRule="auto"/>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三、技术指标</w:t>
            </w:r>
          </w:p>
          <w:p w14:paraId="74318377">
            <w:pPr>
              <w:numPr>
                <w:ilvl w:val="0"/>
                <w:numId w:val="0"/>
              </w:numPr>
              <w:spacing w:line="360" w:lineRule="auto"/>
              <w:rPr>
                <w:rFonts w:ascii="Times New Roman" w:hAnsi="Times New Roman" w:eastAsia="宋体" w:cs="Times New Roman"/>
                <w:b/>
                <w:bCs/>
                <w:highlight w:val="none"/>
              </w:rPr>
            </w:pPr>
            <w:r>
              <w:rPr>
                <w:rFonts w:ascii="Times New Roman" w:hAnsi="Times New Roman" w:eastAsia="宋体" w:cs="Times New Roman"/>
                <w:b/>
                <w:bCs/>
                <w:highlight w:val="none"/>
              </w:rPr>
              <w:t>1.蛋白常规液相分析系统主机技术指标</w:t>
            </w:r>
          </w:p>
          <w:p w14:paraId="12F06574">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1.1系统泵</w:t>
            </w:r>
          </w:p>
          <w:p w14:paraId="74A9C9DC">
            <w:pPr>
              <w:numPr>
                <w:ilvl w:val="0"/>
                <w:numId w:val="0"/>
              </w:numPr>
              <w:spacing w:line="360" w:lineRule="auto"/>
              <w:rPr>
                <w:rFonts w:ascii="Times New Roman" w:hAnsi="Times New Roman" w:eastAsia="宋体" w:cs="Times New Roman"/>
                <w:b/>
                <w:bCs/>
                <w:szCs w:val="21"/>
                <w:highlight w:val="none"/>
              </w:rPr>
            </w:pPr>
            <w:r>
              <w:rPr>
                <w:rFonts w:hint="eastAsia" w:eastAsia="宋体"/>
                <w:highlight w:val="none"/>
              </w:rPr>
              <w:t>★</w:t>
            </w:r>
            <w:r>
              <w:rPr>
                <w:rFonts w:ascii="Times New Roman" w:hAnsi="Times New Roman" w:eastAsia="宋体" w:cs="Times New Roman"/>
                <w:highlight w:val="none"/>
              </w:rPr>
              <w:t>1.1.1全自动微量柱塞泵，单泵二泵头，泵头材质为钛合金，每个泵头都有独立除气阀。每个泵后都有润洗通路。泵后具有单向阀，防止废液管道回流污染泵腔；</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0829EE46">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1.1.2流速：0.01-25ml/min；压力范围：0–5 MPa (50bar，725 psi)；</w:t>
            </w:r>
          </w:p>
          <w:p w14:paraId="5FC27B37">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1.1.3流速重复性：条件：0.25–25 ml/min, 0.7–3 cP，流速准确度：±2%，流速精度：RSD&lt;0.5%；</w:t>
            </w:r>
          </w:p>
          <w:p w14:paraId="5A0379F1">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1.1.4梯度准确度: ±2%,（条件：（2% to 98%B, 梯度流速范围0.5 to 20 mL/min, 黏度0.7 to 2 cP）；粘度：0.7-10 cp 。</w:t>
            </w:r>
          </w:p>
          <w:p w14:paraId="1C2E98FF">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1.2.检测器</w:t>
            </w:r>
          </w:p>
          <w:p w14:paraId="3F80F1C9">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1.2.1 紫外可见检测器</w:t>
            </w:r>
          </w:p>
          <w:p w14:paraId="3F6C9D05">
            <w:pPr>
              <w:numPr>
                <w:ilvl w:val="0"/>
                <w:numId w:val="0"/>
              </w:numPr>
              <w:spacing w:line="360" w:lineRule="auto"/>
              <w:rPr>
                <w:rFonts w:hint="eastAsia" w:ascii="Times New Roman" w:hAnsi="Times New Roman" w:eastAsia="宋体" w:cs="Times New Roman"/>
                <w:highlight w:val="none"/>
                <w:lang w:eastAsia="zh-CN"/>
              </w:rPr>
            </w:pPr>
            <w:r>
              <w:rPr>
                <w:rFonts w:ascii="Times New Roman" w:hAnsi="Times New Roman" w:eastAsia="宋体" w:cs="Times New Roman"/>
                <w:highlight w:val="none"/>
              </w:rPr>
              <w:t>1.2.1.1 使用LED单一紫外光源（280nm）检测，无需预热，即刻达到100%功率紫外输出。待机时光源自动关闭，同时通过软件可随时开启和关闭光源</w:t>
            </w:r>
            <w:r>
              <w:rPr>
                <w:rFonts w:hint="eastAsia" w:ascii="Times New Roman" w:hAnsi="Times New Roman" w:eastAsia="宋体" w:cs="Times New Roman"/>
                <w:highlight w:val="none"/>
                <w:lang w:eastAsia="zh-CN"/>
              </w:rPr>
              <w:t>；</w:t>
            </w:r>
          </w:p>
          <w:p w14:paraId="1EA52813">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1.2.1.2检测范围：-6 到 +6 AU，线性：5%，在0–2 AU之间；压力：0-2Mpa；</w:t>
            </w:r>
          </w:p>
          <w:p w14:paraId="7F241E90">
            <w:pPr>
              <w:pStyle w:val="2"/>
              <w:rPr>
                <w:rFonts w:hint="eastAsia" w:ascii="Times New Roman" w:hAnsi="Times New Roman" w:eastAsia="宋体" w:cs="Times New Roman"/>
                <w:highlight w:val="none"/>
                <w:lang w:eastAsia="zh-CN"/>
              </w:rPr>
            </w:pPr>
            <w:r>
              <w:rPr>
                <w:rFonts w:ascii="Times New Roman" w:hAnsi="Times New Roman" w:cs="Times New Roman"/>
                <w:highlight w:val="none"/>
              </w:rPr>
              <w:t>光源和流动池分开设计，避免光源过热对样品的影响；标准流通池：2mm光径</w:t>
            </w:r>
            <w:r>
              <w:rPr>
                <w:rFonts w:hint="eastAsia" w:ascii="Times New Roman" w:hAnsi="Times New Roman" w:cs="Times New Roman"/>
                <w:highlight w:val="none"/>
                <w:lang w:eastAsia="zh-CN"/>
              </w:rPr>
              <w:t>；</w:t>
            </w:r>
          </w:p>
          <w:p w14:paraId="5BF52439">
            <w:pPr>
              <w:pStyle w:val="2"/>
              <w:rPr>
                <w:rFonts w:ascii="Times New Roman" w:hAnsi="Times New Roman" w:cs="Times New Roman"/>
                <w:highlight w:val="none"/>
              </w:rPr>
            </w:pPr>
            <w:r>
              <w:rPr>
                <w:rFonts w:ascii="Times New Roman" w:hAnsi="Times New Roman" w:cs="Times New Roman"/>
                <w:highlight w:val="none"/>
              </w:rPr>
              <w:t>1.2.1.3紫外检测信号噪音：&lt; 0.1 mAU；紫外检测信号漂移：≤ | 0.2 mAU | AU/h（2 mm光径，280nm）；</w:t>
            </w:r>
          </w:p>
          <w:p w14:paraId="76052478">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1.2.2 电导检测器</w:t>
            </w:r>
          </w:p>
          <w:p w14:paraId="3DA16686">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1.2.2.1 检测范围：0.01－999.99 ms/cm；作压力：0-2Mpa；</w:t>
            </w:r>
          </w:p>
          <w:p w14:paraId="28AE9F91">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1.2.2.2电导精确度：±0.01mS/cm或±2%（在0.3-300 ms/cm），实时自动检测，内置温度检测器，电脑利用校正因子做自动校正；</w:t>
            </w:r>
          </w:p>
          <w:p w14:paraId="374D99DF">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1.2.2.3紫外检测器和电导检测器分开，可以在两者之间添加任何模块，便于流路优化；</w:t>
            </w:r>
          </w:p>
          <w:p w14:paraId="47B26BBE">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1.2.3 温度检测器：温度范围：0 – 70℃；温度准确度：± 1.5℃ 在 4℃–35℃ 之间。</w:t>
            </w:r>
          </w:p>
          <w:p w14:paraId="409B0639">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1.2.4 压力传感器：检测范围0~5MPa(725psi)；精确度 ±0.02MPa或者±2%。</w:t>
            </w:r>
          </w:p>
          <w:p w14:paraId="78A52938">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1.3.阀门：缓冲液入口切换阀：1个，泵有4个入口的选择，实现结合液、洗脱液，样品和清洗液不同缓冲液入口之间的转换，其中结合液和洗脱液入口可以按比例混合。待机状态或者实验停止后，入口阀自动关闭密闭，防止废液管道回流污染泵腔；自动进样阀：1个，无需更改管线连接方式，即可实现平衡、载样，冲洗，进样。阀门一共有3个模式，分别为载样，进样，排废；单出口阀组件：1个，可自动切换收集位置。其中一个位置与收集器相连，，另外有一个位置为大体积出口, 最后一个位置接废液；</w:t>
            </w:r>
          </w:p>
          <w:p w14:paraId="331D486E">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 xml:space="preserve">1.4.组分收集器 </w:t>
            </w:r>
          </w:p>
          <w:p w14:paraId="2FC27185">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1.4.1 可根据体积或峰自动收集：试管容量最多175管；标配两种管架，95孔直径10–18 mm收集管，和175孔直径12 mm收集管；</w:t>
            </w:r>
          </w:p>
          <w:p w14:paraId="042ADFB8">
            <w:pPr>
              <w:numPr>
                <w:ilvl w:val="0"/>
                <w:numId w:val="0"/>
              </w:num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1.4.2收集器滴头具有液滴检测器，在更换收集管时，防止液滴溅到管外，损失样品；</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3028BD40">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1.4.3 流路：PEEK惰性材料；耐受有机溶剂；</w:t>
            </w:r>
          </w:p>
          <w:p w14:paraId="6C00BC4F">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1.5.其它部件：</w:t>
            </w:r>
          </w:p>
          <w:p w14:paraId="7C531BEA">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1.5.1 混合器：混合腔体积1 ml，混合准确度：±2% (条件：2%-98% B，0.5-20 mL/min，0.7-3 cP )；柱架： 固定分析柱；</w:t>
            </w:r>
          </w:p>
          <w:p w14:paraId="0877E037">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1.5.2限压器：使系统保持一定压力，保证不同溶液梯度混合时不产生气泡；</w:t>
            </w:r>
          </w:p>
          <w:p w14:paraId="1EC3447F">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1.5.3机身具有控制面板，可以通过按键控制设备的暂停和继续，控制面板可以通过颜色显示设备的运行状态。</w:t>
            </w:r>
          </w:p>
          <w:p w14:paraId="0CAA739C">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1.6.控制软件</w:t>
            </w:r>
          </w:p>
          <w:p w14:paraId="3517E5B9">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1.6.1 软件符合GMP/GLP要求，具有21 CFR Part 11 认证证书，可随时加减控制元件。可灵活根据实验要求进行控制元件的加减；</w:t>
            </w:r>
          </w:p>
          <w:p w14:paraId="64050D64">
            <w:pPr>
              <w:numPr>
                <w:ilvl w:val="0"/>
                <w:numId w:val="0"/>
              </w:num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1.6.2 软件的程序编辑有Phase模板编辑和TEXT文本编辑两种方式，模板应包含常用的六大分析类型还有系统清洗、分析柱清洗、柱效测定等实验。TEXT文本编程方式可以直接用操作命令编程，具备对实验参数进行实时监测，包括紫外数值，紫外比值、电导率，流速，压力。两种编辑方式均可选择时间、体积、柱体积作为程序进度单位进行参数或者命令的编辑；</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0DC55F65">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1.6.3 具有自动积分、一键积分功能，操作简单，具备打印结果报告；</w:t>
            </w:r>
          </w:p>
          <w:p w14:paraId="1E86E9F4">
            <w:pPr>
              <w:numPr>
                <w:ilvl w:val="0"/>
                <w:numId w:val="0"/>
              </w:num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1.6.4软件能够记录硬件模块的序列号，运行时长或者次数，如紫外灯使用时长、阀门开闭次数；</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10771C43">
            <w:pPr>
              <w:numPr>
                <w:ilvl w:val="0"/>
                <w:numId w:val="0"/>
              </w:num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1.6.5 软件应能够实现使用移动设备（手机和平板）或计算机在局域网内通过浏览器通过手动命令，直接对设备进行远程控制。支持浏览查看结果中任意3个月时间段的结果数据。支持放大、导出图片等操作，方便远程查看实验结果数据。软件应能够实现使用移动设备（手机和平板）或计算机在局域网内通过浏览器查看设备的使用情况，具备同时显示5条实时曲线和不少于50个运行数据，同时具备查看仪器报警信息，及时发现运行异常的设备。软件具备分类或分组筛选查看仪器，了解仪器在特定时间内的使用频率，便于仪器管理；</w:t>
            </w:r>
          </w:p>
          <w:p w14:paraId="7507EBA7">
            <w:pPr>
              <w:pStyle w:val="2"/>
              <w:rPr>
                <w:rFonts w:ascii="Times New Roman" w:hAnsi="Times New Roman" w:cs="Times New Roman"/>
                <w:highlight w:val="none"/>
              </w:rPr>
            </w:pPr>
            <w:r>
              <w:rPr>
                <w:rFonts w:ascii="Times New Roman" w:hAnsi="Times New Roman" w:cs="Times New Roman"/>
                <w:highlight w:val="none"/>
              </w:rPr>
              <w:t>1.6.6 仪器仪器具有节电模式，当仪器待机或者实验暂停超过软件设置的时长后，仪器可以进入节电模式。</w:t>
            </w:r>
          </w:p>
          <w:p w14:paraId="4D50AEBA">
            <w:pPr>
              <w:spacing w:line="360" w:lineRule="auto"/>
              <w:rPr>
                <w:rFonts w:ascii="Times New Roman" w:hAnsi="Times New Roman" w:eastAsia="宋体" w:cs="Times New Roman"/>
                <w:b/>
                <w:bCs/>
                <w:highlight w:val="none"/>
              </w:rPr>
            </w:pPr>
            <w:r>
              <w:rPr>
                <w:rFonts w:ascii="Times New Roman" w:hAnsi="Times New Roman" w:eastAsia="宋体" w:cs="Times New Roman"/>
                <w:b/>
                <w:bCs/>
                <w:highlight w:val="none"/>
              </w:rPr>
              <w:t>2.工作站技术指标</w:t>
            </w:r>
          </w:p>
          <w:p w14:paraId="3ECD6316">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CPU:≥睿频5.4GHz，20核心，28线程；内存≥32GB；硬盘≥2TB NVME；独立显卡，显存≥6GB；显示器：≥27英寸，分辨率≥1920×1080；</w:t>
            </w:r>
          </w:p>
          <w:p w14:paraId="1F8312DA">
            <w:pPr>
              <w:spacing w:line="360" w:lineRule="auto"/>
              <w:rPr>
                <w:rFonts w:ascii="Times New Roman" w:hAnsi="Times New Roman" w:eastAsia="宋体" w:cs="Times New Roman"/>
                <w:b/>
                <w:bCs/>
                <w:highlight w:val="none"/>
              </w:rPr>
            </w:pPr>
            <w:r>
              <w:rPr>
                <w:rFonts w:hint="eastAsia" w:ascii="Times New Roman" w:hAnsi="Times New Roman" w:eastAsia="宋体" w:cs="Times New Roman"/>
                <w:b/>
                <w:bCs/>
                <w:highlight w:val="none"/>
                <w:lang w:val="en-US" w:eastAsia="zh-CN"/>
              </w:rPr>
              <w:t>3.</w:t>
            </w:r>
            <w:r>
              <w:rPr>
                <w:rFonts w:ascii="Times New Roman" w:hAnsi="Times New Roman" w:eastAsia="宋体" w:cs="Times New Roman"/>
                <w:b/>
                <w:bCs/>
                <w:highlight w:val="none"/>
              </w:rPr>
              <w:t>配套实验仪器技术指标</w:t>
            </w:r>
          </w:p>
          <w:p w14:paraId="03EAE572">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3.1高压均质机1台：设计最高压力（MPa/bar/Pis)：200/2000/29000；实际操作压力：0～26100Psi（180 MPa），压力可调；最高压力须稳定达到 26100 Psi（180 MPa）；设计流量：12 L-15 L/H，最小处理量：≤ 20 mL；出料温度控制在 -5℃～100 ℃ （根据物料要求不同而定）；压力显示：选用≥7英寸触摸屏；进料物料粘度：≤2000 cp，最大进料颗粒尺寸 ≤100 μm，物料温度 ≤ 90℃；可将物料均质≤100 nm；破壁率≥ 95%；</w:t>
            </w:r>
          </w:p>
          <w:p w14:paraId="26B3DD8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3.2超低温冰箱3台：箱内温度范围 -40℃~-86℃ 可调，调节单位 0.1℃；有效容积 ≥690L；2ml 样本存放量 ≥48000 支;碳氢制冷剂，环保无污染；检测孔 ≥2 个（背部或左下角）；搭配 VIP PLUS 真空隔热发泡技术（保温层厚度 ≥70mm）。制冷系统：全封闭型变频压缩机，匹配成熟的复叠式制冷系统，运行稳定；标配膨胀罐，当因环境温度过高或其他原因导致制冷系统压力过大时，维持压缩机正常运行。</w:t>
            </w:r>
          </w:p>
          <w:p w14:paraId="5CAA3D4D">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3.3人工气候箱1台：容积：450L；温度范围： 0-65℃；温度分辨率：0.1℃控温波动：±0.5℃～±1.0℃ 均匀度±1.0℃；温度偏差修正范围：-5℃~+5℃可调；湿度范围：50-95%RH；湿度波动±3%RH-±7%RH；湿度偏差修正范围：±10%RH可调；光照强度：0-30000LUX；控制范围0-100级调光。</w:t>
            </w:r>
          </w:p>
          <w:p w14:paraId="689B3DB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3.4高速离心机3台：最高转速：16500r/min；最大相对离心力：21000xg；最大装载容量：6×50ml；转速控制精度：±30r/min；定时区间：1min～99min；配置：24*1.5；6×50ml。</w:t>
            </w:r>
          </w:p>
          <w:p w14:paraId="30AACC06">
            <w:pPr>
              <w:spacing w:line="360" w:lineRule="auto"/>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四、其他要求</w:t>
            </w:r>
          </w:p>
          <w:p w14:paraId="1AD2E496">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1.提供技术资料，包括仪器技术说明书、应用方案、安装指南、操作使用说明书、标准操作规程与维护规程。</w:t>
            </w:r>
          </w:p>
          <w:p w14:paraId="09D0DDCF">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2.质保期内免费提供配件更换与故障维修服务，免费提供一次设备迁移服务，配套软件终身免费维护与版本升级。</w:t>
            </w:r>
          </w:p>
          <w:p w14:paraId="274449D3">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3.由技术人员提供现场培训，培训人数不限，内容包括仪器使用与维护、软件编程、应用方法开发及常见问题处理。每年巡检不少于4次，组织培训不少于2次。</w:t>
            </w:r>
          </w:p>
        </w:tc>
      </w:tr>
    </w:tbl>
    <w:p w14:paraId="45873B0C">
      <w:pPr>
        <w:numPr>
          <w:ilvl w:val="0"/>
          <w:numId w:val="0"/>
        </w:numPr>
        <w:adjustRightInd w:val="0"/>
        <w:snapToGrid w:val="0"/>
        <w:spacing w:line="360" w:lineRule="auto"/>
        <w:ind w:left="0" w:leftChars="0" w:firstLine="0" w:firstLineChars="0"/>
        <w:jc w:val="left"/>
        <w:rPr>
          <w:rFonts w:hint="eastAsia" w:ascii="宋体" w:hAnsi="宋体" w:eastAsia="宋体" w:cs="宋体"/>
          <w:b/>
          <w:sz w:val="24"/>
          <w:szCs w:val="21"/>
          <w:highlight w:val="none"/>
          <w:lang w:val="en-US" w:eastAsia="zh-CN"/>
        </w:rPr>
      </w:pPr>
      <w:r>
        <w:rPr>
          <w:rFonts w:hint="eastAsia" w:eastAsia="宋体" w:cs="宋体"/>
          <w:b/>
          <w:sz w:val="24"/>
          <w:szCs w:val="21"/>
          <w:highlight w:val="none"/>
          <w:lang w:val="en-US" w:eastAsia="zh-CN"/>
        </w:rPr>
        <w:t>三、</w:t>
      </w:r>
      <w:r>
        <w:rPr>
          <w:rFonts w:hint="eastAsia" w:ascii="宋体" w:hAnsi="宋体" w:eastAsia="宋体" w:cs="宋体"/>
          <w:b/>
          <w:sz w:val="24"/>
          <w:szCs w:val="21"/>
          <w:highlight w:val="none"/>
          <w:lang w:val="en-US" w:eastAsia="zh-CN"/>
        </w:rPr>
        <w:t xml:space="preserve">商务要求 </w:t>
      </w:r>
    </w:p>
    <w:p w14:paraId="0B3C178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3.1采购范围：河南科技学院现代农业产业科技创新平台—生物信息与生物医药技术研究中心项目所需1套蛋白高精度液相分析系统、1套流变仪、1套纳米粒度Zeta电位仪、1套超声聚焦核酸破碎系统、1套蛋白常规液相分析系统的供货、运输、保险、装卸、安装、检测、调试、试运行、验收交付、培训、技术支持、软件升级、售后保修及相关伴随服务等，详见河南省政府采购网附件“采购需求”。</w:t>
      </w:r>
    </w:p>
    <w:p w14:paraId="682F478E">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3.2交货期：合同生效后60日历天内。</w:t>
      </w:r>
    </w:p>
    <w:p w14:paraId="7B22798E">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3.3交货地点：河南科技学院。</w:t>
      </w:r>
    </w:p>
    <w:p w14:paraId="4F8FA52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3.4质量标准：符合国家相关质量验收合格标准。</w:t>
      </w:r>
    </w:p>
    <w:p w14:paraId="014C21E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3.5质保期：验收合格并正常运行之日起，提供原厂5年质保服务，质保期内免费提供配件更换与故障维修服务，免费提供一次设备迁移服务，配套软件终身免费维护与版本升级，质保期内故障响应时间不超过24小时，2个工作日内安排工程师到场检修。</w:t>
      </w:r>
    </w:p>
    <w:p w14:paraId="6B4FBB5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3.6投标有效期：递交投标文件的截止之日起90日历天。</w:t>
      </w:r>
    </w:p>
    <w:p w14:paraId="7414A8EA">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3.7采购资金的支付方式、时间（付款方式）：合同生效后，中标人15个工作日内向采购人提供合同额65%的银行保函(有效期不低于12个月)，采购人收到银行保函后15个工作日内向中标人支付合同额65%的预付款；到货后，经初验合格，采购人15个工作日内支付初验合格货物金额的20%;自第三方验收合格之日起且乙方出具正式发票(其中国产教学科研用设备仪器、平台软件类须提供增值税专用发票)后30个工作日内，甲方向乙方支付剩余款项。第三方验收费用由乙方承担，项目验收方式及收费标准：第三方验收，合同金额*1.5%*0.72。</w:t>
      </w:r>
    </w:p>
    <w:p w14:paraId="139CABA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4"/>
          <w:szCs w:val="21"/>
          <w:highlight w:val="none"/>
          <w:lang w:val="en-US" w:eastAsia="zh-CN"/>
        </w:rPr>
      </w:pPr>
      <w:r>
        <w:rPr>
          <w:rFonts w:hint="eastAsia" w:ascii="宋体" w:hAnsi="宋体" w:eastAsia="宋体" w:cs="宋体"/>
          <w:b/>
          <w:sz w:val="24"/>
          <w:szCs w:val="21"/>
          <w:highlight w:val="none"/>
          <w:lang w:val="en-US" w:eastAsia="zh-CN"/>
        </w:rPr>
        <w:t>四、其他要求</w:t>
      </w:r>
    </w:p>
    <w:p w14:paraId="4089FF45">
      <w:pPr>
        <w:keepNext w:val="0"/>
        <w:keepLines w:val="0"/>
        <w:pageBreakBefore w:val="0"/>
        <w:widowControl w:val="0"/>
        <w:kinsoku/>
        <w:wordWrap/>
        <w:overflowPunct/>
        <w:topLinePunct w:val="0"/>
        <w:autoSpaceDE/>
        <w:autoSpaceDN/>
        <w:bidi w:val="0"/>
        <w:snapToGrid/>
        <w:spacing w:after="0" w:line="360" w:lineRule="auto"/>
        <w:ind w:firstLine="420" w:firstLineChars="200"/>
        <w:jc w:val="both"/>
        <w:rPr>
          <w:rFonts w:hint="eastAsia" w:ascii="宋体" w:hAnsi="宋体" w:eastAsia="宋体" w:cs="宋体"/>
          <w:kern w:val="2"/>
          <w:sz w:val="21"/>
          <w:szCs w:val="21"/>
          <w:highlight w:val="none"/>
          <w:lang w:eastAsia="zh-CN" w:bidi="ar-SA"/>
        </w:rPr>
      </w:pPr>
      <w:r>
        <w:rPr>
          <w:rFonts w:hint="eastAsia" w:ascii="宋体" w:hAnsi="宋体" w:eastAsia="宋体" w:cs="宋体"/>
          <w:kern w:val="2"/>
          <w:sz w:val="21"/>
          <w:szCs w:val="21"/>
          <w:highlight w:val="none"/>
          <w:lang w:val="en-US" w:eastAsia="zh-CN" w:bidi="ar-SA"/>
        </w:rPr>
        <w:t>4</w:t>
      </w:r>
      <w:r>
        <w:rPr>
          <w:rFonts w:hint="eastAsia" w:ascii="宋体" w:hAnsi="宋体" w:eastAsia="宋体" w:cs="宋体"/>
          <w:kern w:val="2"/>
          <w:sz w:val="21"/>
          <w:szCs w:val="21"/>
          <w:highlight w:val="none"/>
          <w:lang w:eastAsia="zh-CN" w:bidi="ar-SA"/>
        </w:rPr>
        <w:t>.1</w:t>
      </w:r>
      <w:r>
        <w:rPr>
          <w:rFonts w:hint="eastAsia" w:ascii="宋体" w:hAnsi="宋体" w:eastAsia="宋体" w:cs="宋体"/>
          <w:color w:val="auto"/>
          <w:sz w:val="21"/>
          <w:szCs w:val="21"/>
          <w:highlight w:val="none"/>
          <w:shd w:val="clear" w:color="auto" w:fill="FFFFFF"/>
          <w:lang w:val="en-US" w:eastAsia="zh-CN"/>
        </w:rPr>
        <w:t>投标人</w:t>
      </w:r>
      <w:r>
        <w:rPr>
          <w:rFonts w:hint="eastAsia" w:ascii="宋体" w:hAnsi="宋体" w:eastAsia="宋体" w:cs="宋体"/>
          <w:kern w:val="2"/>
          <w:sz w:val="21"/>
          <w:szCs w:val="21"/>
          <w:highlight w:val="none"/>
          <w:lang w:eastAsia="zh-CN" w:bidi="ar-SA"/>
        </w:rPr>
        <w:t>须</w:t>
      </w:r>
      <w:r>
        <w:rPr>
          <w:rFonts w:hint="eastAsia" w:ascii="宋体" w:hAnsi="宋体" w:eastAsia="宋体" w:cs="宋体"/>
          <w:color w:val="auto"/>
          <w:sz w:val="21"/>
          <w:szCs w:val="21"/>
          <w:highlight w:val="none"/>
          <w:shd w:val="clear" w:color="auto" w:fill="FFFFFF"/>
          <w:lang w:val="en-US" w:eastAsia="zh-CN"/>
        </w:rPr>
        <w:t>针对本项目</w:t>
      </w:r>
      <w:r>
        <w:rPr>
          <w:rFonts w:hint="eastAsia" w:eastAsia="宋体" w:cs="宋体"/>
          <w:kern w:val="2"/>
          <w:sz w:val="21"/>
          <w:szCs w:val="21"/>
          <w:highlight w:val="none"/>
          <w:lang w:eastAsia="zh-CN" w:bidi="ar-SA"/>
        </w:rPr>
        <w:t>编制</w:t>
      </w:r>
      <w:r>
        <w:rPr>
          <w:rFonts w:hint="eastAsia" w:ascii="宋体" w:hAnsi="宋体" w:eastAsia="宋体" w:cs="宋体"/>
          <w:kern w:val="2"/>
          <w:sz w:val="21"/>
          <w:szCs w:val="21"/>
          <w:highlight w:val="none"/>
          <w:lang w:val="en-US" w:eastAsia="zh-CN" w:bidi="ar-SA"/>
        </w:rPr>
        <w:t>供货方案</w:t>
      </w:r>
      <w:r>
        <w:rPr>
          <w:rFonts w:hint="eastAsia" w:ascii="宋体" w:hAnsi="宋体" w:eastAsia="宋体" w:cs="宋体"/>
          <w:kern w:val="2"/>
          <w:sz w:val="21"/>
          <w:szCs w:val="21"/>
          <w:highlight w:val="none"/>
          <w:lang w:eastAsia="zh-CN" w:bidi="ar-SA"/>
        </w:rPr>
        <w:t>，包</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kern w:val="2"/>
          <w:sz w:val="21"/>
          <w:szCs w:val="21"/>
          <w:highlight w:val="none"/>
          <w:lang w:eastAsia="zh-CN" w:bidi="ar-SA"/>
        </w:rPr>
        <w:t>（1）供货计划（含供货周期、交货顺序、到货时间节点）；（2）货物运输方案（含运输方式、包装防护、运输保障措施）；（3）货物验收衔接方案（含验收流程、验收标准配合、异议处理）。</w:t>
      </w:r>
    </w:p>
    <w:p w14:paraId="7172BB30">
      <w:pPr>
        <w:keepNext w:val="0"/>
        <w:keepLines w:val="0"/>
        <w:pageBreakBefore w:val="0"/>
        <w:widowControl w:val="0"/>
        <w:kinsoku/>
        <w:wordWrap/>
        <w:overflowPunct/>
        <w:topLinePunct w:val="0"/>
        <w:autoSpaceDE/>
        <w:autoSpaceDN/>
        <w:bidi w:val="0"/>
        <w:snapToGrid/>
        <w:spacing w:after="0" w:line="360" w:lineRule="auto"/>
        <w:ind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4.2</w:t>
      </w:r>
      <w:r>
        <w:rPr>
          <w:rFonts w:hint="eastAsia" w:ascii="宋体" w:hAnsi="宋体" w:eastAsia="宋体" w:cs="宋体"/>
          <w:color w:val="auto"/>
          <w:sz w:val="21"/>
          <w:szCs w:val="21"/>
          <w:highlight w:val="none"/>
          <w:shd w:val="clear" w:color="auto" w:fill="FFFFFF"/>
          <w:lang w:val="en-US" w:eastAsia="zh-CN"/>
        </w:rPr>
        <w:t>投标人</w:t>
      </w:r>
      <w:r>
        <w:rPr>
          <w:rFonts w:hint="eastAsia" w:ascii="宋体" w:hAnsi="宋体" w:eastAsia="宋体" w:cs="宋体"/>
          <w:kern w:val="2"/>
          <w:sz w:val="21"/>
          <w:szCs w:val="21"/>
          <w:highlight w:val="none"/>
          <w:lang w:eastAsia="zh-CN" w:bidi="ar-SA"/>
        </w:rPr>
        <w:t>须</w:t>
      </w:r>
      <w:r>
        <w:rPr>
          <w:rFonts w:hint="eastAsia" w:ascii="宋体" w:hAnsi="宋体" w:eastAsia="宋体" w:cs="宋体"/>
          <w:color w:val="auto"/>
          <w:sz w:val="21"/>
          <w:szCs w:val="21"/>
          <w:highlight w:val="none"/>
          <w:shd w:val="clear" w:color="auto" w:fill="FFFFFF"/>
          <w:lang w:val="en-US" w:eastAsia="zh-CN"/>
        </w:rPr>
        <w:t>针对本项目</w:t>
      </w:r>
      <w:r>
        <w:rPr>
          <w:rFonts w:hint="eastAsia" w:eastAsia="宋体" w:cs="宋体"/>
          <w:kern w:val="2"/>
          <w:sz w:val="21"/>
          <w:szCs w:val="21"/>
          <w:highlight w:val="none"/>
          <w:lang w:eastAsia="zh-CN" w:bidi="ar-SA"/>
        </w:rPr>
        <w:t>编制</w:t>
      </w:r>
      <w:r>
        <w:rPr>
          <w:rFonts w:hint="eastAsia" w:ascii="宋体" w:hAnsi="宋体" w:eastAsia="宋体" w:cs="宋体"/>
          <w:kern w:val="2"/>
          <w:sz w:val="21"/>
          <w:szCs w:val="21"/>
          <w:highlight w:val="none"/>
          <w:lang w:eastAsia="zh-CN" w:bidi="ar-SA"/>
        </w:rPr>
        <w:t>安装、调试方案，包含：（1）安装调试计划（含安装调试周期、人员分工、进度安排）；（2）安装调试流程（含现场准备、设备安装、系统调试步骤）；（3）安装调试质量保障措施（含操作规范、质量检验、安全防护）</w:t>
      </w:r>
      <w:r>
        <w:rPr>
          <w:rFonts w:hint="eastAsia" w:eastAsia="宋体" w:cs="宋体"/>
          <w:kern w:val="2"/>
          <w:sz w:val="21"/>
          <w:szCs w:val="21"/>
          <w:highlight w:val="none"/>
          <w:lang w:eastAsia="zh-CN" w:bidi="ar-SA"/>
        </w:rPr>
        <w:t>。</w:t>
      </w:r>
    </w:p>
    <w:p w14:paraId="7D4C2388">
      <w:pPr>
        <w:keepNext w:val="0"/>
        <w:keepLines w:val="0"/>
        <w:pageBreakBefore w:val="0"/>
        <w:widowControl w:val="0"/>
        <w:kinsoku/>
        <w:wordWrap/>
        <w:overflowPunct/>
        <w:topLinePunct w:val="0"/>
        <w:autoSpaceDE/>
        <w:autoSpaceDN/>
        <w:bidi w:val="0"/>
        <w:snapToGrid/>
        <w:spacing w:after="0" w:line="360" w:lineRule="auto"/>
        <w:ind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4.3</w:t>
      </w:r>
      <w:r>
        <w:rPr>
          <w:rFonts w:hint="eastAsia" w:ascii="宋体" w:hAnsi="宋体" w:eastAsia="宋体" w:cs="宋体"/>
          <w:color w:val="auto"/>
          <w:sz w:val="21"/>
          <w:szCs w:val="21"/>
          <w:highlight w:val="none"/>
          <w:shd w:val="clear" w:color="auto" w:fill="FFFFFF"/>
          <w:lang w:val="en-US" w:eastAsia="zh-CN"/>
        </w:rPr>
        <w:t>投标人</w:t>
      </w:r>
      <w:r>
        <w:rPr>
          <w:rFonts w:hint="eastAsia" w:ascii="宋体" w:hAnsi="宋体" w:eastAsia="宋体" w:cs="宋体"/>
          <w:kern w:val="2"/>
          <w:sz w:val="21"/>
          <w:szCs w:val="21"/>
          <w:highlight w:val="none"/>
          <w:lang w:eastAsia="zh-CN" w:bidi="ar-SA"/>
        </w:rPr>
        <w:t>须</w:t>
      </w:r>
      <w:r>
        <w:rPr>
          <w:rFonts w:hint="eastAsia" w:ascii="宋体" w:hAnsi="宋体" w:eastAsia="宋体" w:cs="宋体"/>
          <w:color w:val="auto"/>
          <w:sz w:val="21"/>
          <w:szCs w:val="21"/>
          <w:highlight w:val="none"/>
          <w:shd w:val="clear" w:color="auto" w:fill="FFFFFF"/>
          <w:lang w:val="en-US" w:eastAsia="zh-CN"/>
        </w:rPr>
        <w:t>针对本项目</w:t>
      </w:r>
      <w:r>
        <w:rPr>
          <w:rFonts w:hint="eastAsia" w:eastAsia="宋体" w:cs="宋体"/>
          <w:kern w:val="2"/>
          <w:sz w:val="21"/>
          <w:szCs w:val="21"/>
          <w:highlight w:val="none"/>
          <w:lang w:eastAsia="zh-CN" w:bidi="ar-SA"/>
        </w:rPr>
        <w:t>编制</w:t>
      </w:r>
      <w:r>
        <w:rPr>
          <w:rFonts w:hint="eastAsia" w:ascii="宋体" w:hAnsi="宋体" w:eastAsia="宋体" w:cs="宋体"/>
          <w:kern w:val="2"/>
          <w:sz w:val="21"/>
          <w:szCs w:val="21"/>
          <w:highlight w:val="none"/>
          <w:lang w:eastAsia="zh-CN" w:bidi="ar-SA"/>
        </w:rPr>
        <w:t>质保期内保证措施，包含：质保响应机制（含响应时限、故障处理流程）；（2）质保维修服务（含上门维修、故障排除、部件更换保障）；（3）质保期内巡检与维护计划（含定期巡检频次、维护内容、问题预判）</w:t>
      </w:r>
      <w:r>
        <w:rPr>
          <w:rFonts w:hint="eastAsia" w:eastAsia="宋体" w:cs="宋体"/>
          <w:kern w:val="2"/>
          <w:sz w:val="21"/>
          <w:szCs w:val="21"/>
          <w:highlight w:val="none"/>
          <w:lang w:eastAsia="zh-CN" w:bidi="ar-SA"/>
        </w:rPr>
        <w:t>。</w:t>
      </w:r>
    </w:p>
    <w:p w14:paraId="7D12AB1D">
      <w:pPr>
        <w:keepNext w:val="0"/>
        <w:keepLines w:val="0"/>
        <w:pageBreakBefore w:val="0"/>
        <w:widowControl w:val="0"/>
        <w:kinsoku/>
        <w:wordWrap/>
        <w:overflowPunct/>
        <w:topLinePunct w:val="0"/>
        <w:autoSpaceDE/>
        <w:autoSpaceDN/>
        <w:bidi w:val="0"/>
        <w:snapToGrid/>
        <w:spacing w:after="0" w:line="360" w:lineRule="auto"/>
        <w:ind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4.4</w:t>
      </w:r>
      <w:r>
        <w:rPr>
          <w:rFonts w:hint="eastAsia" w:ascii="宋体" w:hAnsi="宋体" w:eastAsia="宋体" w:cs="宋体"/>
          <w:color w:val="auto"/>
          <w:sz w:val="21"/>
          <w:szCs w:val="21"/>
          <w:highlight w:val="none"/>
          <w:shd w:val="clear" w:color="auto" w:fill="FFFFFF"/>
          <w:lang w:val="en-US" w:eastAsia="zh-CN"/>
        </w:rPr>
        <w:t>投标人</w:t>
      </w:r>
      <w:r>
        <w:rPr>
          <w:rFonts w:hint="eastAsia" w:ascii="宋体" w:hAnsi="宋体" w:eastAsia="宋体" w:cs="宋体"/>
          <w:kern w:val="2"/>
          <w:sz w:val="21"/>
          <w:szCs w:val="21"/>
          <w:highlight w:val="none"/>
          <w:lang w:eastAsia="zh-CN" w:bidi="ar-SA"/>
        </w:rPr>
        <w:t>须</w:t>
      </w:r>
      <w:r>
        <w:rPr>
          <w:rFonts w:hint="eastAsia" w:ascii="宋体" w:hAnsi="宋体" w:eastAsia="宋体" w:cs="宋体"/>
          <w:color w:val="auto"/>
          <w:sz w:val="21"/>
          <w:szCs w:val="21"/>
          <w:highlight w:val="none"/>
          <w:shd w:val="clear" w:color="auto" w:fill="FFFFFF"/>
          <w:lang w:val="en-US" w:eastAsia="zh-CN"/>
        </w:rPr>
        <w:t>针对本项目</w:t>
      </w:r>
      <w:r>
        <w:rPr>
          <w:rFonts w:hint="eastAsia" w:eastAsia="宋体" w:cs="宋体"/>
          <w:kern w:val="2"/>
          <w:sz w:val="21"/>
          <w:szCs w:val="21"/>
          <w:highlight w:val="none"/>
          <w:lang w:eastAsia="zh-CN" w:bidi="ar-SA"/>
        </w:rPr>
        <w:t>编制</w:t>
      </w:r>
      <w:r>
        <w:rPr>
          <w:rFonts w:hint="eastAsia" w:ascii="宋体" w:hAnsi="宋体" w:eastAsia="宋体" w:cs="宋体"/>
          <w:kern w:val="2"/>
          <w:sz w:val="21"/>
          <w:szCs w:val="21"/>
          <w:highlight w:val="none"/>
          <w:lang w:eastAsia="zh-CN" w:bidi="ar-SA"/>
        </w:rPr>
        <w:t>质保期外保证措施，包含：（1）质保期外维修服务方案（含维修收费标准、服务流程）；（2）长期技术支持（含技术咨询、系统升级指导、故障远程协助）；（3）备品备件长期供应保障（含备件储备、供应周期、价格承诺）。</w:t>
      </w:r>
    </w:p>
    <w:p w14:paraId="4F64DD8C">
      <w:pPr>
        <w:keepNext w:val="0"/>
        <w:keepLines w:val="0"/>
        <w:pageBreakBefore w:val="0"/>
        <w:widowControl w:val="0"/>
        <w:kinsoku/>
        <w:wordWrap/>
        <w:overflowPunct/>
        <w:topLinePunct w:val="0"/>
        <w:autoSpaceDE/>
        <w:autoSpaceDN/>
        <w:bidi w:val="0"/>
        <w:snapToGrid/>
        <w:spacing w:after="0" w:line="360" w:lineRule="auto"/>
        <w:ind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4.5</w:t>
      </w:r>
      <w:r>
        <w:rPr>
          <w:rFonts w:hint="eastAsia" w:ascii="宋体" w:hAnsi="宋体" w:eastAsia="宋体" w:cs="宋体"/>
          <w:color w:val="auto"/>
          <w:sz w:val="21"/>
          <w:szCs w:val="21"/>
          <w:highlight w:val="none"/>
          <w:shd w:val="clear" w:color="auto" w:fill="FFFFFF"/>
          <w:lang w:val="en-US" w:eastAsia="zh-CN"/>
        </w:rPr>
        <w:t>投标人</w:t>
      </w:r>
      <w:r>
        <w:rPr>
          <w:rFonts w:hint="eastAsia" w:ascii="宋体" w:hAnsi="宋体" w:eastAsia="宋体" w:cs="宋体"/>
          <w:kern w:val="2"/>
          <w:sz w:val="21"/>
          <w:szCs w:val="21"/>
          <w:highlight w:val="none"/>
          <w:lang w:eastAsia="zh-CN" w:bidi="ar-SA"/>
        </w:rPr>
        <w:t>须</w:t>
      </w:r>
      <w:r>
        <w:rPr>
          <w:rFonts w:hint="eastAsia" w:ascii="宋体" w:hAnsi="宋体" w:eastAsia="宋体" w:cs="宋体"/>
          <w:color w:val="auto"/>
          <w:sz w:val="21"/>
          <w:szCs w:val="21"/>
          <w:highlight w:val="none"/>
          <w:shd w:val="clear" w:color="auto" w:fill="FFFFFF"/>
          <w:lang w:val="en-US" w:eastAsia="zh-CN"/>
        </w:rPr>
        <w:t>针对本项目</w:t>
      </w:r>
      <w:r>
        <w:rPr>
          <w:rFonts w:hint="eastAsia" w:eastAsia="宋体" w:cs="宋体"/>
          <w:kern w:val="2"/>
          <w:sz w:val="21"/>
          <w:szCs w:val="21"/>
          <w:highlight w:val="none"/>
          <w:lang w:eastAsia="zh-CN" w:bidi="ar-SA"/>
        </w:rPr>
        <w:t>编制</w:t>
      </w:r>
      <w:r>
        <w:rPr>
          <w:rFonts w:hint="eastAsia" w:ascii="宋体" w:hAnsi="宋体" w:eastAsia="宋体" w:cs="宋体"/>
          <w:kern w:val="2"/>
          <w:sz w:val="21"/>
          <w:szCs w:val="21"/>
          <w:highlight w:val="none"/>
          <w:lang w:eastAsia="zh-CN" w:bidi="ar-SA"/>
        </w:rPr>
        <w:t>培训计划，包含：（1）培训方式、培训人员数量；（2）培训内容；（3）培训质量保证措施。</w:t>
      </w:r>
    </w:p>
    <w:p w14:paraId="61ADC053">
      <w:pPr>
        <w:keepNext w:val="0"/>
        <w:keepLines w:val="0"/>
        <w:pageBreakBefore w:val="0"/>
        <w:widowControl w:val="0"/>
        <w:kinsoku/>
        <w:wordWrap/>
        <w:overflowPunct/>
        <w:topLinePunct w:val="0"/>
        <w:autoSpaceDE/>
        <w:autoSpaceDN/>
        <w:bidi w:val="0"/>
        <w:snapToGrid/>
        <w:spacing w:after="0" w:line="360" w:lineRule="auto"/>
        <w:ind w:firstLine="420" w:firstLineChars="200"/>
        <w:jc w:val="both"/>
      </w:pPr>
      <w:r>
        <w:rPr>
          <w:rFonts w:hint="eastAsia" w:ascii="宋体" w:hAnsi="宋体" w:eastAsia="宋体" w:cs="宋体"/>
          <w:kern w:val="2"/>
          <w:sz w:val="21"/>
          <w:szCs w:val="21"/>
          <w:highlight w:val="none"/>
          <w:lang w:val="en-US" w:eastAsia="zh-CN" w:bidi="ar-SA"/>
        </w:rPr>
        <w:t>4.6</w:t>
      </w:r>
      <w:r>
        <w:rPr>
          <w:rFonts w:hint="eastAsia" w:ascii="宋体" w:hAnsi="宋体" w:eastAsia="宋体" w:cs="宋体"/>
          <w:color w:val="auto"/>
          <w:sz w:val="21"/>
          <w:szCs w:val="21"/>
          <w:highlight w:val="none"/>
          <w:shd w:val="clear" w:color="auto" w:fill="FFFFFF"/>
          <w:lang w:val="en-US" w:eastAsia="zh-CN"/>
        </w:rPr>
        <w:t>投标人</w:t>
      </w:r>
      <w:r>
        <w:rPr>
          <w:rFonts w:hint="eastAsia" w:ascii="宋体" w:hAnsi="宋体" w:eastAsia="宋体" w:cs="宋体"/>
          <w:kern w:val="2"/>
          <w:sz w:val="21"/>
          <w:szCs w:val="21"/>
          <w:highlight w:val="none"/>
          <w:lang w:eastAsia="zh-CN" w:bidi="ar-SA"/>
        </w:rPr>
        <w:t>须</w:t>
      </w:r>
      <w:r>
        <w:rPr>
          <w:rFonts w:hint="eastAsia" w:ascii="宋体" w:hAnsi="宋体" w:eastAsia="宋体" w:cs="宋体"/>
          <w:color w:val="auto"/>
          <w:sz w:val="21"/>
          <w:szCs w:val="21"/>
          <w:highlight w:val="none"/>
          <w:shd w:val="clear" w:color="auto" w:fill="FFFFFF"/>
          <w:lang w:val="en-US" w:eastAsia="zh-CN"/>
        </w:rPr>
        <w:t>针对本项目</w:t>
      </w:r>
      <w:r>
        <w:rPr>
          <w:rFonts w:hint="eastAsia" w:eastAsia="宋体" w:cs="宋体"/>
          <w:kern w:val="2"/>
          <w:sz w:val="21"/>
          <w:szCs w:val="21"/>
          <w:highlight w:val="none"/>
          <w:lang w:eastAsia="zh-CN" w:bidi="ar-SA"/>
        </w:rPr>
        <w:t>编制</w:t>
      </w:r>
      <w:r>
        <w:rPr>
          <w:rFonts w:hint="eastAsia" w:ascii="宋体" w:hAnsi="宋体" w:eastAsia="宋体" w:cs="宋体"/>
          <w:kern w:val="2"/>
          <w:sz w:val="21"/>
          <w:szCs w:val="21"/>
          <w:highlight w:val="none"/>
          <w:lang w:eastAsia="zh-CN" w:bidi="ar-SA"/>
        </w:rPr>
        <w:t>售后服务方案，包含：（1）服务质量承诺（含服务标准、投诉处理时限及承诺）；（2）响应时效承诺（含紧急故障、一般故障的响应及处理时限）；（3）售后服务计划与售后服务人员配置。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1E21EE"/>
    <w:multiLevelType w:val="singleLevel"/>
    <w:tmpl w:val="371E21EE"/>
    <w:lvl w:ilvl="0" w:tentative="0">
      <w:start w:val="1"/>
      <w:numFmt w:val="chineseCounting"/>
      <w:suff w:val="nothing"/>
      <w:lvlText w:val="%1、"/>
      <w:lvlJc w:val="left"/>
      <w:rPr>
        <w:rFonts w:hint="eastAsia"/>
      </w:rPr>
    </w:lvl>
  </w:abstractNum>
  <w:abstractNum w:abstractNumId="1">
    <w:nsid w:val="49BDCC5D"/>
    <w:multiLevelType w:val="singleLevel"/>
    <w:tmpl w:val="49BDCC5D"/>
    <w:lvl w:ilvl="0" w:tentative="0">
      <w:start w:val="2"/>
      <w:numFmt w:val="chineseCounting"/>
      <w:suff w:val="nothing"/>
      <w:lvlText w:val="%1、"/>
      <w:lvlJc w:val="left"/>
      <w:rPr>
        <w:rFonts w:hint="eastAsia"/>
      </w:rPr>
    </w:lvl>
  </w:abstractNum>
  <w:abstractNum w:abstractNumId="2">
    <w:nsid w:val="6EA893AE"/>
    <w:multiLevelType w:val="singleLevel"/>
    <w:tmpl w:val="6EA893AE"/>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466DE0"/>
    <w:rsid w:val="64466D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qFormat/>
    <w:uiPriority w:val="0"/>
    <w:pPr>
      <w:widowControl w:val="0"/>
      <w:spacing w:line="312" w:lineRule="auto"/>
      <w:ind w:firstLine="0" w:firstLineChars="0"/>
      <w:jc w:val="both"/>
    </w:pPr>
    <w:rPr>
      <w:rFonts w:ascii="宋体" w:hAnsi="宋体" w:eastAsia="宋体" w:cs="宋体"/>
      <w:kern w:val="2"/>
      <w:sz w:val="21"/>
      <w:szCs w:val="2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2026-10-23T04:23:00Z</dcterms:created>
  <dc:creator>恒信</dc:creator>
  <cp:lastModifiedBy>恒信</cp:lastModifiedBy>
  <dcterms:modified xsi:type="dcterms:W3CDTF">2026-10-23T04:24:17Z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BAC00692CE39498B9259252333D08C81_11</vt:lpwstr>
  </property>
  <property fmtid="{D5CDD505-2E9C-101B-9397-08002B2CF9AE}" pid="4" name="KSOTemplateDocerSaveRecord">
    <vt:lpwstr>eyJoZGlkIjoiOWMwZTkwMTc2Y2Y1OGJhYWU2N2Q0YTcwMGJhY2I2MDYiLCJ1c2VySWQiOiI0Mjg2NDcwODQifQ==</vt:lpwstr>
  </property>
</Properties>
</file>