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BDA97">
      <w:pPr>
        <w:adjustRightInd w:val="0"/>
        <w:snapToGrid w:val="0"/>
        <w:spacing w:line="360" w:lineRule="auto"/>
        <w:jc w:val="center"/>
        <w:rPr>
          <w:rFonts w:hint="eastAsia" w:ascii="宋体" w:hAnsi="宋体" w:cs="宋体"/>
          <w:b/>
          <w:kern w:val="0"/>
          <w:sz w:val="84"/>
          <w:szCs w:val="84"/>
        </w:rPr>
      </w:pPr>
      <w:r>
        <w:rPr>
          <w:rFonts w:hint="eastAsia" w:ascii="宋体" w:hAnsi="宋体" w:cs="宋体"/>
          <w:b/>
          <w:kern w:val="0"/>
          <w:sz w:val="44"/>
          <w:szCs w:val="44"/>
        </w:rPr>
        <w:t>河南工程学院先进纺织材料研发中心平台-功能纺织化学品与绿色印染技术平台(二期)项目</w:t>
      </w:r>
    </w:p>
    <w:p w14:paraId="579DBFE0">
      <w:pPr>
        <w:adjustRightInd w:val="0"/>
        <w:snapToGrid w:val="0"/>
        <w:spacing w:line="360" w:lineRule="auto"/>
        <w:jc w:val="center"/>
        <w:rPr>
          <w:rFonts w:hint="eastAsia" w:ascii="宋体" w:hAnsi="宋体" w:cs="宋体"/>
          <w:b/>
          <w:kern w:val="0"/>
          <w:sz w:val="84"/>
          <w:szCs w:val="84"/>
        </w:rPr>
      </w:pPr>
    </w:p>
    <w:p w14:paraId="59D6D93A">
      <w:pPr>
        <w:adjustRightInd w:val="0"/>
        <w:snapToGrid w:val="0"/>
        <w:spacing w:line="360" w:lineRule="auto"/>
        <w:jc w:val="center"/>
        <w:rPr>
          <w:rFonts w:hint="eastAsia" w:ascii="宋体" w:hAnsi="宋体" w:cs="宋体"/>
          <w:b/>
          <w:kern w:val="0"/>
          <w:sz w:val="84"/>
          <w:szCs w:val="84"/>
        </w:rPr>
      </w:pPr>
      <w:r>
        <w:rPr>
          <w:rFonts w:hint="eastAsia" w:ascii="宋体" w:hAnsi="宋体" w:cs="宋体"/>
          <w:b/>
          <w:kern w:val="0"/>
          <w:sz w:val="84"/>
          <w:szCs w:val="84"/>
        </w:rPr>
        <w:t>竞争性磋商文件</w:t>
      </w:r>
    </w:p>
    <w:p w14:paraId="225872A5">
      <w:pPr>
        <w:adjustRightInd w:val="0"/>
        <w:snapToGrid w:val="0"/>
        <w:spacing w:line="360" w:lineRule="auto"/>
        <w:jc w:val="center"/>
        <w:rPr>
          <w:rFonts w:hint="default" w:ascii="宋体" w:hAnsi="宋体" w:eastAsia="宋体" w:cs="宋体"/>
          <w:sz w:val="30"/>
          <w:szCs w:val="30"/>
          <w:lang w:val="en-US" w:eastAsia="zh-CN"/>
        </w:rPr>
      </w:pPr>
      <w:r>
        <w:rPr>
          <w:rFonts w:hint="eastAsia" w:ascii="宋体" w:hAnsi="宋体" w:cs="宋体"/>
          <w:b/>
          <w:bCs/>
          <w:kern w:val="0"/>
          <w:sz w:val="30"/>
          <w:szCs w:val="30"/>
        </w:rPr>
        <w:t>项目编号：豫财磋商采购-2026-</w:t>
      </w:r>
      <w:r>
        <w:rPr>
          <w:rFonts w:hint="eastAsia" w:ascii="宋体" w:hAnsi="宋体" w:cs="宋体"/>
          <w:b/>
          <w:bCs/>
          <w:kern w:val="0"/>
          <w:sz w:val="30"/>
          <w:szCs w:val="30"/>
          <w:lang w:val="en-US" w:eastAsia="zh-CN"/>
        </w:rPr>
        <w:t>729</w:t>
      </w:r>
    </w:p>
    <w:p w14:paraId="3632DEFC">
      <w:pPr>
        <w:pStyle w:val="21"/>
        <w:ind w:firstLine="360"/>
        <w:jc w:val="center"/>
        <w:rPr>
          <w:rFonts w:hint="eastAsia" w:ascii="宋体" w:hAnsi="宋体" w:eastAsia="宋体" w:cs="宋体"/>
          <w:kern w:val="0"/>
          <w:sz w:val="30"/>
          <w:szCs w:val="30"/>
        </w:rPr>
      </w:pPr>
      <w:r>
        <w:rPr>
          <w:rFonts w:hint="eastAsia" w:ascii="宋体" w:hAnsi="宋体" w:cs="宋体"/>
        </w:rPr>
        <w:drawing>
          <wp:inline distT="0" distB="0" distL="114300" distR="114300">
            <wp:extent cx="2355215" cy="2355215"/>
            <wp:effectExtent l="0" t="0" r="6985" b="6985"/>
            <wp:docPr id="2" name="图片 1" descr="a8b395139f36868c03dc0cba2f2b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a8b395139f36868c03dc0cba2f2b976"/>
                    <pic:cNvPicPr>
                      <a:picLocks noChangeAspect="1"/>
                    </pic:cNvPicPr>
                  </pic:nvPicPr>
                  <pic:blipFill>
                    <a:blip r:embed="rId16"/>
                    <a:stretch>
                      <a:fillRect/>
                    </a:stretch>
                  </pic:blipFill>
                  <pic:spPr>
                    <a:xfrm>
                      <a:off x="0" y="0"/>
                      <a:ext cx="2355215" cy="2355215"/>
                    </a:xfrm>
                    <a:prstGeom prst="rect">
                      <a:avLst/>
                    </a:prstGeom>
                    <a:noFill/>
                    <a:ln>
                      <a:noFill/>
                    </a:ln>
                  </pic:spPr>
                </pic:pic>
              </a:graphicData>
            </a:graphic>
          </wp:inline>
        </w:drawing>
      </w:r>
    </w:p>
    <w:p w14:paraId="58A1487B">
      <w:pPr>
        <w:pStyle w:val="21"/>
        <w:ind w:firstLine="600"/>
        <w:jc w:val="center"/>
        <w:rPr>
          <w:rFonts w:hint="eastAsia" w:ascii="宋体" w:hAnsi="宋体" w:eastAsia="宋体" w:cs="宋体"/>
          <w:kern w:val="0"/>
          <w:sz w:val="30"/>
          <w:szCs w:val="30"/>
        </w:rPr>
      </w:pPr>
    </w:p>
    <w:p w14:paraId="3E6675D8">
      <w:pPr>
        <w:pStyle w:val="21"/>
        <w:ind w:firstLine="600"/>
        <w:rPr>
          <w:rFonts w:hint="eastAsia" w:ascii="宋体" w:hAnsi="宋体" w:eastAsia="宋体" w:cs="宋体"/>
          <w:kern w:val="0"/>
          <w:sz w:val="30"/>
          <w:szCs w:val="30"/>
        </w:rPr>
      </w:pPr>
    </w:p>
    <w:tbl>
      <w:tblPr>
        <w:tblStyle w:val="30"/>
        <w:tblW w:w="0" w:type="auto"/>
        <w:jc w:val="center"/>
        <w:tblLayout w:type="autofit"/>
        <w:tblCellMar>
          <w:top w:w="0" w:type="dxa"/>
          <w:left w:w="108" w:type="dxa"/>
          <w:bottom w:w="0" w:type="dxa"/>
          <w:right w:w="108" w:type="dxa"/>
        </w:tblCellMar>
      </w:tblPr>
      <w:tblGrid>
        <w:gridCol w:w="2746"/>
        <w:gridCol w:w="5280"/>
      </w:tblGrid>
      <w:tr w14:paraId="06B25C9E">
        <w:tblPrEx>
          <w:tblCellMar>
            <w:top w:w="0" w:type="dxa"/>
            <w:left w:w="108" w:type="dxa"/>
            <w:bottom w:w="0" w:type="dxa"/>
            <w:right w:w="108" w:type="dxa"/>
          </w:tblCellMar>
        </w:tblPrEx>
        <w:trPr>
          <w:trHeight w:val="426" w:hRule="atLeast"/>
          <w:jc w:val="center"/>
        </w:trPr>
        <w:tc>
          <w:tcPr>
            <w:tcW w:w="0" w:type="auto"/>
          </w:tcPr>
          <w:p w14:paraId="7BC3AD2B">
            <w:pPr>
              <w:spacing w:before="240" w:beforeLines="100" w:after="240" w:afterLines="100"/>
              <w:rPr>
                <w:rFonts w:hint="eastAsia" w:ascii="宋体" w:hAnsi="宋体" w:cs="宋体"/>
                <w:b/>
                <w:bCs/>
                <w:sz w:val="36"/>
                <w:szCs w:val="36"/>
              </w:rPr>
            </w:pPr>
            <w:r>
              <w:rPr>
                <w:rFonts w:hint="eastAsia" w:ascii="宋体" w:hAnsi="宋体" w:cs="宋体"/>
                <w:b/>
                <w:bCs/>
                <w:sz w:val="36"/>
                <w:szCs w:val="36"/>
              </w:rPr>
              <w:t>采   购   人：</w:t>
            </w:r>
          </w:p>
        </w:tc>
        <w:tc>
          <w:tcPr>
            <w:tcW w:w="0" w:type="auto"/>
          </w:tcPr>
          <w:p w14:paraId="1CD73253">
            <w:pPr>
              <w:spacing w:before="240" w:beforeLines="100" w:after="240" w:afterLines="100"/>
              <w:rPr>
                <w:rFonts w:hint="eastAsia" w:ascii="宋体" w:hAnsi="宋体" w:cs="宋体"/>
                <w:b/>
                <w:bCs/>
                <w:sz w:val="36"/>
                <w:szCs w:val="36"/>
              </w:rPr>
            </w:pPr>
            <w:r>
              <w:rPr>
                <w:rFonts w:hint="eastAsia" w:ascii="宋体" w:hAnsi="宋体" w:cs="宋体"/>
                <w:b/>
                <w:bCs/>
                <w:sz w:val="36"/>
                <w:szCs w:val="36"/>
              </w:rPr>
              <w:t>河南工程学院</w:t>
            </w:r>
          </w:p>
        </w:tc>
      </w:tr>
      <w:tr w14:paraId="5FA0304C">
        <w:tblPrEx>
          <w:tblCellMar>
            <w:top w:w="0" w:type="dxa"/>
            <w:left w:w="108" w:type="dxa"/>
            <w:bottom w:w="0" w:type="dxa"/>
            <w:right w:w="108" w:type="dxa"/>
          </w:tblCellMar>
        </w:tblPrEx>
        <w:trPr>
          <w:trHeight w:val="426" w:hRule="atLeast"/>
          <w:jc w:val="center"/>
        </w:trPr>
        <w:tc>
          <w:tcPr>
            <w:tcW w:w="0" w:type="auto"/>
          </w:tcPr>
          <w:p w14:paraId="0397D14D">
            <w:pPr>
              <w:spacing w:before="240" w:beforeLines="100" w:after="240" w:afterLines="100"/>
              <w:jc w:val="right"/>
              <w:rPr>
                <w:rFonts w:hint="eastAsia" w:ascii="宋体" w:hAnsi="宋体" w:cs="宋体"/>
              </w:rPr>
            </w:pPr>
            <w:r>
              <w:rPr>
                <w:rFonts w:hint="eastAsia" w:ascii="宋体" w:hAnsi="宋体" w:cs="宋体"/>
                <w:b/>
                <w:bCs/>
                <w:sz w:val="36"/>
                <w:szCs w:val="36"/>
              </w:rPr>
              <w:t>采购代理机构：</w:t>
            </w:r>
          </w:p>
        </w:tc>
        <w:tc>
          <w:tcPr>
            <w:tcW w:w="0" w:type="auto"/>
          </w:tcPr>
          <w:p w14:paraId="7245176A">
            <w:pPr>
              <w:spacing w:before="240" w:beforeLines="100" w:after="240" w:afterLines="100"/>
              <w:rPr>
                <w:rFonts w:hint="eastAsia" w:ascii="宋体" w:hAnsi="宋体" w:cs="宋体"/>
              </w:rPr>
            </w:pPr>
            <w:r>
              <w:rPr>
                <w:rFonts w:hint="eastAsia" w:ascii="宋体" w:hAnsi="宋体" w:cs="宋体"/>
                <w:b/>
                <w:bCs/>
                <w:sz w:val="36"/>
                <w:szCs w:val="36"/>
              </w:rPr>
              <w:t>河南省光大建设管理有限公司</w:t>
            </w:r>
          </w:p>
        </w:tc>
      </w:tr>
      <w:tr w14:paraId="7B2A8BDB">
        <w:tblPrEx>
          <w:tblCellMar>
            <w:top w:w="0" w:type="dxa"/>
            <w:left w:w="108" w:type="dxa"/>
            <w:bottom w:w="0" w:type="dxa"/>
            <w:right w:w="108" w:type="dxa"/>
          </w:tblCellMar>
        </w:tblPrEx>
        <w:trPr>
          <w:trHeight w:val="426" w:hRule="atLeast"/>
          <w:jc w:val="center"/>
        </w:trPr>
        <w:tc>
          <w:tcPr>
            <w:tcW w:w="0" w:type="auto"/>
          </w:tcPr>
          <w:p w14:paraId="1F69B7F1">
            <w:pPr>
              <w:spacing w:before="240" w:beforeLines="100" w:after="240" w:afterLines="100"/>
              <w:jc w:val="right"/>
              <w:rPr>
                <w:rFonts w:hint="eastAsia" w:ascii="宋体" w:hAnsi="宋体" w:cs="宋体"/>
                <w:b/>
                <w:bCs/>
                <w:sz w:val="36"/>
                <w:szCs w:val="36"/>
              </w:rPr>
            </w:pPr>
            <w:r>
              <w:rPr>
                <w:rFonts w:hint="eastAsia" w:ascii="宋体" w:hAnsi="宋体" w:cs="宋体"/>
                <w:b/>
                <w:bCs/>
                <w:sz w:val="36"/>
                <w:szCs w:val="36"/>
              </w:rPr>
              <w:t>日        期：</w:t>
            </w:r>
          </w:p>
        </w:tc>
        <w:tc>
          <w:tcPr>
            <w:tcW w:w="0" w:type="auto"/>
          </w:tcPr>
          <w:p w14:paraId="35C25458">
            <w:pPr>
              <w:spacing w:before="240" w:beforeLines="100" w:after="240" w:afterLines="100"/>
              <w:rPr>
                <w:rFonts w:hint="eastAsia" w:ascii="宋体" w:hAnsi="宋体" w:cs="宋体"/>
                <w:b/>
                <w:bCs/>
                <w:sz w:val="36"/>
                <w:szCs w:val="36"/>
              </w:rPr>
            </w:pPr>
            <w:r>
              <w:rPr>
                <w:rFonts w:hint="eastAsia" w:ascii="宋体" w:hAnsi="宋体" w:cs="宋体"/>
                <w:b/>
                <w:bCs/>
                <w:spacing w:val="181"/>
                <w:sz w:val="36"/>
                <w:szCs w:val="36"/>
              </w:rPr>
              <w:t>二〇二六年七月</w:t>
            </w:r>
          </w:p>
        </w:tc>
      </w:tr>
    </w:tbl>
    <w:p w14:paraId="2A44533C">
      <w:pPr>
        <w:spacing w:line="400" w:lineRule="exact"/>
        <w:jc w:val="center"/>
        <w:rPr>
          <w:rFonts w:hint="eastAsia" w:ascii="宋体" w:hAnsi="宋体" w:cs="宋体"/>
          <w:b/>
          <w:bCs/>
          <w:sz w:val="36"/>
        </w:rPr>
      </w:pPr>
    </w:p>
    <w:p w14:paraId="1A39F63F">
      <w:pPr>
        <w:spacing w:line="400" w:lineRule="exact"/>
        <w:jc w:val="center"/>
        <w:rPr>
          <w:rFonts w:hint="eastAsia" w:ascii="宋体" w:hAnsi="宋体" w:cs="宋体"/>
          <w:b/>
          <w:bCs/>
          <w:sz w:val="36"/>
        </w:rPr>
        <w:sectPr>
          <w:headerReference r:id="rId3" w:type="first"/>
          <w:footerReference r:id="rId6" w:type="first"/>
          <w:footerReference r:id="rId4" w:type="default"/>
          <w:footerReference r:id="rId5" w:type="even"/>
          <w:pgSz w:w="11906" w:h="16838"/>
          <w:pgMar w:top="1440" w:right="1080" w:bottom="1440" w:left="1080" w:header="851" w:footer="907" w:gutter="0"/>
          <w:pgNumType w:start="1"/>
          <w:cols w:space="720" w:num="1"/>
          <w:titlePg/>
          <w:docGrid w:linePitch="312" w:charSpace="0"/>
        </w:sectPr>
      </w:pPr>
    </w:p>
    <w:p w14:paraId="3CA8935F">
      <w:pPr>
        <w:spacing w:line="400" w:lineRule="exact"/>
        <w:jc w:val="center"/>
        <w:rPr>
          <w:rFonts w:hint="eastAsia" w:ascii="宋体" w:hAnsi="宋体" w:cs="宋体"/>
          <w:b/>
          <w:bCs/>
          <w:sz w:val="36"/>
        </w:rPr>
      </w:pPr>
      <w:r>
        <w:rPr>
          <w:rFonts w:hint="eastAsia" w:ascii="宋体" w:hAnsi="宋体" w:cs="宋体"/>
          <w:b/>
          <w:bCs/>
          <w:sz w:val="36"/>
        </w:rPr>
        <w:t>目     录</w:t>
      </w:r>
    </w:p>
    <w:p w14:paraId="2A2A7E1A">
      <w:pPr>
        <w:jc w:val="left"/>
        <w:rPr>
          <w:rFonts w:hint="eastAsia" w:ascii="宋体" w:hAnsi="宋体" w:cs="宋体"/>
          <w:sz w:val="28"/>
          <w:szCs w:val="28"/>
        </w:rPr>
      </w:pPr>
    </w:p>
    <w:p w14:paraId="3B347613">
      <w:pPr>
        <w:pStyle w:val="19"/>
        <w:tabs>
          <w:tab w:val="right" w:leader="dot" w:pos="9746"/>
        </w:tabs>
        <w:spacing w:line="480" w:lineRule="auto"/>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TOC \o "1-3" \h \z \u </w:instrText>
      </w:r>
      <w:r>
        <w:rPr>
          <w:rFonts w:hint="eastAsia" w:ascii="宋体" w:hAnsi="宋体" w:cs="宋体"/>
          <w:sz w:val="28"/>
          <w:szCs w:val="28"/>
        </w:rPr>
        <w:fldChar w:fldCharType="separate"/>
      </w:r>
      <w:r>
        <w:fldChar w:fldCharType="begin"/>
      </w:r>
      <w:r>
        <w:instrText xml:space="preserve"> HYPERLINK \l "_Toc31296" </w:instrText>
      </w:r>
      <w:r>
        <w:fldChar w:fldCharType="separate"/>
      </w:r>
      <w:r>
        <w:rPr>
          <w:rFonts w:hint="eastAsia" w:ascii="宋体" w:hAnsi="宋体" w:cs="宋体"/>
          <w:kern w:val="0"/>
          <w:sz w:val="28"/>
          <w:szCs w:val="28"/>
        </w:rPr>
        <w:t>第一章  竞争性磋商公告</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_Toc31296 \h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fldChar w:fldCharType="end"/>
      </w:r>
    </w:p>
    <w:p w14:paraId="66A28D71">
      <w:pPr>
        <w:pStyle w:val="19"/>
        <w:tabs>
          <w:tab w:val="right" w:leader="dot" w:pos="9746"/>
        </w:tabs>
        <w:spacing w:line="480" w:lineRule="auto"/>
        <w:rPr>
          <w:rFonts w:hint="eastAsia" w:ascii="宋体" w:hAnsi="宋体" w:cs="宋体"/>
          <w:sz w:val="28"/>
          <w:szCs w:val="28"/>
        </w:rPr>
      </w:pPr>
      <w:r>
        <w:fldChar w:fldCharType="begin"/>
      </w:r>
      <w:r>
        <w:instrText xml:space="preserve"> HYPERLINK \l "_Toc22338" </w:instrText>
      </w:r>
      <w:r>
        <w:fldChar w:fldCharType="separate"/>
      </w:r>
      <w:r>
        <w:rPr>
          <w:rFonts w:hint="eastAsia" w:ascii="宋体" w:hAnsi="宋体" w:cs="宋体"/>
          <w:sz w:val="28"/>
          <w:szCs w:val="28"/>
        </w:rPr>
        <w:t>第二章  供应商须知</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_Toc22338 \h </w:instrText>
      </w:r>
      <w:r>
        <w:rPr>
          <w:rFonts w:hint="eastAsia" w:ascii="宋体" w:hAnsi="宋体" w:cs="宋体"/>
          <w:sz w:val="28"/>
          <w:szCs w:val="28"/>
        </w:rPr>
        <w:fldChar w:fldCharType="separate"/>
      </w:r>
      <w:r>
        <w:rPr>
          <w:rFonts w:hint="eastAsia" w:ascii="宋体" w:hAnsi="宋体" w:cs="宋体"/>
          <w:sz w:val="28"/>
          <w:szCs w:val="28"/>
        </w:rPr>
        <w:t>6</w:t>
      </w:r>
      <w:r>
        <w:rPr>
          <w:rFonts w:hint="eastAsia" w:ascii="宋体" w:hAnsi="宋体" w:cs="宋体"/>
          <w:sz w:val="28"/>
          <w:szCs w:val="28"/>
        </w:rPr>
        <w:fldChar w:fldCharType="end"/>
      </w:r>
      <w:r>
        <w:rPr>
          <w:rFonts w:hint="eastAsia" w:ascii="宋体" w:hAnsi="宋体" w:cs="宋体"/>
          <w:sz w:val="28"/>
          <w:szCs w:val="28"/>
        </w:rPr>
        <w:fldChar w:fldCharType="end"/>
      </w:r>
    </w:p>
    <w:p w14:paraId="05192064">
      <w:pPr>
        <w:pStyle w:val="19"/>
        <w:tabs>
          <w:tab w:val="right" w:leader="dot" w:pos="9746"/>
        </w:tabs>
        <w:spacing w:line="480" w:lineRule="auto"/>
        <w:rPr>
          <w:rFonts w:hint="eastAsia" w:ascii="宋体" w:hAnsi="宋体" w:cs="宋体"/>
          <w:sz w:val="28"/>
          <w:szCs w:val="28"/>
        </w:rPr>
      </w:pPr>
      <w:r>
        <w:fldChar w:fldCharType="begin"/>
      </w:r>
      <w:r>
        <w:instrText xml:space="preserve"> HYPERLINK \l "_Toc20448" </w:instrText>
      </w:r>
      <w:r>
        <w:fldChar w:fldCharType="separate"/>
      </w:r>
      <w:r>
        <w:rPr>
          <w:rFonts w:hint="eastAsia" w:ascii="宋体" w:hAnsi="宋体" w:cs="宋体"/>
          <w:sz w:val="28"/>
          <w:szCs w:val="28"/>
        </w:rPr>
        <w:t>第三章  评标办法</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_Toc20448 \h </w:instrText>
      </w:r>
      <w:r>
        <w:rPr>
          <w:rFonts w:hint="eastAsia" w:ascii="宋体" w:hAnsi="宋体" w:cs="宋体"/>
          <w:sz w:val="28"/>
          <w:szCs w:val="28"/>
        </w:rPr>
        <w:fldChar w:fldCharType="separate"/>
      </w:r>
      <w:r>
        <w:rPr>
          <w:rFonts w:hint="eastAsia" w:ascii="宋体" w:hAnsi="宋体" w:cs="宋体"/>
          <w:sz w:val="28"/>
          <w:szCs w:val="28"/>
        </w:rPr>
        <w:t>29</w:t>
      </w:r>
      <w:r>
        <w:rPr>
          <w:rFonts w:hint="eastAsia" w:ascii="宋体" w:hAnsi="宋体" w:cs="宋体"/>
          <w:sz w:val="28"/>
          <w:szCs w:val="28"/>
        </w:rPr>
        <w:fldChar w:fldCharType="end"/>
      </w:r>
      <w:r>
        <w:rPr>
          <w:rFonts w:hint="eastAsia" w:ascii="宋体" w:hAnsi="宋体" w:cs="宋体"/>
          <w:sz w:val="28"/>
          <w:szCs w:val="28"/>
        </w:rPr>
        <w:fldChar w:fldCharType="end"/>
      </w:r>
    </w:p>
    <w:p w14:paraId="2FFC44DE">
      <w:pPr>
        <w:pStyle w:val="19"/>
        <w:tabs>
          <w:tab w:val="right" w:leader="dot" w:pos="9746"/>
        </w:tabs>
        <w:spacing w:line="480" w:lineRule="auto"/>
        <w:rPr>
          <w:rFonts w:hint="eastAsia" w:ascii="宋体" w:hAnsi="宋体" w:cs="宋体"/>
          <w:sz w:val="28"/>
          <w:szCs w:val="28"/>
        </w:rPr>
      </w:pPr>
      <w:r>
        <w:fldChar w:fldCharType="begin"/>
      </w:r>
      <w:r>
        <w:instrText xml:space="preserve"> HYPERLINK \l "_Toc4045" </w:instrText>
      </w:r>
      <w:r>
        <w:fldChar w:fldCharType="separate"/>
      </w:r>
      <w:r>
        <w:rPr>
          <w:rFonts w:hint="eastAsia" w:ascii="宋体" w:hAnsi="宋体" w:cs="宋体"/>
          <w:sz w:val="28"/>
          <w:szCs w:val="28"/>
        </w:rPr>
        <w:t>第四章  合同主要条款及格式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_Toc4045 \h </w:instrText>
      </w:r>
      <w:r>
        <w:rPr>
          <w:rFonts w:hint="eastAsia" w:ascii="宋体" w:hAnsi="宋体" w:cs="宋体"/>
          <w:sz w:val="28"/>
          <w:szCs w:val="28"/>
        </w:rPr>
        <w:fldChar w:fldCharType="separate"/>
      </w:r>
      <w:r>
        <w:rPr>
          <w:rFonts w:hint="eastAsia" w:ascii="宋体" w:hAnsi="宋体" w:cs="宋体"/>
          <w:sz w:val="28"/>
          <w:szCs w:val="28"/>
        </w:rPr>
        <w:t>38</w:t>
      </w:r>
      <w:r>
        <w:rPr>
          <w:rFonts w:hint="eastAsia" w:ascii="宋体" w:hAnsi="宋体" w:cs="宋体"/>
          <w:sz w:val="28"/>
          <w:szCs w:val="28"/>
        </w:rPr>
        <w:fldChar w:fldCharType="end"/>
      </w:r>
      <w:r>
        <w:rPr>
          <w:rFonts w:hint="eastAsia" w:ascii="宋体" w:hAnsi="宋体" w:cs="宋体"/>
          <w:sz w:val="28"/>
          <w:szCs w:val="28"/>
        </w:rPr>
        <w:fldChar w:fldCharType="end"/>
      </w:r>
    </w:p>
    <w:p w14:paraId="7BEAB663">
      <w:pPr>
        <w:pStyle w:val="19"/>
        <w:tabs>
          <w:tab w:val="right" w:leader="dot" w:pos="9746"/>
        </w:tabs>
        <w:spacing w:line="480" w:lineRule="auto"/>
        <w:rPr>
          <w:rFonts w:hint="eastAsia" w:ascii="宋体" w:hAnsi="宋体" w:cs="宋体"/>
          <w:sz w:val="28"/>
          <w:szCs w:val="28"/>
        </w:rPr>
      </w:pPr>
      <w:r>
        <w:fldChar w:fldCharType="begin"/>
      </w:r>
      <w:r>
        <w:instrText xml:space="preserve"> HYPERLINK \l "_Toc12437" </w:instrText>
      </w:r>
      <w:r>
        <w:fldChar w:fldCharType="separate"/>
      </w:r>
      <w:r>
        <w:rPr>
          <w:rFonts w:hint="eastAsia" w:ascii="宋体" w:hAnsi="宋体" w:cs="宋体"/>
          <w:bCs/>
          <w:sz w:val="28"/>
          <w:szCs w:val="28"/>
          <w:lang w:val="zh-CN"/>
        </w:rPr>
        <w:t>第</w:t>
      </w:r>
      <w:r>
        <w:rPr>
          <w:rFonts w:hint="eastAsia" w:ascii="宋体" w:hAnsi="宋体" w:cs="宋体"/>
          <w:bCs/>
          <w:sz w:val="28"/>
          <w:szCs w:val="28"/>
        </w:rPr>
        <w:t>五</w:t>
      </w:r>
      <w:r>
        <w:rPr>
          <w:rFonts w:hint="eastAsia" w:ascii="宋体" w:hAnsi="宋体" w:cs="宋体"/>
          <w:bCs/>
          <w:sz w:val="28"/>
          <w:szCs w:val="28"/>
          <w:lang w:val="zh-CN"/>
        </w:rPr>
        <w:t>章  采购需求</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_Toc12437 \h </w:instrText>
      </w:r>
      <w:r>
        <w:rPr>
          <w:rFonts w:hint="eastAsia" w:ascii="宋体" w:hAnsi="宋体" w:cs="宋体"/>
          <w:sz w:val="28"/>
          <w:szCs w:val="28"/>
        </w:rPr>
        <w:fldChar w:fldCharType="separate"/>
      </w:r>
      <w:r>
        <w:rPr>
          <w:rFonts w:hint="eastAsia" w:ascii="宋体" w:hAnsi="宋体" w:cs="宋体"/>
          <w:sz w:val="28"/>
          <w:szCs w:val="28"/>
        </w:rPr>
        <w:t>44</w:t>
      </w:r>
      <w:r>
        <w:rPr>
          <w:rFonts w:hint="eastAsia" w:ascii="宋体" w:hAnsi="宋体" w:cs="宋体"/>
          <w:sz w:val="28"/>
          <w:szCs w:val="28"/>
        </w:rPr>
        <w:fldChar w:fldCharType="end"/>
      </w:r>
      <w:r>
        <w:rPr>
          <w:rFonts w:hint="eastAsia" w:ascii="宋体" w:hAnsi="宋体" w:cs="宋体"/>
          <w:sz w:val="28"/>
          <w:szCs w:val="28"/>
        </w:rPr>
        <w:fldChar w:fldCharType="end"/>
      </w:r>
    </w:p>
    <w:p w14:paraId="7663E794">
      <w:pPr>
        <w:pStyle w:val="19"/>
        <w:tabs>
          <w:tab w:val="right" w:leader="dot" w:pos="9746"/>
        </w:tabs>
        <w:spacing w:line="480" w:lineRule="auto"/>
        <w:rPr>
          <w:rFonts w:hint="eastAsia" w:ascii="宋体" w:hAnsi="宋体" w:cs="宋体"/>
          <w:sz w:val="28"/>
          <w:szCs w:val="28"/>
        </w:rPr>
      </w:pPr>
      <w:r>
        <w:fldChar w:fldCharType="begin"/>
      </w:r>
      <w:r>
        <w:instrText xml:space="preserve"> HYPERLINK \l "_Toc11548" </w:instrText>
      </w:r>
      <w:r>
        <w:fldChar w:fldCharType="separate"/>
      </w:r>
      <w:r>
        <w:rPr>
          <w:rFonts w:hint="eastAsia" w:ascii="宋体" w:hAnsi="宋体" w:cs="宋体"/>
          <w:bCs/>
          <w:sz w:val="28"/>
          <w:szCs w:val="28"/>
        </w:rPr>
        <w:t>第六章  响应文件格式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_Toc11548 \h </w:instrText>
      </w:r>
      <w:r>
        <w:rPr>
          <w:rFonts w:hint="eastAsia" w:ascii="宋体" w:hAnsi="宋体" w:cs="宋体"/>
          <w:sz w:val="28"/>
          <w:szCs w:val="28"/>
        </w:rPr>
        <w:fldChar w:fldCharType="separate"/>
      </w:r>
      <w:r>
        <w:rPr>
          <w:rFonts w:hint="eastAsia" w:ascii="宋体" w:hAnsi="宋体" w:cs="宋体"/>
          <w:sz w:val="28"/>
          <w:szCs w:val="28"/>
        </w:rPr>
        <w:t>70</w:t>
      </w:r>
      <w:r>
        <w:rPr>
          <w:rFonts w:hint="eastAsia" w:ascii="宋体" w:hAnsi="宋体" w:cs="宋体"/>
          <w:sz w:val="28"/>
          <w:szCs w:val="28"/>
        </w:rPr>
        <w:fldChar w:fldCharType="end"/>
      </w:r>
      <w:r>
        <w:rPr>
          <w:rFonts w:hint="eastAsia" w:ascii="宋体" w:hAnsi="宋体" w:cs="宋体"/>
          <w:sz w:val="28"/>
          <w:szCs w:val="28"/>
        </w:rPr>
        <w:fldChar w:fldCharType="end"/>
      </w:r>
    </w:p>
    <w:p w14:paraId="71B7FD18">
      <w:pPr>
        <w:pStyle w:val="51"/>
        <w:spacing w:line="480" w:lineRule="auto"/>
        <w:jc w:val="left"/>
        <w:rPr>
          <w:rFonts w:hint="eastAsia" w:hAnsi="宋体"/>
          <w:color w:val="auto"/>
          <w:sz w:val="28"/>
          <w:szCs w:val="28"/>
        </w:rPr>
      </w:pPr>
      <w:r>
        <w:rPr>
          <w:rFonts w:hint="eastAsia" w:hAnsi="宋体"/>
          <w:color w:val="auto"/>
          <w:sz w:val="28"/>
          <w:szCs w:val="28"/>
        </w:rPr>
        <w:fldChar w:fldCharType="end"/>
      </w:r>
    </w:p>
    <w:p w14:paraId="3A7563F3">
      <w:pPr>
        <w:rPr>
          <w:rFonts w:hint="eastAsia" w:ascii="宋体" w:hAnsi="宋体" w:cs="宋体"/>
          <w:lang w:val="zh-CN"/>
        </w:rPr>
      </w:pPr>
    </w:p>
    <w:p w14:paraId="44884036">
      <w:pPr>
        <w:rPr>
          <w:rFonts w:hint="eastAsia" w:ascii="宋体" w:hAnsi="宋体" w:cs="宋体"/>
          <w:lang w:val="zh-CN"/>
        </w:rPr>
      </w:pPr>
    </w:p>
    <w:p w14:paraId="3A1436C7">
      <w:pPr>
        <w:rPr>
          <w:rFonts w:hint="eastAsia" w:ascii="宋体" w:hAnsi="宋体" w:cs="宋体"/>
          <w:lang w:val="zh-CN"/>
        </w:rPr>
      </w:pPr>
    </w:p>
    <w:p w14:paraId="34863DFF">
      <w:pPr>
        <w:rPr>
          <w:rFonts w:hint="eastAsia" w:ascii="宋体" w:hAnsi="宋体" w:cs="宋体"/>
          <w:lang w:val="zh-CN"/>
        </w:rPr>
      </w:pPr>
    </w:p>
    <w:p w14:paraId="1D0520FA">
      <w:pPr>
        <w:rPr>
          <w:rFonts w:hint="eastAsia" w:ascii="宋体" w:hAnsi="宋体" w:cs="宋体"/>
          <w:lang w:val="zh-CN"/>
        </w:rPr>
      </w:pPr>
    </w:p>
    <w:p w14:paraId="68CED948">
      <w:pPr>
        <w:pStyle w:val="19"/>
        <w:tabs>
          <w:tab w:val="right" w:leader="dot" w:pos="9746"/>
        </w:tabs>
        <w:spacing w:line="480" w:lineRule="auto"/>
        <w:rPr>
          <w:rFonts w:hint="eastAsia" w:ascii="宋体" w:hAnsi="宋体" w:cs="宋体"/>
          <w:lang w:val="zh-CN"/>
        </w:rPr>
      </w:pPr>
    </w:p>
    <w:p w14:paraId="62727D6A">
      <w:pPr>
        <w:rPr>
          <w:rFonts w:hint="eastAsia" w:ascii="宋体" w:hAnsi="宋体" w:cs="宋体"/>
          <w:lang w:val="zh-CN"/>
        </w:rPr>
      </w:pPr>
    </w:p>
    <w:p w14:paraId="5D4238AD">
      <w:pPr>
        <w:rPr>
          <w:rFonts w:hint="eastAsia" w:ascii="宋体" w:hAnsi="宋体" w:cs="宋体"/>
          <w:lang w:val="zh-CN"/>
        </w:rPr>
      </w:pPr>
    </w:p>
    <w:p w14:paraId="508537A3">
      <w:pPr>
        <w:rPr>
          <w:rFonts w:hint="eastAsia" w:ascii="宋体" w:hAnsi="宋体" w:cs="宋体"/>
          <w:lang w:val="zh-CN"/>
        </w:rPr>
      </w:pPr>
    </w:p>
    <w:p w14:paraId="21B44C8C">
      <w:pPr>
        <w:tabs>
          <w:tab w:val="left" w:pos="8386"/>
        </w:tabs>
        <w:jc w:val="left"/>
        <w:rPr>
          <w:rFonts w:hint="eastAsia" w:ascii="宋体" w:hAnsi="宋体" w:cs="宋体"/>
          <w:lang w:val="zh-CN"/>
        </w:rPr>
        <w:sectPr>
          <w:footerReference r:id="rId8" w:type="first"/>
          <w:footerReference r:id="rId7" w:type="default"/>
          <w:pgSz w:w="11906" w:h="16838"/>
          <w:pgMar w:top="1440" w:right="1080" w:bottom="1440" w:left="1080" w:header="851" w:footer="907" w:gutter="0"/>
          <w:pgNumType w:start="1"/>
          <w:cols w:space="720" w:num="1"/>
          <w:titlePg/>
          <w:docGrid w:linePitch="312" w:charSpace="0"/>
        </w:sectPr>
      </w:pPr>
      <w:r>
        <w:rPr>
          <w:rFonts w:hint="eastAsia" w:ascii="宋体" w:hAnsi="宋体" w:cs="宋体"/>
          <w:lang w:val="zh-CN"/>
        </w:rPr>
        <w:tab/>
      </w:r>
    </w:p>
    <w:p w14:paraId="1CE952A8">
      <w:pPr>
        <w:pStyle w:val="2"/>
        <w:numPr>
          <w:ilvl w:val="0"/>
          <w:numId w:val="1"/>
        </w:numPr>
        <w:snapToGrid w:val="0"/>
        <w:spacing w:before="0" w:after="0" w:line="360" w:lineRule="auto"/>
        <w:jc w:val="center"/>
        <w:rPr>
          <w:rFonts w:hint="eastAsia" w:ascii="宋体" w:hAnsi="宋体" w:cs="宋体"/>
          <w:kern w:val="0"/>
          <w:sz w:val="32"/>
          <w:szCs w:val="32"/>
        </w:rPr>
      </w:pPr>
      <w:bookmarkStart w:id="0" w:name="_Toc10576"/>
      <w:bookmarkStart w:id="1" w:name="_Toc16186"/>
      <w:bookmarkStart w:id="2" w:name="_Toc31296"/>
      <w:bookmarkStart w:id="3" w:name="_Toc5288"/>
      <w:bookmarkStart w:id="4" w:name="_Toc9300"/>
      <w:bookmarkStart w:id="5" w:name="_Toc11585"/>
      <w:r>
        <w:rPr>
          <w:rFonts w:hint="eastAsia" w:ascii="宋体" w:hAnsi="宋体" w:cs="宋体"/>
          <w:kern w:val="0"/>
          <w:sz w:val="32"/>
          <w:szCs w:val="32"/>
        </w:rPr>
        <w:t>竞争性磋商公告</w:t>
      </w:r>
      <w:bookmarkEnd w:id="0"/>
      <w:bookmarkEnd w:id="1"/>
      <w:bookmarkEnd w:id="2"/>
      <w:bookmarkEnd w:id="3"/>
      <w:bookmarkEnd w:id="4"/>
      <w:bookmarkEnd w:id="5"/>
    </w:p>
    <w:p w14:paraId="3E14A88F">
      <w:pPr>
        <w:pStyle w:val="28"/>
        <w:spacing w:after="0" w:line="500" w:lineRule="exact"/>
        <w:ind w:firstLine="281"/>
        <w:jc w:val="center"/>
        <w:rPr>
          <w:rFonts w:hint="eastAsia" w:ascii="宋体" w:hAnsi="宋体" w:eastAsia="宋体" w:cs="宋体"/>
          <w:b/>
          <w:bCs/>
          <w:sz w:val="28"/>
          <w:szCs w:val="28"/>
        </w:rPr>
      </w:pPr>
      <w:r>
        <w:rPr>
          <w:rFonts w:hint="eastAsia" w:ascii="宋体" w:hAnsi="宋体" w:eastAsia="宋体" w:cs="宋体"/>
          <w:b/>
          <w:bCs/>
          <w:sz w:val="28"/>
          <w:szCs w:val="28"/>
        </w:rPr>
        <w:t>河南工程学院先进纺织材料研发中心平台-功能纺织化学品与绿色印染技术平台(二期)项目竞争性磋商公告</w:t>
      </w:r>
    </w:p>
    <w:p w14:paraId="39935243">
      <w:pPr>
        <w:spacing w:line="500" w:lineRule="exact"/>
        <w:rPr>
          <w:rFonts w:hint="eastAsia" w:ascii="宋体" w:hAnsi="宋体" w:cs="宋体"/>
          <w:b/>
          <w:bCs/>
          <w:sz w:val="24"/>
        </w:rPr>
      </w:pPr>
      <w:bookmarkStart w:id="6" w:name="_Toc6586678"/>
      <w:bookmarkStart w:id="7" w:name="_Toc21970"/>
      <w:bookmarkStart w:id="8" w:name="_Toc152042303"/>
      <w:bookmarkStart w:id="9" w:name="_Toc152045527"/>
      <w:bookmarkStart w:id="10" w:name="_Toc144974495"/>
      <w:r>
        <w:rPr>
          <w:rFonts w:hint="eastAsia" w:ascii="宋体" w:hAnsi="宋体" w:cs="宋体"/>
          <w:b/>
          <w:bCs/>
          <w:sz w:val="24"/>
        </w:rPr>
        <w:t>项目概况</w:t>
      </w:r>
    </w:p>
    <w:p w14:paraId="63C7A5C9">
      <w:pPr>
        <w:spacing w:line="500" w:lineRule="exact"/>
        <w:ind w:firstLine="480" w:firstLineChars="200"/>
        <w:rPr>
          <w:rFonts w:hint="eastAsia" w:ascii="宋体" w:hAnsi="宋体" w:cs="宋体"/>
          <w:sz w:val="24"/>
        </w:rPr>
      </w:pPr>
      <w:r>
        <w:rPr>
          <w:rFonts w:hint="eastAsia" w:ascii="宋体" w:hAnsi="宋体" w:cs="宋体"/>
          <w:sz w:val="24"/>
        </w:rPr>
        <w:t>河南工程学院先进纺织材料研发中心平台-功能纺织化学品与绿色印染技术平台(二期)项目招标项目的潜在投标人应在河南省公共资源交易中心（hnsggzyjy.henan.gov.cn）获取招标文件，并于2026年</w:t>
      </w:r>
      <w:r>
        <w:rPr>
          <w:rFonts w:hint="eastAsia" w:ascii="宋体" w:hAnsi="宋体" w:cs="宋体"/>
          <w:sz w:val="24"/>
          <w:lang w:val="en-US" w:eastAsia="zh-CN"/>
        </w:rPr>
        <w:t>07</w:t>
      </w:r>
      <w:r>
        <w:rPr>
          <w:rFonts w:hint="eastAsia" w:ascii="宋体" w:hAnsi="宋体" w:cs="宋体"/>
          <w:sz w:val="24"/>
        </w:rPr>
        <w:t>月</w:t>
      </w:r>
      <w:r>
        <w:rPr>
          <w:rFonts w:hint="eastAsia" w:ascii="宋体" w:hAnsi="宋体" w:cs="宋体"/>
          <w:sz w:val="24"/>
          <w:lang w:val="en-US" w:eastAsia="zh-CN"/>
        </w:rPr>
        <w:t>30</w:t>
      </w:r>
      <w:r>
        <w:rPr>
          <w:rFonts w:hint="eastAsia" w:ascii="宋体" w:hAnsi="宋体" w:cs="宋体"/>
          <w:sz w:val="24"/>
        </w:rPr>
        <w:t>日09时00分（北京时间）前递交响应文件。</w:t>
      </w:r>
    </w:p>
    <w:p w14:paraId="7D2FFADD">
      <w:pPr>
        <w:spacing w:line="500" w:lineRule="exact"/>
        <w:outlineLvl w:val="1"/>
        <w:rPr>
          <w:rFonts w:hint="eastAsia" w:ascii="宋体" w:hAnsi="宋体" w:cs="宋体"/>
          <w:b/>
          <w:bCs/>
          <w:sz w:val="24"/>
        </w:rPr>
      </w:pPr>
      <w:bookmarkStart w:id="11" w:name="_Toc18667"/>
      <w:bookmarkStart w:id="12" w:name="_Toc5707"/>
      <w:bookmarkStart w:id="13" w:name="_Toc23437"/>
      <w:r>
        <w:rPr>
          <w:rFonts w:hint="eastAsia" w:ascii="宋体" w:hAnsi="宋体" w:cs="宋体"/>
          <w:b/>
          <w:bCs/>
          <w:sz w:val="24"/>
        </w:rPr>
        <w:t>一、项目基本情况</w:t>
      </w:r>
      <w:bookmarkEnd w:id="11"/>
      <w:bookmarkEnd w:id="12"/>
      <w:bookmarkEnd w:id="13"/>
    </w:p>
    <w:p w14:paraId="34B7F13D">
      <w:pPr>
        <w:spacing w:line="500" w:lineRule="exact"/>
        <w:ind w:firstLine="480" w:firstLineChars="200"/>
        <w:rPr>
          <w:rFonts w:hint="eastAsia" w:ascii="宋体" w:hAnsi="宋体" w:cs="宋体"/>
          <w:sz w:val="24"/>
        </w:rPr>
      </w:pPr>
      <w:r>
        <w:rPr>
          <w:rFonts w:hint="eastAsia" w:ascii="宋体" w:hAnsi="宋体" w:cs="宋体"/>
          <w:sz w:val="24"/>
        </w:rPr>
        <w:t>1、项目编号：豫财磋商采购-2026-</w:t>
      </w:r>
      <w:r>
        <w:rPr>
          <w:rFonts w:hint="eastAsia" w:ascii="宋体" w:hAnsi="宋体" w:cs="宋体"/>
          <w:sz w:val="24"/>
          <w:lang w:val="en-US" w:eastAsia="zh-CN"/>
        </w:rPr>
        <w:t>729</w:t>
      </w:r>
    </w:p>
    <w:p w14:paraId="0FAE7BDE">
      <w:pPr>
        <w:spacing w:line="500" w:lineRule="exact"/>
        <w:ind w:firstLine="480" w:firstLineChars="200"/>
        <w:rPr>
          <w:rFonts w:hint="eastAsia" w:ascii="宋体" w:hAnsi="宋体" w:cs="宋体"/>
          <w:sz w:val="24"/>
        </w:rPr>
      </w:pPr>
      <w:r>
        <w:rPr>
          <w:rFonts w:hint="eastAsia" w:ascii="宋体" w:hAnsi="宋体" w:cs="宋体"/>
          <w:sz w:val="24"/>
        </w:rPr>
        <w:t>2、项目名称：河南工程学院先进纺织材料研发中心平台-功能纺织化学品与绿色印染技术平台(二期)项目</w:t>
      </w:r>
    </w:p>
    <w:p w14:paraId="33D2AACC">
      <w:pPr>
        <w:spacing w:line="500" w:lineRule="exact"/>
        <w:ind w:firstLine="480" w:firstLineChars="200"/>
        <w:rPr>
          <w:rFonts w:hint="eastAsia" w:ascii="宋体" w:hAnsi="宋体" w:cs="宋体"/>
          <w:sz w:val="24"/>
        </w:rPr>
      </w:pPr>
      <w:r>
        <w:rPr>
          <w:rFonts w:hint="eastAsia" w:ascii="宋体" w:hAnsi="宋体" w:cs="宋体"/>
          <w:sz w:val="24"/>
        </w:rPr>
        <w:t>3、采购方式：竞争性磋商</w:t>
      </w:r>
    </w:p>
    <w:p w14:paraId="33EF21F6">
      <w:pPr>
        <w:spacing w:line="500" w:lineRule="exact"/>
        <w:ind w:firstLine="480" w:firstLineChars="200"/>
        <w:rPr>
          <w:rFonts w:hint="eastAsia" w:ascii="宋体" w:hAnsi="宋体" w:cs="宋体"/>
          <w:sz w:val="24"/>
          <w:lang w:val="zh-CN"/>
        </w:rPr>
      </w:pPr>
      <w:r>
        <w:rPr>
          <w:rFonts w:hint="eastAsia" w:ascii="宋体" w:hAnsi="宋体" w:cs="宋体"/>
          <w:sz w:val="24"/>
        </w:rPr>
        <w:t>4、预算金额：3200000</w:t>
      </w:r>
      <w:r>
        <w:rPr>
          <w:rFonts w:hint="eastAsia" w:ascii="宋体" w:hAnsi="宋体" w:cs="宋体"/>
          <w:sz w:val="24"/>
          <w:lang w:val="en-US" w:eastAsia="zh-CN"/>
        </w:rPr>
        <w:t>.00</w:t>
      </w:r>
      <w:r>
        <w:rPr>
          <w:rFonts w:hint="eastAsia" w:ascii="宋体" w:hAnsi="宋体" w:cs="宋体"/>
          <w:sz w:val="24"/>
          <w:lang w:val="zh-CN"/>
        </w:rPr>
        <w:t>元；</w:t>
      </w:r>
    </w:p>
    <w:p w14:paraId="77F6A9A3">
      <w:pPr>
        <w:spacing w:line="500" w:lineRule="exact"/>
        <w:ind w:firstLine="480" w:firstLineChars="200"/>
        <w:rPr>
          <w:rFonts w:hint="eastAsia" w:ascii="宋体" w:hAnsi="宋体" w:cs="宋体"/>
          <w:sz w:val="24"/>
          <w:lang w:val="zh-CN"/>
        </w:rPr>
      </w:pPr>
      <w:r>
        <w:rPr>
          <w:rFonts w:hint="eastAsia" w:ascii="宋体" w:hAnsi="宋体" w:cs="宋体"/>
          <w:sz w:val="24"/>
          <w:lang w:val="zh-CN"/>
        </w:rPr>
        <w:t>最高限价：</w:t>
      </w:r>
      <w:r>
        <w:rPr>
          <w:rFonts w:hint="eastAsia" w:ascii="宋体" w:hAnsi="宋体" w:cs="宋体"/>
          <w:sz w:val="24"/>
        </w:rPr>
        <w:t>3200000</w:t>
      </w:r>
      <w:r>
        <w:rPr>
          <w:rFonts w:hint="eastAsia" w:ascii="宋体" w:hAnsi="宋体" w:cs="宋体"/>
          <w:sz w:val="24"/>
          <w:lang w:val="zh-CN"/>
        </w:rPr>
        <w:t>元；</w:t>
      </w:r>
    </w:p>
    <w:tbl>
      <w:tblPr>
        <w:tblStyle w:val="30"/>
        <w:tblW w:w="9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915"/>
        <w:gridCol w:w="2948"/>
        <w:gridCol w:w="1758"/>
        <w:gridCol w:w="2119"/>
      </w:tblGrid>
      <w:tr w14:paraId="6D11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10" w:type="dxa"/>
            <w:vAlign w:val="center"/>
          </w:tcPr>
          <w:p w14:paraId="4CD6D929">
            <w:pPr>
              <w:pStyle w:val="26"/>
              <w:snapToGrid w:val="0"/>
              <w:spacing w:line="500" w:lineRule="exact"/>
              <w:jc w:val="center"/>
              <w:rPr>
                <w:rFonts w:hint="eastAsia" w:ascii="宋体" w:hAnsi="宋体" w:cs="宋体"/>
                <w:bCs/>
                <w:kern w:val="2"/>
              </w:rPr>
            </w:pPr>
            <w:r>
              <w:rPr>
                <w:rFonts w:hint="eastAsia" w:ascii="宋体" w:hAnsi="宋体" w:cs="宋体"/>
                <w:bCs/>
                <w:kern w:val="2"/>
              </w:rPr>
              <w:t>序号</w:t>
            </w:r>
          </w:p>
        </w:tc>
        <w:tc>
          <w:tcPr>
            <w:tcW w:w="1915" w:type="dxa"/>
            <w:vAlign w:val="center"/>
          </w:tcPr>
          <w:p w14:paraId="6955D8FA">
            <w:pPr>
              <w:pStyle w:val="26"/>
              <w:snapToGrid w:val="0"/>
              <w:spacing w:line="500" w:lineRule="exact"/>
              <w:jc w:val="center"/>
              <w:rPr>
                <w:rFonts w:hint="eastAsia" w:ascii="宋体" w:hAnsi="宋体" w:cs="宋体"/>
                <w:bCs/>
                <w:kern w:val="2"/>
              </w:rPr>
            </w:pPr>
            <w:r>
              <w:rPr>
                <w:rFonts w:hint="eastAsia" w:ascii="宋体" w:hAnsi="宋体" w:cs="宋体"/>
                <w:bCs/>
                <w:kern w:val="2"/>
              </w:rPr>
              <w:t>包号</w:t>
            </w:r>
          </w:p>
        </w:tc>
        <w:tc>
          <w:tcPr>
            <w:tcW w:w="2948" w:type="dxa"/>
            <w:vAlign w:val="center"/>
          </w:tcPr>
          <w:p w14:paraId="1D71DBEB">
            <w:pPr>
              <w:pStyle w:val="26"/>
              <w:snapToGrid w:val="0"/>
              <w:spacing w:line="500" w:lineRule="exact"/>
              <w:jc w:val="center"/>
              <w:rPr>
                <w:rFonts w:hint="eastAsia" w:ascii="宋体" w:hAnsi="宋体" w:cs="宋体"/>
                <w:bCs/>
                <w:kern w:val="2"/>
              </w:rPr>
            </w:pPr>
            <w:r>
              <w:rPr>
                <w:rFonts w:hint="eastAsia" w:ascii="宋体" w:hAnsi="宋体" w:cs="宋体"/>
                <w:bCs/>
                <w:kern w:val="2"/>
              </w:rPr>
              <w:t>包名称</w:t>
            </w:r>
          </w:p>
        </w:tc>
        <w:tc>
          <w:tcPr>
            <w:tcW w:w="1758" w:type="dxa"/>
            <w:vAlign w:val="center"/>
          </w:tcPr>
          <w:p w14:paraId="340E8BD5">
            <w:pPr>
              <w:widowControl/>
              <w:spacing w:line="500" w:lineRule="exact"/>
              <w:jc w:val="center"/>
              <w:rPr>
                <w:rFonts w:hint="eastAsia" w:ascii="宋体" w:hAnsi="宋体" w:cs="宋体"/>
                <w:bCs/>
                <w:sz w:val="24"/>
              </w:rPr>
            </w:pPr>
            <w:r>
              <w:rPr>
                <w:rFonts w:hint="eastAsia" w:ascii="宋体" w:hAnsi="宋体" w:cs="宋体"/>
                <w:bCs/>
                <w:sz w:val="24"/>
              </w:rPr>
              <w:t>包预算（元）</w:t>
            </w:r>
          </w:p>
        </w:tc>
        <w:tc>
          <w:tcPr>
            <w:tcW w:w="2119" w:type="dxa"/>
            <w:vAlign w:val="center"/>
          </w:tcPr>
          <w:p w14:paraId="2D172C78">
            <w:pPr>
              <w:pStyle w:val="26"/>
              <w:snapToGrid w:val="0"/>
              <w:spacing w:line="500" w:lineRule="exact"/>
              <w:jc w:val="center"/>
              <w:rPr>
                <w:rFonts w:hint="eastAsia" w:ascii="宋体" w:hAnsi="宋体" w:cs="宋体"/>
                <w:bCs/>
                <w:kern w:val="2"/>
              </w:rPr>
            </w:pPr>
            <w:r>
              <w:rPr>
                <w:rFonts w:hint="eastAsia" w:ascii="宋体" w:hAnsi="宋体" w:cs="宋体"/>
                <w:bCs/>
                <w:kern w:val="2"/>
              </w:rPr>
              <w:t>包最高限价（元）</w:t>
            </w:r>
          </w:p>
        </w:tc>
      </w:tr>
      <w:tr w14:paraId="5C7FC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810" w:type="dxa"/>
            <w:vAlign w:val="center"/>
          </w:tcPr>
          <w:p w14:paraId="5B0D5580">
            <w:pPr>
              <w:pStyle w:val="29"/>
              <w:keepNext/>
              <w:spacing w:before="78" w:beforeLines="25" w:after="78" w:afterLines="25"/>
              <w:ind w:firstLine="0"/>
              <w:jc w:val="center"/>
              <w:rPr>
                <w:rFonts w:hint="eastAsia" w:hAnsi="宋体" w:cs="宋体"/>
                <w:bCs/>
              </w:rPr>
            </w:pPr>
            <w:r>
              <w:rPr>
                <w:rFonts w:hint="eastAsia" w:hAnsi="宋体" w:cs="宋体"/>
              </w:rPr>
              <w:t>1</w:t>
            </w:r>
          </w:p>
        </w:tc>
        <w:tc>
          <w:tcPr>
            <w:tcW w:w="1915" w:type="dxa"/>
            <w:vAlign w:val="center"/>
          </w:tcPr>
          <w:p w14:paraId="2996006B">
            <w:pPr>
              <w:pStyle w:val="29"/>
              <w:keepNext/>
              <w:spacing w:before="78" w:beforeLines="25" w:after="78" w:afterLines="25"/>
              <w:ind w:firstLine="0"/>
              <w:jc w:val="center"/>
              <w:rPr>
                <w:rFonts w:hint="eastAsia" w:hAnsi="宋体" w:cs="宋体"/>
                <w:bCs/>
              </w:rPr>
            </w:pPr>
            <w:r>
              <w:rPr>
                <w:rFonts w:hint="eastAsia" w:hAnsi="宋体" w:cs="宋体"/>
                <w:bCs/>
              </w:rPr>
              <w:t>豫政采(2)20261191-1</w:t>
            </w:r>
          </w:p>
        </w:tc>
        <w:tc>
          <w:tcPr>
            <w:tcW w:w="2948" w:type="dxa"/>
            <w:vAlign w:val="center"/>
          </w:tcPr>
          <w:p w14:paraId="7A9AD871">
            <w:pPr>
              <w:adjustRightInd w:val="0"/>
              <w:snapToGrid w:val="0"/>
              <w:jc w:val="center"/>
              <w:rPr>
                <w:rFonts w:hint="eastAsia" w:ascii="宋体" w:hAnsi="宋体" w:cs="宋体"/>
                <w:bCs/>
                <w:sz w:val="24"/>
              </w:rPr>
            </w:pPr>
            <w:r>
              <w:rPr>
                <w:rFonts w:hint="eastAsia" w:ascii="宋体" w:hAnsi="宋体" w:cs="宋体"/>
                <w:sz w:val="24"/>
              </w:rPr>
              <w:t>河南工程学院先进纺织材料研发中心平台-功能纺织化学品与绿色印染技术平台(二期)项目</w:t>
            </w:r>
          </w:p>
        </w:tc>
        <w:tc>
          <w:tcPr>
            <w:tcW w:w="1758" w:type="dxa"/>
            <w:vAlign w:val="center"/>
          </w:tcPr>
          <w:p w14:paraId="216E6382">
            <w:pPr>
              <w:keepNext/>
              <w:spacing w:before="78" w:beforeLines="25" w:after="78" w:afterLines="25"/>
              <w:jc w:val="center"/>
              <w:rPr>
                <w:rFonts w:hint="eastAsia" w:ascii="宋体" w:hAnsi="宋体" w:cs="宋体"/>
                <w:bCs/>
                <w:sz w:val="24"/>
              </w:rPr>
            </w:pPr>
            <w:r>
              <w:rPr>
                <w:rFonts w:hint="eastAsia" w:ascii="宋体" w:hAnsi="宋体" w:cs="宋体"/>
                <w:sz w:val="24"/>
              </w:rPr>
              <w:t>3200000</w:t>
            </w:r>
          </w:p>
        </w:tc>
        <w:tc>
          <w:tcPr>
            <w:tcW w:w="2119" w:type="dxa"/>
            <w:vAlign w:val="center"/>
          </w:tcPr>
          <w:p w14:paraId="22EC40D4">
            <w:pPr>
              <w:keepNext/>
              <w:spacing w:before="78" w:beforeLines="25" w:after="78" w:afterLines="25"/>
              <w:jc w:val="center"/>
              <w:rPr>
                <w:rFonts w:hint="eastAsia" w:ascii="宋体" w:hAnsi="宋体" w:cs="宋体"/>
                <w:bCs/>
                <w:sz w:val="24"/>
              </w:rPr>
            </w:pPr>
            <w:r>
              <w:rPr>
                <w:rFonts w:hint="eastAsia" w:ascii="宋体" w:hAnsi="宋体" w:cs="宋体"/>
                <w:sz w:val="24"/>
              </w:rPr>
              <w:t>3200000</w:t>
            </w:r>
          </w:p>
        </w:tc>
      </w:tr>
    </w:tbl>
    <w:p w14:paraId="2DF1C7A0">
      <w:pPr>
        <w:spacing w:line="500" w:lineRule="exact"/>
        <w:ind w:firstLine="480" w:firstLineChars="200"/>
        <w:rPr>
          <w:rFonts w:hint="eastAsia" w:ascii="宋体" w:hAnsi="宋体" w:cs="宋体"/>
          <w:sz w:val="24"/>
        </w:rPr>
      </w:pPr>
      <w:r>
        <w:rPr>
          <w:rFonts w:hint="eastAsia" w:ascii="宋体" w:hAnsi="宋体" w:cs="宋体"/>
          <w:sz w:val="24"/>
        </w:rPr>
        <w:t>5、采购需求（包括但不限于标的的名称、数量、简要技术需求或服务要求等）</w:t>
      </w:r>
    </w:p>
    <w:p w14:paraId="2F840185">
      <w:pPr>
        <w:spacing w:line="500" w:lineRule="exact"/>
        <w:ind w:firstLine="480" w:firstLineChars="200"/>
        <w:rPr>
          <w:rFonts w:hint="eastAsia" w:ascii="宋体" w:hAnsi="宋体" w:cs="宋体"/>
          <w:sz w:val="24"/>
        </w:rPr>
      </w:pPr>
      <w:r>
        <w:rPr>
          <w:rFonts w:hint="eastAsia" w:ascii="宋体" w:hAnsi="宋体" w:cs="宋体"/>
          <w:sz w:val="24"/>
        </w:rPr>
        <w:t>5.1标包划分：共划分1个标包；</w:t>
      </w:r>
    </w:p>
    <w:p w14:paraId="763B0E39">
      <w:pPr>
        <w:spacing w:line="500" w:lineRule="exact"/>
        <w:ind w:firstLine="480" w:firstLineChars="200"/>
        <w:rPr>
          <w:rFonts w:hint="eastAsia" w:ascii="宋体" w:hAnsi="宋体" w:cs="宋体"/>
          <w:kern w:val="0"/>
          <w:sz w:val="24"/>
        </w:rPr>
      </w:pPr>
      <w:r>
        <w:rPr>
          <w:rFonts w:hint="eastAsia" w:ascii="宋体" w:hAnsi="宋体" w:cs="宋体"/>
          <w:sz w:val="24"/>
        </w:rPr>
        <w:t>5.2采购内容：彩色喷墨阵列式数码复合机1套、单张纸彩色生产型数字印刷系统1套、图像分光测色仪1套、彩色数字印刷机1套、原位傅里叶变换红外光谱仪及其配套系统1套，包含所有货物的安装、调试、验收、培训、质保期内外服务及其他伴随服务等；具体内容详见竞争性磋商文件第五章“采购需求”。</w:t>
      </w:r>
    </w:p>
    <w:p w14:paraId="529DA8C7">
      <w:pPr>
        <w:spacing w:line="500" w:lineRule="exact"/>
        <w:ind w:firstLine="480" w:firstLineChars="200"/>
        <w:rPr>
          <w:rFonts w:hint="eastAsia" w:ascii="宋体" w:hAnsi="宋体" w:cs="宋体"/>
          <w:sz w:val="24"/>
        </w:rPr>
      </w:pPr>
      <w:r>
        <w:rPr>
          <w:rFonts w:hint="eastAsia" w:ascii="宋体" w:hAnsi="宋体" w:cs="宋体"/>
          <w:sz w:val="24"/>
        </w:rPr>
        <w:t>5.3交货期：合同签订之日起60日历天内交货并完成安装调试。</w:t>
      </w:r>
    </w:p>
    <w:p w14:paraId="0560AEBE">
      <w:pPr>
        <w:spacing w:line="500" w:lineRule="exact"/>
        <w:ind w:firstLine="480" w:firstLineChars="200"/>
        <w:rPr>
          <w:rFonts w:hint="eastAsia" w:ascii="宋体" w:hAnsi="宋体" w:cs="宋体"/>
          <w:sz w:val="24"/>
        </w:rPr>
      </w:pPr>
      <w:r>
        <w:rPr>
          <w:rFonts w:hint="eastAsia" w:ascii="宋体" w:hAnsi="宋体" w:cs="宋体"/>
          <w:sz w:val="24"/>
        </w:rPr>
        <w:t>5.4交货地点：采购人指定地点。</w:t>
      </w:r>
    </w:p>
    <w:p w14:paraId="691C5755">
      <w:pPr>
        <w:spacing w:line="500" w:lineRule="exact"/>
        <w:ind w:firstLine="480" w:firstLineChars="200"/>
        <w:rPr>
          <w:rFonts w:hint="eastAsia" w:ascii="宋体" w:hAnsi="宋体" w:cs="宋体"/>
          <w:sz w:val="24"/>
        </w:rPr>
      </w:pPr>
      <w:r>
        <w:rPr>
          <w:rFonts w:hint="eastAsia" w:ascii="宋体" w:hAnsi="宋体" w:cs="宋体"/>
          <w:sz w:val="24"/>
        </w:rPr>
        <w:t>5.5质量标准：符合国家、行业现行的规范，满足采购人要求的相关质量验收标准。</w:t>
      </w:r>
    </w:p>
    <w:p w14:paraId="7F4F4D70">
      <w:pPr>
        <w:spacing w:line="500" w:lineRule="exact"/>
        <w:ind w:firstLine="480" w:firstLineChars="200"/>
        <w:rPr>
          <w:rFonts w:hint="eastAsia" w:ascii="宋体" w:hAnsi="宋体" w:cs="宋体"/>
          <w:sz w:val="24"/>
        </w:rPr>
      </w:pPr>
      <w:r>
        <w:rPr>
          <w:rFonts w:hint="eastAsia" w:ascii="宋体" w:hAnsi="宋体" w:cs="宋体"/>
          <w:sz w:val="24"/>
        </w:rPr>
        <w:t>5.6质保期：自验收合格之日起1年。</w:t>
      </w:r>
    </w:p>
    <w:p w14:paraId="205AC1AB">
      <w:pPr>
        <w:spacing w:line="500" w:lineRule="exact"/>
        <w:ind w:firstLine="480" w:firstLineChars="200"/>
        <w:rPr>
          <w:rFonts w:hint="eastAsia" w:ascii="宋体" w:hAnsi="宋体" w:cs="宋体"/>
          <w:sz w:val="24"/>
        </w:rPr>
      </w:pPr>
      <w:r>
        <w:rPr>
          <w:rFonts w:hint="eastAsia" w:ascii="宋体" w:hAnsi="宋体" w:cs="宋体"/>
          <w:sz w:val="24"/>
        </w:rPr>
        <w:t>6、合同履行期限：至质保期结束。</w:t>
      </w:r>
    </w:p>
    <w:p w14:paraId="54C479E3">
      <w:pPr>
        <w:spacing w:line="500" w:lineRule="exact"/>
        <w:ind w:firstLine="480" w:firstLineChars="200"/>
        <w:rPr>
          <w:rFonts w:hint="eastAsia" w:ascii="宋体" w:hAnsi="宋体" w:cs="宋体"/>
          <w:sz w:val="24"/>
        </w:rPr>
      </w:pPr>
      <w:r>
        <w:rPr>
          <w:rFonts w:hint="eastAsia" w:ascii="宋体" w:hAnsi="宋体" w:cs="宋体"/>
          <w:sz w:val="24"/>
        </w:rPr>
        <w:t>7、本项目是否接受联合体投标：否</w:t>
      </w:r>
    </w:p>
    <w:p w14:paraId="1084DF38">
      <w:pPr>
        <w:spacing w:line="500" w:lineRule="exact"/>
        <w:ind w:firstLine="480" w:firstLineChars="200"/>
        <w:rPr>
          <w:rFonts w:hint="eastAsia" w:ascii="宋体" w:hAnsi="宋体" w:cs="宋体"/>
          <w:sz w:val="24"/>
        </w:rPr>
      </w:pPr>
      <w:r>
        <w:rPr>
          <w:rFonts w:hint="eastAsia" w:ascii="宋体" w:hAnsi="宋体" w:cs="宋体"/>
          <w:sz w:val="24"/>
        </w:rPr>
        <w:t>8、是否接受进口产品：否</w:t>
      </w:r>
    </w:p>
    <w:p w14:paraId="54743472">
      <w:pPr>
        <w:spacing w:line="500" w:lineRule="exact"/>
        <w:ind w:firstLine="480" w:firstLineChars="200"/>
        <w:rPr>
          <w:rFonts w:hint="eastAsia" w:ascii="宋体" w:hAnsi="宋体" w:cs="宋体"/>
          <w:sz w:val="24"/>
        </w:rPr>
      </w:pPr>
      <w:r>
        <w:rPr>
          <w:rFonts w:hint="eastAsia" w:ascii="宋体" w:hAnsi="宋体" w:cs="宋体"/>
          <w:sz w:val="24"/>
        </w:rPr>
        <w:t>9、是否专门面向中小企业：否</w:t>
      </w:r>
    </w:p>
    <w:p w14:paraId="090CCFBC">
      <w:pPr>
        <w:spacing w:line="500" w:lineRule="exact"/>
        <w:outlineLvl w:val="1"/>
        <w:rPr>
          <w:rFonts w:hint="eastAsia" w:ascii="宋体" w:hAnsi="宋体" w:cs="宋体"/>
          <w:sz w:val="24"/>
        </w:rPr>
      </w:pPr>
      <w:bookmarkStart w:id="14" w:name="_Toc4756"/>
      <w:bookmarkStart w:id="15" w:name="_Toc3113"/>
      <w:bookmarkStart w:id="16" w:name="_Toc3115"/>
      <w:r>
        <w:rPr>
          <w:rFonts w:hint="eastAsia" w:ascii="宋体" w:hAnsi="宋体" w:cs="宋体"/>
          <w:b/>
          <w:bCs/>
          <w:sz w:val="24"/>
        </w:rPr>
        <w:t>二、申请人资格条件</w:t>
      </w:r>
      <w:r>
        <w:rPr>
          <w:rFonts w:hint="eastAsia" w:ascii="宋体" w:hAnsi="宋体" w:cs="宋体"/>
          <w:sz w:val="24"/>
        </w:rPr>
        <w:t>：</w:t>
      </w:r>
      <w:bookmarkEnd w:id="14"/>
      <w:bookmarkEnd w:id="15"/>
      <w:bookmarkEnd w:id="16"/>
    </w:p>
    <w:p w14:paraId="4B8A1C5D">
      <w:pPr>
        <w:adjustRightInd w:val="0"/>
        <w:snapToGrid w:val="0"/>
        <w:spacing w:line="500" w:lineRule="exact"/>
        <w:ind w:firstLine="480" w:firstLineChars="200"/>
        <w:outlineLvl w:val="1"/>
        <w:rPr>
          <w:rFonts w:hint="eastAsia" w:ascii="宋体" w:hAnsi="宋体" w:cs="宋体"/>
          <w:sz w:val="24"/>
        </w:rPr>
      </w:pPr>
      <w:bookmarkStart w:id="17" w:name="_Toc32427"/>
      <w:bookmarkStart w:id="18" w:name="_Toc18943"/>
      <w:bookmarkStart w:id="19" w:name="_Toc4807"/>
      <w:r>
        <w:rPr>
          <w:rFonts w:hint="eastAsia" w:ascii="宋体" w:hAnsi="宋体" w:cs="宋体"/>
          <w:sz w:val="24"/>
        </w:rPr>
        <w:t>1.满足《中华人民共和国政府采购法》第二十二条规定；</w:t>
      </w:r>
    </w:p>
    <w:p w14:paraId="0C6EF70D">
      <w:pPr>
        <w:adjustRightInd w:val="0"/>
        <w:snapToGrid w:val="0"/>
        <w:spacing w:line="500" w:lineRule="exact"/>
        <w:ind w:firstLine="480" w:firstLineChars="200"/>
        <w:outlineLvl w:val="1"/>
        <w:rPr>
          <w:rFonts w:hint="eastAsia" w:ascii="宋体" w:hAnsi="宋体" w:cs="宋体"/>
          <w:sz w:val="24"/>
        </w:rPr>
      </w:pPr>
      <w:r>
        <w:rPr>
          <w:rFonts w:hint="eastAsia" w:ascii="宋体" w:hAnsi="宋体" w:cs="宋体"/>
          <w:sz w:val="24"/>
        </w:rPr>
        <w:t>2.落实政府采购政策满足的资格要求：无；</w:t>
      </w:r>
    </w:p>
    <w:p w14:paraId="18086A58">
      <w:pPr>
        <w:adjustRightInd w:val="0"/>
        <w:snapToGrid w:val="0"/>
        <w:spacing w:line="500" w:lineRule="exact"/>
        <w:ind w:firstLine="480" w:firstLineChars="200"/>
        <w:outlineLvl w:val="1"/>
        <w:rPr>
          <w:rFonts w:hint="eastAsia" w:ascii="宋体" w:hAnsi="宋体" w:cs="宋体"/>
          <w:sz w:val="24"/>
        </w:rPr>
      </w:pPr>
      <w:r>
        <w:rPr>
          <w:rFonts w:hint="eastAsia" w:ascii="宋体" w:hAnsi="宋体" w:cs="宋体"/>
          <w:sz w:val="24"/>
        </w:rPr>
        <w:t>3.本项目的特定资格要求</w:t>
      </w:r>
    </w:p>
    <w:p w14:paraId="15E4636D">
      <w:pPr>
        <w:adjustRightInd w:val="0"/>
        <w:snapToGrid w:val="0"/>
        <w:spacing w:line="500" w:lineRule="exact"/>
        <w:ind w:firstLine="480" w:firstLineChars="200"/>
        <w:outlineLvl w:val="1"/>
        <w:rPr>
          <w:rFonts w:hint="eastAsia" w:ascii="宋体" w:hAnsi="宋体" w:cs="宋体"/>
          <w:sz w:val="24"/>
        </w:rPr>
      </w:pPr>
      <w:r>
        <w:rPr>
          <w:rFonts w:hint="eastAsia" w:ascii="宋体" w:hAnsi="宋体" w:cs="宋体"/>
          <w:sz w:val="24"/>
        </w:rPr>
        <w:t>3.1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w:t>
      </w:r>
    </w:p>
    <w:p w14:paraId="75C6FB93">
      <w:pPr>
        <w:adjustRightInd w:val="0"/>
        <w:snapToGrid w:val="0"/>
        <w:spacing w:line="500" w:lineRule="exact"/>
        <w:ind w:firstLine="480" w:firstLineChars="200"/>
        <w:outlineLvl w:val="1"/>
        <w:rPr>
          <w:rFonts w:hint="eastAsia" w:ascii="宋体" w:hAnsi="宋体" w:cs="宋体"/>
          <w:sz w:val="24"/>
        </w:rPr>
      </w:pPr>
      <w:r>
        <w:rPr>
          <w:rFonts w:hint="eastAsia" w:ascii="宋体" w:hAnsi="宋体" w:cs="宋体"/>
          <w:sz w:val="24"/>
        </w:rPr>
        <w:t>3.2单位负责人为同一人或者存在直接控股、管理关系的不同供应商，不得参加同一合同项下的政府采购活动。</w:t>
      </w:r>
    </w:p>
    <w:p w14:paraId="6DAE3255">
      <w:pPr>
        <w:adjustRightInd w:val="0"/>
        <w:snapToGrid w:val="0"/>
        <w:spacing w:line="500" w:lineRule="exact"/>
        <w:outlineLvl w:val="1"/>
        <w:rPr>
          <w:rFonts w:hint="eastAsia" w:ascii="宋体" w:hAnsi="宋体" w:cs="宋体"/>
          <w:b/>
          <w:bCs/>
          <w:sz w:val="24"/>
        </w:rPr>
      </w:pPr>
      <w:r>
        <w:rPr>
          <w:rFonts w:hint="eastAsia" w:ascii="宋体" w:hAnsi="宋体" w:cs="宋体"/>
          <w:b/>
          <w:bCs/>
          <w:sz w:val="24"/>
        </w:rPr>
        <w:t>三、</w:t>
      </w:r>
      <w:bookmarkEnd w:id="6"/>
      <w:bookmarkEnd w:id="7"/>
      <w:r>
        <w:rPr>
          <w:rFonts w:hint="eastAsia" w:ascii="宋体" w:hAnsi="宋体" w:cs="宋体"/>
          <w:b/>
          <w:bCs/>
          <w:sz w:val="24"/>
        </w:rPr>
        <w:t>获取采购文件</w:t>
      </w:r>
      <w:bookmarkEnd w:id="17"/>
      <w:bookmarkEnd w:id="18"/>
      <w:bookmarkEnd w:id="19"/>
    </w:p>
    <w:p w14:paraId="4ECDD180">
      <w:pPr>
        <w:spacing w:line="500" w:lineRule="exact"/>
        <w:ind w:firstLine="480" w:firstLineChars="200"/>
        <w:jc w:val="left"/>
        <w:rPr>
          <w:rFonts w:hint="eastAsia" w:ascii="宋体" w:hAnsi="宋体" w:cs="宋体"/>
          <w:kern w:val="0"/>
          <w:sz w:val="24"/>
        </w:rPr>
      </w:pPr>
      <w:bookmarkStart w:id="20" w:name="_Toc5333"/>
      <w:bookmarkStart w:id="21" w:name="_Toc6586679"/>
      <w:bookmarkStart w:id="22" w:name="_Toc3139"/>
      <w:r>
        <w:rPr>
          <w:rFonts w:hint="eastAsia" w:ascii="宋体" w:hAnsi="宋体" w:cs="宋体"/>
          <w:kern w:val="0"/>
          <w:sz w:val="24"/>
        </w:rPr>
        <w:t>1.时间：2026年</w:t>
      </w:r>
      <w:r>
        <w:rPr>
          <w:rFonts w:hint="eastAsia" w:ascii="宋体" w:hAnsi="宋体" w:cs="宋体"/>
          <w:kern w:val="0"/>
          <w:sz w:val="24"/>
          <w:lang w:val="en-US" w:eastAsia="zh-CN"/>
        </w:rPr>
        <w:t>07</w:t>
      </w:r>
      <w:r>
        <w:rPr>
          <w:rFonts w:hint="eastAsia" w:ascii="宋体" w:hAnsi="宋体" w:cs="宋体"/>
          <w:kern w:val="0"/>
          <w:sz w:val="24"/>
        </w:rPr>
        <w:t>月</w:t>
      </w:r>
      <w:r>
        <w:rPr>
          <w:rFonts w:hint="eastAsia" w:ascii="宋体" w:hAnsi="宋体" w:cs="宋体"/>
          <w:kern w:val="0"/>
          <w:sz w:val="24"/>
          <w:lang w:val="en-US" w:eastAsia="zh-CN"/>
        </w:rPr>
        <w:t>20</w:t>
      </w:r>
      <w:r>
        <w:rPr>
          <w:rFonts w:hint="eastAsia" w:ascii="宋体" w:hAnsi="宋体" w:cs="宋体"/>
          <w:kern w:val="0"/>
          <w:sz w:val="24"/>
        </w:rPr>
        <w:t>日至2026年</w:t>
      </w:r>
      <w:r>
        <w:rPr>
          <w:rFonts w:hint="eastAsia" w:ascii="宋体" w:hAnsi="宋体" w:cs="宋体"/>
          <w:kern w:val="0"/>
          <w:sz w:val="24"/>
          <w:lang w:val="en-US" w:eastAsia="zh-CN"/>
        </w:rPr>
        <w:t>07</w:t>
      </w:r>
      <w:r>
        <w:rPr>
          <w:rFonts w:hint="eastAsia" w:ascii="宋体" w:hAnsi="宋体" w:cs="宋体"/>
          <w:kern w:val="0"/>
          <w:sz w:val="24"/>
        </w:rPr>
        <w:t>月</w:t>
      </w:r>
      <w:r>
        <w:rPr>
          <w:rFonts w:hint="eastAsia" w:ascii="宋体" w:hAnsi="宋体" w:cs="宋体"/>
          <w:kern w:val="0"/>
          <w:sz w:val="24"/>
          <w:lang w:val="en-US" w:eastAsia="zh-CN"/>
        </w:rPr>
        <w:t>24</w:t>
      </w:r>
      <w:r>
        <w:rPr>
          <w:rFonts w:hint="eastAsia" w:ascii="宋体" w:hAnsi="宋体" w:cs="宋体"/>
          <w:kern w:val="0"/>
          <w:sz w:val="24"/>
        </w:rPr>
        <w:t>日，每天上午00:00至12:00，下午12:00至23:59（北京时间，法定节假日除外）</w:t>
      </w:r>
    </w:p>
    <w:p w14:paraId="48EB079F">
      <w:pPr>
        <w:spacing w:line="500" w:lineRule="exact"/>
        <w:ind w:firstLine="480" w:firstLineChars="200"/>
        <w:jc w:val="left"/>
        <w:rPr>
          <w:rFonts w:hint="eastAsia" w:ascii="宋体" w:hAnsi="宋体" w:cs="宋体"/>
          <w:kern w:val="0"/>
          <w:sz w:val="24"/>
        </w:rPr>
      </w:pPr>
      <w:r>
        <w:rPr>
          <w:rFonts w:hint="eastAsia" w:ascii="宋体" w:hAnsi="宋体" w:cs="宋体"/>
          <w:kern w:val="0"/>
          <w:sz w:val="24"/>
        </w:rPr>
        <w:t>2.地点：河南省公共资源交易中心（</w:t>
      </w:r>
      <w:r>
        <w:rPr>
          <w:rFonts w:hint="eastAsia" w:ascii="宋体" w:hAnsi="宋体" w:cs="宋体"/>
          <w:sz w:val="24"/>
        </w:rPr>
        <w:t>hnsggzyjy.henan.gov.cn</w:t>
      </w:r>
      <w:r>
        <w:rPr>
          <w:rFonts w:hint="eastAsia" w:ascii="宋体" w:hAnsi="宋体" w:cs="宋体"/>
          <w:kern w:val="0"/>
          <w:sz w:val="24"/>
        </w:rPr>
        <w:t>）</w:t>
      </w:r>
    </w:p>
    <w:p w14:paraId="7B903CB8">
      <w:pPr>
        <w:spacing w:line="500" w:lineRule="exact"/>
        <w:ind w:firstLine="480" w:firstLineChars="200"/>
        <w:jc w:val="left"/>
        <w:rPr>
          <w:rFonts w:hint="eastAsia" w:ascii="宋体" w:hAnsi="宋体" w:cs="宋体"/>
          <w:kern w:val="0"/>
          <w:sz w:val="24"/>
        </w:rPr>
      </w:pPr>
      <w:r>
        <w:rPr>
          <w:rFonts w:hint="eastAsia" w:ascii="宋体" w:hAnsi="宋体" w:cs="宋体"/>
          <w:kern w:val="0"/>
          <w:sz w:val="24"/>
        </w:rPr>
        <w:t>3.方式：登录“河南省公共资源交易中心（</w:t>
      </w:r>
      <w:r>
        <w:rPr>
          <w:rFonts w:hint="eastAsia" w:ascii="宋体" w:hAnsi="宋体" w:cs="宋体"/>
          <w:sz w:val="24"/>
        </w:rPr>
        <w:t>hnsggzyjy.henan.gov.cn</w:t>
      </w:r>
      <w:r>
        <w:rPr>
          <w:rFonts w:hint="eastAsia" w:ascii="宋体" w:hAnsi="宋体" w:cs="宋体"/>
          <w:kern w:val="0"/>
          <w:sz w:val="24"/>
        </w:rPr>
        <w:t>）”门户网站，凭领取的企业身份认证锁（CA密钥）免费下载文件。市场主体需要完成信息登记及CA数字证书办理，才能通过省公共资源交易平台参与交易活动，具体办理事宜请查阅河南省公共资源交易中心网站“公共服务”→“办事指南”。</w:t>
      </w:r>
    </w:p>
    <w:p w14:paraId="67765681">
      <w:pPr>
        <w:spacing w:line="500" w:lineRule="exact"/>
        <w:ind w:firstLine="480" w:firstLineChars="200"/>
        <w:jc w:val="left"/>
        <w:rPr>
          <w:rFonts w:hint="eastAsia" w:ascii="宋体" w:hAnsi="宋体" w:cs="宋体"/>
          <w:kern w:val="0"/>
          <w:sz w:val="24"/>
        </w:rPr>
      </w:pPr>
      <w:r>
        <w:rPr>
          <w:rFonts w:hint="eastAsia" w:ascii="宋体" w:hAnsi="宋体" w:cs="宋体"/>
          <w:kern w:val="0"/>
          <w:sz w:val="24"/>
        </w:rPr>
        <w:t>4.售价：0元。</w:t>
      </w:r>
    </w:p>
    <w:p w14:paraId="41E16FD9">
      <w:pPr>
        <w:adjustRightInd w:val="0"/>
        <w:snapToGrid w:val="0"/>
        <w:spacing w:line="500" w:lineRule="exact"/>
        <w:outlineLvl w:val="1"/>
        <w:rPr>
          <w:rFonts w:hint="eastAsia" w:ascii="宋体" w:hAnsi="宋体" w:cs="宋体"/>
          <w:b/>
          <w:bCs/>
          <w:sz w:val="24"/>
        </w:rPr>
      </w:pPr>
      <w:bookmarkStart w:id="23" w:name="_Toc2662"/>
      <w:bookmarkStart w:id="24" w:name="_Toc3706"/>
      <w:r>
        <w:rPr>
          <w:rFonts w:hint="eastAsia" w:ascii="宋体" w:hAnsi="宋体" w:cs="宋体"/>
          <w:b/>
          <w:bCs/>
          <w:sz w:val="24"/>
        </w:rPr>
        <w:t>四、响应文件提交</w:t>
      </w:r>
      <w:bookmarkEnd w:id="20"/>
      <w:bookmarkEnd w:id="23"/>
      <w:bookmarkEnd w:id="24"/>
    </w:p>
    <w:p w14:paraId="008CC1A3">
      <w:pPr>
        <w:spacing w:line="500" w:lineRule="exact"/>
        <w:ind w:firstLine="480" w:firstLineChars="200"/>
        <w:jc w:val="left"/>
        <w:rPr>
          <w:rFonts w:hint="eastAsia" w:ascii="宋体" w:hAnsi="宋体" w:cs="宋体"/>
          <w:kern w:val="0"/>
          <w:sz w:val="24"/>
        </w:rPr>
      </w:pPr>
      <w:bookmarkStart w:id="25" w:name="_Toc22840"/>
      <w:r>
        <w:rPr>
          <w:rFonts w:hint="eastAsia" w:ascii="宋体" w:hAnsi="宋体" w:cs="宋体"/>
          <w:kern w:val="0"/>
          <w:sz w:val="24"/>
        </w:rPr>
        <w:t>1.截止时间：2026年</w:t>
      </w:r>
      <w:r>
        <w:rPr>
          <w:rFonts w:hint="eastAsia" w:ascii="宋体" w:hAnsi="宋体" w:cs="宋体"/>
          <w:kern w:val="0"/>
          <w:sz w:val="24"/>
          <w:lang w:val="en-US" w:eastAsia="zh-CN"/>
        </w:rPr>
        <w:t>07</w:t>
      </w:r>
      <w:r>
        <w:rPr>
          <w:rFonts w:hint="eastAsia" w:ascii="宋体" w:hAnsi="宋体" w:cs="宋体"/>
          <w:kern w:val="0"/>
          <w:sz w:val="24"/>
        </w:rPr>
        <w:t>月</w:t>
      </w:r>
      <w:r>
        <w:rPr>
          <w:rFonts w:hint="eastAsia" w:ascii="宋体" w:hAnsi="宋体" w:cs="宋体"/>
          <w:kern w:val="0"/>
          <w:sz w:val="24"/>
          <w:lang w:val="en-US" w:eastAsia="zh-CN"/>
        </w:rPr>
        <w:t>30</w:t>
      </w:r>
      <w:r>
        <w:rPr>
          <w:rFonts w:hint="eastAsia" w:ascii="宋体" w:hAnsi="宋体" w:cs="宋体"/>
          <w:kern w:val="0"/>
          <w:sz w:val="24"/>
        </w:rPr>
        <w:t>日09时00分（北京时间）</w:t>
      </w:r>
    </w:p>
    <w:p w14:paraId="32ED299C">
      <w:pPr>
        <w:spacing w:line="500" w:lineRule="exact"/>
        <w:ind w:firstLine="480" w:firstLineChars="200"/>
        <w:jc w:val="left"/>
        <w:rPr>
          <w:rFonts w:hint="eastAsia" w:ascii="宋体" w:hAnsi="宋体" w:cs="宋体"/>
          <w:kern w:val="0"/>
          <w:sz w:val="24"/>
        </w:rPr>
      </w:pPr>
      <w:r>
        <w:rPr>
          <w:rFonts w:hint="eastAsia" w:ascii="宋体" w:hAnsi="宋体" w:cs="宋体"/>
          <w:kern w:val="0"/>
          <w:sz w:val="24"/>
        </w:rPr>
        <w:t>2.地点：“河南省公共资源交易中心（</w:t>
      </w:r>
      <w:r>
        <w:rPr>
          <w:rFonts w:hint="eastAsia" w:ascii="宋体" w:hAnsi="宋体" w:cs="宋体"/>
          <w:sz w:val="24"/>
        </w:rPr>
        <w:t>hnsggzyjy.henan.gov.cn</w:t>
      </w:r>
      <w:r>
        <w:rPr>
          <w:rFonts w:hint="eastAsia" w:ascii="宋体" w:hAnsi="宋体" w:cs="宋体"/>
          <w:kern w:val="0"/>
          <w:sz w:val="24"/>
        </w:rPr>
        <w:t>）”电子交易平台加密上传。请各供应商在上传前务必认真检查上传电子响应文件是否完整、正确，加密电子响应文件逾期上传，采购人不予受理。</w:t>
      </w:r>
    </w:p>
    <w:p w14:paraId="4F6223A2">
      <w:pPr>
        <w:adjustRightInd w:val="0"/>
        <w:snapToGrid w:val="0"/>
        <w:spacing w:line="500" w:lineRule="exact"/>
        <w:outlineLvl w:val="1"/>
        <w:rPr>
          <w:rFonts w:hint="eastAsia" w:ascii="宋体" w:hAnsi="宋体" w:cs="宋体"/>
          <w:b/>
          <w:bCs/>
          <w:sz w:val="24"/>
        </w:rPr>
      </w:pPr>
      <w:bookmarkStart w:id="26" w:name="_Toc22090"/>
      <w:bookmarkStart w:id="27" w:name="_Toc21591"/>
      <w:r>
        <w:rPr>
          <w:rFonts w:hint="eastAsia" w:ascii="宋体" w:hAnsi="宋体" w:cs="宋体"/>
          <w:b/>
          <w:bCs/>
          <w:sz w:val="24"/>
        </w:rPr>
        <w:t>五、响应文件开启</w:t>
      </w:r>
      <w:bookmarkEnd w:id="25"/>
      <w:bookmarkEnd w:id="26"/>
      <w:bookmarkEnd w:id="27"/>
    </w:p>
    <w:bookmarkEnd w:id="21"/>
    <w:bookmarkEnd w:id="22"/>
    <w:p w14:paraId="02FDDAA8">
      <w:pPr>
        <w:spacing w:line="500" w:lineRule="exact"/>
        <w:ind w:firstLine="480" w:firstLineChars="200"/>
        <w:jc w:val="left"/>
        <w:rPr>
          <w:rFonts w:hint="eastAsia" w:ascii="宋体" w:hAnsi="宋体" w:cs="宋体"/>
          <w:kern w:val="0"/>
          <w:sz w:val="24"/>
        </w:rPr>
      </w:pPr>
      <w:bookmarkStart w:id="28" w:name="_Toc12087"/>
      <w:r>
        <w:rPr>
          <w:rFonts w:hint="eastAsia" w:ascii="宋体" w:hAnsi="宋体" w:cs="宋体"/>
          <w:kern w:val="0"/>
          <w:sz w:val="24"/>
        </w:rPr>
        <w:t>1.时间：2026年</w:t>
      </w:r>
      <w:r>
        <w:rPr>
          <w:rFonts w:hint="eastAsia" w:ascii="宋体" w:hAnsi="宋体" w:cs="宋体"/>
          <w:kern w:val="0"/>
          <w:sz w:val="24"/>
          <w:lang w:val="en-US" w:eastAsia="zh-CN"/>
        </w:rPr>
        <w:t>07</w:t>
      </w:r>
      <w:r>
        <w:rPr>
          <w:rFonts w:hint="eastAsia" w:ascii="宋体" w:hAnsi="宋体" w:cs="宋体"/>
          <w:kern w:val="0"/>
          <w:sz w:val="24"/>
        </w:rPr>
        <w:t>月</w:t>
      </w:r>
      <w:r>
        <w:rPr>
          <w:rFonts w:hint="eastAsia" w:ascii="宋体" w:hAnsi="宋体" w:cs="宋体"/>
          <w:kern w:val="0"/>
          <w:sz w:val="24"/>
          <w:lang w:val="en-US" w:eastAsia="zh-CN"/>
        </w:rPr>
        <w:t>30</w:t>
      </w:r>
      <w:r>
        <w:rPr>
          <w:rFonts w:hint="eastAsia" w:ascii="宋体" w:hAnsi="宋体" w:cs="宋体"/>
          <w:kern w:val="0"/>
          <w:sz w:val="24"/>
        </w:rPr>
        <w:t>日09时00分（北京时间）</w:t>
      </w:r>
    </w:p>
    <w:p w14:paraId="5FB9FDE6">
      <w:pPr>
        <w:spacing w:line="500" w:lineRule="exact"/>
        <w:ind w:firstLine="480" w:firstLineChars="200"/>
        <w:jc w:val="left"/>
        <w:rPr>
          <w:rFonts w:hint="eastAsia" w:ascii="宋体" w:hAnsi="宋体" w:cs="宋体"/>
          <w:kern w:val="0"/>
          <w:sz w:val="24"/>
        </w:rPr>
      </w:pPr>
      <w:r>
        <w:rPr>
          <w:rFonts w:hint="eastAsia" w:ascii="宋体" w:hAnsi="宋体" w:cs="宋体"/>
          <w:kern w:val="0"/>
          <w:sz w:val="24"/>
        </w:rPr>
        <w:t>2.地点：河南省公共资源交易中心远程开标室(六)-2（郑州市经二路与纬四路向南50米路西）。</w:t>
      </w:r>
    </w:p>
    <w:p w14:paraId="7D4E5A76">
      <w:pPr>
        <w:adjustRightInd w:val="0"/>
        <w:snapToGrid w:val="0"/>
        <w:spacing w:line="500" w:lineRule="exact"/>
        <w:outlineLvl w:val="1"/>
        <w:rPr>
          <w:rFonts w:hint="eastAsia" w:ascii="宋体" w:hAnsi="宋体" w:cs="宋体"/>
          <w:b/>
          <w:sz w:val="24"/>
        </w:rPr>
      </w:pPr>
      <w:bookmarkStart w:id="29" w:name="_Toc11597"/>
      <w:bookmarkStart w:id="30" w:name="_Toc30471"/>
      <w:r>
        <w:rPr>
          <w:rFonts w:hint="eastAsia" w:ascii="宋体" w:hAnsi="宋体" w:cs="宋体"/>
          <w:b/>
          <w:sz w:val="24"/>
        </w:rPr>
        <w:t>六、发布公告的媒介及招标公告期限</w:t>
      </w:r>
      <w:bookmarkEnd w:id="28"/>
      <w:bookmarkEnd w:id="29"/>
      <w:bookmarkEnd w:id="30"/>
    </w:p>
    <w:p w14:paraId="41F16604">
      <w:pPr>
        <w:spacing w:line="500" w:lineRule="exact"/>
        <w:ind w:firstLine="480" w:firstLineChars="200"/>
        <w:jc w:val="left"/>
        <w:rPr>
          <w:rFonts w:hint="eastAsia" w:ascii="宋体" w:hAnsi="宋体" w:cs="宋体"/>
          <w:kern w:val="0"/>
          <w:sz w:val="24"/>
        </w:rPr>
      </w:pPr>
      <w:bookmarkStart w:id="31" w:name="_Toc16708"/>
      <w:r>
        <w:rPr>
          <w:rFonts w:hint="eastAsia" w:ascii="宋体" w:hAnsi="宋体" w:cs="宋体"/>
          <w:kern w:val="0"/>
          <w:sz w:val="24"/>
        </w:rPr>
        <w:t>本次招标公告在《河南省政府采购网》、《河南省公共资源交易中心网》、</w:t>
      </w:r>
      <w:r>
        <w:rPr>
          <w:rFonts w:hint="eastAsia" w:ascii="宋体" w:hAnsi="宋体" w:cs="宋体"/>
          <w:sz w:val="24"/>
        </w:rPr>
        <w:t>《河南工程学院国有资产管理处》</w:t>
      </w:r>
      <w:r>
        <w:rPr>
          <w:rFonts w:hint="eastAsia" w:ascii="宋体" w:hAnsi="宋体" w:cs="宋体"/>
          <w:kern w:val="0"/>
          <w:sz w:val="24"/>
        </w:rPr>
        <w:t>上发布，招标公告期限为三个工作日。</w:t>
      </w:r>
    </w:p>
    <w:p w14:paraId="64E378C0">
      <w:pPr>
        <w:adjustRightInd w:val="0"/>
        <w:snapToGrid w:val="0"/>
        <w:spacing w:line="500" w:lineRule="exact"/>
        <w:outlineLvl w:val="1"/>
        <w:rPr>
          <w:rFonts w:hint="eastAsia" w:ascii="宋体" w:hAnsi="宋体" w:cs="宋体"/>
          <w:b/>
          <w:sz w:val="24"/>
        </w:rPr>
      </w:pPr>
      <w:bookmarkStart w:id="32" w:name="_Toc25209"/>
      <w:bookmarkStart w:id="33" w:name="_Toc17538"/>
      <w:r>
        <w:rPr>
          <w:rFonts w:hint="eastAsia" w:ascii="宋体" w:hAnsi="宋体" w:cs="宋体"/>
          <w:b/>
          <w:sz w:val="24"/>
        </w:rPr>
        <w:t>七、其他补充事宜</w:t>
      </w:r>
      <w:bookmarkEnd w:id="31"/>
      <w:bookmarkEnd w:id="32"/>
      <w:bookmarkEnd w:id="33"/>
    </w:p>
    <w:p w14:paraId="059C3AAA">
      <w:pPr>
        <w:pStyle w:val="26"/>
        <w:widowControl/>
        <w:spacing w:line="500" w:lineRule="exact"/>
        <w:ind w:firstLine="420"/>
        <w:rPr>
          <w:rFonts w:hint="eastAsia" w:ascii="宋体" w:hAnsi="宋体" w:cs="宋体"/>
        </w:rPr>
      </w:pPr>
      <w:bookmarkStart w:id="34" w:name="_Toc19696"/>
      <w:r>
        <w:rPr>
          <w:rFonts w:hint="eastAsia" w:ascii="宋体" w:hAnsi="宋体" w:cs="宋体"/>
        </w:rPr>
        <w:t>1、执行促进中小企业、监狱企业、残疾人福利性企业发展，本国产品标准，优先采购和强制采购节能、环境标志性产品，扶持不发达地区和少数民族地区等相关政府采购政策。</w:t>
      </w:r>
    </w:p>
    <w:p w14:paraId="2876A2F4">
      <w:pPr>
        <w:pStyle w:val="26"/>
        <w:widowControl/>
        <w:spacing w:line="500" w:lineRule="exact"/>
        <w:ind w:firstLine="420"/>
        <w:rPr>
          <w:rFonts w:hint="eastAsia" w:ascii="宋体" w:hAnsi="宋体" w:cs="宋体"/>
        </w:rPr>
      </w:pPr>
      <w:r>
        <w:rPr>
          <w:rFonts w:hint="eastAsia" w:ascii="宋体" w:hAnsi="宋体" w:cs="宋体"/>
        </w:rPr>
        <w:t>2、本次采购项目的采购代理费，参照原《招标代理服务收费管理暂行办法》（计价格[2002]1980 号）及国家发改委印发的《国家发展改革委办公厅关于招标代理服务收费有关问题的通知》（发改办价格[2003]857 号）和《国家发展改革委关于降低部分建设项目收费标准规范收费行为等有关问题的通知》（发改价格〔2011〕534 号）等文件规定的“代理服务费收费标准”，按95%比例计取，由成交单位向采购代理机构支付。</w:t>
      </w:r>
    </w:p>
    <w:p w14:paraId="6A5621DC">
      <w:pPr>
        <w:adjustRightInd w:val="0"/>
        <w:snapToGrid w:val="0"/>
        <w:spacing w:line="500" w:lineRule="exact"/>
        <w:outlineLvl w:val="1"/>
        <w:rPr>
          <w:rFonts w:hint="eastAsia" w:ascii="宋体" w:hAnsi="宋体" w:cs="宋体"/>
          <w:b/>
          <w:sz w:val="24"/>
        </w:rPr>
      </w:pPr>
      <w:bookmarkStart w:id="35" w:name="_Toc962"/>
      <w:bookmarkStart w:id="36" w:name="_Toc22061"/>
      <w:r>
        <w:rPr>
          <w:rFonts w:hint="eastAsia" w:ascii="宋体" w:hAnsi="宋体" w:cs="宋体"/>
          <w:b/>
          <w:sz w:val="24"/>
        </w:rPr>
        <w:t>八、凡对本次招标提出询问，请按照以下方式联系</w:t>
      </w:r>
      <w:bookmarkEnd w:id="34"/>
      <w:bookmarkEnd w:id="35"/>
      <w:bookmarkEnd w:id="36"/>
    </w:p>
    <w:p w14:paraId="055DF01C">
      <w:pPr>
        <w:pStyle w:val="26"/>
        <w:widowControl/>
        <w:spacing w:line="500" w:lineRule="exact"/>
        <w:ind w:firstLine="420"/>
        <w:rPr>
          <w:rFonts w:hint="eastAsia" w:ascii="宋体" w:hAnsi="宋体" w:cs="宋体"/>
        </w:rPr>
      </w:pPr>
      <w:r>
        <w:rPr>
          <w:rFonts w:hint="eastAsia" w:ascii="宋体" w:hAnsi="宋体" w:cs="宋体"/>
        </w:rPr>
        <w:t>1.采购人信息</w:t>
      </w:r>
    </w:p>
    <w:p w14:paraId="7FD106F5">
      <w:pPr>
        <w:pStyle w:val="26"/>
        <w:widowControl/>
        <w:spacing w:line="500" w:lineRule="exact"/>
        <w:ind w:firstLine="420"/>
        <w:rPr>
          <w:rFonts w:hint="eastAsia" w:ascii="宋体" w:hAnsi="宋体" w:cs="宋体"/>
        </w:rPr>
      </w:pPr>
      <w:r>
        <w:rPr>
          <w:rFonts w:hint="eastAsia" w:ascii="宋体" w:hAnsi="宋体" w:cs="宋体"/>
        </w:rPr>
        <w:t>名称：河南工程学院</w:t>
      </w:r>
    </w:p>
    <w:p w14:paraId="1104EC54">
      <w:pPr>
        <w:pStyle w:val="26"/>
        <w:widowControl/>
        <w:spacing w:line="500" w:lineRule="exact"/>
        <w:ind w:firstLine="420"/>
        <w:rPr>
          <w:rFonts w:hint="eastAsia" w:ascii="宋体" w:hAnsi="宋体" w:cs="宋体"/>
        </w:rPr>
      </w:pPr>
      <w:r>
        <w:rPr>
          <w:rFonts w:hint="eastAsia" w:ascii="宋体" w:hAnsi="宋体" w:cs="宋体"/>
        </w:rPr>
        <w:t>地址：河南省新郑市龙湖镇祥和路1号</w:t>
      </w:r>
    </w:p>
    <w:p w14:paraId="04EB07CB">
      <w:pPr>
        <w:pStyle w:val="26"/>
        <w:widowControl/>
        <w:spacing w:line="500" w:lineRule="exact"/>
        <w:ind w:firstLine="420"/>
        <w:rPr>
          <w:rFonts w:hint="eastAsia" w:ascii="宋体" w:hAnsi="宋体" w:cs="宋体"/>
        </w:rPr>
      </w:pPr>
      <w:r>
        <w:rPr>
          <w:rFonts w:hint="eastAsia" w:ascii="宋体" w:hAnsi="宋体" w:cs="宋体"/>
        </w:rPr>
        <w:t>联系人：薛老师</w:t>
      </w:r>
    </w:p>
    <w:p w14:paraId="4796AFD7">
      <w:pPr>
        <w:pStyle w:val="26"/>
        <w:spacing w:line="500" w:lineRule="exact"/>
        <w:ind w:firstLine="420"/>
        <w:rPr>
          <w:rFonts w:hint="eastAsia" w:ascii="宋体" w:hAnsi="宋体" w:cs="宋体"/>
        </w:rPr>
      </w:pPr>
      <w:r>
        <w:rPr>
          <w:rFonts w:hint="eastAsia" w:ascii="宋体" w:hAnsi="宋体" w:cs="宋体"/>
        </w:rPr>
        <w:t>联系方式：0371-62503169</w:t>
      </w:r>
    </w:p>
    <w:p w14:paraId="7AE4B4AD">
      <w:pPr>
        <w:pStyle w:val="26"/>
        <w:widowControl/>
        <w:spacing w:line="500" w:lineRule="exact"/>
        <w:ind w:firstLine="420"/>
        <w:rPr>
          <w:rFonts w:hint="eastAsia" w:ascii="宋体" w:hAnsi="宋体" w:cs="宋体"/>
        </w:rPr>
      </w:pPr>
      <w:r>
        <w:rPr>
          <w:rFonts w:hint="eastAsia" w:ascii="宋体" w:hAnsi="宋体" w:cs="宋体"/>
        </w:rPr>
        <w:t>2.采购代理机构信息</w:t>
      </w:r>
    </w:p>
    <w:p w14:paraId="32F44E6E">
      <w:pPr>
        <w:pStyle w:val="26"/>
        <w:widowControl/>
        <w:spacing w:line="500" w:lineRule="exact"/>
        <w:ind w:firstLine="420"/>
        <w:rPr>
          <w:rFonts w:hint="eastAsia" w:ascii="宋体" w:hAnsi="宋体" w:cs="宋体"/>
        </w:rPr>
      </w:pPr>
      <w:r>
        <w:rPr>
          <w:rFonts w:hint="eastAsia" w:ascii="宋体" w:hAnsi="宋体" w:cs="宋体"/>
        </w:rPr>
        <w:t>名称：河南省光大建设管理有限公司</w:t>
      </w:r>
    </w:p>
    <w:p w14:paraId="617195EB">
      <w:pPr>
        <w:pStyle w:val="26"/>
        <w:widowControl/>
        <w:spacing w:line="500" w:lineRule="exact"/>
        <w:ind w:firstLine="420"/>
        <w:rPr>
          <w:rFonts w:hint="eastAsia" w:ascii="宋体" w:hAnsi="宋体" w:cs="宋体"/>
        </w:rPr>
      </w:pPr>
      <w:r>
        <w:rPr>
          <w:rFonts w:hint="eastAsia" w:ascii="宋体" w:hAnsi="宋体" w:cs="宋体"/>
        </w:rPr>
        <w:t>地址：郑州市北三环与中州大道交叉口西500米路北经三名筑9号楼10楼1010室招标代理事务部</w:t>
      </w:r>
    </w:p>
    <w:p w14:paraId="5D914EE8">
      <w:pPr>
        <w:pStyle w:val="26"/>
        <w:widowControl/>
        <w:spacing w:line="500" w:lineRule="exact"/>
        <w:ind w:firstLine="420"/>
        <w:rPr>
          <w:rFonts w:hint="eastAsia" w:ascii="宋体" w:hAnsi="宋体" w:cs="宋体"/>
        </w:rPr>
      </w:pPr>
      <w:r>
        <w:rPr>
          <w:rFonts w:hint="eastAsia" w:ascii="宋体" w:hAnsi="宋体" w:cs="宋体"/>
        </w:rPr>
        <w:t>联系人：李树芳、朱慧芳</w:t>
      </w:r>
    </w:p>
    <w:p w14:paraId="2A8D01C2">
      <w:pPr>
        <w:pStyle w:val="26"/>
        <w:widowControl/>
        <w:spacing w:line="500" w:lineRule="exact"/>
        <w:ind w:firstLine="420"/>
        <w:rPr>
          <w:rFonts w:hint="eastAsia" w:ascii="宋体" w:hAnsi="宋体" w:cs="宋体"/>
        </w:rPr>
      </w:pPr>
      <w:r>
        <w:rPr>
          <w:rFonts w:hint="eastAsia" w:ascii="宋体" w:hAnsi="宋体" w:cs="宋体"/>
        </w:rPr>
        <w:t>联系方式：0371-86610696</w:t>
      </w:r>
    </w:p>
    <w:p w14:paraId="7E894365">
      <w:pPr>
        <w:pStyle w:val="26"/>
        <w:widowControl/>
        <w:spacing w:line="500" w:lineRule="exact"/>
        <w:ind w:firstLine="420"/>
        <w:rPr>
          <w:rFonts w:hint="eastAsia" w:ascii="宋体" w:hAnsi="宋体" w:cs="宋体"/>
        </w:rPr>
      </w:pPr>
      <w:r>
        <w:rPr>
          <w:rFonts w:hint="eastAsia" w:ascii="宋体" w:hAnsi="宋体" w:cs="宋体"/>
        </w:rPr>
        <w:t>3.项目联系方式</w:t>
      </w:r>
    </w:p>
    <w:p w14:paraId="72EB6450">
      <w:pPr>
        <w:pStyle w:val="26"/>
        <w:widowControl/>
        <w:spacing w:line="500" w:lineRule="exact"/>
        <w:ind w:firstLine="420"/>
        <w:rPr>
          <w:rFonts w:hint="eastAsia" w:ascii="宋体" w:hAnsi="宋体" w:cs="宋体"/>
        </w:rPr>
      </w:pPr>
      <w:r>
        <w:rPr>
          <w:rFonts w:hint="eastAsia" w:ascii="宋体" w:hAnsi="宋体" w:cs="宋体"/>
        </w:rPr>
        <w:t>项目联系人：李树芳、朱慧芳</w:t>
      </w:r>
    </w:p>
    <w:p w14:paraId="4B743D2F">
      <w:pPr>
        <w:pStyle w:val="26"/>
        <w:widowControl/>
        <w:spacing w:line="500" w:lineRule="exact"/>
        <w:ind w:firstLine="420"/>
        <w:rPr>
          <w:rFonts w:hint="eastAsia" w:ascii="宋体" w:hAnsi="宋体" w:cs="宋体"/>
        </w:rPr>
      </w:pPr>
      <w:r>
        <w:rPr>
          <w:rFonts w:hint="eastAsia" w:ascii="宋体" w:hAnsi="宋体" w:cs="宋体"/>
        </w:rPr>
        <w:t>联系方式：0371-86610696</w:t>
      </w:r>
    </w:p>
    <w:p w14:paraId="455C121C">
      <w:pPr>
        <w:spacing w:line="360" w:lineRule="auto"/>
        <w:rPr>
          <w:rFonts w:hint="eastAsia" w:ascii="宋体" w:hAnsi="宋体" w:cs="宋体"/>
          <w:sz w:val="24"/>
        </w:rPr>
      </w:pPr>
    </w:p>
    <w:p w14:paraId="782F946F">
      <w:pPr>
        <w:rPr>
          <w:rFonts w:hint="eastAsia" w:ascii="宋体" w:hAnsi="宋体" w:cs="宋体"/>
          <w:sz w:val="32"/>
        </w:rPr>
      </w:pPr>
      <w:r>
        <w:rPr>
          <w:rFonts w:hint="eastAsia" w:ascii="宋体" w:hAnsi="宋体" w:cs="宋体"/>
          <w:sz w:val="32"/>
        </w:rPr>
        <w:br w:type="page"/>
      </w:r>
    </w:p>
    <w:p w14:paraId="545E657A">
      <w:pPr>
        <w:pStyle w:val="2"/>
        <w:spacing w:before="120" w:after="120" w:line="500" w:lineRule="exact"/>
        <w:jc w:val="center"/>
        <w:rPr>
          <w:rFonts w:hint="eastAsia" w:ascii="宋体" w:hAnsi="宋体" w:cs="宋体"/>
          <w:sz w:val="32"/>
        </w:rPr>
      </w:pPr>
      <w:bookmarkStart w:id="37" w:name="_Toc22338"/>
      <w:r>
        <w:rPr>
          <w:rFonts w:hint="eastAsia" w:ascii="宋体" w:hAnsi="宋体" w:cs="宋体"/>
          <w:sz w:val="32"/>
        </w:rPr>
        <w:t>第二章 供应商须知</w:t>
      </w:r>
      <w:bookmarkEnd w:id="8"/>
      <w:bookmarkEnd w:id="9"/>
      <w:bookmarkEnd w:id="10"/>
      <w:bookmarkEnd w:id="37"/>
    </w:p>
    <w:p w14:paraId="4467DC9A">
      <w:pPr>
        <w:pStyle w:val="56"/>
        <w:jc w:val="center"/>
        <w:rPr>
          <w:rFonts w:hint="eastAsia" w:ascii="宋体" w:hAnsi="宋体"/>
          <w:szCs w:val="28"/>
        </w:rPr>
      </w:pPr>
      <w:bookmarkStart w:id="38" w:name="_Toc152045528"/>
      <w:bookmarkStart w:id="39" w:name="_Toc144974496"/>
      <w:bookmarkStart w:id="40" w:name="_Toc28169"/>
      <w:bookmarkStart w:id="41" w:name="_Toc152042304"/>
      <w:bookmarkStart w:id="42" w:name="_Toc1141"/>
      <w:bookmarkStart w:id="43" w:name="_Toc22413"/>
      <w:r>
        <w:rPr>
          <w:rFonts w:hint="eastAsia" w:ascii="宋体" w:hAnsi="宋体"/>
          <w:szCs w:val="28"/>
        </w:rPr>
        <w:t>供应商须知前附表</w:t>
      </w:r>
      <w:bookmarkEnd w:id="38"/>
      <w:bookmarkEnd w:id="39"/>
      <w:bookmarkEnd w:id="40"/>
      <w:bookmarkEnd w:id="41"/>
      <w:bookmarkEnd w:id="42"/>
      <w:bookmarkEnd w:id="43"/>
    </w:p>
    <w:tbl>
      <w:tblPr>
        <w:tblStyle w:val="30"/>
        <w:tblW w:w="10453" w:type="dxa"/>
        <w:jc w:val="center"/>
        <w:tblLayout w:type="fixed"/>
        <w:tblCellMar>
          <w:top w:w="0" w:type="dxa"/>
          <w:left w:w="108" w:type="dxa"/>
          <w:bottom w:w="0" w:type="dxa"/>
          <w:right w:w="108" w:type="dxa"/>
        </w:tblCellMar>
      </w:tblPr>
      <w:tblGrid>
        <w:gridCol w:w="967"/>
        <w:gridCol w:w="2337"/>
        <w:gridCol w:w="7149"/>
      </w:tblGrid>
      <w:tr w14:paraId="53D732AA">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5F86CD45">
            <w:pPr>
              <w:spacing w:line="360" w:lineRule="auto"/>
              <w:jc w:val="center"/>
              <w:rPr>
                <w:rFonts w:hint="eastAsia" w:ascii="宋体" w:hAnsi="宋体" w:cs="宋体"/>
                <w:b/>
                <w:sz w:val="24"/>
              </w:rPr>
            </w:pPr>
            <w:r>
              <w:rPr>
                <w:rFonts w:hint="eastAsia" w:ascii="宋体" w:hAnsi="宋体" w:cs="宋体"/>
                <w:b/>
                <w:sz w:val="24"/>
              </w:rPr>
              <w:t>条款号</w:t>
            </w:r>
          </w:p>
        </w:tc>
        <w:tc>
          <w:tcPr>
            <w:tcW w:w="2337" w:type="dxa"/>
            <w:tcBorders>
              <w:top w:val="single" w:color="auto" w:sz="4" w:space="0"/>
              <w:left w:val="single" w:color="auto" w:sz="4" w:space="0"/>
              <w:bottom w:val="single" w:color="auto" w:sz="4" w:space="0"/>
              <w:right w:val="single" w:color="auto" w:sz="4" w:space="0"/>
            </w:tcBorders>
            <w:vAlign w:val="center"/>
          </w:tcPr>
          <w:p w14:paraId="517DBB4A">
            <w:pPr>
              <w:spacing w:line="360" w:lineRule="auto"/>
              <w:jc w:val="center"/>
              <w:rPr>
                <w:rFonts w:hint="eastAsia" w:ascii="宋体" w:hAnsi="宋体" w:cs="宋体"/>
                <w:b/>
                <w:sz w:val="24"/>
              </w:rPr>
            </w:pPr>
            <w:r>
              <w:rPr>
                <w:rFonts w:hint="eastAsia" w:ascii="宋体" w:hAnsi="宋体" w:cs="宋体"/>
                <w:b/>
                <w:sz w:val="24"/>
              </w:rPr>
              <w:t>条  款  名  称</w:t>
            </w:r>
          </w:p>
        </w:tc>
        <w:tc>
          <w:tcPr>
            <w:tcW w:w="7149" w:type="dxa"/>
            <w:tcBorders>
              <w:top w:val="single" w:color="auto" w:sz="4" w:space="0"/>
              <w:left w:val="single" w:color="auto" w:sz="4" w:space="0"/>
              <w:bottom w:val="single" w:color="auto" w:sz="4" w:space="0"/>
              <w:right w:val="single" w:color="auto" w:sz="4" w:space="0"/>
            </w:tcBorders>
            <w:vAlign w:val="center"/>
          </w:tcPr>
          <w:p w14:paraId="5F86DCF3">
            <w:pPr>
              <w:spacing w:line="360" w:lineRule="auto"/>
              <w:jc w:val="center"/>
              <w:rPr>
                <w:rFonts w:hint="eastAsia" w:ascii="宋体" w:hAnsi="宋体" w:cs="宋体"/>
                <w:b/>
                <w:sz w:val="24"/>
              </w:rPr>
            </w:pPr>
            <w:r>
              <w:rPr>
                <w:rFonts w:hint="eastAsia" w:ascii="宋体" w:hAnsi="宋体" w:cs="宋体"/>
                <w:b/>
                <w:sz w:val="24"/>
              </w:rPr>
              <w:t>编  列  内  容</w:t>
            </w:r>
          </w:p>
        </w:tc>
      </w:tr>
      <w:tr w14:paraId="10CEBBED">
        <w:tblPrEx>
          <w:tblCellMar>
            <w:top w:w="0" w:type="dxa"/>
            <w:left w:w="108" w:type="dxa"/>
            <w:bottom w:w="0" w:type="dxa"/>
            <w:right w:w="108" w:type="dxa"/>
          </w:tblCellMar>
        </w:tblPrEx>
        <w:trPr>
          <w:trHeight w:val="1954" w:hRule="exact"/>
          <w:jc w:val="center"/>
        </w:trPr>
        <w:tc>
          <w:tcPr>
            <w:tcW w:w="967" w:type="dxa"/>
            <w:tcBorders>
              <w:top w:val="single" w:color="auto" w:sz="4" w:space="0"/>
              <w:left w:val="single" w:color="auto" w:sz="4" w:space="0"/>
              <w:bottom w:val="single" w:color="auto" w:sz="4" w:space="0"/>
              <w:right w:val="single" w:color="auto" w:sz="4" w:space="0"/>
            </w:tcBorders>
            <w:vAlign w:val="center"/>
          </w:tcPr>
          <w:p w14:paraId="01BF7C2D">
            <w:pPr>
              <w:pStyle w:val="26"/>
              <w:wordWrap w:val="0"/>
              <w:spacing w:line="360" w:lineRule="auto"/>
              <w:rPr>
                <w:rFonts w:hint="eastAsia" w:ascii="宋体" w:hAnsi="宋体" w:cs="宋体"/>
              </w:rPr>
            </w:pPr>
            <w:r>
              <w:rPr>
                <w:rFonts w:hint="eastAsia" w:ascii="宋体" w:hAnsi="宋体" w:cs="宋体"/>
              </w:rPr>
              <w:t>1.1.2</w:t>
            </w:r>
          </w:p>
        </w:tc>
        <w:tc>
          <w:tcPr>
            <w:tcW w:w="2337" w:type="dxa"/>
            <w:tcBorders>
              <w:top w:val="single" w:color="auto" w:sz="4" w:space="0"/>
              <w:left w:val="single" w:color="auto" w:sz="4" w:space="0"/>
              <w:bottom w:val="single" w:color="auto" w:sz="4" w:space="0"/>
              <w:right w:val="single" w:color="auto" w:sz="4" w:space="0"/>
            </w:tcBorders>
            <w:vAlign w:val="center"/>
          </w:tcPr>
          <w:p w14:paraId="2A0B8AB6">
            <w:pPr>
              <w:spacing w:line="360" w:lineRule="auto"/>
              <w:jc w:val="center"/>
              <w:rPr>
                <w:rFonts w:hint="eastAsia" w:ascii="宋体" w:hAnsi="宋体" w:cs="宋体"/>
                <w:sz w:val="24"/>
              </w:rPr>
            </w:pPr>
            <w:r>
              <w:rPr>
                <w:rFonts w:hint="eastAsia" w:ascii="宋体" w:hAnsi="宋体" w:cs="宋体"/>
                <w:sz w:val="24"/>
              </w:rPr>
              <w:t>采购人</w:t>
            </w:r>
          </w:p>
        </w:tc>
        <w:tc>
          <w:tcPr>
            <w:tcW w:w="7149" w:type="dxa"/>
            <w:tcBorders>
              <w:top w:val="single" w:color="auto" w:sz="4" w:space="0"/>
              <w:left w:val="single" w:color="auto" w:sz="4" w:space="0"/>
              <w:bottom w:val="single" w:color="auto" w:sz="4" w:space="0"/>
              <w:right w:val="single" w:color="auto" w:sz="4" w:space="0"/>
            </w:tcBorders>
            <w:vAlign w:val="center"/>
          </w:tcPr>
          <w:p w14:paraId="17D54316">
            <w:pPr>
              <w:pStyle w:val="26"/>
              <w:widowControl/>
              <w:spacing w:line="360" w:lineRule="auto"/>
              <w:jc w:val="both"/>
              <w:rPr>
                <w:rFonts w:hint="eastAsia" w:ascii="宋体" w:hAnsi="宋体" w:cs="宋体"/>
              </w:rPr>
            </w:pPr>
            <w:r>
              <w:rPr>
                <w:rFonts w:hint="eastAsia" w:ascii="宋体" w:hAnsi="宋体" w:cs="宋体"/>
              </w:rPr>
              <w:t>名称：河南工程学院</w:t>
            </w:r>
          </w:p>
          <w:p w14:paraId="6B7B5ABD">
            <w:pPr>
              <w:pStyle w:val="26"/>
              <w:widowControl/>
              <w:spacing w:line="360" w:lineRule="auto"/>
              <w:jc w:val="both"/>
              <w:rPr>
                <w:rFonts w:hint="eastAsia" w:ascii="宋体" w:hAnsi="宋体" w:cs="宋体"/>
              </w:rPr>
            </w:pPr>
            <w:r>
              <w:rPr>
                <w:rFonts w:hint="eastAsia" w:ascii="宋体" w:hAnsi="宋体" w:cs="宋体"/>
              </w:rPr>
              <w:t>地址：河南省新郑市龙湖镇祥和路1号</w:t>
            </w:r>
          </w:p>
          <w:p w14:paraId="7654E3E4">
            <w:pPr>
              <w:pStyle w:val="26"/>
              <w:widowControl/>
              <w:spacing w:line="360" w:lineRule="auto"/>
              <w:jc w:val="both"/>
              <w:rPr>
                <w:rFonts w:hint="eastAsia" w:ascii="宋体" w:hAnsi="宋体" w:cs="宋体"/>
              </w:rPr>
            </w:pPr>
            <w:r>
              <w:rPr>
                <w:rFonts w:hint="eastAsia" w:ascii="宋体" w:hAnsi="宋体" w:cs="宋体"/>
              </w:rPr>
              <w:t>联系人：薛老师</w:t>
            </w:r>
          </w:p>
          <w:p w14:paraId="31B79CF0">
            <w:pPr>
              <w:pStyle w:val="26"/>
              <w:widowControl/>
              <w:spacing w:line="360" w:lineRule="auto"/>
              <w:jc w:val="both"/>
              <w:rPr>
                <w:rFonts w:hint="eastAsia" w:ascii="宋体" w:hAnsi="宋体" w:cs="宋体"/>
              </w:rPr>
            </w:pPr>
            <w:r>
              <w:rPr>
                <w:rFonts w:hint="eastAsia" w:ascii="宋体" w:hAnsi="宋体" w:cs="宋体"/>
              </w:rPr>
              <w:t>联系方式：0371-62503169</w:t>
            </w:r>
          </w:p>
          <w:p w14:paraId="6C0C6772">
            <w:pPr>
              <w:pStyle w:val="26"/>
              <w:widowControl/>
              <w:spacing w:line="360" w:lineRule="auto"/>
              <w:jc w:val="both"/>
              <w:rPr>
                <w:rFonts w:hint="eastAsia" w:ascii="宋体" w:hAnsi="宋体" w:cs="宋体"/>
              </w:rPr>
            </w:pPr>
            <w:r>
              <w:rPr>
                <w:rFonts w:hint="eastAsia" w:ascii="宋体" w:hAnsi="宋体" w:cs="宋体"/>
              </w:rPr>
              <w:t>联系方式： 　</w:t>
            </w:r>
          </w:p>
          <w:p w14:paraId="32E96C76">
            <w:pPr>
              <w:wordWrap w:val="0"/>
              <w:topLinePunct/>
              <w:spacing w:line="360" w:lineRule="auto"/>
              <w:rPr>
                <w:rFonts w:hint="eastAsia" w:ascii="宋体" w:hAnsi="宋体" w:cs="宋体"/>
                <w:kern w:val="0"/>
                <w:sz w:val="24"/>
              </w:rPr>
            </w:pPr>
            <w:r>
              <w:rPr>
                <w:rFonts w:hint="eastAsia" w:ascii="宋体" w:hAnsi="宋体" w:cs="宋体"/>
                <w:kern w:val="0"/>
                <w:sz w:val="24"/>
              </w:rPr>
              <w:t xml:space="preserve">联系方式： </w:t>
            </w:r>
          </w:p>
          <w:p w14:paraId="3FF2C202">
            <w:pPr>
              <w:spacing w:line="360" w:lineRule="auto"/>
              <w:rPr>
                <w:rFonts w:hint="eastAsia" w:ascii="宋体" w:hAnsi="宋体" w:cs="宋体"/>
                <w:sz w:val="24"/>
              </w:rPr>
            </w:pPr>
          </w:p>
          <w:p w14:paraId="5F09AA14">
            <w:pPr>
              <w:pStyle w:val="26"/>
              <w:spacing w:line="360" w:lineRule="auto"/>
              <w:jc w:val="both"/>
              <w:rPr>
                <w:rFonts w:hint="eastAsia" w:ascii="宋体" w:hAnsi="宋体" w:cs="宋体"/>
              </w:rPr>
            </w:pPr>
          </w:p>
        </w:tc>
      </w:tr>
      <w:tr w14:paraId="50AAB858">
        <w:tblPrEx>
          <w:tblCellMar>
            <w:top w:w="0" w:type="dxa"/>
            <w:left w:w="108" w:type="dxa"/>
            <w:bottom w:w="0" w:type="dxa"/>
            <w:right w:w="108" w:type="dxa"/>
          </w:tblCellMar>
        </w:tblPrEx>
        <w:trPr>
          <w:trHeight w:val="788"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660C33D5">
            <w:pPr>
              <w:spacing w:line="360" w:lineRule="auto"/>
              <w:jc w:val="center"/>
              <w:rPr>
                <w:rFonts w:hint="eastAsia" w:ascii="宋体" w:hAnsi="宋体" w:cs="宋体"/>
                <w:sz w:val="24"/>
              </w:rPr>
            </w:pPr>
            <w:r>
              <w:rPr>
                <w:rFonts w:hint="eastAsia" w:ascii="宋体" w:hAnsi="宋体" w:cs="宋体"/>
                <w:sz w:val="24"/>
              </w:rPr>
              <w:t>1.1.3</w:t>
            </w:r>
          </w:p>
        </w:tc>
        <w:tc>
          <w:tcPr>
            <w:tcW w:w="2337" w:type="dxa"/>
            <w:tcBorders>
              <w:top w:val="single" w:color="auto" w:sz="4" w:space="0"/>
              <w:left w:val="single" w:color="auto" w:sz="4" w:space="0"/>
              <w:bottom w:val="single" w:color="auto" w:sz="4" w:space="0"/>
              <w:right w:val="single" w:color="auto" w:sz="4" w:space="0"/>
            </w:tcBorders>
            <w:vAlign w:val="center"/>
          </w:tcPr>
          <w:p w14:paraId="7D2D702E">
            <w:pPr>
              <w:spacing w:line="360" w:lineRule="auto"/>
              <w:jc w:val="center"/>
              <w:rPr>
                <w:rFonts w:hint="eastAsia" w:ascii="宋体" w:hAnsi="宋体" w:cs="宋体"/>
                <w:sz w:val="24"/>
              </w:rPr>
            </w:pPr>
            <w:r>
              <w:rPr>
                <w:rFonts w:hint="eastAsia" w:ascii="宋体" w:hAnsi="宋体" w:cs="宋体"/>
                <w:sz w:val="24"/>
              </w:rPr>
              <w:t>采购代理机构</w:t>
            </w:r>
          </w:p>
        </w:tc>
        <w:tc>
          <w:tcPr>
            <w:tcW w:w="7149" w:type="dxa"/>
            <w:tcBorders>
              <w:top w:val="single" w:color="auto" w:sz="4" w:space="0"/>
              <w:left w:val="single" w:color="auto" w:sz="4" w:space="0"/>
              <w:bottom w:val="single" w:color="auto" w:sz="4" w:space="0"/>
              <w:right w:val="single" w:color="auto" w:sz="4" w:space="0"/>
            </w:tcBorders>
            <w:vAlign w:val="center"/>
          </w:tcPr>
          <w:p w14:paraId="533593F0">
            <w:pPr>
              <w:pStyle w:val="26"/>
              <w:wordWrap w:val="0"/>
              <w:spacing w:line="360" w:lineRule="auto"/>
              <w:rPr>
                <w:rFonts w:hint="eastAsia" w:ascii="宋体" w:hAnsi="宋体" w:cs="宋体"/>
                <w:lang w:val="zh-CN"/>
              </w:rPr>
            </w:pPr>
            <w:r>
              <w:rPr>
                <w:rFonts w:hint="eastAsia" w:ascii="宋体" w:hAnsi="宋体" w:cs="宋体"/>
              </w:rPr>
              <w:t>名称：河南省光大建设管理有限公司</w:t>
            </w:r>
          </w:p>
          <w:p w14:paraId="49794883">
            <w:pPr>
              <w:pStyle w:val="26"/>
              <w:wordWrap w:val="0"/>
              <w:spacing w:line="360" w:lineRule="auto"/>
              <w:rPr>
                <w:rFonts w:hint="eastAsia" w:ascii="宋体" w:hAnsi="宋体" w:cs="宋体"/>
                <w:lang w:val="zh-CN"/>
              </w:rPr>
            </w:pPr>
            <w:r>
              <w:rPr>
                <w:rFonts w:hint="eastAsia" w:ascii="宋体" w:hAnsi="宋体" w:cs="宋体"/>
              </w:rPr>
              <w:t>地址：郑州市北三环与中州大道交叉口西500米路北经三名筑9号楼10楼1010室招标代理事务部</w:t>
            </w:r>
          </w:p>
          <w:p w14:paraId="4CDF99C3">
            <w:pPr>
              <w:pStyle w:val="26"/>
              <w:wordWrap w:val="0"/>
              <w:spacing w:line="360" w:lineRule="auto"/>
              <w:rPr>
                <w:rFonts w:hint="eastAsia" w:ascii="宋体" w:hAnsi="宋体" w:cs="宋体"/>
              </w:rPr>
            </w:pPr>
            <w:r>
              <w:rPr>
                <w:rFonts w:hint="eastAsia" w:ascii="宋体" w:hAnsi="宋体" w:cs="宋体"/>
              </w:rPr>
              <w:t>联系人：李树芳、朱慧芳</w:t>
            </w:r>
          </w:p>
          <w:p w14:paraId="391AB551">
            <w:pPr>
              <w:pStyle w:val="26"/>
              <w:wordWrap w:val="0"/>
              <w:spacing w:line="360" w:lineRule="auto"/>
              <w:rPr>
                <w:rFonts w:hint="eastAsia" w:ascii="宋体" w:hAnsi="宋体" w:cs="宋体"/>
              </w:rPr>
            </w:pPr>
            <w:r>
              <w:rPr>
                <w:rFonts w:hint="eastAsia" w:ascii="宋体" w:hAnsi="宋体" w:cs="宋体"/>
              </w:rPr>
              <w:t>联系电话：0371-86610696</w:t>
            </w:r>
          </w:p>
        </w:tc>
      </w:tr>
      <w:tr w14:paraId="6D248A23">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406EF298">
            <w:pPr>
              <w:spacing w:line="360" w:lineRule="auto"/>
              <w:jc w:val="center"/>
              <w:rPr>
                <w:rFonts w:hint="eastAsia" w:ascii="宋体" w:hAnsi="宋体" w:cs="宋体"/>
                <w:sz w:val="24"/>
              </w:rPr>
            </w:pPr>
            <w:r>
              <w:rPr>
                <w:rFonts w:hint="eastAsia" w:ascii="宋体" w:hAnsi="宋体" w:cs="宋体"/>
                <w:sz w:val="24"/>
              </w:rPr>
              <w:t>1.1.4</w:t>
            </w:r>
          </w:p>
        </w:tc>
        <w:tc>
          <w:tcPr>
            <w:tcW w:w="2337" w:type="dxa"/>
            <w:tcBorders>
              <w:top w:val="single" w:color="auto" w:sz="4" w:space="0"/>
              <w:left w:val="single" w:color="auto" w:sz="4" w:space="0"/>
              <w:bottom w:val="single" w:color="auto" w:sz="4" w:space="0"/>
              <w:right w:val="single" w:color="auto" w:sz="4" w:space="0"/>
            </w:tcBorders>
            <w:vAlign w:val="center"/>
          </w:tcPr>
          <w:p w14:paraId="7B5D76E6">
            <w:pPr>
              <w:spacing w:line="360" w:lineRule="auto"/>
              <w:jc w:val="center"/>
              <w:rPr>
                <w:rFonts w:hint="eastAsia" w:ascii="宋体" w:hAnsi="宋体" w:cs="宋体"/>
                <w:sz w:val="24"/>
              </w:rPr>
            </w:pPr>
            <w:r>
              <w:rPr>
                <w:rFonts w:hint="eastAsia" w:ascii="宋体" w:hAnsi="宋体" w:cs="宋体"/>
                <w:sz w:val="24"/>
              </w:rPr>
              <w:t>项目名称</w:t>
            </w:r>
          </w:p>
        </w:tc>
        <w:tc>
          <w:tcPr>
            <w:tcW w:w="7149" w:type="dxa"/>
            <w:tcBorders>
              <w:top w:val="single" w:color="auto" w:sz="4" w:space="0"/>
              <w:left w:val="single" w:color="auto" w:sz="4" w:space="0"/>
              <w:bottom w:val="single" w:color="auto" w:sz="4" w:space="0"/>
              <w:right w:val="single" w:color="auto" w:sz="4" w:space="0"/>
            </w:tcBorders>
            <w:vAlign w:val="center"/>
          </w:tcPr>
          <w:p w14:paraId="4BA752E9">
            <w:pPr>
              <w:pStyle w:val="26"/>
              <w:wordWrap w:val="0"/>
              <w:spacing w:line="360" w:lineRule="auto"/>
              <w:rPr>
                <w:rFonts w:hint="eastAsia" w:ascii="宋体" w:hAnsi="宋体" w:cs="宋体"/>
              </w:rPr>
            </w:pPr>
            <w:r>
              <w:rPr>
                <w:rFonts w:hint="eastAsia" w:ascii="宋体" w:hAnsi="宋体" w:cs="宋体"/>
              </w:rPr>
              <w:t>河南工程学院先进纺织材料研发中心平台-功能纺织化学品与绿色印染技术平台(二期)项目</w:t>
            </w:r>
          </w:p>
        </w:tc>
      </w:tr>
      <w:tr w14:paraId="1D8FBA88">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2DD44439">
            <w:pPr>
              <w:spacing w:line="360" w:lineRule="auto"/>
              <w:jc w:val="center"/>
              <w:rPr>
                <w:rFonts w:hint="eastAsia" w:ascii="宋体" w:hAnsi="宋体" w:cs="宋体"/>
                <w:sz w:val="24"/>
              </w:rPr>
            </w:pPr>
            <w:r>
              <w:rPr>
                <w:rFonts w:hint="eastAsia" w:ascii="宋体" w:hAnsi="宋体" w:cs="宋体"/>
                <w:sz w:val="24"/>
              </w:rPr>
              <w:t>1.2.1</w:t>
            </w:r>
          </w:p>
        </w:tc>
        <w:tc>
          <w:tcPr>
            <w:tcW w:w="2337" w:type="dxa"/>
            <w:tcBorders>
              <w:top w:val="single" w:color="auto" w:sz="4" w:space="0"/>
              <w:left w:val="single" w:color="auto" w:sz="4" w:space="0"/>
              <w:bottom w:val="single" w:color="auto" w:sz="4" w:space="0"/>
              <w:right w:val="single" w:color="auto" w:sz="4" w:space="0"/>
            </w:tcBorders>
            <w:vAlign w:val="center"/>
          </w:tcPr>
          <w:p w14:paraId="4349FA93">
            <w:pPr>
              <w:spacing w:line="360" w:lineRule="auto"/>
              <w:jc w:val="center"/>
              <w:rPr>
                <w:rFonts w:hint="eastAsia" w:ascii="宋体" w:hAnsi="宋体" w:cs="宋体"/>
                <w:sz w:val="24"/>
              </w:rPr>
            </w:pPr>
            <w:r>
              <w:rPr>
                <w:rFonts w:hint="eastAsia" w:ascii="宋体" w:hAnsi="宋体" w:cs="宋体"/>
                <w:sz w:val="24"/>
              </w:rPr>
              <w:t>资金来源</w:t>
            </w:r>
          </w:p>
        </w:tc>
        <w:tc>
          <w:tcPr>
            <w:tcW w:w="7149" w:type="dxa"/>
            <w:tcBorders>
              <w:top w:val="single" w:color="auto" w:sz="4" w:space="0"/>
              <w:left w:val="single" w:color="auto" w:sz="4" w:space="0"/>
              <w:bottom w:val="single" w:color="auto" w:sz="4" w:space="0"/>
              <w:right w:val="single" w:color="auto" w:sz="4" w:space="0"/>
            </w:tcBorders>
            <w:vAlign w:val="center"/>
          </w:tcPr>
          <w:p w14:paraId="081EB844">
            <w:pPr>
              <w:pStyle w:val="26"/>
              <w:wordWrap w:val="0"/>
              <w:spacing w:line="360" w:lineRule="auto"/>
              <w:rPr>
                <w:rFonts w:hint="eastAsia" w:ascii="宋体" w:hAnsi="宋体" w:cs="宋体"/>
              </w:rPr>
            </w:pPr>
            <w:r>
              <w:rPr>
                <w:rFonts w:hint="eastAsia" w:ascii="宋体" w:hAnsi="宋体" w:cs="宋体"/>
              </w:rPr>
              <w:t>财政资金</w:t>
            </w:r>
          </w:p>
        </w:tc>
      </w:tr>
      <w:tr w14:paraId="7250F048">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2DF3C53B">
            <w:pPr>
              <w:spacing w:line="360" w:lineRule="auto"/>
              <w:jc w:val="center"/>
              <w:rPr>
                <w:rFonts w:hint="eastAsia" w:ascii="宋体" w:hAnsi="宋体" w:cs="宋体"/>
                <w:sz w:val="24"/>
              </w:rPr>
            </w:pPr>
            <w:r>
              <w:rPr>
                <w:rFonts w:hint="eastAsia" w:ascii="宋体" w:hAnsi="宋体" w:cs="宋体"/>
                <w:sz w:val="24"/>
              </w:rPr>
              <w:t>1.2.2</w:t>
            </w:r>
          </w:p>
        </w:tc>
        <w:tc>
          <w:tcPr>
            <w:tcW w:w="2337" w:type="dxa"/>
            <w:tcBorders>
              <w:top w:val="single" w:color="auto" w:sz="4" w:space="0"/>
              <w:left w:val="single" w:color="auto" w:sz="4" w:space="0"/>
              <w:bottom w:val="single" w:color="auto" w:sz="4" w:space="0"/>
              <w:right w:val="single" w:color="auto" w:sz="4" w:space="0"/>
            </w:tcBorders>
            <w:vAlign w:val="center"/>
          </w:tcPr>
          <w:p w14:paraId="7BE22965">
            <w:pPr>
              <w:spacing w:line="360" w:lineRule="auto"/>
              <w:jc w:val="center"/>
              <w:rPr>
                <w:rFonts w:hint="eastAsia" w:ascii="宋体" w:hAnsi="宋体" w:cs="宋体"/>
                <w:sz w:val="24"/>
              </w:rPr>
            </w:pPr>
            <w:r>
              <w:rPr>
                <w:rFonts w:hint="eastAsia" w:ascii="宋体" w:hAnsi="宋体" w:cs="宋体"/>
                <w:sz w:val="24"/>
              </w:rPr>
              <w:t>出资比例</w:t>
            </w:r>
          </w:p>
        </w:tc>
        <w:tc>
          <w:tcPr>
            <w:tcW w:w="7149" w:type="dxa"/>
            <w:tcBorders>
              <w:top w:val="single" w:color="auto" w:sz="4" w:space="0"/>
              <w:left w:val="single" w:color="auto" w:sz="4" w:space="0"/>
              <w:bottom w:val="single" w:color="auto" w:sz="4" w:space="0"/>
              <w:right w:val="single" w:color="auto" w:sz="4" w:space="0"/>
            </w:tcBorders>
            <w:vAlign w:val="center"/>
          </w:tcPr>
          <w:p w14:paraId="2E5AF40A">
            <w:pPr>
              <w:pStyle w:val="26"/>
              <w:wordWrap w:val="0"/>
              <w:spacing w:line="360" w:lineRule="auto"/>
              <w:rPr>
                <w:rFonts w:hint="eastAsia" w:ascii="宋体" w:hAnsi="宋体" w:cs="宋体"/>
              </w:rPr>
            </w:pPr>
            <w:r>
              <w:rPr>
                <w:rFonts w:hint="eastAsia" w:ascii="宋体" w:hAnsi="宋体" w:cs="宋体"/>
              </w:rPr>
              <w:t>100%</w:t>
            </w:r>
          </w:p>
        </w:tc>
      </w:tr>
      <w:tr w14:paraId="1C07B053">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261EF364">
            <w:pPr>
              <w:spacing w:line="360" w:lineRule="auto"/>
              <w:jc w:val="center"/>
              <w:rPr>
                <w:rFonts w:hint="eastAsia" w:ascii="宋体" w:hAnsi="宋体" w:cs="宋体"/>
                <w:sz w:val="24"/>
              </w:rPr>
            </w:pPr>
            <w:r>
              <w:rPr>
                <w:rFonts w:hint="eastAsia" w:ascii="宋体" w:hAnsi="宋体" w:cs="宋体"/>
                <w:sz w:val="24"/>
              </w:rPr>
              <w:t>1.2.3</w:t>
            </w:r>
          </w:p>
        </w:tc>
        <w:tc>
          <w:tcPr>
            <w:tcW w:w="2337" w:type="dxa"/>
            <w:tcBorders>
              <w:top w:val="single" w:color="auto" w:sz="4" w:space="0"/>
              <w:left w:val="single" w:color="auto" w:sz="4" w:space="0"/>
              <w:bottom w:val="single" w:color="auto" w:sz="4" w:space="0"/>
              <w:right w:val="single" w:color="auto" w:sz="4" w:space="0"/>
            </w:tcBorders>
            <w:vAlign w:val="center"/>
          </w:tcPr>
          <w:p w14:paraId="0C6C1946">
            <w:pPr>
              <w:spacing w:line="360" w:lineRule="auto"/>
              <w:jc w:val="center"/>
              <w:rPr>
                <w:rFonts w:hint="eastAsia" w:ascii="宋体" w:hAnsi="宋体" w:cs="宋体"/>
                <w:sz w:val="24"/>
              </w:rPr>
            </w:pPr>
            <w:r>
              <w:rPr>
                <w:rFonts w:hint="eastAsia" w:ascii="宋体" w:hAnsi="宋体" w:cs="宋体"/>
                <w:sz w:val="24"/>
              </w:rPr>
              <w:t>资金落实情况</w:t>
            </w:r>
          </w:p>
        </w:tc>
        <w:tc>
          <w:tcPr>
            <w:tcW w:w="7149" w:type="dxa"/>
            <w:tcBorders>
              <w:top w:val="single" w:color="auto" w:sz="4" w:space="0"/>
              <w:left w:val="single" w:color="auto" w:sz="4" w:space="0"/>
              <w:bottom w:val="single" w:color="auto" w:sz="4" w:space="0"/>
              <w:right w:val="single" w:color="auto" w:sz="4" w:space="0"/>
            </w:tcBorders>
            <w:vAlign w:val="center"/>
          </w:tcPr>
          <w:p w14:paraId="2A125305">
            <w:pPr>
              <w:pStyle w:val="26"/>
              <w:wordWrap w:val="0"/>
              <w:spacing w:line="360" w:lineRule="auto"/>
              <w:rPr>
                <w:rFonts w:hint="eastAsia" w:ascii="宋体" w:hAnsi="宋体" w:cs="宋体"/>
              </w:rPr>
            </w:pPr>
            <w:r>
              <w:rPr>
                <w:rFonts w:hint="eastAsia" w:ascii="宋体" w:hAnsi="宋体" w:cs="宋体"/>
              </w:rPr>
              <w:t>已落实</w:t>
            </w:r>
          </w:p>
        </w:tc>
      </w:tr>
      <w:tr w14:paraId="2537A949">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6E041AE5">
            <w:pPr>
              <w:spacing w:line="360" w:lineRule="auto"/>
              <w:jc w:val="center"/>
              <w:rPr>
                <w:rFonts w:hint="eastAsia" w:ascii="宋体" w:hAnsi="宋体" w:cs="宋体"/>
                <w:sz w:val="24"/>
              </w:rPr>
            </w:pPr>
            <w:r>
              <w:rPr>
                <w:rFonts w:hint="eastAsia" w:ascii="宋体" w:hAnsi="宋体" w:cs="宋体"/>
                <w:sz w:val="24"/>
              </w:rPr>
              <w:t>1.3.1</w:t>
            </w:r>
          </w:p>
        </w:tc>
        <w:tc>
          <w:tcPr>
            <w:tcW w:w="2337" w:type="dxa"/>
            <w:tcBorders>
              <w:top w:val="single" w:color="auto" w:sz="4" w:space="0"/>
              <w:left w:val="single" w:color="auto" w:sz="4" w:space="0"/>
              <w:bottom w:val="single" w:color="auto" w:sz="4" w:space="0"/>
              <w:right w:val="single" w:color="auto" w:sz="4" w:space="0"/>
            </w:tcBorders>
            <w:vAlign w:val="center"/>
          </w:tcPr>
          <w:p w14:paraId="2E88AC9E">
            <w:pPr>
              <w:spacing w:line="360" w:lineRule="auto"/>
              <w:jc w:val="center"/>
              <w:rPr>
                <w:rFonts w:hint="eastAsia" w:ascii="宋体" w:hAnsi="宋体" w:cs="宋体"/>
                <w:kern w:val="0"/>
                <w:sz w:val="24"/>
              </w:rPr>
            </w:pPr>
            <w:r>
              <w:rPr>
                <w:rFonts w:hint="eastAsia" w:ascii="宋体" w:hAnsi="宋体" w:cs="宋体"/>
                <w:sz w:val="24"/>
              </w:rPr>
              <w:t>采购内容</w:t>
            </w:r>
          </w:p>
        </w:tc>
        <w:tc>
          <w:tcPr>
            <w:tcW w:w="7149" w:type="dxa"/>
            <w:tcBorders>
              <w:top w:val="single" w:color="auto" w:sz="4" w:space="0"/>
              <w:left w:val="single" w:color="auto" w:sz="4" w:space="0"/>
              <w:bottom w:val="single" w:color="auto" w:sz="4" w:space="0"/>
              <w:right w:val="single" w:color="auto" w:sz="4" w:space="0"/>
            </w:tcBorders>
            <w:vAlign w:val="center"/>
          </w:tcPr>
          <w:p w14:paraId="4C52F2C1">
            <w:pPr>
              <w:spacing w:line="500" w:lineRule="exact"/>
              <w:rPr>
                <w:rFonts w:hint="eastAsia" w:ascii="宋体" w:hAnsi="宋体" w:cs="宋体"/>
                <w:kern w:val="0"/>
                <w:sz w:val="24"/>
              </w:rPr>
            </w:pPr>
            <w:r>
              <w:rPr>
                <w:rFonts w:hint="eastAsia" w:ascii="宋体" w:hAnsi="宋体" w:cs="宋体"/>
                <w:kern w:val="0"/>
                <w:sz w:val="24"/>
              </w:rPr>
              <w:t>彩色喷墨阵列式数码复合机1套、单张纸彩色生产型数字印刷系统1套、图像分光测色仪1套、彩色数字印刷机1套、原位傅里叶变换红外光谱仪及其配套系统1套，包含所有货物的安装、调试、验收、培训、质保期内外服务及其他伴随服务等；具体内容详见竞争性磋商文件第五章“采购需求”。</w:t>
            </w:r>
          </w:p>
        </w:tc>
      </w:tr>
      <w:tr w14:paraId="752B410F">
        <w:tblPrEx>
          <w:tblCellMar>
            <w:top w:w="0" w:type="dxa"/>
            <w:left w:w="108" w:type="dxa"/>
            <w:bottom w:w="0" w:type="dxa"/>
            <w:right w:w="108" w:type="dxa"/>
          </w:tblCellMar>
        </w:tblPrEx>
        <w:trPr>
          <w:trHeight w:val="90"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636620D2">
            <w:pPr>
              <w:spacing w:line="360" w:lineRule="auto"/>
              <w:jc w:val="center"/>
              <w:rPr>
                <w:rFonts w:hint="eastAsia" w:ascii="宋体" w:hAnsi="宋体" w:cs="宋体"/>
                <w:sz w:val="24"/>
              </w:rPr>
            </w:pPr>
            <w:r>
              <w:rPr>
                <w:rFonts w:hint="eastAsia" w:ascii="宋体" w:hAnsi="宋体" w:cs="宋体"/>
                <w:sz w:val="24"/>
              </w:rPr>
              <w:t>1.3.2</w:t>
            </w:r>
          </w:p>
        </w:tc>
        <w:tc>
          <w:tcPr>
            <w:tcW w:w="2337" w:type="dxa"/>
            <w:tcBorders>
              <w:top w:val="single" w:color="auto" w:sz="4" w:space="0"/>
              <w:left w:val="single" w:color="auto" w:sz="4" w:space="0"/>
              <w:bottom w:val="single" w:color="auto" w:sz="4" w:space="0"/>
              <w:right w:val="single" w:color="auto" w:sz="4" w:space="0"/>
            </w:tcBorders>
            <w:vAlign w:val="center"/>
          </w:tcPr>
          <w:p w14:paraId="6006072E">
            <w:pPr>
              <w:spacing w:line="360" w:lineRule="auto"/>
              <w:jc w:val="center"/>
              <w:rPr>
                <w:rFonts w:hint="eastAsia" w:ascii="宋体" w:hAnsi="宋体" w:cs="宋体"/>
                <w:sz w:val="24"/>
              </w:rPr>
            </w:pPr>
            <w:r>
              <w:rPr>
                <w:rFonts w:hint="eastAsia" w:ascii="宋体" w:hAnsi="宋体" w:cs="宋体"/>
                <w:sz w:val="24"/>
              </w:rPr>
              <w:t>质量标准</w:t>
            </w:r>
          </w:p>
        </w:tc>
        <w:tc>
          <w:tcPr>
            <w:tcW w:w="7149" w:type="dxa"/>
            <w:tcBorders>
              <w:top w:val="single" w:color="auto" w:sz="4" w:space="0"/>
              <w:left w:val="single" w:color="auto" w:sz="4" w:space="0"/>
              <w:bottom w:val="single" w:color="auto" w:sz="4" w:space="0"/>
              <w:right w:val="single" w:color="auto" w:sz="4" w:space="0"/>
            </w:tcBorders>
            <w:vAlign w:val="center"/>
          </w:tcPr>
          <w:p w14:paraId="624E6951">
            <w:pPr>
              <w:spacing w:line="360" w:lineRule="auto"/>
              <w:rPr>
                <w:rFonts w:hint="eastAsia" w:ascii="宋体" w:hAnsi="宋体" w:cs="宋体"/>
                <w:spacing w:val="1"/>
                <w:kern w:val="0"/>
                <w:sz w:val="24"/>
              </w:rPr>
            </w:pPr>
            <w:r>
              <w:rPr>
                <w:rFonts w:hint="eastAsia" w:ascii="宋体" w:hAnsi="宋体" w:cs="宋体"/>
                <w:spacing w:val="1"/>
                <w:kern w:val="0"/>
                <w:sz w:val="24"/>
              </w:rPr>
              <w:t>符合国家、行业现行的规范，满足采购人要求的相关质量验收标准。</w:t>
            </w:r>
          </w:p>
        </w:tc>
      </w:tr>
      <w:tr w14:paraId="0054D2C4">
        <w:tblPrEx>
          <w:tblCellMar>
            <w:top w:w="0" w:type="dxa"/>
            <w:left w:w="108" w:type="dxa"/>
            <w:bottom w:w="0" w:type="dxa"/>
            <w:right w:w="108" w:type="dxa"/>
          </w:tblCellMar>
        </w:tblPrEx>
        <w:trPr>
          <w:trHeight w:val="90"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176BC73A">
            <w:pPr>
              <w:spacing w:line="360" w:lineRule="auto"/>
              <w:jc w:val="center"/>
              <w:rPr>
                <w:rFonts w:hint="eastAsia" w:ascii="宋体" w:hAnsi="宋体" w:cs="宋体"/>
                <w:sz w:val="24"/>
              </w:rPr>
            </w:pPr>
            <w:r>
              <w:rPr>
                <w:rFonts w:hint="eastAsia" w:ascii="宋体" w:hAnsi="宋体" w:cs="宋体"/>
                <w:sz w:val="24"/>
              </w:rPr>
              <w:t>1.3.3</w:t>
            </w:r>
          </w:p>
        </w:tc>
        <w:tc>
          <w:tcPr>
            <w:tcW w:w="2337" w:type="dxa"/>
            <w:tcBorders>
              <w:top w:val="single" w:color="auto" w:sz="4" w:space="0"/>
              <w:left w:val="single" w:color="auto" w:sz="4" w:space="0"/>
              <w:bottom w:val="single" w:color="auto" w:sz="4" w:space="0"/>
              <w:right w:val="single" w:color="auto" w:sz="4" w:space="0"/>
            </w:tcBorders>
            <w:vAlign w:val="center"/>
          </w:tcPr>
          <w:p w14:paraId="1CC6A968">
            <w:pPr>
              <w:spacing w:line="360" w:lineRule="auto"/>
              <w:jc w:val="center"/>
              <w:rPr>
                <w:rFonts w:hint="eastAsia" w:ascii="宋体" w:hAnsi="宋体" w:cs="宋体"/>
                <w:sz w:val="24"/>
              </w:rPr>
            </w:pPr>
            <w:r>
              <w:rPr>
                <w:rFonts w:hint="eastAsia" w:ascii="宋体" w:hAnsi="宋体" w:cs="宋体"/>
                <w:sz w:val="24"/>
              </w:rPr>
              <w:t>交货期</w:t>
            </w:r>
          </w:p>
        </w:tc>
        <w:tc>
          <w:tcPr>
            <w:tcW w:w="7149" w:type="dxa"/>
            <w:tcBorders>
              <w:top w:val="single" w:color="auto" w:sz="4" w:space="0"/>
              <w:left w:val="single" w:color="auto" w:sz="4" w:space="0"/>
              <w:bottom w:val="single" w:color="auto" w:sz="4" w:space="0"/>
              <w:right w:val="single" w:color="auto" w:sz="4" w:space="0"/>
            </w:tcBorders>
            <w:vAlign w:val="center"/>
          </w:tcPr>
          <w:p w14:paraId="0C5DAA24">
            <w:pPr>
              <w:spacing w:line="360" w:lineRule="auto"/>
              <w:rPr>
                <w:rFonts w:hint="eastAsia" w:ascii="宋体" w:hAnsi="宋体" w:cs="宋体"/>
                <w:kern w:val="0"/>
                <w:sz w:val="24"/>
                <w:shd w:val="clear" w:color="auto" w:fill="FFFFFF"/>
              </w:rPr>
            </w:pPr>
            <w:r>
              <w:rPr>
                <w:rFonts w:hint="eastAsia" w:ascii="宋体" w:hAnsi="宋体" w:cs="宋体"/>
                <w:kern w:val="0"/>
                <w:sz w:val="24"/>
                <w:shd w:val="clear" w:color="auto" w:fill="FFFFFF"/>
              </w:rPr>
              <w:t>合同签订之日起60日历天内交货并完成安装调试。</w:t>
            </w:r>
          </w:p>
        </w:tc>
      </w:tr>
      <w:tr w14:paraId="431A476C">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512658B5">
            <w:pPr>
              <w:spacing w:line="360" w:lineRule="auto"/>
              <w:jc w:val="center"/>
              <w:rPr>
                <w:rFonts w:hint="eastAsia" w:ascii="宋体" w:hAnsi="宋体" w:cs="宋体"/>
                <w:sz w:val="24"/>
              </w:rPr>
            </w:pPr>
            <w:r>
              <w:rPr>
                <w:rFonts w:hint="eastAsia" w:ascii="宋体" w:hAnsi="宋体" w:cs="宋体"/>
                <w:sz w:val="24"/>
              </w:rPr>
              <w:t>1.3.4</w:t>
            </w:r>
          </w:p>
        </w:tc>
        <w:tc>
          <w:tcPr>
            <w:tcW w:w="2337" w:type="dxa"/>
            <w:tcBorders>
              <w:top w:val="single" w:color="auto" w:sz="4" w:space="0"/>
              <w:left w:val="single" w:color="auto" w:sz="4" w:space="0"/>
              <w:bottom w:val="single" w:color="auto" w:sz="4" w:space="0"/>
              <w:right w:val="single" w:color="auto" w:sz="4" w:space="0"/>
            </w:tcBorders>
            <w:vAlign w:val="center"/>
          </w:tcPr>
          <w:p w14:paraId="4725F7BD">
            <w:pPr>
              <w:spacing w:line="360" w:lineRule="auto"/>
              <w:jc w:val="center"/>
              <w:rPr>
                <w:rFonts w:hint="eastAsia" w:ascii="宋体" w:hAnsi="宋体" w:cs="宋体"/>
                <w:sz w:val="24"/>
              </w:rPr>
            </w:pPr>
            <w:r>
              <w:rPr>
                <w:rFonts w:hint="eastAsia" w:ascii="宋体" w:hAnsi="宋体" w:cs="宋体"/>
                <w:sz w:val="24"/>
              </w:rPr>
              <w:t>交货地点</w:t>
            </w:r>
          </w:p>
        </w:tc>
        <w:tc>
          <w:tcPr>
            <w:tcW w:w="7149" w:type="dxa"/>
            <w:tcBorders>
              <w:top w:val="single" w:color="auto" w:sz="4" w:space="0"/>
              <w:left w:val="single" w:color="auto" w:sz="4" w:space="0"/>
              <w:bottom w:val="single" w:color="auto" w:sz="4" w:space="0"/>
              <w:right w:val="single" w:color="auto" w:sz="4" w:space="0"/>
            </w:tcBorders>
            <w:vAlign w:val="center"/>
          </w:tcPr>
          <w:p w14:paraId="169DE9AD">
            <w:pPr>
              <w:spacing w:line="360" w:lineRule="auto"/>
              <w:jc w:val="left"/>
              <w:rPr>
                <w:rFonts w:hint="eastAsia" w:ascii="宋体" w:hAnsi="宋体" w:cs="宋体"/>
                <w:spacing w:val="1"/>
                <w:kern w:val="0"/>
                <w:sz w:val="24"/>
              </w:rPr>
            </w:pPr>
            <w:r>
              <w:rPr>
                <w:rFonts w:hint="eastAsia" w:ascii="宋体" w:hAnsi="宋体" w:cs="宋体"/>
                <w:sz w:val="24"/>
              </w:rPr>
              <w:t>采购人指定地点</w:t>
            </w:r>
            <w:r>
              <w:rPr>
                <w:rFonts w:hint="eastAsia" w:ascii="宋体" w:hAnsi="宋体" w:cs="宋体"/>
                <w:spacing w:val="1"/>
                <w:kern w:val="0"/>
                <w:sz w:val="24"/>
              </w:rPr>
              <w:t>。</w:t>
            </w:r>
          </w:p>
        </w:tc>
      </w:tr>
      <w:tr w14:paraId="5022DACA">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6232CF34">
            <w:pPr>
              <w:spacing w:line="360" w:lineRule="auto"/>
              <w:jc w:val="center"/>
              <w:rPr>
                <w:rFonts w:hint="eastAsia" w:ascii="宋体" w:hAnsi="宋体" w:cs="宋体"/>
                <w:sz w:val="24"/>
              </w:rPr>
            </w:pPr>
            <w:r>
              <w:rPr>
                <w:rFonts w:hint="eastAsia" w:ascii="宋体" w:hAnsi="宋体" w:cs="宋体"/>
                <w:sz w:val="24"/>
              </w:rPr>
              <w:t>1.3.5</w:t>
            </w:r>
          </w:p>
        </w:tc>
        <w:tc>
          <w:tcPr>
            <w:tcW w:w="2337" w:type="dxa"/>
            <w:tcBorders>
              <w:top w:val="single" w:color="auto" w:sz="4" w:space="0"/>
              <w:left w:val="single" w:color="auto" w:sz="4" w:space="0"/>
              <w:bottom w:val="single" w:color="auto" w:sz="4" w:space="0"/>
              <w:right w:val="single" w:color="auto" w:sz="4" w:space="0"/>
            </w:tcBorders>
            <w:vAlign w:val="center"/>
          </w:tcPr>
          <w:p w14:paraId="5243D6FB">
            <w:pPr>
              <w:spacing w:line="360" w:lineRule="auto"/>
              <w:jc w:val="center"/>
              <w:rPr>
                <w:rFonts w:hint="eastAsia" w:ascii="宋体" w:hAnsi="宋体" w:cs="宋体"/>
                <w:sz w:val="24"/>
              </w:rPr>
            </w:pPr>
            <w:r>
              <w:rPr>
                <w:rFonts w:hint="eastAsia"/>
                <w:sz w:val="24"/>
                <w:szCs w:val="32"/>
              </w:rPr>
              <w:t>质保期</w:t>
            </w:r>
          </w:p>
        </w:tc>
        <w:tc>
          <w:tcPr>
            <w:tcW w:w="7149" w:type="dxa"/>
            <w:tcBorders>
              <w:top w:val="single" w:color="auto" w:sz="4" w:space="0"/>
              <w:left w:val="single" w:color="auto" w:sz="4" w:space="0"/>
              <w:bottom w:val="single" w:color="auto" w:sz="4" w:space="0"/>
              <w:right w:val="single" w:color="auto" w:sz="4" w:space="0"/>
            </w:tcBorders>
            <w:vAlign w:val="center"/>
          </w:tcPr>
          <w:p w14:paraId="0F9B33E7">
            <w:pPr>
              <w:spacing w:line="360" w:lineRule="auto"/>
              <w:jc w:val="left"/>
              <w:rPr>
                <w:rFonts w:hint="eastAsia" w:ascii="宋体" w:hAnsi="宋体" w:cs="宋体"/>
                <w:sz w:val="24"/>
              </w:rPr>
            </w:pPr>
            <w:r>
              <w:rPr>
                <w:rFonts w:hint="eastAsia" w:ascii="宋体" w:hAnsi="宋体" w:cs="宋体"/>
                <w:sz w:val="24"/>
              </w:rPr>
              <w:t>自验收合格之日起1年。</w:t>
            </w:r>
          </w:p>
        </w:tc>
      </w:tr>
      <w:tr w14:paraId="29F98EFE">
        <w:tblPrEx>
          <w:tblCellMar>
            <w:top w:w="0" w:type="dxa"/>
            <w:left w:w="108" w:type="dxa"/>
            <w:bottom w:w="0" w:type="dxa"/>
            <w:right w:w="108" w:type="dxa"/>
          </w:tblCellMar>
        </w:tblPrEx>
        <w:trPr>
          <w:trHeight w:val="417"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64306839">
            <w:pPr>
              <w:spacing w:line="360" w:lineRule="auto"/>
              <w:jc w:val="center"/>
              <w:rPr>
                <w:rFonts w:hint="eastAsia" w:ascii="宋体" w:hAnsi="宋体" w:cs="宋体"/>
                <w:sz w:val="24"/>
              </w:rPr>
            </w:pPr>
            <w:r>
              <w:rPr>
                <w:rFonts w:hint="eastAsia" w:ascii="宋体" w:hAnsi="宋体" w:cs="宋体"/>
                <w:sz w:val="24"/>
              </w:rPr>
              <w:t>1.4.1</w:t>
            </w:r>
          </w:p>
        </w:tc>
        <w:tc>
          <w:tcPr>
            <w:tcW w:w="2337" w:type="dxa"/>
            <w:tcBorders>
              <w:top w:val="single" w:color="auto" w:sz="4" w:space="0"/>
              <w:left w:val="single" w:color="auto" w:sz="4" w:space="0"/>
              <w:bottom w:val="single" w:color="auto" w:sz="4" w:space="0"/>
              <w:right w:val="single" w:color="auto" w:sz="4" w:space="0"/>
            </w:tcBorders>
            <w:vAlign w:val="center"/>
          </w:tcPr>
          <w:p w14:paraId="301B41AD">
            <w:pPr>
              <w:spacing w:line="360" w:lineRule="auto"/>
              <w:jc w:val="center"/>
              <w:rPr>
                <w:rFonts w:hint="eastAsia" w:ascii="宋体" w:hAnsi="宋体" w:cs="宋体"/>
                <w:sz w:val="24"/>
              </w:rPr>
            </w:pPr>
            <w:r>
              <w:rPr>
                <w:rFonts w:hint="eastAsia" w:ascii="宋体" w:hAnsi="宋体" w:cs="宋体"/>
                <w:sz w:val="24"/>
              </w:rPr>
              <w:t>供应商资格要求</w:t>
            </w:r>
          </w:p>
        </w:tc>
        <w:tc>
          <w:tcPr>
            <w:tcW w:w="7149" w:type="dxa"/>
            <w:tcBorders>
              <w:top w:val="single" w:color="auto" w:sz="4" w:space="0"/>
              <w:left w:val="single" w:color="auto" w:sz="4" w:space="0"/>
              <w:bottom w:val="single" w:color="auto" w:sz="4" w:space="0"/>
              <w:right w:val="single" w:color="auto" w:sz="4" w:space="0"/>
            </w:tcBorders>
            <w:vAlign w:val="center"/>
          </w:tcPr>
          <w:p w14:paraId="20B36410">
            <w:pPr>
              <w:numPr>
                <w:ilvl w:val="0"/>
                <w:numId w:val="2"/>
              </w:numPr>
              <w:spacing w:line="360" w:lineRule="auto"/>
              <w:jc w:val="left"/>
              <w:rPr>
                <w:rFonts w:hint="eastAsia" w:ascii="宋体" w:hAnsi="宋体" w:cs="宋体"/>
                <w:b/>
                <w:bCs/>
                <w:sz w:val="24"/>
              </w:rPr>
            </w:pPr>
            <w:r>
              <w:rPr>
                <w:rFonts w:hint="eastAsia" w:ascii="宋体" w:hAnsi="宋体" w:cs="宋体"/>
                <w:b/>
                <w:bCs/>
                <w:sz w:val="24"/>
              </w:rPr>
              <w:t>满足《中华人民共和国政府采购法》第二十二条规定：</w:t>
            </w:r>
          </w:p>
          <w:p w14:paraId="1D1287F7">
            <w:pPr>
              <w:adjustRightInd w:val="0"/>
              <w:spacing w:line="360" w:lineRule="auto"/>
              <w:textAlignment w:val="baseline"/>
              <w:rPr>
                <w:rFonts w:hint="eastAsia" w:ascii="宋体" w:hAnsi="宋体" w:cs="宋体"/>
                <w:sz w:val="24"/>
              </w:rPr>
            </w:pPr>
            <w:r>
              <w:rPr>
                <w:rFonts w:hint="eastAsia" w:ascii="宋体" w:hAnsi="宋体" w:cs="宋体"/>
                <w:sz w:val="24"/>
              </w:rPr>
              <w:t>①具有独立承担民事责任的能力（在中华人民共和国境内具备履行合同所必需的设备和专业技术能力的法人或者其他组织或自然人，提供有效的营业执照或相关的证明文件）；</w:t>
            </w:r>
          </w:p>
          <w:p w14:paraId="6AF6D383">
            <w:pPr>
              <w:adjustRightInd w:val="0"/>
              <w:spacing w:line="360" w:lineRule="auto"/>
              <w:textAlignment w:val="baseline"/>
              <w:rPr>
                <w:rFonts w:hint="eastAsia" w:ascii="宋体" w:hAnsi="宋体" w:cs="宋体"/>
                <w:sz w:val="24"/>
              </w:rPr>
            </w:pPr>
            <w:r>
              <w:rPr>
                <w:rFonts w:hint="eastAsia" w:ascii="宋体" w:hAnsi="宋体" w:cs="宋体"/>
                <w:sz w:val="24"/>
              </w:rPr>
              <w:t>②具有良好的商业信誉和健全的财务会计制度（提供2025年度财务审计报告，新成立不足一年的供应商若无审计报告的可提供基本户开户银行开具的有效的资信证明）；</w:t>
            </w:r>
          </w:p>
          <w:p w14:paraId="1A1D3F0E">
            <w:pPr>
              <w:adjustRightInd w:val="0"/>
              <w:spacing w:line="360" w:lineRule="auto"/>
              <w:textAlignment w:val="baseline"/>
              <w:rPr>
                <w:rFonts w:hint="eastAsia" w:ascii="宋体" w:hAnsi="宋体" w:cs="宋体"/>
                <w:sz w:val="24"/>
              </w:rPr>
            </w:pPr>
            <w:r>
              <w:rPr>
                <w:rFonts w:hint="eastAsia" w:ascii="宋体" w:hAnsi="宋体" w:cs="宋体"/>
                <w:sz w:val="24"/>
              </w:rPr>
              <w:t>③具有履行合同所必需的设备和专业技术能力（提供承诺书，加盖公章）；</w:t>
            </w:r>
          </w:p>
          <w:p w14:paraId="6F08B64D">
            <w:pPr>
              <w:adjustRightInd w:val="0"/>
              <w:spacing w:line="360" w:lineRule="auto"/>
              <w:textAlignment w:val="baseline"/>
              <w:rPr>
                <w:rFonts w:hint="eastAsia" w:ascii="宋体" w:hAnsi="宋体" w:cs="宋体"/>
                <w:sz w:val="24"/>
              </w:rPr>
            </w:pPr>
            <w:r>
              <w:rPr>
                <w:rFonts w:hint="eastAsia" w:ascii="宋体" w:hAnsi="宋体" w:cs="宋体"/>
                <w:sz w:val="24"/>
              </w:rPr>
              <w:t>④有依法缴纳税收和社会保障资金的良好记录（提供2026年1月1日以来交纳的社保缴纳证明(电子缴款凭证或银行扣款回单或相关部门开具的票据)及纳税证明(电子缴款凭证或银行扣款回单或税局开具的凭据)，其中任意1个月即可,依法免税和不需要缴纳社会保障资金的供应商，应提供相应文件证明其依法免税或者不需要缴纳社会保障资金）；</w:t>
            </w:r>
          </w:p>
          <w:p w14:paraId="3C46AD58">
            <w:pPr>
              <w:adjustRightInd w:val="0"/>
              <w:spacing w:line="360" w:lineRule="auto"/>
              <w:textAlignment w:val="baseline"/>
              <w:rPr>
                <w:rFonts w:hint="eastAsia" w:ascii="宋体" w:hAnsi="宋体" w:cs="宋体"/>
                <w:sz w:val="24"/>
              </w:rPr>
            </w:pPr>
            <w:r>
              <w:rPr>
                <w:rFonts w:hint="eastAsia" w:ascii="宋体" w:hAnsi="宋体" w:cs="宋体"/>
                <w:sz w:val="24"/>
              </w:rPr>
              <w:t>⑤参加政府采购活动前三年内，在经营活动中没有重大违法记录的声明（提供承诺书，加盖公章）。</w:t>
            </w:r>
          </w:p>
          <w:p w14:paraId="7E74EF18">
            <w:pPr>
              <w:numPr>
                <w:ilvl w:val="0"/>
                <w:numId w:val="2"/>
              </w:numPr>
              <w:spacing w:line="360" w:lineRule="auto"/>
              <w:jc w:val="left"/>
              <w:rPr>
                <w:rFonts w:hint="eastAsia" w:ascii="宋体" w:hAnsi="宋体" w:cs="宋体"/>
                <w:b/>
                <w:bCs/>
                <w:sz w:val="24"/>
              </w:rPr>
            </w:pPr>
            <w:r>
              <w:rPr>
                <w:rFonts w:hint="eastAsia" w:ascii="宋体" w:hAnsi="宋体" w:cs="宋体"/>
                <w:b/>
                <w:bCs/>
                <w:sz w:val="24"/>
              </w:rPr>
              <w:t>落实政府采购政策需满足的资格要求:</w:t>
            </w:r>
            <w:r>
              <w:rPr>
                <w:rFonts w:hint="eastAsia" w:ascii="宋体" w:hAnsi="宋体" w:cs="宋体"/>
                <w:sz w:val="24"/>
              </w:rPr>
              <w:t>无；</w:t>
            </w:r>
          </w:p>
          <w:p w14:paraId="67055BA9">
            <w:pPr>
              <w:spacing w:line="360" w:lineRule="auto"/>
              <w:jc w:val="left"/>
              <w:rPr>
                <w:rFonts w:hint="eastAsia" w:ascii="宋体" w:hAnsi="宋体" w:cs="宋体"/>
                <w:b/>
                <w:bCs/>
                <w:sz w:val="24"/>
              </w:rPr>
            </w:pPr>
            <w:r>
              <w:rPr>
                <w:rFonts w:hint="eastAsia" w:ascii="宋体" w:hAnsi="宋体" w:cs="宋体"/>
                <w:b/>
                <w:bCs/>
                <w:sz w:val="24"/>
              </w:rPr>
              <w:t>3、本项目的特定资格要求：</w:t>
            </w:r>
          </w:p>
          <w:p w14:paraId="539A4A9E">
            <w:pPr>
              <w:spacing w:line="360" w:lineRule="auto"/>
              <w:jc w:val="left"/>
              <w:rPr>
                <w:rFonts w:hint="eastAsia" w:ascii="宋体" w:hAnsi="宋体" w:cs="宋体"/>
                <w:sz w:val="24"/>
              </w:rPr>
            </w:pPr>
            <w:r>
              <w:rPr>
                <w:rFonts w:hint="eastAsia" w:ascii="宋体" w:hAnsi="宋体" w:cs="宋体"/>
                <w:sz w:val="24"/>
              </w:rPr>
              <w:t>3.1根据《关于在政府采购活动中查询及使用信用记录有关问题的通知》（财库[2016]125号）和豫财购【2016】15号的规定，对列入失信被执行人、重大税收违法失信主体、政府采购严重违法失信行为记录名单的供应商，拒绝参与本项目政府采购活动。查询渠道：a.“信用中国”网站查询内容：重大税收违法失信主体；b.“中国执行信息公开网”网站查询内容：失信被执行人；c.中国政府采购网查询内容：政府采购严重违法失信行为记录名单。采购人或采购代理机构在提交响应文件截止时间至评审结束之前将通过“信用中国”网站、中国执行信息公开网、中国政府采购网查询供应商信用记录，被列入“信用中国”网站的“重大税收违法失信主体”、中国执行信息公开网“失信被执行人”、“中国政府采购”网站的“政府采购严重违法失信行为记录名单”的供应商，采购人、采购代理机构将视为无效投标，并将查询网页、内容进行截图，以作证据存档。</w:t>
            </w:r>
          </w:p>
          <w:p w14:paraId="612D82A3">
            <w:pPr>
              <w:spacing w:line="360" w:lineRule="auto"/>
              <w:jc w:val="left"/>
              <w:rPr>
                <w:rFonts w:hint="eastAsia" w:ascii="宋体" w:hAnsi="宋体" w:cs="宋体"/>
                <w:sz w:val="24"/>
              </w:rPr>
            </w:pPr>
            <w:r>
              <w:rPr>
                <w:rFonts w:hint="eastAsia" w:ascii="宋体" w:hAnsi="宋体" w:cs="宋体"/>
                <w:sz w:val="24"/>
              </w:rPr>
              <w:t>3.2单位负责人为同一人或者存在直接控股、管理关系的不同供应商，不得参加同一合同项下的政府采购活动（提供承诺书，加盖公章）</w:t>
            </w:r>
          </w:p>
        </w:tc>
      </w:tr>
      <w:tr w14:paraId="118FC7C4">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65EF6FB4">
            <w:pPr>
              <w:spacing w:line="360" w:lineRule="auto"/>
              <w:jc w:val="center"/>
              <w:rPr>
                <w:rFonts w:hint="eastAsia" w:ascii="宋体" w:hAnsi="宋体" w:cs="宋体"/>
                <w:sz w:val="24"/>
              </w:rPr>
            </w:pPr>
            <w:r>
              <w:rPr>
                <w:rFonts w:hint="eastAsia" w:ascii="宋体" w:hAnsi="宋体" w:cs="宋体"/>
                <w:sz w:val="24"/>
              </w:rPr>
              <w:t>1.4.2</w:t>
            </w:r>
          </w:p>
        </w:tc>
        <w:tc>
          <w:tcPr>
            <w:tcW w:w="2337" w:type="dxa"/>
            <w:tcBorders>
              <w:top w:val="single" w:color="auto" w:sz="4" w:space="0"/>
              <w:left w:val="single" w:color="auto" w:sz="4" w:space="0"/>
              <w:bottom w:val="single" w:color="auto" w:sz="4" w:space="0"/>
              <w:right w:val="single" w:color="auto" w:sz="4" w:space="0"/>
            </w:tcBorders>
            <w:vAlign w:val="center"/>
          </w:tcPr>
          <w:p w14:paraId="2D9D2688">
            <w:pPr>
              <w:spacing w:line="360" w:lineRule="auto"/>
              <w:jc w:val="center"/>
              <w:rPr>
                <w:rFonts w:hint="eastAsia" w:ascii="宋体" w:hAnsi="宋体" w:cs="宋体"/>
                <w:sz w:val="24"/>
              </w:rPr>
            </w:pPr>
            <w:r>
              <w:rPr>
                <w:rFonts w:hint="eastAsia" w:ascii="宋体" w:hAnsi="宋体" w:cs="宋体"/>
                <w:sz w:val="24"/>
              </w:rPr>
              <w:t>是否接受联合体投标</w:t>
            </w:r>
          </w:p>
        </w:tc>
        <w:tc>
          <w:tcPr>
            <w:tcW w:w="7149" w:type="dxa"/>
            <w:tcBorders>
              <w:top w:val="single" w:color="auto" w:sz="4" w:space="0"/>
              <w:left w:val="single" w:color="auto" w:sz="4" w:space="0"/>
              <w:bottom w:val="single" w:color="auto" w:sz="4" w:space="0"/>
              <w:right w:val="single" w:color="auto" w:sz="4" w:space="0"/>
            </w:tcBorders>
            <w:vAlign w:val="center"/>
          </w:tcPr>
          <w:p w14:paraId="00DBF698">
            <w:pPr>
              <w:pStyle w:val="26"/>
              <w:spacing w:line="360" w:lineRule="auto"/>
              <w:rPr>
                <w:rFonts w:hint="eastAsia" w:ascii="宋体" w:hAnsi="宋体" w:cs="宋体"/>
              </w:rPr>
            </w:pPr>
            <w:r>
              <w:rPr>
                <w:rFonts w:hint="eastAsia" w:ascii="宋体" w:hAnsi="宋体" w:cs="宋体"/>
              </w:rPr>
              <w:t>不接受</w:t>
            </w:r>
          </w:p>
        </w:tc>
      </w:tr>
      <w:tr w14:paraId="3B6FA2C7">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53EF5390">
            <w:pPr>
              <w:spacing w:line="360" w:lineRule="auto"/>
              <w:jc w:val="center"/>
              <w:rPr>
                <w:rFonts w:hint="eastAsia" w:ascii="宋体" w:hAnsi="宋体" w:cs="宋体"/>
                <w:sz w:val="24"/>
              </w:rPr>
            </w:pPr>
            <w:r>
              <w:rPr>
                <w:rFonts w:hint="eastAsia" w:ascii="宋体" w:hAnsi="宋体" w:cs="宋体"/>
                <w:sz w:val="24"/>
              </w:rPr>
              <w:t>1.9.1</w:t>
            </w:r>
          </w:p>
        </w:tc>
        <w:tc>
          <w:tcPr>
            <w:tcW w:w="2337" w:type="dxa"/>
            <w:tcBorders>
              <w:top w:val="single" w:color="auto" w:sz="4" w:space="0"/>
              <w:left w:val="single" w:color="auto" w:sz="4" w:space="0"/>
              <w:bottom w:val="single" w:color="auto" w:sz="4" w:space="0"/>
              <w:right w:val="single" w:color="auto" w:sz="4" w:space="0"/>
            </w:tcBorders>
            <w:vAlign w:val="center"/>
          </w:tcPr>
          <w:p w14:paraId="1F65AAD8">
            <w:pPr>
              <w:spacing w:line="360" w:lineRule="auto"/>
              <w:jc w:val="center"/>
              <w:rPr>
                <w:rFonts w:hint="eastAsia" w:ascii="宋体" w:hAnsi="宋体" w:cs="宋体"/>
                <w:sz w:val="24"/>
              </w:rPr>
            </w:pPr>
            <w:r>
              <w:rPr>
                <w:rFonts w:hint="eastAsia" w:ascii="宋体" w:hAnsi="宋体" w:cs="宋体"/>
                <w:sz w:val="24"/>
              </w:rPr>
              <w:t>踏勘现场</w:t>
            </w:r>
          </w:p>
        </w:tc>
        <w:tc>
          <w:tcPr>
            <w:tcW w:w="7149" w:type="dxa"/>
            <w:tcBorders>
              <w:top w:val="single" w:color="auto" w:sz="4" w:space="0"/>
              <w:left w:val="single" w:color="auto" w:sz="4" w:space="0"/>
              <w:bottom w:val="single" w:color="auto" w:sz="4" w:space="0"/>
              <w:right w:val="single" w:color="auto" w:sz="4" w:space="0"/>
            </w:tcBorders>
            <w:vAlign w:val="center"/>
          </w:tcPr>
          <w:p w14:paraId="1A57F571">
            <w:pPr>
              <w:pStyle w:val="26"/>
              <w:spacing w:line="360" w:lineRule="auto"/>
              <w:rPr>
                <w:rFonts w:hint="eastAsia" w:ascii="宋体" w:hAnsi="宋体" w:cs="宋体"/>
              </w:rPr>
            </w:pPr>
            <w:r>
              <w:rPr>
                <w:rFonts w:hint="eastAsia" w:ascii="宋体" w:hAnsi="宋体" w:cs="宋体"/>
              </w:rPr>
              <w:t>不组织，供应商自行踏勘</w:t>
            </w:r>
          </w:p>
        </w:tc>
      </w:tr>
      <w:tr w14:paraId="2B5BB739">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44C48502">
            <w:pPr>
              <w:spacing w:line="360" w:lineRule="auto"/>
              <w:jc w:val="center"/>
              <w:rPr>
                <w:rFonts w:hint="eastAsia" w:ascii="宋体" w:hAnsi="宋体" w:cs="宋体"/>
                <w:sz w:val="24"/>
              </w:rPr>
            </w:pPr>
            <w:r>
              <w:rPr>
                <w:rFonts w:hint="eastAsia" w:ascii="宋体" w:hAnsi="宋体" w:cs="宋体"/>
                <w:sz w:val="24"/>
              </w:rPr>
              <w:t>1.10.1</w:t>
            </w:r>
          </w:p>
        </w:tc>
        <w:tc>
          <w:tcPr>
            <w:tcW w:w="2337" w:type="dxa"/>
            <w:tcBorders>
              <w:top w:val="single" w:color="auto" w:sz="4" w:space="0"/>
              <w:left w:val="single" w:color="auto" w:sz="4" w:space="0"/>
              <w:bottom w:val="single" w:color="auto" w:sz="4" w:space="0"/>
              <w:right w:val="single" w:color="auto" w:sz="4" w:space="0"/>
            </w:tcBorders>
            <w:vAlign w:val="center"/>
          </w:tcPr>
          <w:p w14:paraId="422F79F7">
            <w:pPr>
              <w:spacing w:line="360" w:lineRule="auto"/>
              <w:jc w:val="center"/>
              <w:rPr>
                <w:rFonts w:hint="eastAsia" w:ascii="宋体" w:hAnsi="宋体" w:cs="宋体"/>
                <w:sz w:val="24"/>
              </w:rPr>
            </w:pPr>
            <w:r>
              <w:rPr>
                <w:rFonts w:hint="eastAsia" w:ascii="宋体" w:hAnsi="宋体" w:cs="宋体"/>
                <w:sz w:val="24"/>
              </w:rPr>
              <w:t>投标预备会</w:t>
            </w:r>
          </w:p>
        </w:tc>
        <w:tc>
          <w:tcPr>
            <w:tcW w:w="7149" w:type="dxa"/>
            <w:tcBorders>
              <w:top w:val="single" w:color="auto" w:sz="4" w:space="0"/>
              <w:left w:val="single" w:color="auto" w:sz="4" w:space="0"/>
              <w:bottom w:val="single" w:color="auto" w:sz="4" w:space="0"/>
              <w:right w:val="single" w:color="auto" w:sz="4" w:space="0"/>
            </w:tcBorders>
            <w:vAlign w:val="center"/>
          </w:tcPr>
          <w:p w14:paraId="3266C336">
            <w:pPr>
              <w:pStyle w:val="26"/>
              <w:spacing w:line="360" w:lineRule="auto"/>
              <w:rPr>
                <w:rFonts w:hint="eastAsia" w:ascii="宋体" w:hAnsi="宋体" w:cs="宋体"/>
              </w:rPr>
            </w:pPr>
            <w:r>
              <w:rPr>
                <w:rFonts w:hint="eastAsia" w:ascii="宋体" w:hAnsi="宋体" w:cs="宋体"/>
              </w:rPr>
              <w:t>不组织</w:t>
            </w:r>
          </w:p>
        </w:tc>
      </w:tr>
      <w:tr w14:paraId="408B6A38">
        <w:tblPrEx>
          <w:tblCellMar>
            <w:top w:w="0" w:type="dxa"/>
            <w:left w:w="108" w:type="dxa"/>
            <w:bottom w:w="0" w:type="dxa"/>
            <w:right w:w="108" w:type="dxa"/>
          </w:tblCellMar>
        </w:tblPrEx>
        <w:trPr>
          <w:trHeight w:val="34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7890DFEB">
            <w:pPr>
              <w:spacing w:line="360" w:lineRule="auto"/>
              <w:jc w:val="center"/>
              <w:rPr>
                <w:rFonts w:hint="eastAsia" w:ascii="宋体" w:hAnsi="宋体" w:cs="宋体"/>
                <w:sz w:val="24"/>
              </w:rPr>
            </w:pPr>
            <w:r>
              <w:rPr>
                <w:rFonts w:hint="eastAsia" w:ascii="宋体" w:hAnsi="宋体" w:cs="宋体"/>
                <w:sz w:val="24"/>
              </w:rPr>
              <w:t>1.10.2</w:t>
            </w:r>
          </w:p>
        </w:tc>
        <w:tc>
          <w:tcPr>
            <w:tcW w:w="2337" w:type="dxa"/>
            <w:tcBorders>
              <w:top w:val="single" w:color="auto" w:sz="4" w:space="0"/>
              <w:left w:val="single" w:color="auto" w:sz="4" w:space="0"/>
              <w:bottom w:val="single" w:color="auto" w:sz="4" w:space="0"/>
              <w:right w:val="single" w:color="auto" w:sz="4" w:space="0"/>
            </w:tcBorders>
            <w:vAlign w:val="center"/>
          </w:tcPr>
          <w:p w14:paraId="68EB2EE2">
            <w:pPr>
              <w:spacing w:line="360" w:lineRule="auto"/>
              <w:jc w:val="center"/>
              <w:rPr>
                <w:rFonts w:hint="eastAsia" w:ascii="宋体" w:hAnsi="宋体" w:cs="宋体"/>
                <w:sz w:val="24"/>
              </w:rPr>
            </w:pPr>
            <w:r>
              <w:rPr>
                <w:rFonts w:hint="eastAsia" w:ascii="宋体" w:hAnsi="宋体" w:cs="宋体"/>
                <w:sz w:val="24"/>
              </w:rPr>
              <w:t>供应商提出问题的截止时间</w:t>
            </w:r>
          </w:p>
        </w:tc>
        <w:tc>
          <w:tcPr>
            <w:tcW w:w="7149" w:type="dxa"/>
            <w:tcBorders>
              <w:top w:val="single" w:color="auto" w:sz="4" w:space="0"/>
              <w:left w:val="single" w:color="auto" w:sz="4" w:space="0"/>
              <w:bottom w:val="single" w:color="auto" w:sz="4" w:space="0"/>
              <w:right w:val="single" w:color="auto" w:sz="4" w:space="0"/>
            </w:tcBorders>
            <w:vAlign w:val="center"/>
          </w:tcPr>
          <w:p w14:paraId="21727F53">
            <w:pPr>
              <w:pStyle w:val="26"/>
              <w:spacing w:line="360" w:lineRule="auto"/>
              <w:rPr>
                <w:rFonts w:hint="eastAsia" w:ascii="宋体" w:hAnsi="宋体" w:cs="宋体"/>
              </w:rPr>
            </w:pPr>
            <w:r>
              <w:rPr>
                <w:rFonts w:hint="eastAsia" w:ascii="宋体" w:hAnsi="宋体" w:cs="宋体"/>
              </w:rPr>
              <w:t>响应文件递交的截止之日5日前</w:t>
            </w:r>
          </w:p>
        </w:tc>
      </w:tr>
      <w:tr w14:paraId="64835B69">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3F76C2BB">
            <w:pPr>
              <w:spacing w:line="360" w:lineRule="auto"/>
              <w:jc w:val="center"/>
              <w:rPr>
                <w:rFonts w:hint="eastAsia" w:ascii="宋体" w:hAnsi="宋体" w:cs="宋体"/>
                <w:sz w:val="24"/>
              </w:rPr>
            </w:pPr>
            <w:r>
              <w:rPr>
                <w:rFonts w:hint="eastAsia" w:ascii="宋体" w:hAnsi="宋体" w:cs="宋体"/>
                <w:sz w:val="24"/>
              </w:rPr>
              <w:t>1.10.3</w:t>
            </w:r>
          </w:p>
        </w:tc>
        <w:tc>
          <w:tcPr>
            <w:tcW w:w="2337" w:type="dxa"/>
            <w:tcBorders>
              <w:top w:val="single" w:color="auto" w:sz="4" w:space="0"/>
              <w:left w:val="single" w:color="auto" w:sz="4" w:space="0"/>
              <w:bottom w:val="single" w:color="auto" w:sz="4" w:space="0"/>
              <w:right w:val="single" w:color="auto" w:sz="4" w:space="0"/>
            </w:tcBorders>
            <w:vAlign w:val="center"/>
          </w:tcPr>
          <w:p w14:paraId="4A195859">
            <w:pPr>
              <w:spacing w:line="360" w:lineRule="auto"/>
              <w:jc w:val="center"/>
              <w:rPr>
                <w:rFonts w:hint="eastAsia" w:ascii="宋体" w:hAnsi="宋体" w:cs="宋体"/>
                <w:sz w:val="24"/>
              </w:rPr>
            </w:pPr>
            <w:r>
              <w:rPr>
                <w:rFonts w:hint="eastAsia" w:ascii="宋体" w:hAnsi="宋体" w:cs="宋体"/>
                <w:sz w:val="24"/>
              </w:rPr>
              <w:t>采购人书面澄清的时间</w:t>
            </w:r>
          </w:p>
        </w:tc>
        <w:tc>
          <w:tcPr>
            <w:tcW w:w="7149" w:type="dxa"/>
            <w:tcBorders>
              <w:top w:val="single" w:color="auto" w:sz="4" w:space="0"/>
              <w:left w:val="single" w:color="auto" w:sz="4" w:space="0"/>
              <w:bottom w:val="single" w:color="auto" w:sz="4" w:space="0"/>
              <w:right w:val="single" w:color="auto" w:sz="4" w:space="0"/>
            </w:tcBorders>
            <w:vAlign w:val="center"/>
          </w:tcPr>
          <w:p w14:paraId="495F350F">
            <w:pPr>
              <w:pStyle w:val="26"/>
              <w:spacing w:line="360" w:lineRule="auto"/>
              <w:rPr>
                <w:rFonts w:hint="eastAsia" w:ascii="宋体" w:hAnsi="宋体" w:cs="宋体"/>
              </w:rPr>
            </w:pPr>
            <w:r>
              <w:rPr>
                <w:rFonts w:hint="eastAsia" w:ascii="宋体" w:hAnsi="宋体" w:cs="宋体"/>
              </w:rPr>
              <w:t>投标截止时间5日前（采购人、采购代理机构对已发出的磋商文件进行的澄清、更正或更改，澄清、更正或更改的内容将作为磋商文件的组成部分。采购代理机构将通过网站“更正公告”和系统内部“群发消息”告知供应商。各供应商须重新下载最新的磋商文件和答疑文件，以此编制响应文件。</w:t>
            </w:r>
          </w:p>
        </w:tc>
      </w:tr>
      <w:tr w14:paraId="4A9169B9">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1E56B89E">
            <w:pPr>
              <w:spacing w:line="360" w:lineRule="auto"/>
              <w:jc w:val="center"/>
              <w:rPr>
                <w:rFonts w:hint="eastAsia" w:ascii="宋体" w:hAnsi="宋体" w:cs="宋体"/>
                <w:sz w:val="24"/>
              </w:rPr>
            </w:pPr>
            <w:r>
              <w:rPr>
                <w:rFonts w:hint="eastAsia" w:ascii="宋体" w:hAnsi="宋体" w:cs="宋体"/>
                <w:sz w:val="24"/>
              </w:rPr>
              <w:t>1.11</w:t>
            </w:r>
          </w:p>
        </w:tc>
        <w:tc>
          <w:tcPr>
            <w:tcW w:w="2337" w:type="dxa"/>
            <w:tcBorders>
              <w:top w:val="single" w:color="auto" w:sz="4" w:space="0"/>
              <w:left w:val="single" w:color="auto" w:sz="4" w:space="0"/>
              <w:bottom w:val="single" w:color="auto" w:sz="4" w:space="0"/>
              <w:right w:val="single" w:color="auto" w:sz="4" w:space="0"/>
            </w:tcBorders>
            <w:vAlign w:val="center"/>
          </w:tcPr>
          <w:p w14:paraId="7FF54755">
            <w:pPr>
              <w:spacing w:line="360" w:lineRule="auto"/>
              <w:jc w:val="center"/>
              <w:rPr>
                <w:rFonts w:hint="eastAsia" w:ascii="宋体" w:hAnsi="宋体" w:cs="宋体"/>
                <w:sz w:val="24"/>
              </w:rPr>
            </w:pPr>
            <w:r>
              <w:rPr>
                <w:rFonts w:hint="eastAsia" w:ascii="宋体" w:hAnsi="宋体" w:cs="宋体"/>
                <w:sz w:val="24"/>
              </w:rPr>
              <w:t>分包</w:t>
            </w:r>
          </w:p>
        </w:tc>
        <w:tc>
          <w:tcPr>
            <w:tcW w:w="7149" w:type="dxa"/>
            <w:tcBorders>
              <w:top w:val="single" w:color="auto" w:sz="4" w:space="0"/>
              <w:left w:val="single" w:color="auto" w:sz="4" w:space="0"/>
              <w:bottom w:val="single" w:color="auto" w:sz="4" w:space="0"/>
              <w:right w:val="single" w:color="auto" w:sz="4" w:space="0"/>
            </w:tcBorders>
            <w:vAlign w:val="center"/>
          </w:tcPr>
          <w:p w14:paraId="7FBE8215">
            <w:pPr>
              <w:pStyle w:val="26"/>
              <w:spacing w:line="360" w:lineRule="auto"/>
              <w:rPr>
                <w:rFonts w:hint="eastAsia" w:ascii="宋体" w:hAnsi="宋体" w:cs="宋体"/>
              </w:rPr>
            </w:pPr>
            <w:r>
              <w:rPr>
                <w:rFonts w:hint="eastAsia" w:ascii="宋体" w:hAnsi="宋体" w:cs="宋体"/>
              </w:rPr>
              <w:t>不允许</w:t>
            </w:r>
          </w:p>
        </w:tc>
      </w:tr>
      <w:tr w14:paraId="49ED9B81">
        <w:tblPrEx>
          <w:tblCellMar>
            <w:top w:w="0" w:type="dxa"/>
            <w:left w:w="108" w:type="dxa"/>
            <w:bottom w:w="0" w:type="dxa"/>
            <w:right w:w="108" w:type="dxa"/>
          </w:tblCellMar>
        </w:tblPrEx>
        <w:trPr>
          <w:trHeight w:val="565"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4791AF0E">
            <w:pPr>
              <w:spacing w:line="360" w:lineRule="auto"/>
              <w:jc w:val="center"/>
              <w:rPr>
                <w:rFonts w:hint="eastAsia" w:ascii="宋体" w:hAnsi="宋体" w:cs="宋体"/>
                <w:sz w:val="24"/>
              </w:rPr>
            </w:pPr>
            <w:r>
              <w:rPr>
                <w:rFonts w:hint="eastAsia" w:ascii="宋体" w:hAnsi="宋体" w:cs="宋体"/>
                <w:sz w:val="24"/>
              </w:rPr>
              <w:t>2.1</w:t>
            </w:r>
          </w:p>
        </w:tc>
        <w:tc>
          <w:tcPr>
            <w:tcW w:w="2337" w:type="dxa"/>
            <w:tcBorders>
              <w:top w:val="single" w:color="auto" w:sz="4" w:space="0"/>
              <w:left w:val="single" w:color="auto" w:sz="4" w:space="0"/>
              <w:bottom w:val="single" w:color="auto" w:sz="4" w:space="0"/>
              <w:right w:val="single" w:color="auto" w:sz="4" w:space="0"/>
            </w:tcBorders>
            <w:vAlign w:val="center"/>
          </w:tcPr>
          <w:p w14:paraId="3AF5858D">
            <w:pPr>
              <w:spacing w:line="360" w:lineRule="auto"/>
              <w:jc w:val="center"/>
              <w:rPr>
                <w:rFonts w:hint="eastAsia" w:ascii="宋体" w:hAnsi="宋体" w:cs="宋体"/>
                <w:sz w:val="24"/>
              </w:rPr>
            </w:pPr>
            <w:r>
              <w:rPr>
                <w:rFonts w:hint="eastAsia" w:ascii="宋体" w:hAnsi="宋体" w:cs="宋体"/>
                <w:sz w:val="24"/>
              </w:rPr>
              <w:t>构成磋商文件其他材料</w:t>
            </w:r>
          </w:p>
        </w:tc>
        <w:tc>
          <w:tcPr>
            <w:tcW w:w="7149" w:type="dxa"/>
            <w:tcBorders>
              <w:top w:val="single" w:color="auto" w:sz="4" w:space="0"/>
              <w:left w:val="single" w:color="auto" w:sz="4" w:space="0"/>
              <w:bottom w:val="single" w:color="auto" w:sz="4" w:space="0"/>
              <w:right w:val="single" w:color="auto" w:sz="4" w:space="0"/>
            </w:tcBorders>
            <w:vAlign w:val="center"/>
          </w:tcPr>
          <w:p w14:paraId="7811476A">
            <w:pPr>
              <w:pStyle w:val="26"/>
              <w:spacing w:line="360" w:lineRule="auto"/>
              <w:rPr>
                <w:rFonts w:hint="eastAsia" w:ascii="宋体" w:hAnsi="宋体" w:cs="宋体"/>
              </w:rPr>
            </w:pPr>
            <w:r>
              <w:rPr>
                <w:rFonts w:hint="eastAsia" w:ascii="宋体" w:hAnsi="宋体" w:cs="宋体"/>
              </w:rPr>
              <w:t>除磋商文件外，最高投标限价以及采购人在采购期间发出的澄清（如有）、修改、补充、补遗和其它有效正式函件等内容均是磋商文件的组成部分。</w:t>
            </w:r>
          </w:p>
        </w:tc>
      </w:tr>
      <w:tr w14:paraId="7356EB9D">
        <w:tblPrEx>
          <w:tblCellMar>
            <w:top w:w="0" w:type="dxa"/>
            <w:left w:w="108" w:type="dxa"/>
            <w:bottom w:w="0" w:type="dxa"/>
            <w:right w:w="108" w:type="dxa"/>
          </w:tblCellMar>
        </w:tblPrEx>
        <w:trPr>
          <w:trHeight w:val="34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3B737037">
            <w:pPr>
              <w:spacing w:line="360" w:lineRule="auto"/>
              <w:jc w:val="center"/>
              <w:rPr>
                <w:rFonts w:hint="eastAsia" w:ascii="宋体" w:hAnsi="宋体" w:cs="宋体"/>
                <w:sz w:val="24"/>
              </w:rPr>
            </w:pPr>
            <w:r>
              <w:rPr>
                <w:rFonts w:hint="eastAsia" w:ascii="宋体" w:hAnsi="宋体" w:cs="宋体"/>
                <w:sz w:val="24"/>
              </w:rPr>
              <w:t>2.2.1</w:t>
            </w:r>
          </w:p>
        </w:tc>
        <w:tc>
          <w:tcPr>
            <w:tcW w:w="2337" w:type="dxa"/>
            <w:tcBorders>
              <w:top w:val="single" w:color="auto" w:sz="4" w:space="0"/>
              <w:left w:val="single" w:color="auto" w:sz="4" w:space="0"/>
              <w:bottom w:val="single" w:color="auto" w:sz="4" w:space="0"/>
              <w:right w:val="single" w:color="auto" w:sz="4" w:space="0"/>
            </w:tcBorders>
            <w:vAlign w:val="center"/>
          </w:tcPr>
          <w:p w14:paraId="56A4CB57">
            <w:pPr>
              <w:spacing w:line="360" w:lineRule="auto"/>
              <w:jc w:val="center"/>
              <w:rPr>
                <w:rFonts w:hint="eastAsia" w:ascii="宋体" w:hAnsi="宋体" w:cs="宋体"/>
                <w:sz w:val="24"/>
              </w:rPr>
            </w:pPr>
            <w:r>
              <w:rPr>
                <w:rFonts w:hint="eastAsia" w:ascii="宋体" w:hAnsi="宋体" w:cs="宋体"/>
                <w:sz w:val="24"/>
              </w:rPr>
              <w:t>供应商要求澄清磋商文件的截止时间</w:t>
            </w:r>
          </w:p>
        </w:tc>
        <w:tc>
          <w:tcPr>
            <w:tcW w:w="7149" w:type="dxa"/>
            <w:tcBorders>
              <w:top w:val="single" w:color="auto" w:sz="4" w:space="0"/>
              <w:left w:val="single" w:color="auto" w:sz="4" w:space="0"/>
              <w:bottom w:val="single" w:color="auto" w:sz="4" w:space="0"/>
              <w:right w:val="single" w:color="auto" w:sz="4" w:space="0"/>
            </w:tcBorders>
            <w:vAlign w:val="center"/>
          </w:tcPr>
          <w:p w14:paraId="0B19AEE3">
            <w:pPr>
              <w:spacing w:line="360" w:lineRule="auto"/>
              <w:rPr>
                <w:rFonts w:hint="eastAsia" w:ascii="宋体" w:hAnsi="宋体" w:cs="宋体"/>
                <w:sz w:val="24"/>
              </w:rPr>
            </w:pPr>
            <w:r>
              <w:rPr>
                <w:rFonts w:hint="eastAsia" w:ascii="宋体" w:hAnsi="宋体" w:cs="宋体"/>
                <w:sz w:val="24"/>
              </w:rPr>
              <w:t>响应文件递交的截止之日5日前</w:t>
            </w:r>
          </w:p>
        </w:tc>
      </w:tr>
      <w:tr w14:paraId="3374DD0E">
        <w:tblPrEx>
          <w:tblCellMar>
            <w:top w:w="0" w:type="dxa"/>
            <w:left w:w="108" w:type="dxa"/>
            <w:bottom w:w="0" w:type="dxa"/>
            <w:right w:w="108" w:type="dxa"/>
          </w:tblCellMar>
        </w:tblPrEx>
        <w:trPr>
          <w:trHeight w:val="52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6899EC3B">
            <w:pPr>
              <w:spacing w:line="360" w:lineRule="auto"/>
              <w:jc w:val="center"/>
              <w:rPr>
                <w:rFonts w:hint="eastAsia" w:ascii="宋体" w:hAnsi="宋体" w:cs="宋体"/>
                <w:sz w:val="24"/>
              </w:rPr>
            </w:pPr>
            <w:r>
              <w:rPr>
                <w:rFonts w:hint="eastAsia" w:ascii="宋体" w:hAnsi="宋体" w:cs="宋体"/>
                <w:sz w:val="24"/>
              </w:rPr>
              <w:t>2.2.2</w:t>
            </w:r>
          </w:p>
        </w:tc>
        <w:tc>
          <w:tcPr>
            <w:tcW w:w="2337" w:type="dxa"/>
            <w:tcBorders>
              <w:top w:val="single" w:color="auto" w:sz="4" w:space="0"/>
              <w:left w:val="single" w:color="auto" w:sz="4" w:space="0"/>
              <w:bottom w:val="single" w:color="auto" w:sz="4" w:space="0"/>
              <w:right w:val="single" w:color="auto" w:sz="4" w:space="0"/>
            </w:tcBorders>
            <w:vAlign w:val="center"/>
          </w:tcPr>
          <w:p w14:paraId="7408798F">
            <w:pPr>
              <w:spacing w:line="360" w:lineRule="auto"/>
              <w:jc w:val="center"/>
              <w:rPr>
                <w:rFonts w:hint="eastAsia" w:ascii="宋体" w:hAnsi="宋体" w:cs="宋体"/>
                <w:sz w:val="24"/>
              </w:rPr>
            </w:pPr>
            <w:r>
              <w:rPr>
                <w:rFonts w:hint="eastAsia" w:ascii="宋体" w:hAnsi="宋体" w:cs="宋体"/>
                <w:sz w:val="24"/>
              </w:rPr>
              <w:t>投标截止时间</w:t>
            </w:r>
          </w:p>
        </w:tc>
        <w:tc>
          <w:tcPr>
            <w:tcW w:w="7149" w:type="dxa"/>
            <w:tcBorders>
              <w:top w:val="single" w:color="auto" w:sz="4" w:space="0"/>
              <w:left w:val="single" w:color="auto" w:sz="4" w:space="0"/>
              <w:bottom w:val="single" w:color="auto" w:sz="4" w:space="0"/>
              <w:right w:val="single" w:color="auto" w:sz="4" w:space="0"/>
            </w:tcBorders>
            <w:vAlign w:val="center"/>
          </w:tcPr>
          <w:p w14:paraId="042C52E5">
            <w:pPr>
              <w:spacing w:line="360" w:lineRule="auto"/>
              <w:rPr>
                <w:rFonts w:hint="eastAsia" w:ascii="宋体" w:hAnsi="宋体" w:cs="宋体"/>
                <w:sz w:val="24"/>
              </w:rPr>
            </w:pPr>
            <w:r>
              <w:rPr>
                <w:rFonts w:hint="eastAsia" w:ascii="宋体" w:hAnsi="宋体" w:cs="宋体"/>
                <w:sz w:val="24"/>
              </w:rPr>
              <w:t>2026年</w:t>
            </w:r>
            <w:r>
              <w:rPr>
                <w:rFonts w:hint="eastAsia" w:ascii="宋体" w:hAnsi="宋体" w:cs="宋体"/>
                <w:sz w:val="24"/>
                <w:lang w:val="en-US" w:eastAsia="zh-CN"/>
              </w:rPr>
              <w:t>07</w:t>
            </w:r>
            <w:r>
              <w:rPr>
                <w:rFonts w:hint="eastAsia" w:ascii="宋体" w:hAnsi="宋体" w:cs="宋体"/>
                <w:sz w:val="24"/>
              </w:rPr>
              <w:t>月</w:t>
            </w:r>
            <w:r>
              <w:rPr>
                <w:rFonts w:hint="eastAsia" w:ascii="宋体" w:hAnsi="宋体" w:cs="宋体"/>
                <w:sz w:val="24"/>
                <w:lang w:val="en-US" w:eastAsia="zh-CN"/>
              </w:rPr>
              <w:t>30</w:t>
            </w:r>
            <w:r>
              <w:rPr>
                <w:rFonts w:hint="eastAsia" w:ascii="宋体" w:hAnsi="宋体" w:cs="宋体"/>
                <w:sz w:val="24"/>
              </w:rPr>
              <w:t>日09时00分（北京时间）</w:t>
            </w:r>
          </w:p>
        </w:tc>
      </w:tr>
      <w:tr w14:paraId="4D595C26">
        <w:tblPrEx>
          <w:tblCellMar>
            <w:top w:w="0" w:type="dxa"/>
            <w:left w:w="108" w:type="dxa"/>
            <w:bottom w:w="0" w:type="dxa"/>
            <w:right w:w="108" w:type="dxa"/>
          </w:tblCellMar>
        </w:tblPrEx>
        <w:trPr>
          <w:trHeight w:val="378"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25512EF7">
            <w:pPr>
              <w:spacing w:line="360" w:lineRule="auto"/>
              <w:jc w:val="center"/>
              <w:rPr>
                <w:rFonts w:hint="eastAsia" w:ascii="宋体" w:hAnsi="宋体" w:cs="宋体"/>
                <w:sz w:val="24"/>
              </w:rPr>
            </w:pPr>
            <w:r>
              <w:rPr>
                <w:rFonts w:hint="eastAsia" w:ascii="宋体" w:hAnsi="宋体" w:cs="宋体"/>
                <w:sz w:val="24"/>
              </w:rPr>
              <w:t>2.2.3</w:t>
            </w:r>
          </w:p>
        </w:tc>
        <w:tc>
          <w:tcPr>
            <w:tcW w:w="2337" w:type="dxa"/>
            <w:tcBorders>
              <w:top w:val="single" w:color="auto" w:sz="4" w:space="0"/>
              <w:left w:val="single" w:color="auto" w:sz="4" w:space="0"/>
              <w:bottom w:val="single" w:color="auto" w:sz="4" w:space="0"/>
              <w:right w:val="single" w:color="auto" w:sz="4" w:space="0"/>
            </w:tcBorders>
            <w:vAlign w:val="center"/>
          </w:tcPr>
          <w:p w14:paraId="36837B25">
            <w:pPr>
              <w:spacing w:line="360" w:lineRule="auto"/>
              <w:jc w:val="center"/>
              <w:rPr>
                <w:rFonts w:hint="eastAsia" w:ascii="宋体" w:hAnsi="宋体" w:cs="宋体"/>
                <w:sz w:val="24"/>
              </w:rPr>
            </w:pPr>
            <w:r>
              <w:rPr>
                <w:rFonts w:hint="eastAsia" w:ascii="宋体" w:hAnsi="宋体" w:cs="宋体"/>
                <w:sz w:val="24"/>
              </w:rPr>
              <w:t>供应商确认收到磋商文件澄清的时间</w:t>
            </w:r>
          </w:p>
        </w:tc>
        <w:tc>
          <w:tcPr>
            <w:tcW w:w="7149" w:type="dxa"/>
            <w:tcBorders>
              <w:top w:val="single" w:color="auto" w:sz="4" w:space="0"/>
              <w:left w:val="single" w:color="auto" w:sz="4" w:space="0"/>
              <w:bottom w:val="single" w:color="auto" w:sz="4" w:space="0"/>
              <w:right w:val="single" w:color="auto" w:sz="4" w:space="0"/>
            </w:tcBorders>
          </w:tcPr>
          <w:p w14:paraId="6D1803DE">
            <w:pPr>
              <w:spacing w:line="360" w:lineRule="auto"/>
              <w:rPr>
                <w:rFonts w:hint="eastAsia" w:ascii="宋体" w:hAnsi="宋体" w:cs="宋体"/>
                <w:sz w:val="24"/>
              </w:rPr>
            </w:pPr>
            <w:r>
              <w:rPr>
                <w:rFonts w:hint="eastAsia" w:ascii="宋体" w:hAnsi="宋体" w:cs="宋体"/>
                <w:kern w:val="0"/>
                <w:sz w:val="24"/>
              </w:rPr>
              <w:t>所有澄清均通过电子交易平台发布，一经发布即视为供应商已收到并确认，请各供应商及时关注本项目系统发出的通知，如有遗漏自行负责，采购人和采购代理机构不承担任何责任。</w:t>
            </w:r>
          </w:p>
        </w:tc>
      </w:tr>
      <w:tr w14:paraId="30526F19">
        <w:tblPrEx>
          <w:tblCellMar>
            <w:top w:w="0" w:type="dxa"/>
            <w:left w:w="108" w:type="dxa"/>
            <w:bottom w:w="0" w:type="dxa"/>
            <w:right w:w="108" w:type="dxa"/>
          </w:tblCellMar>
        </w:tblPrEx>
        <w:trPr>
          <w:trHeight w:val="378"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78310B6C">
            <w:pPr>
              <w:spacing w:line="360" w:lineRule="auto"/>
              <w:jc w:val="center"/>
              <w:rPr>
                <w:rFonts w:hint="eastAsia" w:ascii="宋体" w:hAnsi="宋体" w:cs="宋体"/>
                <w:sz w:val="24"/>
              </w:rPr>
            </w:pPr>
            <w:r>
              <w:rPr>
                <w:rFonts w:hint="eastAsia" w:ascii="宋体" w:hAnsi="宋体" w:cs="宋体"/>
                <w:sz w:val="24"/>
              </w:rPr>
              <w:t>2.3.2</w:t>
            </w:r>
          </w:p>
        </w:tc>
        <w:tc>
          <w:tcPr>
            <w:tcW w:w="2337" w:type="dxa"/>
            <w:tcBorders>
              <w:top w:val="single" w:color="auto" w:sz="4" w:space="0"/>
              <w:left w:val="single" w:color="auto" w:sz="4" w:space="0"/>
              <w:bottom w:val="single" w:color="auto" w:sz="4" w:space="0"/>
              <w:right w:val="single" w:color="auto" w:sz="4" w:space="0"/>
            </w:tcBorders>
            <w:vAlign w:val="center"/>
          </w:tcPr>
          <w:p w14:paraId="0C90247A">
            <w:pPr>
              <w:spacing w:line="360" w:lineRule="auto"/>
              <w:jc w:val="center"/>
              <w:rPr>
                <w:rFonts w:hint="eastAsia" w:ascii="宋体" w:hAnsi="宋体" w:cs="宋体"/>
                <w:sz w:val="24"/>
              </w:rPr>
            </w:pPr>
            <w:r>
              <w:rPr>
                <w:rFonts w:hint="eastAsia" w:ascii="宋体" w:hAnsi="宋体" w:cs="宋体"/>
                <w:sz w:val="24"/>
              </w:rPr>
              <w:t>供应商确认收到磋商文件修改的时间</w:t>
            </w:r>
          </w:p>
        </w:tc>
        <w:tc>
          <w:tcPr>
            <w:tcW w:w="7149" w:type="dxa"/>
            <w:tcBorders>
              <w:top w:val="single" w:color="auto" w:sz="4" w:space="0"/>
              <w:left w:val="single" w:color="auto" w:sz="4" w:space="0"/>
              <w:bottom w:val="single" w:color="auto" w:sz="4" w:space="0"/>
              <w:right w:val="single" w:color="auto" w:sz="4" w:space="0"/>
            </w:tcBorders>
          </w:tcPr>
          <w:p w14:paraId="10D401B6">
            <w:pPr>
              <w:spacing w:line="360" w:lineRule="auto"/>
              <w:rPr>
                <w:rFonts w:hint="eastAsia" w:ascii="宋体" w:hAnsi="宋体" w:cs="宋体"/>
                <w:sz w:val="24"/>
              </w:rPr>
            </w:pPr>
            <w:r>
              <w:rPr>
                <w:rFonts w:hint="eastAsia" w:ascii="宋体" w:hAnsi="宋体" w:cs="宋体"/>
                <w:kern w:val="0"/>
                <w:sz w:val="24"/>
              </w:rPr>
              <w:t>所有修改均通过电子交易平台发布，一经发布即视为供应商已收到并确认，请各供应商及时关注本项目通过系统发出的通知，如有遗漏自行负责，采购人和采购代理机构不承担任何责任。</w:t>
            </w:r>
          </w:p>
        </w:tc>
      </w:tr>
      <w:tr w14:paraId="7F2015FF">
        <w:tblPrEx>
          <w:tblCellMar>
            <w:top w:w="0" w:type="dxa"/>
            <w:left w:w="108" w:type="dxa"/>
            <w:bottom w:w="0" w:type="dxa"/>
            <w:right w:w="108" w:type="dxa"/>
          </w:tblCellMar>
        </w:tblPrEx>
        <w:trPr>
          <w:trHeight w:val="378"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657CCC99">
            <w:pPr>
              <w:spacing w:line="360" w:lineRule="auto"/>
              <w:jc w:val="center"/>
              <w:rPr>
                <w:rFonts w:hint="eastAsia" w:ascii="宋体" w:hAnsi="宋体" w:cs="宋体"/>
                <w:sz w:val="24"/>
              </w:rPr>
            </w:pPr>
            <w:r>
              <w:rPr>
                <w:rFonts w:hint="eastAsia" w:ascii="宋体" w:hAnsi="宋体" w:cs="宋体"/>
                <w:sz w:val="24"/>
              </w:rPr>
              <w:t>3.1.1</w:t>
            </w:r>
          </w:p>
        </w:tc>
        <w:tc>
          <w:tcPr>
            <w:tcW w:w="2337" w:type="dxa"/>
            <w:tcBorders>
              <w:top w:val="single" w:color="auto" w:sz="4" w:space="0"/>
              <w:left w:val="single" w:color="auto" w:sz="4" w:space="0"/>
              <w:bottom w:val="single" w:color="auto" w:sz="4" w:space="0"/>
              <w:right w:val="single" w:color="auto" w:sz="4" w:space="0"/>
            </w:tcBorders>
            <w:vAlign w:val="center"/>
          </w:tcPr>
          <w:p w14:paraId="7FC20476">
            <w:pPr>
              <w:spacing w:line="360" w:lineRule="auto"/>
              <w:jc w:val="center"/>
              <w:rPr>
                <w:rFonts w:hint="eastAsia" w:ascii="宋体" w:hAnsi="宋体" w:cs="宋体"/>
                <w:sz w:val="24"/>
              </w:rPr>
            </w:pPr>
            <w:r>
              <w:rPr>
                <w:rFonts w:hint="eastAsia" w:ascii="宋体" w:hAnsi="宋体" w:cs="宋体"/>
                <w:sz w:val="24"/>
              </w:rPr>
              <w:t>构成响应文件其他材料</w:t>
            </w:r>
          </w:p>
        </w:tc>
        <w:tc>
          <w:tcPr>
            <w:tcW w:w="7149" w:type="dxa"/>
            <w:tcBorders>
              <w:top w:val="single" w:color="auto" w:sz="4" w:space="0"/>
              <w:left w:val="single" w:color="auto" w:sz="4" w:space="0"/>
              <w:bottom w:val="single" w:color="auto" w:sz="4" w:space="0"/>
              <w:right w:val="single" w:color="auto" w:sz="4" w:space="0"/>
            </w:tcBorders>
            <w:vAlign w:val="center"/>
          </w:tcPr>
          <w:p w14:paraId="51321EDF">
            <w:pPr>
              <w:pStyle w:val="26"/>
              <w:spacing w:line="360" w:lineRule="auto"/>
              <w:rPr>
                <w:rFonts w:hint="eastAsia" w:ascii="宋体" w:hAnsi="宋体" w:cs="宋体"/>
              </w:rPr>
            </w:pPr>
            <w:r>
              <w:rPr>
                <w:rFonts w:hint="eastAsia" w:ascii="宋体" w:hAnsi="宋体" w:cs="宋体"/>
              </w:rPr>
              <w:t>1.采购人发出的补充文件或变更资料（如有）</w:t>
            </w:r>
          </w:p>
          <w:p w14:paraId="0AD74288">
            <w:pPr>
              <w:pStyle w:val="26"/>
              <w:spacing w:line="360" w:lineRule="auto"/>
              <w:rPr>
                <w:rFonts w:hint="eastAsia" w:ascii="宋体" w:hAnsi="宋体" w:cs="宋体"/>
              </w:rPr>
            </w:pPr>
            <w:r>
              <w:rPr>
                <w:rFonts w:hint="eastAsia" w:ascii="宋体" w:hAnsi="宋体" w:cs="宋体"/>
              </w:rPr>
              <w:t>2.供应商认为需要提交的其他证明材料，具体见响应文件格式</w:t>
            </w:r>
          </w:p>
        </w:tc>
      </w:tr>
      <w:tr w14:paraId="30B3B927">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0CF8D97E">
            <w:pPr>
              <w:spacing w:line="360" w:lineRule="auto"/>
              <w:jc w:val="center"/>
              <w:rPr>
                <w:rFonts w:hint="eastAsia" w:ascii="宋体" w:hAnsi="宋体" w:cs="宋体"/>
                <w:sz w:val="24"/>
              </w:rPr>
            </w:pPr>
            <w:r>
              <w:rPr>
                <w:rFonts w:hint="eastAsia" w:ascii="宋体" w:hAnsi="宋体" w:cs="宋体"/>
                <w:sz w:val="24"/>
              </w:rPr>
              <w:t>3.3.1</w:t>
            </w:r>
          </w:p>
        </w:tc>
        <w:tc>
          <w:tcPr>
            <w:tcW w:w="2337" w:type="dxa"/>
            <w:tcBorders>
              <w:top w:val="single" w:color="auto" w:sz="4" w:space="0"/>
              <w:left w:val="single" w:color="auto" w:sz="4" w:space="0"/>
              <w:bottom w:val="single" w:color="auto" w:sz="4" w:space="0"/>
              <w:right w:val="single" w:color="auto" w:sz="4" w:space="0"/>
            </w:tcBorders>
            <w:vAlign w:val="center"/>
          </w:tcPr>
          <w:p w14:paraId="41BC6202">
            <w:pPr>
              <w:spacing w:line="360" w:lineRule="auto"/>
              <w:jc w:val="center"/>
              <w:rPr>
                <w:rFonts w:hint="eastAsia" w:ascii="宋体" w:hAnsi="宋体" w:cs="宋体"/>
                <w:sz w:val="24"/>
              </w:rPr>
            </w:pPr>
            <w:r>
              <w:rPr>
                <w:rFonts w:hint="eastAsia" w:ascii="宋体" w:hAnsi="宋体" w:cs="宋体"/>
                <w:sz w:val="24"/>
              </w:rPr>
              <w:t>磋商有效期</w:t>
            </w:r>
          </w:p>
        </w:tc>
        <w:tc>
          <w:tcPr>
            <w:tcW w:w="7149" w:type="dxa"/>
            <w:tcBorders>
              <w:top w:val="single" w:color="auto" w:sz="4" w:space="0"/>
              <w:left w:val="single" w:color="auto" w:sz="4" w:space="0"/>
              <w:bottom w:val="single" w:color="auto" w:sz="4" w:space="0"/>
              <w:right w:val="single" w:color="auto" w:sz="4" w:space="0"/>
            </w:tcBorders>
            <w:vAlign w:val="center"/>
          </w:tcPr>
          <w:p w14:paraId="7308B925">
            <w:pPr>
              <w:pStyle w:val="26"/>
              <w:spacing w:line="360" w:lineRule="auto"/>
              <w:rPr>
                <w:rFonts w:hint="eastAsia" w:ascii="宋体" w:hAnsi="宋体" w:cs="宋体"/>
              </w:rPr>
            </w:pPr>
            <w:r>
              <w:rPr>
                <w:rFonts w:hint="eastAsia" w:ascii="宋体" w:hAnsi="宋体" w:cs="宋体"/>
              </w:rPr>
              <w:t>90日历天（从响应文件递交截止之日起）</w:t>
            </w:r>
          </w:p>
        </w:tc>
      </w:tr>
      <w:tr w14:paraId="0134E774">
        <w:tblPrEx>
          <w:tblCellMar>
            <w:top w:w="0" w:type="dxa"/>
            <w:left w:w="108" w:type="dxa"/>
            <w:bottom w:w="0" w:type="dxa"/>
            <w:right w:w="108" w:type="dxa"/>
          </w:tblCellMar>
        </w:tblPrEx>
        <w:trPr>
          <w:trHeight w:val="115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79D2D89E">
            <w:pPr>
              <w:spacing w:line="360" w:lineRule="auto"/>
              <w:jc w:val="center"/>
              <w:rPr>
                <w:rFonts w:hint="eastAsia" w:ascii="宋体" w:hAnsi="宋体" w:cs="宋体"/>
                <w:bCs/>
                <w:sz w:val="24"/>
              </w:rPr>
            </w:pPr>
            <w:r>
              <w:rPr>
                <w:rFonts w:hint="eastAsia" w:ascii="宋体" w:hAnsi="宋体" w:cs="宋体"/>
                <w:bCs/>
                <w:sz w:val="24"/>
              </w:rPr>
              <w:t>3.4.1</w:t>
            </w:r>
          </w:p>
        </w:tc>
        <w:tc>
          <w:tcPr>
            <w:tcW w:w="2337" w:type="dxa"/>
            <w:tcBorders>
              <w:top w:val="single" w:color="auto" w:sz="4" w:space="0"/>
              <w:left w:val="single" w:color="auto" w:sz="4" w:space="0"/>
              <w:bottom w:val="single" w:color="auto" w:sz="4" w:space="0"/>
              <w:right w:val="single" w:color="auto" w:sz="4" w:space="0"/>
            </w:tcBorders>
            <w:vAlign w:val="center"/>
          </w:tcPr>
          <w:p w14:paraId="28CD223B">
            <w:pPr>
              <w:spacing w:line="360" w:lineRule="auto"/>
              <w:jc w:val="center"/>
              <w:rPr>
                <w:rFonts w:hint="eastAsia" w:ascii="宋体" w:hAnsi="宋体" w:cs="宋体"/>
                <w:bCs/>
                <w:sz w:val="24"/>
              </w:rPr>
            </w:pPr>
            <w:r>
              <w:rPr>
                <w:rFonts w:hint="eastAsia" w:ascii="宋体" w:hAnsi="宋体" w:cs="宋体"/>
                <w:bCs/>
                <w:sz w:val="24"/>
              </w:rPr>
              <w:t>磋商保证金</w:t>
            </w:r>
          </w:p>
        </w:tc>
        <w:tc>
          <w:tcPr>
            <w:tcW w:w="7149" w:type="dxa"/>
            <w:tcBorders>
              <w:top w:val="single" w:color="auto" w:sz="4" w:space="0"/>
              <w:left w:val="single" w:color="auto" w:sz="4" w:space="0"/>
              <w:bottom w:val="single" w:color="auto" w:sz="4" w:space="0"/>
              <w:right w:val="single" w:color="auto" w:sz="4" w:space="0"/>
            </w:tcBorders>
            <w:vAlign w:val="center"/>
          </w:tcPr>
          <w:p w14:paraId="60A6FC96">
            <w:pPr>
              <w:pStyle w:val="26"/>
              <w:spacing w:line="360" w:lineRule="auto"/>
              <w:rPr>
                <w:rFonts w:hint="eastAsia" w:ascii="宋体" w:hAnsi="宋体" w:cs="宋体"/>
              </w:rPr>
            </w:pPr>
            <w:r>
              <w:rPr>
                <w:rFonts w:hint="eastAsia" w:ascii="宋体" w:hAnsi="宋体" w:cs="宋体"/>
              </w:rPr>
              <w:t>按照河南省财政厅发布《关于优化政府采购营商环境有关问题的通知》，本采购项目不再收取磋商保证金。</w:t>
            </w:r>
          </w:p>
        </w:tc>
      </w:tr>
      <w:tr w14:paraId="07495F5D">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65A00243">
            <w:pPr>
              <w:spacing w:line="360" w:lineRule="auto"/>
              <w:jc w:val="center"/>
              <w:rPr>
                <w:rFonts w:hint="eastAsia" w:ascii="宋体" w:hAnsi="宋体" w:cs="宋体"/>
                <w:sz w:val="24"/>
              </w:rPr>
            </w:pPr>
            <w:r>
              <w:rPr>
                <w:rFonts w:hint="eastAsia" w:ascii="宋体" w:hAnsi="宋体" w:cs="宋体"/>
                <w:sz w:val="24"/>
              </w:rPr>
              <w:t>3.6</w:t>
            </w:r>
          </w:p>
        </w:tc>
        <w:tc>
          <w:tcPr>
            <w:tcW w:w="2337" w:type="dxa"/>
            <w:tcBorders>
              <w:top w:val="single" w:color="auto" w:sz="4" w:space="0"/>
              <w:left w:val="single" w:color="auto" w:sz="4" w:space="0"/>
              <w:bottom w:val="single" w:color="auto" w:sz="4" w:space="0"/>
              <w:right w:val="single" w:color="auto" w:sz="4" w:space="0"/>
            </w:tcBorders>
            <w:vAlign w:val="center"/>
          </w:tcPr>
          <w:p w14:paraId="4683BC3A">
            <w:pPr>
              <w:spacing w:line="360" w:lineRule="auto"/>
              <w:jc w:val="center"/>
              <w:rPr>
                <w:rFonts w:hint="eastAsia" w:ascii="宋体" w:hAnsi="宋体" w:cs="宋体"/>
                <w:sz w:val="24"/>
              </w:rPr>
            </w:pPr>
            <w:r>
              <w:rPr>
                <w:rFonts w:hint="eastAsia" w:ascii="宋体" w:hAnsi="宋体" w:cs="宋体"/>
                <w:sz w:val="24"/>
              </w:rPr>
              <w:t>是否允许备选响应方案</w:t>
            </w:r>
          </w:p>
        </w:tc>
        <w:tc>
          <w:tcPr>
            <w:tcW w:w="7149" w:type="dxa"/>
            <w:tcBorders>
              <w:top w:val="single" w:color="auto" w:sz="4" w:space="0"/>
              <w:left w:val="single" w:color="auto" w:sz="4" w:space="0"/>
              <w:bottom w:val="single" w:color="auto" w:sz="4" w:space="0"/>
              <w:right w:val="single" w:color="auto" w:sz="4" w:space="0"/>
            </w:tcBorders>
            <w:vAlign w:val="center"/>
          </w:tcPr>
          <w:p w14:paraId="46D8D3FD">
            <w:pPr>
              <w:spacing w:line="360" w:lineRule="auto"/>
              <w:rPr>
                <w:rFonts w:hint="eastAsia" w:ascii="宋体" w:hAnsi="宋体" w:cs="宋体"/>
                <w:sz w:val="24"/>
              </w:rPr>
            </w:pPr>
            <w:r>
              <w:rPr>
                <w:rFonts w:hint="eastAsia" w:ascii="宋体" w:hAnsi="宋体" w:cs="宋体"/>
                <w:sz w:val="24"/>
              </w:rPr>
              <w:t>不允许</w:t>
            </w:r>
          </w:p>
        </w:tc>
      </w:tr>
      <w:tr w14:paraId="65B7D55C">
        <w:tblPrEx>
          <w:tblCellMar>
            <w:top w:w="0" w:type="dxa"/>
            <w:left w:w="108" w:type="dxa"/>
            <w:bottom w:w="0" w:type="dxa"/>
            <w:right w:w="108" w:type="dxa"/>
          </w:tblCellMar>
        </w:tblPrEx>
        <w:trPr>
          <w:trHeight w:val="699"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24DC2D15">
            <w:pPr>
              <w:spacing w:line="360" w:lineRule="auto"/>
              <w:jc w:val="center"/>
              <w:rPr>
                <w:rFonts w:hint="eastAsia" w:ascii="宋体" w:hAnsi="宋体" w:cs="宋体"/>
                <w:bCs/>
                <w:sz w:val="24"/>
              </w:rPr>
            </w:pPr>
            <w:r>
              <w:rPr>
                <w:rFonts w:hint="eastAsia" w:ascii="宋体" w:hAnsi="宋体" w:cs="宋体"/>
                <w:bCs/>
                <w:sz w:val="24"/>
              </w:rPr>
              <w:t>3.7.3</w:t>
            </w:r>
          </w:p>
        </w:tc>
        <w:tc>
          <w:tcPr>
            <w:tcW w:w="2337" w:type="dxa"/>
            <w:tcBorders>
              <w:top w:val="single" w:color="auto" w:sz="4" w:space="0"/>
              <w:left w:val="single" w:color="auto" w:sz="4" w:space="0"/>
              <w:bottom w:val="single" w:color="auto" w:sz="4" w:space="0"/>
              <w:right w:val="single" w:color="auto" w:sz="4" w:space="0"/>
            </w:tcBorders>
            <w:vAlign w:val="center"/>
          </w:tcPr>
          <w:p w14:paraId="2DBA3E3F">
            <w:pPr>
              <w:spacing w:line="360" w:lineRule="auto"/>
              <w:jc w:val="center"/>
              <w:rPr>
                <w:rFonts w:hint="eastAsia" w:ascii="宋体" w:hAnsi="宋体" w:cs="宋体"/>
                <w:bCs/>
                <w:sz w:val="24"/>
              </w:rPr>
            </w:pPr>
            <w:r>
              <w:rPr>
                <w:rFonts w:hint="eastAsia" w:ascii="宋体" w:hAnsi="宋体" w:cs="宋体"/>
                <w:bCs/>
                <w:sz w:val="24"/>
              </w:rPr>
              <w:t>签字或盖章要求</w:t>
            </w:r>
          </w:p>
        </w:tc>
        <w:tc>
          <w:tcPr>
            <w:tcW w:w="7149" w:type="dxa"/>
            <w:tcBorders>
              <w:top w:val="single" w:color="auto" w:sz="4" w:space="0"/>
              <w:left w:val="single" w:color="auto" w:sz="4" w:space="0"/>
              <w:bottom w:val="single" w:color="auto" w:sz="4" w:space="0"/>
              <w:right w:val="single" w:color="auto" w:sz="4" w:space="0"/>
            </w:tcBorders>
            <w:vAlign w:val="center"/>
          </w:tcPr>
          <w:p w14:paraId="5CF2B287">
            <w:pPr>
              <w:spacing w:line="360" w:lineRule="auto"/>
              <w:rPr>
                <w:rFonts w:hint="eastAsia" w:ascii="宋体" w:hAnsi="宋体" w:cs="宋体"/>
                <w:bCs/>
                <w:kern w:val="1"/>
                <w:sz w:val="24"/>
              </w:rPr>
            </w:pPr>
            <w:r>
              <w:rPr>
                <w:rFonts w:hint="eastAsia" w:ascii="宋体" w:hAnsi="宋体" w:cs="宋体"/>
                <w:bCs/>
                <w:kern w:val="1"/>
                <w:sz w:val="24"/>
              </w:rPr>
              <w:t>所有要求供应商盖章的地方都应加盖单位电子签章；所有要求法定代表人</w:t>
            </w:r>
            <w:r>
              <w:rPr>
                <w:rFonts w:hint="eastAsia" w:ascii="宋体" w:hAnsi="宋体" w:cs="宋体"/>
                <w:sz w:val="24"/>
              </w:rPr>
              <w:t>（单位负责人）</w:t>
            </w:r>
            <w:r>
              <w:rPr>
                <w:rFonts w:hint="eastAsia" w:ascii="宋体" w:hAnsi="宋体" w:cs="宋体"/>
                <w:bCs/>
                <w:kern w:val="1"/>
                <w:sz w:val="24"/>
              </w:rPr>
              <w:t>或其委托代理人签字或盖章的地方都应用法定代表人</w:t>
            </w:r>
            <w:r>
              <w:rPr>
                <w:rFonts w:hint="eastAsia" w:ascii="宋体" w:hAnsi="宋体" w:cs="宋体"/>
                <w:sz w:val="24"/>
              </w:rPr>
              <w:t>（单位负责人）</w:t>
            </w:r>
            <w:r>
              <w:rPr>
                <w:rFonts w:hint="eastAsia" w:ascii="宋体" w:hAnsi="宋体" w:cs="宋体"/>
                <w:bCs/>
                <w:kern w:val="1"/>
                <w:sz w:val="24"/>
              </w:rPr>
              <w:t>或其委托代理人的CA数字证书盖电子签章，如供应商的法定代表人</w:t>
            </w:r>
            <w:r>
              <w:rPr>
                <w:rFonts w:hint="eastAsia" w:ascii="宋体" w:hAnsi="宋体" w:cs="宋体"/>
                <w:sz w:val="24"/>
              </w:rPr>
              <w:t>（单位负责人）</w:t>
            </w:r>
            <w:r>
              <w:rPr>
                <w:rFonts w:hint="eastAsia" w:ascii="宋体" w:hAnsi="宋体" w:cs="宋体"/>
                <w:bCs/>
                <w:kern w:val="1"/>
                <w:sz w:val="24"/>
              </w:rPr>
              <w:t>或委托代理人未办理CA数字证书的，供应商应将要求法定代表人</w:t>
            </w:r>
            <w:r>
              <w:rPr>
                <w:rFonts w:hint="eastAsia" w:ascii="宋体" w:hAnsi="宋体" w:cs="宋体"/>
                <w:sz w:val="24"/>
              </w:rPr>
              <w:t>（单位负责人）</w:t>
            </w:r>
            <w:r>
              <w:rPr>
                <w:rFonts w:hint="eastAsia" w:ascii="宋体" w:hAnsi="宋体" w:cs="宋体"/>
                <w:bCs/>
                <w:kern w:val="1"/>
                <w:sz w:val="24"/>
              </w:rPr>
              <w:t>或其委托代理人签字或盖章的地方用法定代表人</w:t>
            </w:r>
            <w:r>
              <w:rPr>
                <w:rFonts w:hint="eastAsia" w:ascii="宋体" w:hAnsi="宋体" w:cs="宋体"/>
                <w:sz w:val="24"/>
              </w:rPr>
              <w:t>（单位负责人）</w:t>
            </w:r>
            <w:r>
              <w:rPr>
                <w:rFonts w:hint="eastAsia" w:ascii="宋体" w:hAnsi="宋体" w:cs="宋体"/>
                <w:bCs/>
                <w:kern w:val="1"/>
                <w:sz w:val="24"/>
              </w:rPr>
              <w:t>或委托代理人签字或盖章后的扫描件替换到相应格式中。</w:t>
            </w:r>
          </w:p>
        </w:tc>
      </w:tr>
      <w:tr w14:paraId="5AE075E7">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58810EF9">
            <w:pPr>
              <w:spacing w:line="360" w:lineRule="auto"/>
              <w:jc w:val="center"/>
              <w:rPr>
                <w:rFonts w:hint="eastAsia" w:ascii="宋体" w:hAnsi="宋体" w:cs="宋体"/>
                <w:sz w:val="24"/>
              </w:rPr>
            </w:pPr>
            <w:r>
              <w:rPr>
                <w:rFonts w:hint="eastAsia" w:ascii="宋体" w:hAnsi="宋体" w:cs="宋体"/>
                <w:sz w:val="24"/>
              </w:rPr>
              <w:t>4.2.1</w:t>
            </w:r>
          </w:p>
        </w:tc>
        <w:tc>
          <w:tcPr>
            <w:tcW w:w="2337" w:type="dxa"/>
            <w:tcBorders>
              <w:top w:val="single" w:color="auto" w:sz="4" w:space="0"/>
              <w:left w:val="single" w:color="auto" w:sz="4" w:space="0"/>
              <w:bottom w:val="single" w:color="auto" w:sz="4" w:space="0"/>
              <w:right w:val="single" w:color="auto" w:sz="4" w:space="0"/>
            </w:tcBorders>
            <w:vAlign w:val="center"/>
          </w:tcPr>
          <w:p w14:paraId="6A285D84">
            <w:pPr>
              <w:spacing w:line="360" w:lineRule="auto"/>
              <w:jc w:val="center"/>
              <w:rPr>
                <w:rFonts w:hint="eastAsia" w:ascii="宋体" w:hAnsi="宋体" w:cs="宋体"/>
                <w:sz w:val="24"/>
              </w:rPr>
            </w:pPr>
            <w:r>
              <w:rPr>
                <w:rFonts w:hint="eastAsia" w:ascii="宋体" w:hAnsi="宋体" w:cs="宋体"/>
                <w:sz w:val="24"/>
              </w:rPr>
              <w:t>递交响应文件地点</w:t>
            </w:r>
          </w:p>
        </w:tc>
        <w:tc>
          <w:tcPr>
            <w:tcW w:w="7149" w:type="dxa"/>
            <w:tcBorders>
              <w:top w:val="single" w:color="auto" w:sz="4" w:space="0"/>
              <w:left w:val="single" w:color="auto" w:sz="4" w:space="0"/>
              <w:bottom w:val="single" w:color="auto" w:sz="4" w:space="0"/>
              <w:right w:val="single" w:color="auto" w:sz="4" w:space="0"/>
            </w:tcBorders>
            <w:vAlign w:val="center"/>
          </w:tcPr>
          <w:p w14:paraId="299882D9">
            <w:pPr>
              <w:spacing w:line="360" w:lineRule="auto"/>
              <w:rPr>
                <w:rFonts w:hint="eastAsia" w:ascii="宋体" w:hAnsi="宋体" w:cs="宋体"/>
                <w:sz w:val="24"/>
              </w:rPr>
            </w:pPr>
            <w:r>
              <w:rPr>
                <w:rFonts w:hint="eastAsia" w:ascii="宋体" w:hAnsi="宋体" w:cs="宋体"/>
                <w:sz w:val="24"/>
              </w:rPr>
              <w:t>“河南省公共资源交易中心（hnsggzyjy.henan.gov.cn）”电子交易平台加密上传。请各供应商在上传前务必认真检查上传电子响应文件是否完整、正确，加密电子响应文件逾期上传，采购人不予受理。</w:t>
            </w:r>
          </w:p>
        </w:tc>
      </w:tr>
      <w:tr w14:paraId="371AABC7">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70180C29">
            <w:pPr>
              <w:spacing w:line="360" w:lineRule="auto"/>
              <w:jc w:val="center"/>
              <w:rPr>
                <w:rFonts w:hint="eastAsia" w:ascii="宋体" w:hAnsi="宋体" w:cs="宋体"/>
                <w:sz w:val="24"/>
              </w:rPr>
            </w:pPr>
            <w:r>
              <w:rPr>
                <w:rFonts w:hint="eastAsia" w:ascii="宋体" w:hAnsi="宋体" w:cs="宋体"/>
                <w:sz w:val="24"/>
              </w:rPr>
              <w:t>4.3.3</w:t>
            </w:r>
          </w:p>
        </w:tc>
        <w:tc>
          <w:tcPr>
            <w:tcW w:w="2337" w:type="dxa"/>
            <w:tcBorders>
              <w:top w:val="single" w:color="auto" w:sz="4" w:space="0"/>
              <w:left w:val="single" w:color="auto" w:sz="4" w:space="0"/>
              <w:bottom w:val="single" w:color="auto" w:sz="4" w:space="0"/>
              <w:right w:val="single" w:color="auto" w:sz="4" w:space="0"/>
            </w:tcBorders>
            <w:vAlign w:val="center"/>
          </w:tcPr>
          <w:p w14:paraId="65977AA7">
            <w:pPr>
              <w:spacing w:line="360" w:lineRule="auto"/>
              <w:jc w:val="center"/>
              <w:rPr>
                <w:rFonts w:hint="eastAsia" w:ascii="宋体" w:hAnsi="宋体" w:cs="宋体"/>
                <w:sz w:val="24"/>
              </w:rPr>
            </w:pPr>
            <w:r>
              <w:rPr>
                <w:rFonts w:hint="eastAsia" w:ascii="宋体" w:hAnsi="宋体" w:cs="宋体"/>
                <w:sz w:val="24"/>
              </w:rPr>
              <w:t>是否退还响应文件</w:t>
            </w:r>
          </w:p>
        </w:tc>
        <w:tc>
          <w:tcPr>
            <w:tcW w:w="7149" w:type="dxa"/>
            <w:tcBorders>
              <w:top w:val="single" w:color="auto" w:sz="4" w:space="0"/>
              <w:left w:val="single" w:color="auto" w:sz="4" w:space="0"/>
              <w:bottom w:val="single" w:color="auto" w:sz="4" w:space="0"/>
              <w:right w:val="single" w:color="auto" w:sz="4" w:space="0"/>
            </w:tcBorders>
            <w:vAlign w:val="center"/>
          </w:tcPr>
          <w:p w14:paraId="7F4938F3">
            <w:pPr>
              <w:spacing w:line="360" w:lineRule="auto"/>
              <w:rPr>
                <w:rFonts w:hint="eastAsia" w:ascii="宋体" w:hAnsi="宋体" w:cs="宋体"/>
                <w:sz w:val="24"/>
              </w:rPr>
            </w:pPr>
            <w:r>
              <w:rPr>
                <w:rFonts w:hint="eastAsia" w:ascii="宋体" w:hAnsi="宋体" w:cs="宋体"/>
                <w:sz w:val="24"/>
              </w:rPr>
              <w:t>否</w:t>
            </w:r>
          </w:p>
        </w:tc>
      </w:tr>
      <w:tr w14:paraId="2BCB8775">
        <w:tblPrEx>
          <w:tblCellMar>
            <w:top w:w="0" w:type="dxa"/>
            <w:left w:w="108" w:type="dxa"/>
            <w:bottom w:w="0" w:type="dxa"/>
            <w:right w:w="108" w:type="dxa"/>
          </w:tblCellMar>
        </w:tblPrEx>
        <w:trPr>
          <w:trHeight w:val="340"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153CC18B">
            <w:pPr>
              <w:spacing w:line="360" w:lineRule="auto"/>
              <w:jc w:val="center"/>
              <w:rPr>
                <w:rFonts w:hint="eastAsia" w:ascii="宋体" w:hAnsi="宋体" w:cs="宋体"/>
                <w:sz w:val="24"/>
              </w:rPr>
            </w:pPr>
            <w:r>
              <w:rPr>
                <w:rFonts w:hint="eastAsia" w:ascii="宋体" w:hAnsi="宋体" w:cs="宋体"/>
                <w:sz w:val="24"/>
              </w:rPr>
              <w:t>5.1</w:t>
            </w:r>
          </w:p>
        </w:tc>
        <w:tc>
          <w:tcPr>
            <w:tcW w:w="2337" w:type="dxa"/>
            <w:tcBorders>
              <w:top w:val="single" w:color="auto" w:sz="4" w:space="0"/>
              <w:left w:val="single" w:color="auto" w:sz="4" w:space="0"/>
              <w:bottom w:val="single" w:color="auto" w:sz="4" w:space="0"/>
              <w:right w:val="single" w:color="auto" w:sz="4" w:space="0"/>
            </w:tcBorders>
            <w:vAlign w:val="center"/>
          </w:tcPr>
          <w:p w14:paraId="56D9B993">
            <w:pPr>
              <w:spacing w:line="360" w:lineRule="auto"/>
              <w:jc w:val="center"/>
              <w:rPr>
                <w:rFonts w:hint="eastAsia" w:ascii="宋体" w:hAnsi="宋体" w:cs="宋体"/>
                <w:sz w:val="24"/>
              </w:rPr>
            </w:pPr>
            <w:r>
              <w:rPr>
                <w:rFonts w:hint="eastAsia" w:ascii="宋体" w:hAnsi="宋体" w:cs="宋体"/>
                <w:sz w:val="24"/>
              </w:rPr>
              <w:t>响应文件开启时间和地点</w:t>
            </w:r>
          </w:p>
        </w:tc>
        <w:tc>
          <w:tcPr>
            <w:tcW w:w="7149" w:type="dxa"/>
            <w:tcBorders>
              <w:top w:val="single" w:color="auto" w:sz="4" w:space="0"/>
              <w:left w:val="single" w:color="auto" w:sz="4" w:space="0"/>
              <w:bottom w:val="single" w:color="auto" w:sz="4" w:space="0"/>
              <w:right w:val="single" w:color="auto" w:sz="4" w:space="0"/>
            </w:tcBorders>
            <w:vAlign w:val="center"/>
          </w:tcPr>
          <w:p w14:paraId="79B13290">
            <w:pPr>
              <w:spacing w:line="360" w:lineRule="auto"/>
              <w:rPr>
                <w:rFonts w:hint="eastAsia" w:ascii="宋体" w:hAnsi="宋体" w:cs="宋体"/>
                <w:sz w:val="24"/>
              </w:rPr>
            </w:pPr>
            <w:r>
              <w:rPr>
                <w:rFonts w:hint="eastAsia" w:ascii="宋体" w:hAnsi="宋体" w:cs="宋体"/>
                <w:sz w:val="24"/>
              </w:rPr>
              <w:t>时间：同响应文件开启时间</w:t>
            </w:r>
          </w:p>
          <w:p w14:paraId="1DEDA950">
            <w:pPr>
              <w:widowControl/>
              <w:shd w:val="clear" w:color="auto" w:fill="FFFFFF"/>
              <w:tabs>
                <w:tab w:val="left" w:pos="7406"/>
              </w:tabs>
              <w:spacing w:line="360" w:lineRule="auto"/>
              <w:jc w:val="left"/>
              <w:rPr>
                <w:rFonts w:hint="eastAsia" w:ascii="宋体" w:hAnsi="宋体" w:cs="宋体"/>
                <w:sz w:val="24"/>
              </w:rPr>
            </w:pPr>
            <w:r>
              <w:rPr>
                <w:rFonts w:hint="eastAsia" w:ascii="宋体" w:hAnsi="宋体" w:cs="宋体"/>
                <w:sz w:val="24"/>
              </w:rPr>
              <w:t>地点</w:t>
            </w:r>
            <w:r>
              <w:rPr>
                <w:rFonts w:hint="eastAsia" w:ascii="宋体" w:hAnsi="宋体" w:cs="宋体"/>
                <w:kern w:val="0"/>
                <w:sz w:val="24"/>
                <w:shd w:val="clear" w:color="auto" w:fill="FFFFFF"/>
              </w:rPr>
              <w:t>：同响应文件开启地点</w:t>
            </w:r>
          </w:p>
          <w:p w14:paraId="41852439">
            <w:pPr>
              <w:spacing w:line="360" w:lineRule="auto"/>
              <w:rPr>
                <w:rFonts w:hint="eastAsia" w:ascii="宋体" w:hAnsi="宋体" w:cs="宋体"/>
                <w:sz w:val="24"/>
              </w:rPr>
            </w:pPr>
            <w:r>
              <w:rPr>
                <w:rFonts w:hint="eastAsia" w:ascii="宋体" w:hAnsi="宋体" w:cs="宋体"/>
                <w:sz w:val="24"/>
              </w:rPr>
              <w:t>注：本项目采用“远程不见面”开标方式，供应商应当在磋商文件确定的截止时间前，供应商无需到开标现场，登录不见面开标大厅，在线准时参加开标活动并进行文件解密、答疑澄清等。</w:t>
            </w:r>
            <w:r>
              <w:rPr>
                <w:rFonts w:hint="eastAsia" w:ascii="宋体" w:hAnsi="宋体" w:cs="宋体"/>
                <w:b/>
                <w:bCs/>
                <w:sz w:val="24"/>
              </w:rPr>
              <w:t>本项目二次报价采用远程报价（二次报价有时间限制，响应人如在河南省公共资源交易中心系统规定时间内二次报价没有提交成功的，视为放弃二次报价的权利）。</w:t>
            </w:r>
          </w:p>
        </w:tc>
      </w:tr>
      <w:tr w14:paraId="5D79776C">
        <w:tblPrEx>
          <w:tblCellMar>
            <w:top w:w="0" w:type="dxa"/>
            <w:left w:w="108" w:type="dxa"/>
            <w:bottom w:w="0" w:type="dxa"/>
            <w:right w:w="108" w:type="dxa"/>
          </w:tblCellMar>
        </w:tblPrEx>
        <w:trPr>
          <w:trHeight w:val="33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3A186ACC">
            <w:pPr>
              <w:spacing w:line="360" w:lineRule="auto"/>
              <w:jc w:val="center"/>
              <w:rPr>
                <w:rFonts w:hint="eastAsia" w:ascii="宋体" w:hAnsi="宋体" w:cs="宋体"/>
                <w:sz w:val="24"/>
              </w:rPr>
            </w:pPr>
            <w:r>
              <w:rPr>
                <w:rFonts w:hint="eastAsia" w:ascii="宋体" w:hAnsi="宋体" w:cs="宋体"/>
                <w:sz w:val="24"/>
              </w:rPr>
              <w:t>5.2</w:t>
            </w:r>
          </w:p>
        </w:tc>
        <w:tc>
          <w:tcPr>
            <w:tcW w:w="2337" w:type="dxa"/>
            <w:tcBorders>
              <w:top w:val="single" w:color="auto" w:sz="4" w:space="0"/>
              <w:left w:val="single" w:color="auto" w:sz="4" w:space="0"/>
              <w:bottom w:val="single" w:color="auto" w:sz="4" w:space="0"/>
              <w:right w:val="single" w:color="auto" w:sz="4" w:space="0"/>
            </w:tcBorders>
            <w:vAlign w:val="center"/>
          </w:tcPr>
          <w:p w14:paraId="55C5DF09">
            <w:pPr>
              <w:pStyle w:val="57"/>
              <w:spacing w:line="360" w:lineRule="auto"/>
              <w:ind w:left="106" w:right="97"/>
              <w:jc w:val="center"/>
              <w:rPr>
                <w:rFonts w:hint="eastAsia" w:ascii="宋体" w:hAnsi="宋体" w:cs="宋体"/>
                <w:sz w:val="24"/>
              </w:rPr>
            </w:pPr>
            <w:r>
              <w:rPr>
                <w:rFonts w:hint="eastAsia" w:ascii="宋体" w:hAnsi="宋体" w:cs="宋体"/>
                <w:spacing w:val="-9"/>
                <w:sz w:val="24"/>
              </w:rPr>
              <w:t>开标程序</w:t>
            </w:r>
          </w:p>
        </w:tc>
        <w:tc>
          <w:tcPr>
            <w:tcW w:w="7149" w:type="dxa"/>
            <w:tcBorders>
              <w:top w:val="single" w:color="auto" w:sz="4" w:space="0"/>
              <w:left w:val="single" w:color="auto" w:sz="4" w:space="0"/>
              <w:bottom w:val="single" w:color="auto" w:sz="4" w:space="0"/>
              <w:right w:val="single" w:color="auto" w:sz="4" w:space="0"/>
            </w:tcBorders>
            <w:vAlign w:val="center"/>
          </w:tcPr>
          <w:p w14:paraId="230A4EB0">
            <w:pPr>
              <w:spacing w:line="360" w:lineRule="auto"/>
              <w:rPr>
                <w:rFonts w:hint="eastAsia" w:ascii="宋体" w:hAnsi="宋体" w:cs="宋体"/>
                <w:sz w:val="24"/>
              </w:rPr>
            </w:pPr>
            <w:r>
              <w:rPr>
                <w:rFonts w:hint="eastAsia" w:ascii="宋体" w:hAnsi="宋体" w:cs="宋体"/>
                <w:sz w:val="24"/>
              </w:rPr>
              <w:t>按照《河南省公共资源交易平台不见面服务系统使用指南》开标程序执行</w:t>
            </w:r>
          </w:p>
        </w:tc>
      </w:tr>
      <w:tr w14:paraId="02EB43A5">
        <w:tblPrEx>
          <w:tblCellMar>
            <w:top w:w="0" w:type="dxa"/>
            <w:left w:w="108" w:type="dxa"/>
            <w:bottom w:w="0" w:type="dxa"/>
            <w:right w:w="108" w:type="dxa"/>
          </w:tblCellMar>
        </w:tblPrEx>
        <w:trPr>
          <w:trHeight w:val="509"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17E76100">
            <w:pPr>
              <w:spacing w:line="360" w:lineRule="auto"/>
              <w:jc w:val="center"/>
              <w:rPr>
                <w:rFonts w:hint="eastAsia" w:ascii="宋体" w:hAnsi="宋体" w:cs="宋体"/>
                <w:sz w:val="24"/>
              </w:rPr>
            </w:pPr>
            <w:r>
              <w:rPr>
                <w:rFonts w:hint="eastAsia" w:ascii="宋体" w:hAnsi="宋体" w:cs="宋体"/>
                <w:sz w:val="24"/>
              </w:rPr>
              <w:t>6.1.1</w:t>
            </w:r>
          </w:p>
        </w:tc>
        <w:tc>
          <w:tcPr>
            <w:tcW w:w="2337" w:type="dxa"/>
            <w:tcBorders>
              <w:top w:val="single" w:color="auto" w:sz="4" w:space="0"/>
              <w:left w:val="single" w:color="auto" w:sz="4" w:space="0"/>
              <w:bottom w:val="single" w:color="auto" w:sz="4" w:space="0"/>
              <w:right w:val="single" w:color="auto" w:sz="4" w:space="0"/>
            </w:tcBorders>
            <w:vAlign w:val="center"/>
          </w:tcPr>
          <w:p w14:paraId="2280ECA8">
            <w:pPr>
              <w:spacing w:line="360" w:lineRule="auto"/>
              <w:jc w:val="center"/>
              <w:rPr>
                <w:rFonts w:hint="eastAsia" w:ascii="宋体" w:hAnsi="宋体" w:cs="宋体"/>
                <w:sz w:val="24"/>
              </w:rPr>
            </w:pPr>
            <w:r>
              <w:rPr>
                <w:rFonts w:hint="eastAsia" w:ascii="宋体" w:hAnsi="宋体" w:cs="宋体"/>
                <w:sz w:val="24"/>
              </w:rPr>
              <w:t>磋商小组的组建</w:t>
            </w:r>
          </w:p>
        </w:tc>
        <w:tc>
          <w:tcPr>
            <w:tcW w:w="7149" w:type="dxa"/>
            <w:tcBorders>
              <w:top w:val="single" w:color="auto" w:sz="4" w:space="0"/>
              <w:left w:val="single" w:color="auto" w:sz="4" w:space="0"/>
              <w:bottom w:val="single" w:color="auto" w:sz="4" w:space="0"/>
              <w:right w:val="single" w:color="auto" w:sz="4" w:space="0"/>
            </w:tcBorders>
            <w:vAlign w:val="center"/>
          </w:tcPr>
          <w:p w14:paraId="4703B096">
            <w:pPr>
              <w:spacing w:line="360" w:lineRule="auto"/>
              <w:rPr>
                <w:rFonts w:hint="eastAsia" w:ascii="宋体" w:hAnsi="宋体" w:cs="宋体"/>
                <w:sz w:val="24"/>
              </w:rPr>
            </w:pPr>
            <w:r>
              <w:rPr>
                <w:rFonts w:hint="eastAsia" w:ascii="宋体" w:hAnsi="宋体" w:cs="宋体"/>
                <w:sz w:val="24"/>
              </w:rPr>
              <w:t>磋商小组构成：</w:t>
            </w:r>
            <w:r>
              <w:rPr>
                <w:rFonts w:hint="eastAsia" w:ascii="宋体" w:hAnsi="宋体" w:cs="宋体"/>
                <w:sz w:val="24"/>
                <w:u w:val="single"/>
              </w:rPr>
              <w:t>3</w:t>
            </w:r>
            <w:r>
              <w:rPr>
                <w:rFonts w:hint="eastAsia" w:ascii="宋体" w:hAnsi="宋体" w:cs="宋体"/>
                <w:sz w:val="24"/>
              </w:rPr>
              <w:t>人，其中采购人代表</w:t>
            </w:r>
            <w:r>
              <w:rPr>
                <w:rFonts w:hint="eastAsia" w:ascii="宋体" w:hAnsi="宋体" w:cs="宋体"/>
                <w:sz w:val="24"/>
                <w:u w:val="single"/>
              </w:rPr>
              <w:t xml:space="preserve"> 1 </w:t>
            </w:r>
            <w:r>
              <w:rPr>
                <w:rFonts w:hint="eastAsia" w:ascii="宋体" w:hAnsi="宋体" w:cs="宋体"/>
                <w:sz w:val="24"/>
              </w:rPr>
              <w:t xml:space="preserve">人，专家 </w:t>
            </w:r>
            <w:r>
              <w:rPr>
                <w:rFonts w:hint="eastAsia" w:ascii="宋体" w:hAnsi="宋体" w:cs="宋体"/>
                <w:sz w:val="24"/>
                <w:u w:val="single"/>
              </w:rPr>
              <w:t xml:space="preserve">2 </w:t>
            </w:r>
            <w:r>
              <w:rPr>
                <w:rFonts w:hint="eastAsia" w:ascii="宋体" w:hAnsi="宋体" w:cs="宋体"/>
                <w:sz w:val="24"/>
              </w:rPr>
              <w:t>人；</w:t>
            </w:r>
          </w:p>
          <w:p w14:paraId="739A563C">
            <w:pPr>
              <w:spacing w:line="360" w:lineRule="auto"/>
              <w:rPr>
                <w:rFonts w:hint="eastAsia" w:ascii="宋体" w:hAnsi="宋体" w:cs="宋体"/>
                <w:sz w:val="24"/>
              </w:rPr>
            </w:pPr>
            <w:r>
              <w:rPr>
                <w:rFonts w:hint="eastAsia" w:ascii="宋体" w:hAnsi="宋体" w:cs="宋体"/>
                <w:sz w:val="24"/>
              </w:rPr>
              <w:t>评标专家确定方式：从政府采购评审专家库中随机抽取。</w:t>
            </w:r>
          </w:p>
        </w:tc>
      </w:tr>
      <w:tr w14:paraId="5258E2FC">
        <w:tblPrEx>
          <w:tblCellMar>
            <w:top w:w="0" w:type="dxa"/>
            <w:left w:w="108" w:type="dxa"/>
            <w:bottom w:w="0" w:type="dxa"/>
            <w:right w:w="108" w:type="dxa"/>
          </w:tblCellMar>
        </w:tblPrEx>
        <w:trPr>
          <w:trHeight w:val="341" w:hRule="atLeast"/>
          <w:jc w:val="center"/>
        </w:trPr>
        <w:tc>
          <w:tcPr>
            <w:tcW w:w="967" w:type="dxa"/>
            <w:tcBorders>
              <w:top w:val="single" w:color="auto" w:sz="4" w:space="0"/>
              <w:left w:val="single" w:color="auto" w:sz="4" w:space="0"/>
              <w:right w:val="single" w:color="auto" w:sz="4" w:space="0"/>
            </w:tcBorders>
            <w:vAlign w:val="center"/>
          </w:tcPr>
          <w:p w14:paraId="168ED08F">
            <w:pPr>
              <w:spacing w:line="360" w:lineRule="auto"/>
              <w:jc w:val="center"/>
              <w:rPr>
                <w:rFonts w:hint="eastAsia" w:ascii="宋体" w:hAnsi="宋体" w:cs="宋体"/>
                <w:sz w:val="24"/>
              </w:rPr>
            </w:pPr>
            <w:r>
              <w:rPr>
                <w:rFonts w:hint="eastAsia" w:ascii="宋体" w:hAnsi="宋体" w:cs="宋体"/>
                <w:sz w:val="24"/>
              </w:rPr>
              <w:t>7.1</w:t>
            </w:r>
          </w:p>
        </w:tc>
        <w:tc>
          <w:tcPr>
            <w:tcW w:w="2337" w:type="dxa"/>
            <w:tcBorders>
              <w:top w:val="single" w:color="auto" w:sz="4" w:space="0"/>
              <w:left w:val="single" w:color="auto" w:sz="4" w:space="0"/>
              <w:right w:val="single" w:color="auto" w:sz="4" w:space="0"/>
            </w:tcBorders>
            <w:vAlign w:val="center"/>
          </w:tcPr>
          <w:p w14:paraId="7FE3B997">
            <w:pPr>
              <w:spacing w:line="360" w:lineRule="auto"/>
              <w:jc w:val="center"/>
              <w:rPr>
                <w:rFonts w:hint="eastAsia" w:ascii="宋体" w:hAnsi="宋体" w:cs="宋体"/>
                <w:sz w:val="24"/>
              </w:rPr>
            </w:pPr>
            <w:r>
              <w:rPr>
                <w:rFonts w:hint="eastAsia" w:ascii="宋体" w:hAnsi="宋体" w:cs="宋体"/>
                <w:sz w:val="24"/>
              </w:rPr>
              <w:t>是否授权磋商小组确定成交人</w:t>
            </w:r>
          </w:p>
        </w:tc>
        <w:tc>
          <w:tcPr>
            <w:tcW w:w="7149" w:type="dxa"/>
            <w:tcBorders>
              <w:top w:val="single" w:color="auto" w:sz="4" w:space="0"/>
              <w:left w:val="single" w:color="auto" w:sz="4" w:space="0"/>
              <w:right w:val="single" w:color="auto" w:sz="4" w:space="0"/>
            </w:tcBorders>
            <w:vAlign w:val="center"/>
          </w:tcPr>
          <w:p w14:paraId="5E53DD2D">
            <w:pPr>
              <w:spacing w:line="360" w:lineRule="auto"/>
              <w:rPr>
                <w:rFonts w:hint="eastAsia" w:ascii="宋体" w:hAnsi="宋体" w:cs="宋体"/>
                <w:sz w:val="24"/>
              </w:rPr>
            </w:pPr>
            <w:r>
              <w:rPr>
                <w:rFonts w:hint="eastAsia" w:ascii="宋体" w:hAnsi="宋体" w:cs="宋体"/>
                <w:sz w:val="24"/>
              </w:rPr>
              <w:t>否，推荐的成交候选人数：3名</w:t>
            </w:r>
          </w:p>
        </w:tc>
      </w:tr>
      <w:tr w14:paraId="69E914B7">
        <w:tblPrEx>
          <w:tblCellMar>
            <w:top w:w="0" w:type="dxa"/>
            <w:left w:w="108" w:type="dxa"/>
            <w:bottom w:w="0" w:type="dxa"/>
            <w:right w:w="108" w:type="dxa"/>
          </w:tblCellMar>
        </w:tblPrEx>
        <w:trPr>
          <w:trHeight w:val="341" w:hRule="atLeast"/>
          <w:jc w:val="center"/>
        </w:trPr>
        <w:tc>
          <w:tcPr>
            <w:tcW w:w="967" w:type="dxa"/>
            <w:tcBorders>
              <w:top w:val="single" w:color="auto" w:sz="4" w:space="0"/>
              <w:left w:val="single" w:color="auto" w:sz="4" w:space="0"/>
              <w:right w:val="single" w:color="auto" w:sz="4" w:space="0"/>
            </w:tcBorders>
            <w:vAlign w:val="center"/>
          </w:tcPr>
          <w:p w14:paraId="3708BD02">
            <w:pPr>
              <w:spacing w:line="360" w:lineRule="auto"/>
              <w:jc w:val="center"/>
              <w:rPr>
                <w:rFonts w:hint="eastAsia" w:ascii="宋体" w:hAnsi="宋体" w:cs="宋体"/>
                <w:sz w:val="24"/>
              </w:rPr>
            </w:pPr>
            <w:r>
              <w:rPr>
                <w:rFonts w:hint="eastAsia" w:ascii="宋体" w:hAnsi="宋体" w:cs="宋体"/>
                <w:sz w:val="24"/>
              </w:rPr>
              <w:t>7.3</w:t>
            </w:r>
          </w:p>
        </w:tc>
        <w:tc>
          <w:tcPr>
            <w:tcW w:w="2337" w:type="dxa"/>
            <w:tcBorders>
              <w:top w:val="single" w:color="auto" w:sz="4" w:space="0"/>
              <w:left w:val="single" w:color="auto" w:sz="4" w:space="0"/>
              <w:right w:val="single" w:color="auto" w:sz="4" w:space="0"/>
            </w:tcBorders>
            <w:vAlign w:val="center"/>
          </w:tcPr>
          <w:p w14:paraId="6547B8EF">
            <w:pPr>
              <w:spacing w:line="360" w:lineRule="auto"/>
              <w:jc w:val="center"/>
              <w:rPr>
                <w:rFonts w:hint="eastAsia" w:ascii="宋体" w:hAnsi="宋体" w:cs="宋体"/>
                <w:sz w:val="24"/>
              </w:rPr>
            </w:pPr>
            <w:r>
              <w:rPr>
                <w:rFonts w:hint="eastAsia" w:ascii="宋体" w:hAnsi="宋体" w:cs="宋体"/>
                <w:sz w:val="24"/>
              </w:rPr>
              <w:t>履约保证金</w:t>
            </w:r>
          </w:p>
        </w:tc>
        <w:tc>
          <w:tcPr>
            <w:tcW w:w="7149" w:type="dxa"/>
            <w:tcBorders>
              <w:top w:val="single" w:color="auto" w:sz="4" w:space="0"/>
              <w:left w:val="single" w:color="auto" w:sz="4" w:space="0"/>
              <w:right w:val="single" w:color="auto" w:sz="4" w:space="0"/>
            </w:tcBorders>
            <w:vAlign w:val="center"/>
          </w:tcPr>
          <w:p w14:paraId="400B0B96">
            <w:pPr>
              <w:spacing w:line="360" w:lineRule="auto"/>
              <w:rPr>
                <w:rFonts w:hint="eastAsia" w:ascii="宋体" w:hAnsi="宋体" w:cs="宋体"/>
                <w:sz w:val="24"/>
              </w:rPr>
            </w:pPr>
            <w:r>
              <w:rPr>
                <w:rFonts w:hint="eastAsia" w:ascii="宋体" w:hAnsi="宋体" w:cs="宋体"/>
                <w:sz w:val="24"/>
              </w:rPr>
              <w:t>履约保证金的形式:可采用覆盖完整质保期限的银行保函，或对公</w:t>
            </w:r>
          </w:p>
          <w:p w14:paraId="5BDAC3E0">
            <w:pPr>
              <w:spacing w:line="360" w:lineRule="auto"/>
              <w:rPr>
                <w:rFonts w:hint="eastAsia" w:ascii="宋体" w:hAnsi="宋体" w:cs="宋体"/>
                <w:sz w:val="24"/>
              </w:rPr>
            </w:pPr>
            <w:r>
              <w:rPr>
                <w:rFonts w:hint="eastAsia" w:ascii="宋体" w:hAnsi="宋体" w:cs="宋体"/>
                <w:sz w:val="24"/>
              </w:rPr>
              <w:t>转账两种方式缴纳履约保证金。</w:t>
            </w:r>
          </w:p>
          <w:p w14:paraId="5D23B0B6">
            <w:pPr>
              <w:spacing w:line="360" w:lineRule="auto"/>
              <w:rPr>
                <w:rFonts w:hint="eastAsia" w:ascii="宋体" w:hAnsi="宋体" w:cs="宋体"/>
                <w:sz w:val="24"/>
              </w:rPr>
            </w:pPr>
            <w:r>
              <w:rPr>
                <w:rFonts w:hint="eastAsia" w:ascii="宋体" w:hAnsi="宋体" w:cs="宋体"/>
                <w:sz w:val="24"/>
              </w:rPr>
              <w:t>履约保证金收款账号:</w:t>
            </w:r>
          </w:p>
          <w:p w14:paraId="0A1C65AE">
            <w:pPr>
              <w:spacing w:line="360" w:lineRule="auto"/>
              <w:rPr>
                <w:rFonts w:hint="eastAsia" w:ascii="宋体" w:hAnsi="宋体" w:cs="宋体"/>
                <w:sz w:val="24"/>
              </w:rPr>
            </w:pPr>
            <w:r>
              <w:rPr>
                <w:rFonts w:hint="eastAsia" w:ascii="宋体" w:hAnsi="宋体" w:cs="宋体"/>
                <w:sz w:val="24"/>
              </w:rPr>
              <w:t>账号名称:河南工程学院</w:t>
            </w:r>
          </w:p>
          <w:p w14:paraId="63C5C40A">
            <w:pPr>
              <w:spacing w:line="360" w:lineRule="auto"/>
              <w:rPr>
                <w:rFonts w:hint="eastAsia" w:ascii="宋体" w:hAnsi="宋体" w:cs="宋体"/>
                <w:sz w:val="24"/>
              </w:rPr>
            </w:pPr>
            <w:r>
              <w:rPr>
                <w:rFonts w:hint="eastAsia" w:ascii="宋体" w:hAnsi="宋体" w:cs="宋体"/>
                <w:sz w:val="24"/>
              </w:rPr>
              <w:t>账号:41001530010059000016</w:t>
            </w:r>
          </w:p>
          <w:p w14:paraId="6D9CBC35">
            <w:pPr>
              <w:spacing w:line="360" w:lineRule="auto"/>
              <w:rPr>
                <w:rFonts w:hint="eastAsia" w:ascii="宋体" w:hAnsi="宋体" w:cs="宋体"/>
                <w:sz w:val="24"/>
              </w:rPr>
            </w:pPr>
            <w:r>
              <w:rPr>
                <w:rFonts w:hint="eastAsia" w:ascii="宋体" w:hAnsi="宋体" w:cs="宋体"/>
                <w:sz w:val="24"/>
              </w:rPr>
              <w:t>开户行:建行郑州陇海路支行</w:t>
            </w:r>
          </w:p>
          <w:p w14:paraId="743F753B">
            <w:pPr>
              <w:spacing w:line="360" w:lineRule="auto"/>
              <w:rPr>
                <w:rFonts w:hint="eastAsia" w:ascii="宋体" w:hAnsi="宋体" w:cs="宋体"/>
                <w:sz w:val="24"/>
                <w:lang w:eastAsia="zh-CN"/>
              </w:rPr>
            </w:pPr>
            <w:r>
              <w:rPr>
                <w:rFonts w:hint="eastAsia" w:ascii="宋体" w:hAnsi="宋体" w:cs="宋体"/>
                <w:sz w:val="24"/>
              </w:rPr>
              <w:t>履约保证金的金额:合同金额的5%</w:t>
            </w:r>
            <w:r>
              <w:rPr>
                <w:rFonts w:hint="eastAsia" w:ascii="宋体" w:hAnsi="宋体" w:cs="宋体"/>
                <w:sz w:val="24"/>
                <w:lang w:eastAsia="zh-CN"/>
              </w:rPr>
              <w:t>；</w:t>
            </w:r>
          </w:p>
          <w:p w14:paraId="52A85E58">
            <w:pPr>
              <w:spacing w:line="360" w:lineRule="auto"/>
              <w:rPr>
                <w:rFonts w:hint="eastAsia" w:ascii="宋体" w:hAnsi="宋体" w:cs="宋体"/>
                <w:sz w:val="24"/>
              </w:rPr>
            </w:pPr>
            <w:r>
              <w:rPr>
                <w:rFonts w:hint="eastAsia" w:ascii="宋体" w:hAnsi="宋体" w:cs="宋体"/>
                <w:sz w:val="24"/>
              </w:rPr>
              <w:t>履约保证金递交时间:中标人应于合同正式签订前，将履约保证金</w:t>
            </w:r>
          </w:p>
          <w:p w14:paraId="6A4E6524">
            <w:pPr>
              <w:spacing w:line="360" w:lineRule="auto"/>
              <w:rPr>
                <w:rFonts w:hint="eastAsia" w:ascii="宋体" w:hAnsi="宋体" w:cs="宋体"/>
                <w:sz w:val="24"/>
              </w:rPr>
            </w:pPr>
            <w:r>
              <w:rPr>
                <w:rFonts w:hint="eastAsia" w:ascii="宋体" w:hAnsi="宋体" w:cs="宋体"/>
                <w:sz w:val="24"/>
              </w:rPr>
              <w:t>(银行保函原件/转账凭证)提交至采购人。逾期未按要求足额提交</w:t>
            </w:r>
          </w:p>
          <w:p w14:paraId="3FB2A112">
            <w:pPr>
              <w:spacing w:line="360" w:lineRule="auto"/>
              <w:rPr>
                <w:rFonts w:hint="eastAsia" w:ascii="宋体" w:hAnsi="宋体" w:cs="宋体"/>
                <w:sz w:val="24"/>
                <w:lang w:eastAsia="zh-CN"/>
              </w:rPr>
            </w:pPr>
            <w:r>
              <w:rPr>
                <w:rFonts w:hint="eastAsia" w:ascii="宋体" w:hAnsi="宋体" w:cs="宋体"/>
                <w:sz w:val="24"/>
              </w:rPr>
              <w:t>履约保证金的，取消其中标资格</w:t>
            </w:r>
            <w:r>
              <w:rPr>
                <w:rFonts w:hint="eastAsia" w:ascii="宋体" w:hAnsi="宋体" w:cs="宋体"/>
                <w:sz w:val="24"/>
                <w:lang w:eastAsia="zh-CN"/>
              </w:rPr>
              <w:t>；</w:t>
            </w:r>
          </w:p>
          <w:p w14:paraId="5BE2D573">
            <w:pPr>
              <w:spacing w:line="360" w:lineRule="auto"/>
              <w:rPr>
                <w:rFonts w:hint="eastAsia" w:ascii="宋体" w:hAnsi="宋体" w:cs="宋体"/>
                <w:sz w:val="24"/>
              </w:rPr>
            </w:pPr>
            <w:r>
              <w:rPr>
                <w:rFonts w:hint="eastAsia" w:ascii="宋体" w:hAnsi="宋体" w:cs="宋体"/>
                <w:sz w:val="24"/>
              </w:rPr>
              <w:t>履约保证金退还:采用现金转账交至采购人指定账户的，待验收合</w:t>
            </w:r>
          </w:p>
          <w:p w14:paraId="3AD64A82">
            <w:pPr>
              <w:spacing w:line="360" w:lineRule="auto"/>
              <w:rPr>
                <w:rFonts w:hint="eastAsia" w:ascii="宋体" w:hAnsi="宋体" w:cs="宋体"/>
                <w:sz w:val="24"/>
              </w:rPr>
            </w:pPr>
            <w:r>
              <w:rPr>
                <w:rFonts w:hint="eastAsia" w:ascii="宋体" w:hAnsi="宋体" w:cs="宋体"/>
                <w:sz w:val="24"/>
              </w:rPr>
              <w:t>格后一次性无息返还。履约保证金所需的费用由乙方自行承担。采</w:t>
            </w:r>
          </w:p>
          <w:p w14:paraId="2379D456">
            <w:pPr>
              <w:spacing w:line="360" w:lineRule="auto"/>
              <w:rPr>
                <w:rFonts w:hint="eastAsia" w:ascii="宋体" w:hAnsi="宋体" w:cs="宋体"/>
                <w:sz w:val="24"/>
              </w:rPr>
            </w:pPr>
            <w:r>
              <w:rPr>
                <w:rFonts w:hint="eastAsia" w:ascii="宋体" w:hAnsi="宋体" w:cs="宋体"/>
                <w:sz w:val="24"/>
              </w:rPr>
              <w:t>用银行保函的，待验收合格后解除。履约保证金所需的费用由中标</w:t>
            </w:r>
          </w:p>
          <w:p w14:paraId="19626576">
            <w:pPr>
              <w:spacing w:line="360" w:lineRule="auto"/>
              <w:rPr>
                <w:rFonts w:hint="eastAsia" w:ascii="宋体" w:hAnsi="宋体" w:cs="宋体"/>
                <w:sz w:val="24"/>
              </w:rPr>
            </w:pPr>
            <w:r>
              <w:rPr>
                <w:rFonts w:hint="eastAsia" w:ascii="宋体" w:hAnsi="宋体" w:cs="宋体"/>
                <w:sz w:val="24"/>
              </w:rPr>
              <w:t>人自行承担。</w:t>
            </w:r>
          </w:p>
        </w:tc>
      </w:tr>
      <w:tr w14:paraId="266143DB">
        <w:tblPrEx>
          <w:tblCellMar>
            <w:top w:w="0" w:type="dxa"/>
            <w:left w:w="0" w:type="dxa"/>
            <w:bottom w:w="0" w:type="dxa"/>
            <w:right w:w="0" w:type="dxa"/>
          </w:tblCellMar>
        </w:tblPrEx>
        <w:trPr>
          <w:trHeight w:val="664"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2DCC90C4">
            <w:pPr>
              <w:autoSpaceDE w:val="0"/>
              <w:autoSpaceDN w:val="0"/>
              <w:adjustRightInd w:val="0"/>
              <w:spacing w:line="360" w:lineRule="auto"/>
              <w:ind w:right="35"/>
              <w:jc w:val="center"/>
              <w:rPr>
                <w:rFonts w:hint="eastAsia" w:ascii="宋体" w:hAnsi="宋体" w:cs="宋体"/>
                <w:spacing w:val="1"/>
                <w:kern w:val="0"/>
                <w:sz w:val="24"/>
              </w:rPr>
            </w:pPr>
            <w:r>
              <w:rPr>
                <w:rFonts w:hint="eastAsia" w:ascii="宋体" w:hAnsi="宋体" w:cs="宋体"/>
                <w:b/>
                <w:sz w:val="24"/>
              </w:rPr>
              <w:t>10</w:t>
            </w:r>
          </w:p>
        </w:tc>
        <w:tc>
          <w:tcPr>
            <w:tcW w:w="9486" w:type="dxa"/>
            <w:gridSpan w:val="2"/>
            <w:tcBorders>
              <w:top w:val="single" w:color="000000" w:sz="4" w:space="0"/>
              <w:left w:val="single" w:color="000000" w:sz="4" w:space="0"/>
              <w:bottom w:val="single" w:color="000000" w:sz="4" w:space="0"/>
              <w:right w:val="single" w:color="000000" w:sz="4" w:space="0"/>
            </w:tcBorders>
            <w:vAlign w:val="center"/>
          </w:tcPr>
          <w:p w14:paraId="1BDA7257">
            <w:pPr>
              <w:spacing w:line="360" w:lineRule="auto"/>
              <w:jc w:val="center"/>
              <w:rPr>
                <w:rFonts w:hint="eastAsia" w:ascii="宋体" w:hAnsi="宋体" w:cs="宋体"/>
                <w:sz w:val="24"/>
              </w:rPr>
            </w:pPr>
            <w:r>
              <w:rPr>
                <w:rFonts w:hint="eastAsia" w:ascii="宋体" w:hAnsi="宋体" w:cs="宋体"/>
                <w:b/>
                <w:sz w:val="24"/>
              </w:rPr>
              <w:t>需要补充的其他内容</w:t>
            </w:r>
          </w:p>
        </w:tc>
      </w:tr>
      <w:tr w14:paraId="009C16F9">
        <w:tblPrEx>
          <w:tblCellMar>
            <w:top w:w="0" w:type="dxa"/>
            <w:left w:w="0" w:type="dxa"/>
            <w:bottom w:w="0" w:type="dxa"/>
            <w:right w:w="0" w:type="dxa"/>
          </w:tblCellMar>
        </w:tblPrEx>
        <w:trPr>
          <w:trHeight w:val="341"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7C74F0A3">
            <w:pPr>
              <w:spacing w:line="360" w:lineRule="auto"/>
              <w:jc w:val="center"/>
              <w:rPr>
                <w:rFonts w:hint="eastAsia" w:ascii="宋体" w:hAnsi="宋体" w:cs="宋体"/>
                <w:sz w:val="24"/>
              </w:rPr>
            </w:pPr>
            <w:r>
              <w:rPr>
                <w:rFonts w:hint="eastAsia" w:ascii="宋体" w:hAnsi="宋体" w:cs="宋体"/>
                <w:sz w:val="24"/>
              </w:rPr>
              <w:t>10.1</w:t>
            </w:r>
          </w:p>
        </w:tc>
        <w:tc>
          <w:tcPr>
            <w:tcW w:w="2337" w:type="dxa"/>
            <w:tcBorders>
              <w:top w:val="single" w:color="000000" w:sz="4" w:space="0"/>
              <w:left w:val="single" w:color="000000" w:sz="4" w:space="0"/>
              <w:bottom w:val="single" w:color="000000" w:sz="4" w:space="0"/>
              <w:right w:val="single" w:color="000000" w:sz="4" w:space="0"/>
            </w:tcBorders>
            <w:vAlign w:val="center"/>
          </w:tcPr>
          <w:p w14:paraId="2D409361">
            <w:pPr>
              <w:spacing w:line="360" w:lineRule="auto"/>
              <w:jc w:val="center"/>
              <w:rPr>
                <w:rFonts w:hint="eastAsia" w:ascii="宋体" w:hAnsi="宋体" w:cs="宋体"/>
                <w:sz w:val="24"/>
              </w:rPr>
            </w:pPr>
            <w:r>
              <w:rPr>
                <w:rFonts w:hint="eastAsia" w:ascii="宋体" w:hAnsi="宋体" w:cs="宋体"/>
                <w:sz w:val="24"/>
              </w:rPr>
              <w:t>最高投标限价</w:t>
            </w:r>
          </w:p>
        </w:tc>
        <w:tc>
          <w:tcPr>
            <w:tcW w:w="7149" w:type="dxa"/>
            <w:tcBorders>
              <w:top w:val="single" w:color="000000" w:sz="4" w:space="0"/>
              <w:left w:val="single" w:color="000000" w:sz="4" w:space="0"/>
              <w:bottom w:val="single" w:color="000000" w:sz="4" w:space="0"/>
              <w:right w:val="single" w:color="000000" w:sz="4" w:space="0"/>
            </w:tcBorders>
            <w:vAlign w:val="center"/>
          </w:tcPr>
          <w:p w14:paraId="2162B4F3">
            <w:pPr>
              <w:pStyle w:val="29"/>
              <w:spacing w:line="360" w:lineRule="auto"/>
              <w:ind w:firstLine="0"/>
              <w:rPr>
                <w:rFonts w:hint="eastAsia" w:hAnsi="宋体" w:cs="宋体"/>
              </w:rPr>
            </w:pPr>
            <w:r>
              <w:rPr>
                <w:rFonts w:hint="eastAsia" w:hAnsi="宋体" w:cs="宋体"/>
              </w:rPr>
              <w:t>本项目设最高投标限价，最高投标限价：3200000元；</w:t>
            </w:r>
          </w:p>
          <w:p w14:paraId="62C49768">
            <w:pPr>
              <w:adjustRightInd w:val="0"/>
              <w:spacing w:line="360" w:lineRule="auto"/>
              <w:jc w:val="left"/>
              <w:textAlignment w:val="baseline"/>
              <w:rPr>
                <w:rFonts w:hint="eastAsia" w:ascii="宋体" w:hAnsi="宋体" w:cs="宋体"/>
                <w:sz w:val="24"/>
              </w:rPr>
            </w:pPr>
            <w:r>
              <w:rPr>
                <w:rFonts w:hint="eastAsia" w:ascii="宋体" w:hAnsi="宋体" w:cs="宋体"/>
                <w:sz w:val="24"/>
              </w:rPr>
              <w:t>大写：叁佰贰拾万元</w:t>
            </w:r>
          </w:p>
          <w:p w14:paraId="2AF15569">
            <w:pPr>
              <w:adjustRightInd w:val="0"/>
              <w:spacing w:line="360" w:lineRule="auto"/>
              <w:jc w:val="left"/>
              <w:textAlignment w:val="baseline"/>
              <w:rPr>
                <w:rFonts w:hint="eastAsia" w:ascii="宋体" w:hAnsi="宋体" w:cs="宋体"/>
              </w:rPr>
            </w:pPr>
            <w:r>
              <w:rPr>
                <w:rFonts w:hint="eastAsia" w:ascii="宋体" w:hAnsi="宋体" w:cs="宋体"/>
                <w:sz w:val="24"/>
              </w:rPr>
              <w:t>小写：3200000元</w:t>
            </w:r>
          </w:p>
          <w:p w14:paraId="076674D0">
            <w:pPr>
              <w:pStyle w:val="29"/>
              <w:spacing w:line="360" w:lineRule="auto"/>
              <w:ind w:firstLine="0"/>
              <w:rPr>
                <w:rFonts w:hint="eastAsia" w:hAnsi="宋体" w:cs="宋体"/>
                <w:b/>
              </w:rPr>
            </w:pPr>
            <w:r>
              <w:rPr>
                <w:rFonts w:hint="eastAsia" w:hAnsi="宋体" w:cs="宋体"/>
              </w:rPr>
              <w:t>供应商的磋商价格超出“最高投标限价”（不含等于“最高投标限价”）的，该供应商的响应文件将不予进行后续评审，按无效标处理。</w:t>
            </w:r>
          </w:p>
        </w:tc>
      </w:tr>
      <w:tr w14:paraId="06FD6ED5">
        <w:tblPrEx>
          <w:tblCellMar>
            <w:top w:w="0" w:type="dxa"/>
            <w:left w:w="0" w:type="dxa"/>
            <w:bottom w:w="0" w:type="dxa"/>
            <w:right w:w="0" w:type="dxa"/>
          </w:tblCellMar>
        </w:tblPrEx>
        <w:trPr>
          <w:trHeight w:val="341"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7F2A05E7">
            <w:pPr>
              <w:spacing w:line="360" w:lineRule="auto"/>
              <w:jc w:val="center"/>
              <w:rPr>
                <w:rFonts w:hint="eastAsia" w:ascii="宋体" w:hAnsi="宋体" w:cs="宋体"/>
                <w:sz w:val="24"/>
              </w:rPr>
            </w:pPr>
            <w:r>
              <w:rPr>
                <w:rFonts w:hint="eastAsia" w:ascii="宋体" w:hAnsi="宋体" w:cs="宋体"/>
                <w:sz w:val="24"/>
              </w:rPr>
              <w:t>10.2</w:t>
            </w:r>
          </w:p>
        </w:tc>
        <w:tc>
          <w:tcPr>
            <w:tcW w:w="2337" w:type="dxa"/>
            <w:tcBorders>
              <w:top w:val="single" w:color="000000" w:sz="4" w:space="0"/>
              <w:left w:val="single" w:color="000000" w:sz="4" w:space="0"/>
              <w:bottom w:val="single" w:color="000000" w:sz="4" w:space="0"/>
              <w:right w:val="single" w:color="000000" w:sz="4" w:space="0"/>
            </w:tcBorders>
            <w:vAlign w:val="center"/>
          </w:tcPr>
          <w:p w14:paraId="0A3158A6">
            <w:pPr>
              <w:spacing w:line="360" w:lineRule="auto"/>
              <w:jc w:val="center"/>
              <w:rPr>
                <w:rFonts w:hint="eastAsia" w:ascii="宋体" w:hAnsi="宋体" w:cs="宋体"/>
                <w:bCs/>
                <w:kern w:val="1"/>
                <w:sz w:val="24"/>
              </w:rPr>
            </w:pPr>
            <w:r>
              <w:rPr>
                <w:rFonts w:hint="eastAsia" w:ascii="宋体" w:hAnsi="宋体" w:cs="宋体"/>
                <w:bCs/>
                <w:kern w:val="1"/>
                <w:sz w:val="24"/>
              </w:rPr>
              <w:t>采购代理服务费</w:t>
            </w:r>
          </w:p>
        </w:tc>
        <w:tc>
          <w:tcPr>
            <w:tcW w:w="7149" w:type="dxa"/>
            <w:tcBorders>
              <w:top w:val="single" w:color="000000" w:sz="4" w:space="0"/>
              <w:left w:val="single" w:color="000000" w:sz="4" w:space="0"/>
              <w:bottom w:val="single" w:color="000000" w:sz="4" w:space="0"/>
              <w:right w:val="single" w:color="000000" w:sz="4" w:space="0"/>
            </w:tcBorders>
            <w:vAlign w:val="center"/>
          </w:tcPr>
          <w:p w14:paraId="22227C59">
            <w:pPr>
              <w:pStyle w:val="26"/>
              <w:widowControl/>
              <w:spacing w:line="500" w:lineRule="exact"/>
              <w:rPr>
                <w:rFonts w:hint="eastAsia" w:ascii="宋体" w:hAnsi="宋体" w:cs="宋体"/>
              </w:rPr>
            </w:pPr>
            <w:r>
              <w:rPr>
                <w:rFonts w:hint="eastAsia" w:ascii="宋体" w:hAnsi="宋体" w:cs="宋体"/>
              </w:rPr>
              <w:t>本次采购项目的采购代理费，参照原《招标代理服务收费管理暂行办法》（计价格[2002]1980 号）及国家发改委印发的《国家发展改革委办公厅关于招标代理服务收费有关问题的通知》（发改办价格[2003]857 号）和《国家发展改革委关于降低部分建设项目收费标准规范收费行为等有关问题的通知》（发改价格〔2011〕534 号）等文件规定的“代理服务费收费标准”，按95%比例计取，由成交单位向采购代理机构支付。</w:t>
            </w:r>
          </w:p>
          <w:p w14:paraId="200923F9">
            <w:pPr>
              <w:spacing w:line="360" w:lineRule="auto"/>
              <w:rPr>
                <w:rFonts w:hint="eastAsia" w:ascii="宋体" w:hAnsi="宋体" w:cs="宋体"/>
                <w:bCs/>
                <w:kern w:val="1"/>
                <w:sz w:val="24"/>
              </w:rPr>
            </w:pPr>
            <w:r>
              <w:rPr>
                <w:rFonts w:hint="eastAsia" w:ascii="宋体" w:hAnsi="宋体" w:cs="宋体"/>
                <w:bCs/>
                <w:kern w:val="1"/>
                <w:sz w:val="24"/>
              </w:rPr>
              <w:t>代理费缴纳账户：</w:t>
            </w:r>
          </w:p>
          <w:p w14:paraId="19B5BF6E">
            <w:pPr>
              <w:spacing w:line="360" w:lineRule="auto"/>
              <w:rPr>
                <w:rFonts w:hint="eastAsia" w:ascii="宋体" w:hAnsi="宋体" w:cs="宋体"/>
                <w:bCs/>
                <w:kern w:val="1"/>
                <w:sz w:val="24"/>
              </w:rPr>
            </w:pPr>
            <w:r>
              <w:rPr>
                <w:rFonts w:hint="eastAsia" w:ascii="宋体" w:hAnsi="宋体" w:cs="宋体"/>
                <w:bCs/>
                <w:kern w:val="1"/>
                <w:sz w:val="24"/>
              </w:rPr>
              <w:t>户名：河南省光大建设管理有限公司</w:t>
            </w:r>
          </w:p>
          <w:p w14:paraId="6C7DACBC">
            <w:pPr>
              <w:spacing w:line="360" w:lineRule="auto"/>
              <w:rPr>
                <w:rFonts w:hint="eastAsia" w:ascii="宋体" w:hAnsi="宋体" w:cs="宋体"/>
                <w:bCs/>
                <w:kern w:val="1"/>
                <w:sz w:val="24"/>
              </w:rPr>
            </w:pPr>
            <w:r>
              <w:rPr>
                <w:rFonts w:hint="eastAsia" w:ascii="宋体" w:hAnsi="宋体" w:cs="宋体"/>
                <w:bCs/>
                <w:kern w:val="1"/>
                <w:sz w:val="24"/>
              </w:rPr>
              <w:t>帐号：2637 3051 8753</w:t>
            </w:r>
          </w:p>
          <w:p w14:paraId="2C5896F8">
            <w:pPr>
              <w:spacing w:line="360" w:lineRule="auto"/>
              <w:rPr>
                <w:rFonts w:hint="eastAsia" w:ascii="宋体" w:hAnsi="宋体" w:cs="宋体"/>
                <w:bCs/>
                <w:kern w:val="1"/>
                <w:sz w:val="24"/>
              </w:rPr>
            </w:pPr>
            <w:r>
              <w:rPr>
                <w:rFonts w:hint="eastAsia" w:ascii="宋体" w:hAnsi="宋体" w:cs="宋体"/>
                <w:bCs/>
                <w:kern w:val="1"/>
                <w:sz w:val="24"/>
              </w:rPr>
              <w:t>开户行：中国银行郑州三全路支行</w:t>
            </w:r>
          </w:p>
          <w:p w14:paraId="5DA46682">
            <w:pPr>
              <w:spacing w:line="360" w:lineRule="auto"/>
              <w:rPr>
                <w:rFonts w:hint="eastAsia" w:ascii="宋体" w:hAnsi="宋体" w:cs="宋体"/>
                <w:bCs/>
                <w:kern w:val="1"/>
                <w:sz w:val="24"/>
              </w:rPr>
            </w:pPr>
            <w:r>
              <w:rPr>
                <w:rFonts w:hint="eastAsia" w:ascii="宋体" w:hAnsi="宋体" w:cs="宋体"/>
                <w:bCs/>
                <w:kern w:val="1"/>
                <w:sz w:val="24"/>
              </w:rPr>
              <w:t>开户行行号: 1044 9106 5076</w:t>
            </w:r>
          </w:p>
        </w:tc>
      </w:tr>
      <w:tr w14:paraId="77F6300D">
        <w:tblPrEx>
          <w:tblCellMar>
            <w:top w:w="0" w:type="dxa"/>
            <w:left w:w="0" w:type="dxa"/>
            <w:bottom w:w="0" w:type="dxa"/>
            <w:right w:w="0" w:type="dxa"/>
          </w:tblCellMar>
        </w:tblPrEx>
        <w:trPr>
          <w:trHeight w:val="341"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4391A08B">
            <w:pPr>
              <w:spacing w:line="360" w:lineRule="auto"/>
              <w:jc w:val="center"/>
              <w:rPr>
                <w:rFonts w:hint="eastAsia" w:ascii="宋体" w:hAnsi="宋体" w:cs="宋体"/>
                <w:sz w:val="24"/>
              </w:rPr>
            </w:pPr>
            <w:r>
              <w:rPr>
                <w:rFonts w:hint="eastAsia" w:ascii="宋体" w:hAnsi="宋体" w:cs="宋体"/>
                <w:sz w:val="24"/>
              </w:rPr>
              <w:t>10.3</w:t>
            </w:r>
          </w:p>
        </w:tc>
        <w:tc>
          <w:tcPr>
            <w:tcW w:w="2337" w:type="dxa"/>
            <w:tcBorders>
              <w:top w:val="single" w:color="000000" w:sz="4" w:space="0"/>
              <w:left w:val="single" w:color="000000" w:sz="4" w:space="0"/>
              <w:bottom w:val="single" w:color="000000" w:sz="4" w:space="0"/>
              <w:right w:val="single" w:color="000000" w:sz="4" w:space="0"/>
            </w:tcBorders>
            <w:vAlign w:val="center"/>
          </w:tcPr>
          <w:p w14:paraId="44C8D30E">
            <w:pPr>
              <w:keepNext/>
              <w:autoSpaceDE w:val="0"/>
              <w:autoSpaceDN w:val="0"/>
              <w:adjustRightInd w:val="0"/>
              <w:spacing w:before="78" w:beforeLines="25" w:after="78" w:afterLines="25" w:line="360" w:lineRule="auto"/>
              <w:ind w:left="102" w:right="24"/>
              <w:jc w:val="center"/>
              <w:rPr>
                <w:rFonts w:hint="eastAsia" w:ascii="宋体" w:hAnsi="宋体" w:cs="宋体"/>
                <w:bCs/>
                <w:kern w:val="1"/>
                <w:sz w:val="24"/>
              </w:rPr>
            </w:pPr>
            <w:r>
              <w:rPr>
                <w:rFonts w:hint="eastAsia" w:ascii="宋体" w:hAnsi="宋体" w:cs="宋体"/>
                <w:spacing w:val="2"/>
                <w:kern w:val="0"/>
                <w:sz w:val="24"/>
              </w:rPr>
              <w:t>核心产品</w:t>
            </w:r>
          </w:p>
        </w:tc>
        <w:tc>
          <w:tcPr>
            <w:tcW w:w="7149" w:type="dxa"/>
            <w:tcBorders>
              <w:top w:val="single" w:color="000000" w:sz="4" w:space="0"/>
              <w:left w:val="single" w:color="000000" w:sz="4" w:space="0"/>
              <w:bottom w:val="single" w:color="000000" w:sz="4" w:space="0"/>
              <w:right w:val="single" w:color="000000" w:sz="4" w:space="0"/>
            </w:tcBorders>
            <w:vAlign w:val="center"/>
          </w:tcPr>
          <w:p w14:paraId="6755A2C4">
            <w:pPr>
              <w:adjustRightInd w:val="0"/>
              <w:spacing w:line="360" w:lineRule="auto"/>
              <w:jc w:val="left"/>
              <w:textAlignment w:val="baseline"/>
              <w:rPr>
                <w:rFonts w:hint="eastAsia" w:ascii="宋体" w:hAnsi="宋体" w:cs="宋体"/>
                <w:sz w:val="24"/>
              </w:rPr>
            </w:pPr>
            <w:r>
              <w:rPr>
                <w:rFonts w:hint="eastAsia" w:ascii="宋体" w:hAnsi="宋体" w:cs="宋体"/>
                <w:bCs/>
                <w:kern w:val="1"/>
                <w:sz w:val="24"/>
              </w:rPr>
              <w:t>本项目</w:t>
            </w:r>
            <w:r>
              <w:rPr>
                <w:rFonts w:hint="eastAsia" w:ascii="宋体" w:hAnsi="宋体" w:cs="宋体"/>
                <w:sz w:val="24"/>
              </w:rPr>
              <w:t>核心产品：原位傅里叶变换红外光谱仪及其配套系统</w:t>
            </w:r>
          </w:p>
          <w:p w14:paraId="5B521B82">
            <w:pPr>
              <w:adjustRightInd w:val="0"/>
              <w:spacing w:line="360" w:lineRule="auto"/>
              <w:jc w:val="left"/>
              <w:textAlignment w:val="baseline"/>
              <w:rPr>
                <w:rFonts w:hint="eastAsia" w:ascii="宋体" w:hAnsi="宋体" w:cs="宋体"/>
                <w:bCs/>
                <w:kern w:val="1"/>
                <w:sz w:val="24"/>
              </w:rPr>
            </w:pPr>
            <w:r>
              <w:rPr>
                <w:rFonts w:hint="eastAsia" w:ascii="宋体" w:hAnsi="宋体" w:cs="宋体"/>
                <w:sz w:val="24"/>
              </w:rPr>
              <w:t>非单一产品采购项目，将在采购文件中载明核心产品。多家供应商提供的核心产品品牌相同的，提供相同品牌产品且通过资格审查、符合性审查的不同供应商参加同一合同项下投标的，按一家供应商计算，评审后得分最高的同品牌供应商获得成交人推荐资格；评审得分相同的，报价得分最高的获得成交人推荐资格，其他同品牌供应商不作为成交候选人。</w:t>
            </w:r>
          </w:p>
        </w:tc>
      </w:tr>
      <w:tr w14:paraId="2339255C">
        <w:tblPrEx>
          <w:tblCellMar>
            <w:top w:w="0" w:type="dxa"/>
            <w:left w:w="0" w:type="dxa"/>
            <w:bottom w:w="0" w:type="dxa"/>
            <w:right w:w="0" w:type="dxa"/>
          </w:tblCellMar>
        </w:tblPrEx>
        <w:trPr>
          <w:trHeight w:val="341"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3A9E5D28">
            <w:pPr>
              <w:spacing w:line="360" w:lineRule="auto"/>
              <w:jc w:val="center"/>
              <w:rPr>
                <w:rFonts w:hint="eastAsia" w:ascii="宋体" w:hAnsi="宋体" w:cs="宋体"/>
                <w:sz w:val="24"/>
              </w:rPr>
            </w:pPr>
            <w:r>
              <w:rPr>
                <w:rFonts w:hint="eastAsia" w:ascii="宋体" w:hAnsi="宋体" w:cs="宋体"/>
                <w:sz w:val="24"/>
              </w:rPr>
              <w:t>10.4</w:t>
            </w:r>
          </w:p>
        </w:tc>
        <w:tc>
          <w:tcPr>
            <w:tcW w:w="2337" w:type="dxa"/>
            <w:tcBorders>
              <w:top w:val="single" w:color="000000" w:sz="4" w:space="0"/>
              <w:left w:val="single" w:color="000000" w:sz="4" w:space="0"/>
              <w:bottom w:val="single" w:color="000000" w:sz="4" w:space="0"/>
              <w:right w:val="single" w:color="000000" w:sz="4" w:space="0"/>
            </w:tcBorders>
            <w:vAlign w:val="center"/>
          </w:tcPr>
          <w:p w14:paraId="686899E0">
            <w:pPr>
              <w:spacing w:line="360" w:lineRule="auto"/>
              <w:jc w:val="center"/>
              <w:rPr>
                <w:rFonts w:hint="eastAsia" w:ascii="宋体" w:hAnsi="宋体" w:cs="宋体"/>
                <w:bCs/>
                <w:kern w:val="1"/>
                <w:sz w:val="24"/>
              </w:rPr>
            </w:pPr>
            <w:r>
              <w:rPr>
                <w:rFonts w:hint="eastAsia" w:ascii="宋体" w:hAnsi="宋体" w:cs="宋体"/>
                <w:bCs/>
                <w:kern w:val="1"/>
                <w:sz w:val="24"/>
              </w:rPr>
              <w:t>报价要求</w:t>
            </w:r>
          </w:p>
        </w:tc>
        <w:tc>
          <w:tcPr>
            <w:tcW w:w="7149" w:type="dxa"/>
            <w:tcBorders>
              <w:top w:val="single" w:color="000000" w:sz="4" w:space="0"/>
              <w:left w:val="single" w:color="000000" w:sz="4" w:space="0"/>
              <w:bottom w:val="single" w:color="000000" w:sz="4" w:space="0"/>
              <w:right w:val="single" w:color="000000" w:sz="4" w:space="0"/>
            </w:tcBorders>
            <w:vAlign w:val="center"/>
          </w:tcPr>
          <w:p w14:paraId="0FE4181F">
            <w:pPr>
              <w:adjustRightInd w:val="0"/>
              <w:spacing w:line="360" w:lineRule="auto"/>
              <w:jc w:val="left"/>
              <w:textAlignment w:val="baseline"/>
              <w:rPr>
                <w:rFonts w:hint="eastAsia" w:ascii="宋体" w:hAnsi="宋体" w:cs="宋体"/>
                <w:sz w:val="24"/>
              </w:rPr>
            </w:pPr>
            <w:r>
              <w:rPr>
                <w:rFonts w:hint="eastAsia" w:ascii="宋体" w:hAnsi="宋体" w:cs="宋体"/>
                <w:sz w:val="24"/>
              </w:rPr>
              <w:t>10.4.1报价表中标明的价格在合同执行过程中是固定不变的，不得以任何理由予以变更。供应商在报价时应充分考虑本次采购的各种风险，在合同执行期间成交价不再实行政策性调整和变动。</w:t>
            </w:r>
          </w:p>
          <w:p w14:paraId="3C7E0666">
            <w:pPr>
              <w:adjustRightInd w:val="0"/>
              <w:spacing w:line="360" w:lineRule="auto"/>
              <w:jc w:val="left"/>
              <w:textAlignment w:val="baseline"/>
              <w:rPr>
                <w:rFonts w:hint="eastAsia" w:ascii="宋体" w:hAnsi="宋体" w:cs="宋体"/>
                <w:sz w:val="24"/>
              </w:rPr>
            </w:pPr>
            <w:r>
              <w:rPr>
                <w:rFonts w:hint="eastAsia" w:ascii="宋体" w:hAnsi="宋体" w:cs="宋体"/>
                <w:sz w:val="24"/>
              </w:rPr>
              <w:t>10.4.2供应商报价中须包含包装、安装、调试、培训、售后服务、货物送达实际供货地点的运输、保险等直至设备和系统正常运行的全部工作与费用，采购人不再额外支付任何费用。磋商报价应充分考虑采购范围内全部内容等直至交付使用的全部费用、后续服务费用、不可预见风险等费用。供应商应充分估算本项目所需的人力、物力、财力投入，充分考虑可能的市场风险以及企业所需缴纳的各种税费。以及为实现合同的目的所涉及的机构、人员、利润、税金、政策性文件规定、不可预见风险、责任等费用，以及参与投标所发生费用等所有费用。同时包含磋商文件未列出，但供应商认为完成本项目必须列支的有关费用。</w:t>
            </w:r>
          </w:p>
          <w:p w14:paraId="49C8462E">
            <w:pPr>
              <w:spacing w:line="360" w:lineRule="auto"/>
              <w:rPr>
                <w:rFonts w:hint="eastAsia" w:ascii="宋体" w:hAnsi="宋体" w:cs="宋体"/>
                <w:bCs/>
                <w:kern w:val="1"/>
                <w:sz w:val="24"/>
              </w:rPr>
            </w:pPr>
            <w:r>
              <w:rPr>
                <w:rFonts w:hint="eastAsia" w:ascii="宋体" w:hAnsi="宋体" w:cs="宋体"/>
                <w:sz w:val="24"/>
              </w:rPr>
              <w:t>10.4.3供应商应保证提供的产品均来源于正规厂家，并且是全新的合格产品。如提供的产品经采购人或相关部门检验不合格，所产生的一切后果由供应商自行承担，并报送管理部门，追究其相关责任。</w:t>
            </w:r>
          </w:p>
        </w:tc>
      </w:tr>
      <w:tr w14:paraId="76BDA562">
        <w:tblPrEx>
          <w:tblCellMar>
            <w:top w:w="0" w:type="dxa"/>
            <w:left w:w="0" w:type="dxa"/>
            <w:bottom w:w="0" w:type="dxa"/>
            <w:right w:w="0" w:type="dxa"/>
          </w:tblCellMar>
        </w:tblPrEx>
        <w:trPr>
          <w:trHeight w:val="9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625AFB4F">
            <w:pPr>
              <w:spacing w:line="360" w:lineRule="auto"/>
              <w:jc w:val="center"/>
              <w:rPr>
                <w:rFonts w:hint="eastAsia" w:ascii="宋体" w:hAnsi="宋体" w:cs="宋体"/>
                <w:sz w:val="24"/>
              </w:rPr>
            </w:pPr>
            <w:r>
              <w:rPr>
                <w:rFonts w:hint="eastAsia" w:ascii="宋体" w:hAnsi="宋体" w:cs="宋体"/>
                <w:sz w:val="24"/>
              </w:rPr>
              <w:t>10.5</w:t>
            </w:r>
          </w:p>
        </w:tc>
        <w:tc>
          <w:tcPr>
            <w:tcW w:w="2337" w:type="dxa"/>
            <w:tcBorders>
              <w:top w:val="single" w:color="000000" w:sz="4" w:space="0"/>
              <w:left w:val="single" w:color="000000" w:sz="4" w:space="0"/>
              <w:bottom w:val="single" w:color="000000" w:sz="4" w:space="0"/>
              <w:right w:val="single" w:color="000000" w:sz="4" w:space="0"/>
            </w:tcBorders>
            <w:vAlign w:val="center"/>
          </w:tcPr>
          <w:p w14:paraId="5767EB13">
            <w:pPr>
              <w:spacing w:line="360" w:lineRule="auto"/>
              <w:jc w:val="center"/>
              <w:rPr>
                <w:rFonts w:hint="eastAsia" w:ascii="宋体" w:hAnsi="宋体" w:cs="宋体"/>
                <w:bCs/>
                <w:kern w:val="1"/>
                <w:sz w:val="24"/>
              </w:rPr>
            </w:pPr>
            <w:r>
              <w:rPr>
                <w:rFonts w:hint="eastAsia" w:ascii="宋体" w:hAnsi="宋体" w:cs="宋体"/>
                <w:bCs/>
                <w:kern w:val="1"/>
                <w:sz w:val="24"/>
              </w:rPr>
              <w:t>付款方式</w:t>
            </w:r>
          </w:p>
        </w:tc>
        <w:tc>
          <w:tcPr>
            <w:tcW w:w="7149" w:type="dxa"/>
            <w:tcBorders>
              <w:top w:val="single" w:color="000000" w:sz="4" w:space="0"/>
              <w:left w:val="single" w:color="000000" w:sz="4" w:space="0"/>
              <w:bottom w:val="single" w:color="000000" w:sz="4" w:space="0"/>
              <w:right w:val="single" w:color="000000" w:sz="4" w:space="0"/>
            </w:tcBorders>
            <w:vAlign w:val="center"/>
          </w:tcPr>
          <w:p w14:paraId="48B22EE3">
            <w:pPr>
              <w:spacing w:line="360" w:lineRule="auto"/>
              <w:rPr>
                <w:rFonts w:hint="eastAsia" w:ascii="宋体" w:hAnsi="宋体" w:cs="宋体"/>
                <w:bCs/>
                <w:kern w:val="1"/>
                <w:sz w:val="24"/>
              </w:rPr>
            </w:pPr>
            <w:r>
              <w:rPr>
                <w:rFonts w:hint="eastAsia" w:ascii="宋体" w:hAnsi="宋体" w:cs="宋体"/>
                <w:bCs/>
                <w:kern w:val="1"/>
                <w:sz w:val="24"/>
              </w:rPr>
              <w:t>合同内全部货物验收合格后，采购人向成交单位全额支付合同价款。</w:t>
            </w:r>
          </w:p>
        </w:tc>
      </w:tr>
      <w:tr w14:paraId="1C52684B">
        <w:tblPrEx>
          <w:tblCellMar>
            <w:top w:w="0" w:type="dxa"/>
            <w:left w:w="0" w:type="dxa"/>
            <w:bottom w:w="0" w:type="dxa"/>
            <w:right w:w="0" w:type="dxa"/>
          </w:tblCellMar>
        </w:tblPrEx>
        <w:trPr>
          <w:trHeight w:val="9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647EA885">
            <w:pPr>
              <w:spacing w:line="360" w:lineRule="auto"/>
              <w:jc w:val="center"/>
              <w:rPr>
                <w:rFonts w:hint="eastAsia" w:ascii="宋体" w:hAnsi="宋体" w:cs="宋体"/>
                <w:sz w:val="24"/>
              </w:rPr>
            </w:pPr>
            <w:r>
              <w:rPr>
                <w:rFonts w:hint="eastAsia" w:ascii="宋体" w:hAnsi="宋体" w:cs="宋体"/>
                <w:sz w:val="24"/>
              </w:rPr>
              <w:t>10.6</w:t>
            </w:r>
          </w:p>
        </w:tc>
        <w:tc>
          <w:tcPr>
            <w:tcW w:w="2337" w:type="dxa"/>
            <w:tcBorders>
              <w:top w:val="single" w:color="000000" w:sz="4" w:space="0"/>
              <w:left w:val="single" w:color="000000" w:sz="4" w:space="0"/>
              <w:bottom w:val="single" w:color="000000" w:sz="4" w:space="0"/>
              <w:right w:val="single" w:color="000000" w:sz="4" w:space="0"/>
            </w:tcBorders>
            <w:vAlign w:val="center"/>
          </w:tcPr>
          <w:p w14:paraId="6A13E356">
            <w:pPr>
              <w:spacing w:line="360" w:lineRule="auto"/>
              <w:jc w:val="center"/>
              <w:rPr>
                <w:rFonts w:hint="eastAsia" w:ascii="宋体" w:hAnsi="宋体" w:cs="宋体"/>
                <w:bCs/>
                <w:kern w:val="1"/>
                <w:sz w:val="24"/>
              </w:rPr>
            </w:pPr>
            <w:r>
              <w:rPr>
                <w:rFonts w:hint="eastAsia" w:ascii="宋体" w:hAnsi="宋体" w:cs="宋体"/>
                <w:bCs/>
                <w:kern w:val="1"/>
                <w:sz w:val="24"/>
              </w:rPr>
              <w:t>验收方式</w:t>
            </w:r>
          </w:p>
        </w:tc>
        <w:tc>
          <w:tcPr>
            <w:tcW w:w="7149" w:type="dxa"/>
            <w:tcBorders>
              <w:top w:val="single" w:color="000000" w:sz="4" w:space="0"/>
              <w:left w:val="single" w:color="000000" w:sz="4" w:space="0"/>
              <w:bottom w:val="single" w:color="000000" w:sz="4" w:space="0"/>
              <w:right w:val="single" w:color="000000" w:sz="4" w:space="0"/>
            </w:tcBorders>
            <w:vAlign w:val="center"/>
          </w:tcPr>
          <w:p w14:paraId="18053F19">
            <w:pPr>
              <w:spacing w:line="360" w:lineRule="auto"/>
              <w:rPr>
                <w:rFonts w:hint="eastAsia" w:ascii="宋体" w:hAnsi="宋体" w:cs="宋体"/>
                <w:bCs/>
                <w:kern w:val="1"/>
                <w:sz w:val="24"/>
              </w:rPr>
            </w:pPr>
            <w:r>
              <w:rPr>
                <w:rFonts w:hint="eastAsia" w:ascii="宋体" w:hAnsi="宋体" w:cs="宋体"/>
                <w:bCs/>
                <w:kern w:val="1"/>
                <w:sz w:val="24"/>
              </w:rPr>
              <w:t>部门初验后向学校提起最终验收申请，学校委托第三方检测机构进行验收，费用不超过合同价0.5%，由中标人承担。</w:t>
            </w:r>
          </w:p>
        </w:tc>
      </w:tr>
      <w:tr w14:paraId="29CA6A94">
        <w:tblPrEx>
          <w:tblCellMar>
            <w:top w:w="0" w:type="dxa"/>
            <w:left w:w="0" w:type="dxa"/>
            <w:bottom w:w="0" w:type="dxa"/>
            <w:right w:w="0" w:type="dxa"/>
          </w:tblCellMar>
        </w:tblPrEx>
        <w:trPr>
          <w:trHeight w:val="1039"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2077C04B">
            <w:pPr>
              <w:spacing w:line="360" w:lineRule="auto"/>
              <w:jc w:val="center"/>
              <w:rPr>
                <w:rFonts w:hint="eastAsia" w:ascii="宋体" w:hAnsi="宋体" w:cs="宋体"/>
                <w:sz w:val="24"/>
              </w:rPr>
            </w:pPr>
            <w:r>
              <w:rPr>
                <w:rFonts w:hint="eastAsia" w:ascii="宋体" w:hAnsi="宋体" w:cs="宋体"/>
                <w:sz w:val="24"/>
              </w:rPr>
              <w:t>10.7</w:t>
            </w:r>
          </w:p>
        </w:tc>
        <w:tc>
          <w:tcPr>
            <w:tcW w:w="2337" w:type="dxa"/>
            <w:tcBorders>
              <w:top w:val="single" w:color="000000" w:sz="4" w:space="0"/>
              <w:left w:val="single" w:color="000000" w:sz="4" w:space="0"/>
              <w:bottom w:val="single" w:color="000000" w:sz="4" w:space="0"/>
              <w:right w:val="single" w:color="000000" w:sz="4" w:space="0"/>
            </w:tcBorders>
            <w:vAlign w:val="center"/>
          </w:tcPr>
          <w:p w14:paraId="2D18B5D2">
            <w:pPr>
              <w:spacing w:line="360" w:lineRule="auto"/>
              <w:jc w:val="center"/>
              <w:rPr>
                <w:rFonts w:hint="eastAsia" w:ascii="宋体" w:hAnsi="宋体" w:cs="宋体"/>
                <w:sz w:val="24"/>
              </w:rPr>
            </w:pPr>
            <w:r>
              <w:rPr>
                <w:rFonts w:hint="eastAsia" w:ascii="宋体" w:hAnsi="宋体" w:cs="宋体"/>
                <w:sz w:val="24"/>
              </w:rPr>
              <w:t>政府采购政策</w:t>
            </w:r>
          </w:p>
        </w:tc>
        <w:tc>
          <w:tcPr>
            <w:tcW w:w="7149" w:type="dxa"/>
            <w:tcBorders>
              <w:top w:val="single" w:color="000000" w:sz="4" w:space="0"/>
              <w:left w:val="single" w:color="000000" w:sz="4" w:space="0"/>
              <w:bottom w:val="single" w:color="000000" w:sz="4" w:space="0"/>
              <w:right w:val="single" w:color="000000" w:sz="4" w:space="0"/>
            </w:tcBorders>
            <w:vAlign w:val="center"/>
          </w:tcPr>
          <w:p w14:paraId="2803F216">
            <w:pPr>
              <w:spacing w:line="360" w:lineRule="auto"/>
              <w:jc w:val="left"/>
              <w:rPr>
                <w:rFonts w:hint="eastAsia" w:ascii="宋体" w:hAnsi="宋体" w:cs="宋体"/>
                <w:sz w:val="24"/>
              </w:rPr>
            </w:pPr>
            <w:r>
              <w:rPr>
                <w:rFonts w:hint="eastAsia" w:ascii="宋体" w:hAnsi="宋体" w:cs="宋体"/>
                <w:sz w:val="24"/>
              </w:rPr>
              <w:t>10.7.1中小企业政府采购政策：</w:t>
            </w:r>
          </w:p>
          <w:p w14:paraId="3A6B03B2">
            <w:pPr>
              <w:spacing w:line="360" w:lineRule="auto"/>
              <w:jc w:val="left"/>
              <w:rPr>
                <w:rFonts w:hint="eastAsia" w:ascii="宋体" w:hAnsi="宋体" w:cs="宋体"/>
                <w:sz w:val="24"/>
              </w:rPr>
            </w:pPr>
            <w:r>
              <w:rPr>
                <w:rFonts w:hint="eastAsia" w:ascii="宋体" w:hAnsi="宋体" w:cs="宋体"/>
                <w:sz w:val="24"/>
              </w:rPr>
              <w:t>为贯彻落实《财政部 工业和信息化部关于印发《政府采购促进中小企业发展管理办法》的通知》（财库〔2020〕46号）、财库[2022]19号 财政部关于进一步加大政府采购支持中小企业力度的通知，本项目鼓励中小企业参与。</w:t>
            </w:r>
          </w:p>
          <w:p w14:paraId="36798501">
            <w:pPr>
              <w:spacing w:line="360" w:lineRule="auto"/>
              <w:jc w:val="left"/>
              <w:rPr>
                <w:rFonts w:hint="eastAsia" w:ascii="宋体" w:hAnsi="宋体" w:cs="宋体"/>
                <w:sz w:val="24"/>
              </w:rPr>
            </w:pPr>
            <w:r>
              <w:rPr>
                <w:rFonts w:hint="eastAsia" w:ascii="宋体" w:hAnsi="宋体" w:cs="宋体"/>
                <w:sz w:val="24"/>
              </w:rPr>
              <w:t>（1）根据《政府采购促进中小企业发展管理办法》：在货物采购项目中，货物由中小企业制造，视为小型或微型企业的，对供应商报价给予10%的扣除，用扣除后的价格参与评审。小型和微型企业的认定根据供应商提供的《中小企业声明函》（格式详见第六章“响应文件格式”）。</w:t>
            </w:r>
          </w:p>
          <w:p w14:paraId="6EF039D2">
            <w:pPr>
              <w:spacing w:line="360" w:lineRule="auto"/>
              <w:jc w:val="left"/>
              <w:rPr>
                <w:rFonts w:hint="eastAsia" w:ascii="宋体" w:hAnsi="宋体" w:cs="宋体"/>
                <w:sz w:val="24"/>
              </w:rPr>
            </w:pPr>
            <w:r>
              <w:rPr>
                <w:rFonts w:hint="eastAsia" w:ascii="宋体" w:hAnsi="宋体" w:cs="宋体"/>
                <w:sz w:val="24"/>
              </w:rPr>
              <w:t>（2）中小企业划型标准以《工业和信息化部国家统计局国家发展和改革委财政部关于印发中小企业划型标准规定的通知》（工信部联企业〔2011〕300号）为依据。其中企业的营业收入、资产总额判定依据为最近一年度的财务审计报告，企业从业人员总数判定依据为缴纳统筹人员总数。</w:t>
            </w:r>
          </w:p>
          <w:p w14:paraId="10E731EA">
            <w:pPr>
              <w:spacing w:line="360" w:lineRule="auto"/>
              <w:jc w:val="left"/>
              <w:rPr>
                <w:rFonts w:hint="eastAsia" w:ascii="宋体" w:hAnsi="宋体" w:cs="宋体"/>
                <w:sz w:val="24"/>
              </w:rPr>
            </w:pPr>
            <w:r>
              <w:rPr>
                <w:rFonts w:hint="eastAsia" w:ascii="宋体" w:hAnsi="宋体" w:cs="宋体"/>
                <w:sz w:val="24"/>
              </w:rPr>
              <w:t>（3）根据《财政部、司法部关于政府采购支持监狱企业发展有关问题的通知》（财库〔2014〕68号）规定，本项目支持监狱企业参与政府采购活动。监狱企业参加本项目投标时，须提供由省级以上监狱管理局、戒毒管理局（含新疆生产建设兵团）出具的属于监狱企业的证明文件，视同小型、微型企业，对供应商报价给予10%的扣除，用扣除后的价格参与评审。</w:t>
            </w:r>
          </w:p>
          <w:p w14:paraId="1072A4F8">
            <w:pPr>
              <w:spacing w:line="360" w:lineRule="auto"/>
              <w:jc w:val="left"/>
              <w:rPr>
                <w:rFonts w:hint="eastAsia" w:ascii="宋体" w:hAnsi="宋体" w:cs="宋体"/>
                <w:sz w:val="24"/>
              </w:rPr>
            </w:pPr>
            <w:r>
              <w:rPr>
                <w:rFonts w:hint="eastAsia" w:ascii="宋体" w:hAnsi="宋体" w:cs="宋体"/>
                <w:sz w:val="24"/>
              </w:rPr>
              <w:t>（4）根据《财政部、民政部、中国残疾人联合会关于关于促进残疾人就业政府采购政策的通知》（财库〔2017〕141号）规定，本项目支持残疾人福利性单位参与政府采购活动。残疾人福利性单位参加本项目投标时，须提供《</w:t>
            </w:r>
            <w:r>
              <w:rPr>
                <w:rFonts w:hint="eastAsia" w:ascii="宋体" w:hAnsi="宋体" w:cs="宋体"/>
                <w:sz w:val="24"/>
                <w:lang w:val="en-GB"/>
              </w:rPr>
              <w:t>残疾人福利性单位声明函</w:t>
            </w:r>
            <w:r>
              <w:rPr>
                <w:rFonts w:hint="eastAsia" w:ascii="宋体" w:hAnsi="宋体" w:cs="宋体"/>
                <w:sz w:val="24"/>
              </w:rPr>
              <w:t>》（格式详见第六章“响应文件格式”），视同小型、微型企业，对供应商报价给予10%的扣除，用扣除后的价格参与评审。</w:t>
            </w:r>
          </w:p>
          <w:p w14:paraId="192F7219">
            <w:pPr>
              <w:spacing w:line="360" w:lineRule="auto"/>
              <w:jc w:val="left"/>
              <w:rPr>
                <w:rFonts w:hint="eastAsia" w:ascii="宋体" w:hAnsi="宋体" w:cs="宋体"/>
                <w:sz w:val="24"/>
              </w:rPr>
            </w:pPr>
            <w:r>
              <w:rPr>
                <w:rFonts w:hint="eastAsia" w:ascii="宋体" w:hAnsi="宋体" w:cs="宋体"/>
                <w:sz w:val="24"/>
              </w:rPr>
              <w:t>10.7.2本国产品政策：</w:t>
            </w:r>
          </w:p>
          <w:p w14:paraId="4C38DECE">
            <w:pPr>
              <w:spacing w:line="360" w:lineRule="auto"/>
              <w:jc w:val="left"/>
              <w:rPr>
                <w:rFonts w:hint="eastAsia" w:ascii="宋体" w:hAnsi="宋体" w:cs="宋体"/>
                <w:sz w:val="24"/>
              </w:rPr>
            </w:pPr>
            <w:r>
              <w:rPr>
                <w:rFonts w:hint="eastAsia" w:ascii="宋体" w:hAnsi="宋体" w:cs="宋体"/>
                <w:sz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CC867BE">
            <w:pPr>
              <w:spacing w:line="360" w:lineRule="auto"/>
              <w:jc w:val="left"/>
              <w:rPr>
                <w:rFonts w:hint="eastAsia" w:ascii="宋体" w:hAnsi="宋体" w:cs="宋体"/>
                <w:sz w:val="24"/>
              </w:rPr>
            </w:pPr>
            <w:r>
              <w:rPr>
                <w:rFonts w:hint="eastAsia" w:ascii="宋体" w:hAnsi="宋体" w:cs="宋体"/>
                <w:sz w:val="28"/>
                <w:szCs w:val="28"/>
              </w:rPr>
              <w:sym w:font="Wingdings" w:char="00A8"/>
            </w:r>
            <w:r>
              <w:rPr>
                <w:rFonts w:hint="eastAsia" w:ascii="宋体" w:hAnsi="宋体" w:cs="宋体"/>
                <w:sz w:val="24"/>
              </w:rPr>
              <w:t>不适用本国产品政策。</w:t>
            </w:r>
          </w:p>
          <w:p w14:paraId="6F40B4DE">
            <w:pPr>
              <w:spacing w:line="360" w:lineRule="auto"/>
              <w:jc w:val="left"/>
              <w:rPr>
                <w:rFonts w:hint="eastAsia" w:ascii="宋体" w:hAnsi="宋体" w:cs="宋体"/>
                <w:sz w:val="24"/>
              </w:rPr>
            </w:pPr>
            <w:r>
              <w:rPr>
                <w:rFonts w:hint="eastAsia" w:ascii="宋体" w:hAnsi="宋体" w:cs="宋体"/>
                <w:sz w:val="28"/>
                <w:szCs w:val="28"/>
              </w:rPr>
              <w:sym w:font="Wingdings" w:char="00FE"/>
            </w:r>
            <w:r>
              <w:rPr>
                <w:rFonts w:hint="eastAsia" w:ascii="宋体" w:hAnsi="宋体" w:cs="宋体"/>
                <w:sz w:val="24"/>
              </w:rPr>
              <w:t>适用本国产品政策：</w:t>
            </w:r>
          </w:p>
          <w:p w14:paraId="2067A87A">
            <w:pPr>
              <w:spacing w:line="360" w:lineRule="auto"/>
              <w:jc w:val="left"/>
              <w:rPr>
                <w:rFonts w:hint="eastAsia" w:ascii="宋体" w:hAnsi="宋体" w:cs="宋体"/>
                <w:sz w:val="24"/>
              </w:rPr>
            </w:pPr>
            <w:r>
              <w:rPr>
                <w:rFonts w:hint="eastAsia" w:ascii="宋体" w:hAnsi="宋体" w:cs="宋体"/>
                <w:sz w:val="24"/>
              </w:rPr>
              <w:t>（1）单一产品采购包。既有本国产品又有非本国产品参与竞争的，依法对本国产品给予价格评审优惠，对本国产品的报价给予20%的价格扣除，用扣除后的价格参与评审。（证明材料提供《关于符合本国产品标准的声明函》或财政部会同有关部门规定的有关证明文件（如有），格式详见第六章“响应文件格式”。）</w:t>
            </w:r>
          </w:p>
          <w:p w14:paraId="43B725AA">
            <w:pPr>
              <w:spacing w:line="360" w:lineRule="auto"/>
              <w:jc w:val="left"/>
              <w:rPr>
                <w:rFonts w:hint="eastAsia" w:ascii="宋体" w:hAnsi="宋体" w:cs="宋体"/>
                <w:sz w:val="24"/>
              </w:rPr>
            </w:pPr>
            <w:r>
              <w:rPr>
                <w:rFonts w:hint="eastAsia" w:ascii="宋体" w:hAnsi="宋体" w:cs="宋体"/>
                <w:sz w:val="24"/>
              </w:rPr>
              <w:t>（2）多产品采购包。供应商为本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证明材料提供《关于符合本国产品标准的声明函》或财政部会同有关部门规定的有关证明文件（如有）、《关于符合本国产品标准的成本占比承诺函》，格式详见第六章“响应文件格式”）</w:t>
            </w:r>
          </w:p>
          <w:p w14:paraId="642CC053">
            <w:pPr>
              <w:spacing w:line="360" w:lineRule="auto"/>
              <w:jc w:val="left"/>
              <w:rPr>
                <w:rFonts w:hint="eastAsia" w:ascii="宋体" w:hAnsi="宋体" w:cs="宋体"/>
                <w:sz w:val="24"/>
              </w:rPr>
            </w:pPr>
            <w:r>
              <w:rPr>
                <w:rFonts w:hint="eastAsia" w:ascii="宋体" w:hAnsi="宋体" w:cs="宋体"/>
                <w:sz w:val="24"/>
              </w:rPr>
              <w:t>未提供《关于符合本国产品标准的声明函》或财政部会同有关部门规定的有关证明文件（如有），一律视为非本国产品。证明材料未提供、提供不完整、不足以证明或不符合要求的，不享受相应政策。</w:t>
            </w:r>
          </w:p>
          <w:p w14:paraId="23DB1AA1">
            <w:pPr>
              <w:spacing w:line="360" w:lineRule="auto"/>
              <w:jc w:val="left"/>
              <w:rPr>
                <w:rFonts w:hint="eastAsia" w:ascii="宋体" w:hAnsi="宋体" w:cs="宋体"/>
                <w:sz w:val="24"/>
              </w:rPr>
            </w:pPr>
            <w:r>
              <w:rPr>
                <w:rFonts w:ascii="宋体" w:hAnsi="宋体" w:cs="宋体"/>
                <w:sz w:val="24"/>
              </w:rPr>
              <w:t>10.</w:t>
            </w:r>
            <w:r>
              <w:rPr>
                <w:rFonts w:hint="eastAsia" w:ascii="宋体" w:hAnsi="宋体" w:cs="宋体"/>
                <w:sz w:val="24"/>
              </w:rPr>
              <w:t>7</w:t>
            </w:r>
            <w:r>
              <w:rPr>
                <w:rFonts w:ascii="宋体" w:hAnsi="宋体" w:cs="宋体"/>
                <w:sz w:val="24"/>
              </w:rPr>
              <w:t xml:space="preserve">.3节能产品、环境标志产品政府采购政策： </w:t>
            </w:r>
          </w:p>
          <w:p w14:paraId="27994A3D">
            <w:pPr>
              <w:spacing w:line="360" w:lineRule="auto"/>
              <w:jc w:val="left"/>
              <w:rPr>
                <w:rFonts w:hint="eastAsia" w:ascii="宋体" w:hAnsi="宋体" w:cs="宋体"/>
                <w:sz w:val="24"/>
              </w:rPr>
            </w:pPr>
            <w:r>
              <w:rPr>
                <w:rFonts w:ascii="宋体" w:hAnsi="宋体" w:cs="宋体"/>
                <w:sz w:val="24"/>
              </w:rPr>
              <w:t>根据《财政部发展改革委生态环境部市场监管总局关于调整优化节能产品、环境标志产品政府采购执行机制的通知》（财库〔2019〕9号）、《关于印发节能产品政府采购品目清单的通知》（财库〔2019〕19号）、《关于印发环境标志产品政府采购品目清单的通知》（财库〔2019〕18号）文件规定，本项目若含有节能产品政府采购品目清单内政府强制采购产品，供应商须选用国家公布的认证机构认证的处于有效期之内的政府强制采购节能产品。本项目若含有节能产品、环境标志产品政府采购品目清单内政府优先采购产品，在性能、技术、服务等指标同等条件下，优先采购国家公布的认证机构认证的处于有效期之内的节能产品（政府强制采购产品除外）、环境标志产品。对于同时获得节能产品和环境标志产品认证证书产品，只给予其中一种认证证书产品优先采购。</w:t>
            </w:r>
          </w:p>
          <w:p w14:paraId="3EC1BF08">
            <w:pPr>
              <w:spacing w:line="360" w:lineRule="auto"/>
              <w:rPr>
                <w:rFonts w:hint="eastAsia" w:ascii="宋体" w:hAnsi="宋体" w:cs="宋体"/>
                <w:sz w:val="24"/>
              </w:rPr>
            </w:pPr>
            <w:r>
              <w:rPr>
                <w:rFonts w:hint="eastAsia" w:ascii="宋体" w:hAnsi="宋体" w:cs="宋体"/>
                <w:sz w:val="24"/>
              </w:rPr>
              <w:t>10.7.4根据“财办库〔2020〕123号－－财政部办公厅、生态环境部办公厅、国家邮政局办公室关于印发《商品包装政府采购需求标准（试行）》《快递包装政府采购需求标准（试行）》的通知”，为助力打好污染防治攻坚战，推广使用绿色包装，本项目如涉及到的产品及相关快递服务的具体包装要求，供应商需执行本政策要求，并在履约验收环节出具符合技术规范的检测报告。</w:t>
            </w:r>
          </w:p>
        </w:tc>
      </w:tr>
      <w:tr w14:paraId="77EE6B10">
        <w:tblPrEx>
          <w:tblCellMar>
            <w:top w:w="0" w:type="dxa"/>
            <w:left w:w="0" w:type="dxa"/>
            <w:bottom w:w="0" w:type="dxa"/>
            <w:right w:w="0" w:type="dxa"/>
          </w:tblCellMar>
        </w:tblPrEx>
        <w:trPr>
          <w:trHeight w:val="558"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55676CFB">
            <w:pPr>
              <w:spacing w:line="360" w:lineRule="auto"/>
              <w:jc w:val="center"/>
              <w:rPr>
                <w:rFonts w:hint="eastAsia" w:ascii="宋体" w:hAnsi="宋体" w:cs="宋体"/>
                <w:sz w:val="24"/>
              </w:rPr>
            </w:pPr>
            <w:r>
              <w:rPr>
                <w:rFonts w:hint="eastAsia" w:ascii="宋体" w:hAnsi="宋体" w:cs="宋体"/>
                <w:sz w:val="24"/>
              </w:rPr>
              <w:t>10.8</w:t>
            </w:r>
          </w:p>
        </w:tc>
        <w:tc>
          <w:tcPr>
            <w:tcW w:w="2337" w:type="dxa"/>
            <w:tcBorders>
              <w:top w:val="single" w:color="000000" w:sz="4" w:space="0"/>
              <w:left w:val="single" w:color="000000" w:sz="4" w:space="0"/>
              <w:bottom w:val="single" w:color="000000" w:sz="4" w:space="0"/>
              <w:right w:val="single" w:color="000000" w:sz="4" w:space="0"/>
            </w:tcBorders>
            <w:vAlign w:val="center"/>
          </w:tcPr>
          <w:p w14:paraId="7BCCC261">
            <w:pPr>
              <w:spacing w:line="360" w:lineRule="auto"/>
              <w:jc w:val="center"/>
              <w:rPr>
                <w:rFonts w:hint="eastAsia" w:ascii="宋体" w:hAnsi="宋体" w:cs="宋体"/>
                <w:sz w:val="24"/>
              </w:rPr>
            </w:pPr>
            <w:r>
              <w:rPr>
                <w:rFonts w:hint="eastAsia" w:ascii="宋体" w:hAnsi="宋体" w:cs="宋体"/>
                <w:sz w:val="24"/>
              </w:rPr>
              <w:t>政府采购合同融资政策</w:t>
            </w:r>
          </w:p>
        </w:tc>
        <w:tc>
          <w:tcPr>
            <w:tcW w:w="7149" w:type="dxa"/>
            <w:tcBorders>
              <w:top w:val="single" w:color="000000" w:sz="4" w:space="0"/>
              <w:left w:val="single" w:color="000000" w:sz="4" w:space="0"/>
              <w:bottom w:val="single" w:color="000000" w:sz="4" w:space="0"/>
              <w:right w:val="single" w:color="000000" w:sz="4" w:space="0"/>
            </w:tcBorders>
            <w:vAlign w:val="center"/>
          </w:tcPr>
          <w:p w14:paraId="794A0456">
            <w:pPr>
              <w:spacing w:line="360" w:lineRule="auto"/>
              <w:rPr>
                <w:rFonts w:hint="eastAsia" w:ascii="宋体" w:hAnsi="宋体" w:cs="宋体"/>
                <w:sz w:val="24"/>
              </w:rPr>
            </w:pPr>
            <w:r>
              <w:rPr>
                <w:rFonts w:hint="eastAsia" w:ascii="宋体" w:hAnsi="宋体" w:cs="宋体"/>
                <w:sz w:val="24"/>
              </w:rPr>
              <w:t>河南省政府采购合同融资政策告知函</w:t>
            </w:r>
          </w:p>
          <w:p w14:paraId="2795563F">
            <w:pPr>
              <w:spacing w:line="360" w:lineRule="auto"/>
              <w:rPr>
                <w:rFonts w:hint="eastAsia" w:ascii="宋体" w:hAnsi="宋体" w:cs="宋体"/>
                <w:sz w:val="24"/>
              </w:rPr>
            </w:pPr>
            <w:r>
              <w:rPr>
                <w:rFonts w:hint="eastAsia" w:ascii="宋体" w:hAnsi="宋体" w:cs="宋体"/>
                <w:sz w:val="24"/>
              </w:rPr>
              <w:t>各供应商：</w:t>
            </w:r>
          </w:p>
          <w:p w14:paraId="271A843B">
            <w:pPr>
              <w:spacing w:line="360" w:lineRule="auto"/>
              <w:rPr>
                <w:rFonts w:hint="eastAsia" w:ascii="宋体" w:hAnsi="宋体" w:cs="宋体"/>
                <w:sz w:val="24"/>
              </w:rPr>
            </w:pPr>
            <w:r>
              <w:rPr>
                <w:rFonts w:hint="eastAsia" w:ascii="宋体" w:hAnsi="宋体" w:cs="宋体"/>
                <w:sz w:val="24"/>
              </w:rPr>
              <w:t>欢迎贵公司参与河南省政府采购活动！</w:t>
            </w:r>
          </w:p>
          <w:p w14:paraId="3F4FA101">
            <w:pPr>
              <w:spacing w:line="360" w:lineRule="auto"/>
              <w:rPr>
                <w:rFonts w:hint="eastAsia" w:ascii="宋体" w:hAnsi="宋体" w:cs="宋体"/>
                <w:sz w:val="24"/>
              </w:rPr>
            </w:pPr>
            <w:r>
              <w:rPr>
                <w:rFonts w:hint="eastAsia" w:ascii="宋体" w:hAnsi="宋体" w:cs="宋体"/>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6CE06778">
            <w:pPr>
              <w:spacing w:line="360" w:lineRule="auto"/>
              <w:rPr>
                <w:rFonts w:hint="eastAsia" w:ascii="宋体" w:hAnsi="宋体" w:cs="宋体"/>
                <w:b/>
                <w:bCs/>
                <w:sz w:val="24"/>
              </w:rPr>
            </w:pPr>
            <w:r>
              <w:rPr>
                <w:rFonts w:hint="eastAsia" w:ascii="宋体" w:hAnsi="宋体" w:cs="宋体"/>
                <w:sz w:val="24"/>
              </w:rPr>
              <w:t>贷款渠道和提供贷款的金融机构，可在河南省政府采购网“河南省政府采购合同融资平台”查询联系。</w:t>
            </w:r>
          </w:p>
        </w:tc>
      </w:tr>
      <w:tr w14:paraId="3CE8AD2B">
        <w:tblPrEx>
          <w:tblCellMar>
            <w:top w:w="0" w:type="dxa"/>
            <w:left w:w="0" w:type="dxa"/>
            <w:bottom w:w="0" w:type="dxa"/>
            <w:right w:w="0" w:type="dxa"/>
          </w:tblCellMar>
        </w:tblPrEx>
        <w:trPr>
          <w:trHeight w:val="528"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108E4A6A">
            <w:pPr>
              <w:spacing w:line="360" w:lineRule="auto"/>
              <w:jc w:val="center"/>
              <w:rPr>
                <w:rFonts w:hint="eastAsia" w:ascii="宋体" w:hAnsi="宋体" w:cs="宋体"/>
                <w:sz w:val="24"/>
              </w:rPr>
            </w:pPr>
            <w:r>
              <w:rPr>
                <w:rFonts w:hint="eastAsia" w:ascii="宋体" w:hAnsi="宋体" w:cs="宋体"/>
                <w:sz w:val="24"/>
              </w:rPr>
              <w:t>10.9</w:t>
            </w:r>
          </w:p>
        </w:tc>
        <w:tc>
          <w:tcPr>
            <w:tcW w:w="2337" w:type="dxa"/>
            <w:tcBorders>
              <w:top w:val="single" w:color="000000" w:sz="4" w:space="0"/>
              <w:left w:val="single" w:color="000000" w:sz="4" w:space="0"/>
              <w:bottom w:val="single" w:color="000000" w:sz="4" w:space="0"/>
              <w:right w:val="single" w:color="000000" w:sz="4" w:space="0"/>
            </w:tcBorders>
            <w:vAlign w:val="center"/>
          </w:tcPr>
          <w:p w14:paraId="3DC972E4">
            <w:pPr>
              <w:spacing w:line="360" w:lineRule="auto"/>
              <w:jc w:val="center"/>
              <w:rPr>
                <w:rFonts w:hint="eastAsia" w:ascii="宋体" w:hAnsi="宋体" w:cs="宋体"/>
                <w:sz w:val="24"/>
              </w:rPr>
            </w:pPr>
            <w:r>
              <w:rPr>
                <w:rFonts w:hint="eastAsia" w:ascii="宋体" w:hAnsi="宋体" w:cs="宋体"/>
                <w:sz w:val="24"/>
              </w:rPr>
              <w:t>特别提醒</w:t>
            </w:r>
          </w:p>
        </w:tc>
        <w:tc>
          <w:tcPr>
            <w:tcW w:w="7149" w:type="dxa"/>
            <w:tcBorders>
              <w:top w:val="single" w:color="000000" w:sz="4" w:space="0"/>
              <w:left w:val="single" w:color="000000" w:sz="4" w:space="0"/>
              <w:bottom w:val="single" w:color="000000" w:sz="4" w:space="0"/>
              <w:right w:val="single" w:color="000000" w:sz="4" w:space="0"/>
            </w:tcBorders>
            <w:vAlign w:val="center"/>
          </w:tcPr>
          <w:p w14:paraId="74495903">
            <w:pPr>
              <w:spacing w:line="360" w:lineRule="auto"/>
              <w:rPr>
                <w:rFonts w:hint="eastAsia" w:ascii="宋体" w:hAnsi="宋体" w:cs="宋体"/>
              </w:rPr>
            </w:pPr>
            <w:r>
              <w:rPr>
                <w:rFonts w:hint="eastAsia" w:ascii="宋体" w:hAnsi="宋体" w:cs="宋体"/>
                <w:sz w:val="24"/>
              </w:rPr>
              <w:t>参与本项目磋商的潜在供应商须通过河南省公共资源交易中心（hnsggzyjy.henan.gov.cn）进行磋商文件下载、响应文件制作、上传、二次报价及参加磋商会议，具体操作流程请查阅学习《河南省公共资源交易中心网》网站“办事指南”的新交易平台使用手册（培训资料）。</w:t>
            </w:r>
          </w:p>
        </w:tc>
      </w:tr>
      <w:tr w14:paraId="5DB1C5A1">
        <w:tblPrEx>
          <w:tblCellMar>
            <w:top w:w="0" w:type="dxa"/>
            <w:left w:w="0" w:type="dxa"/>
            <w:bottom w:w="0" w:type="dxa"/>
            <w:right w:w="0" w:type="dxa"/>
          </w:tblCellMar>
        </w:tblPrEx>
        <w:trPr>
          <w:trHeight w:val="512"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454825CF">
            <w:pPr>
              <w:spacing w:line="360" w:lineRule="auto"/>
              <w:jc w:val="center"/>
              <w:rPr>
                <w:rFonts w:hint="eastAsia" w:ascii="宋体" w:hAnsi="宋体" w:cs="宋体"/>
                <w:sz w:val="24"/>
              </w:rPr>
            </w:pPr>
            <w:r>
              <w:rPr>
                <w:rFonts w:hint="eastAsia" w:ascii="宋体" w:hAnsi="宋体" w:cs="宋体"/>
                <w:sz w:val="24"/>
              </w:rPr>
              <w:t>10.10</w:t>
            </w:r>
          </w:p>
        </w:tc>
        <w:tc>
          <w:tcPr>
            <w:tcW w:w="2337" w:type="dxa"/>
            <w:tcBorders>
              <w:top w:val="single" w:color="000000" w:sz="4" w:space="0"/>
              <w:left w:val="single" w:color="000000" w:sz="4" w:space="0"/>
              <w:bottom w:val="single" w:color="000000" w:sz="4" w:space="0"/>
              <w:right w:val="single" w:color="000000" w:sz="4" w:space="0"/>
            </w:tcBorders>
            <w:vAlign w:val="center"/>
          </w:tcPr>
          <w:p w14:paraId="7BDF5235">
            <w:pPr>
              <w:keepNext/>
              <w:autoSpaceDE w:val="0"/>
              <w:autoSpaceDN w:val="0"/>
              <w:adjustRightInd w:val="0"/>
              <w:spacing w:before="78" w:beforeLines="25" w:after="78" w:afterLines="25" w:line="360" w:lineRule="auto"/>
              <w:ind w:left="102" w:right="24"/>
              <w:jc w:val="center"/>
              <w:rPr>
                <w:rFonts w:hint="eastAsia" w:ascii="宋体" w:hAnsi="宋体" w:cs="宋体"/>
                <w:sz w:val="24"/>
              </w:rPr>
            </w:pPr>
            <w:r>
              <w:rPr>
                <w:rFonts w:hint="eastAsia" w:ascii="宋体" w:hAnsi="宋体" w:cs="宋体"/>
                <w:spacing w:val="2"/>
                <w:kern w:val="0"/>
                <w:sz w:val="24"/>
              </w:rPr>
              <w:t>本项目对应的中小企业划分标准所属行业</w:t>
            </w:r>
          </w:p>
        </w:tc>
        <w:tc>
          <w:tcPr>
            <w:tcW w:w="7149" w:type="dxa"/>
            <w:tcBorders>
              <w:top w:val="single" w:color="000000" w:sz="4" w:space="0"/>
              <w:left w:val="single" w:color="000000" w:sz="4" w:space="0"/>
              <w:bottom w:val="single" w:color="000000" w:sz="4" w:space="0"/>
              <w:right w:val="single" w:color="000000" w:sz="4" w:space="0"/>
            </w:tcBorders>
            <w:vAlign w:val="center"/>
          </w:tcPr>
          <w:p w14:paraId="4161BD8E">
            <w:pPr>
              <w:keepNext/>
              <w:autoSpaceDE w:val="0"/>
              <w:autoSpaceDN w:val="0"/>
              <w:adjustRightInd w:val="0"/>
              <w:spacing w:before="78" w:beforeLines="25" w:after="78" w:afterLines="25" w:line="360" w:lineRule="auto"/>
              <w:ind w:left="102" w:right="24"/>
              <w:rPr>
                <w:rFonts w:hint="eastAsia" w:ascii="宋体" w:hAnsi="宋体" w:cs="宋体"/>
              </w:rPr>
            </w:pPr>
            <w:r>
              <w:rPr>
                <w:rFonts w:hint="eastAsia" w:ascii="宋体" w:hAnsi="宋体" w:cs="宋体"/>
                <w:b/>
                <w:bCs/>
                <w:spacing w:val="2"/>
                <w:kern w:val="0"/>
                <w:sz w:val="24"/>
              </w:rPr>
              <w:t>工业</w:t>
            </w:r>
          </w:p>
        </w:tc>
      </w:tr>
      <w:tr w14:paraId="3AD69512">
        <w:tblPrEx>
          <w:tblCellMar>
            <w:top w:w="0" w:type="dxa"/>
            <w:left w:w="0" w:type="dxa"/>
            <w:bottom w:w="0" w:type="dxa"/>
            <w:right w:w="0" w:type="dxa"/>
          </w:tblCellMar>
        </w:tblPrEx>
        <w:trPr>
          <w:trHeight w:val="512"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07F7918D">
            <w:pPr>
              <w:spacing w:line="360" w:lineRule="auto"/>
              <w:jc w:val="center"/>
              <w:rPr>
                <w:rFonts w:hint="eastAsia" w:ascii="宋体" w:hAnsi="宋体" w:cs="宋体"/>
                <w:sz w:val="24"/>
              </w:rPr>
            </w:pPr>
            <w:bookmarkStart w:id="44" w:name="_Toc144974497"/>
            <w:bookmarkStart w:id="45" w:name="_Toc8636"/>
            <w:bookmarkStart w:id="46" w:name="_Toc23752"/>
            <w:bookmarkStart w:id="47" w:name="_Toc21075"/>
            <w:bookmarkStart w:id="48" w:name="_Toc13175"/>
            <w:bookmarkStart w:id="49" w:name="_Toc152045529"/>
            <w:bookmarkStart w:id="50" w:name="_Toc152042305"/>
            <w:r>
              <w:rPr>
                <w:rFonts w:hint="eastAsia" w:ascii="宋体" w:hAnsi="宋体" w:cs="宋体"/>
                <w:sz w:val="24"/>
              </w:rPr>
              <w:t>10.11</w:t>
            </w:r>
          </w:p>
        </w:tc>
        <w:tc>
          <w:tcPr>
            <w:tcW w:w="9486" w:type="dxa"/>
            <w:gridSpan w:val="2"/>
            <w:tcBorders>
              <w:top w:val="single" w:color="000000" w:sz="4" w:space="0"/>
              <w:left w:val="single" w:color="000000" w:sz="4" w:space="0"/>
              <w:bottom w:val="single" w:color="000000" w:sz="4" w:space="0"/>
              <w:right w:val="single" w:color="000000" w:sz="4" w:space="0"/>
            </w:tcBorders>
            <w:vAlign w:val="center"/>
          </w:tcPr>
          <w:p w14:paraId="3F977C74">
            <w:pPr>
              <w:spacing w:line="360" w:lineRule="auto"/>
              <w:rPr>
                <w:rFonts w:hint="eastAsia" w:ascii="宋体" w:hAnsi="宋体" w:cs="宋体"/>
                <w:sz w:val="24"/>
              </w:rPr>
            </w:pPr>
            <w:r>
              <w:rPr>
                <w:rFonts w:hint="eastAsia" w:ascii="宋体" w:hAnsi="宋体" w:cs="宋体"/>
                <w:sz w:val="24"/>
              </w:rPr>
              <w:t>10.11.1磋商文件中要求的内容与最新国家、地方法律法规规定有矛盾的，以最新国家、地方法律法规规定为准。</w:t>
            </w:r>
          </w:p>
          <w:p w14:paraId="318E4AC1">
            <w:pPr>
              <w:spacing w:line="360" w:lineRule="auto"/>
              <w:rPr>
                <w:rFonts w:hint="eastAsia" w:ascii="宋体" w:hAnsi="宋体" w:cs="宋体"/>
                <w:sz w:val="24"/>
              </w:rPr>
            </w:pPr>
            <w:r>
              <w:rPr>
                <w:rFonts w:hint="eastAsia" w:ascii="宋体" w:hAnsi="宋体" w:cs="宋体"/>
                <w:sz w:val="24"/>
              </w:rPr>
              <w:t>10.11.2除磋商文件另有规定外，磋商文件解释权属采购人。</w:t>
            </w:r>
          </w:p>
        </w:tc>
      </w:tr>
    </w:tbl>
    <w:p w14:paraId="5521ADE7">
      <w:pPr>
        <w:pStyle w:val="56"/>
        <w:spacing w:before="0" w:line="360" w:lineRule="auto"/>
        <w:rPr>
          <w:rFonts w:hint="eastAsia" w:ascii="宋体" w:hAnsi="宋体"/>
          <w:b/>
          <w:sz w:val="24"/>
          <w:szCs w:val="24"/>
        </w:rPr>
        <w:sectPr>
          <w:footerReference r:id="rId9" w:type="default"/>
          <w:pgSz w:w="11906" w:h="16838"/>
          <w:pgMar w:top="1440" w:right="1800" w:bottom="1440" w:left="1800" w:header="851" w:footer="992" w:gutter="0"/>
          <w:cols w:space="425" w:num="1"/>
          <w:docGrid w:type="lines" w:linePitch="312" w:charSpace="0"/>
        </w:sectPr>
      </w:pPr>
    </w:p>
    <w:p w14:paraId="08195302">
      <w:pPr>
        <w:pStyle w:val="56"/>
        <w:spacing w:before="0" w:line="360" w:lineRule="auto"/>
        <w:rPr>
          <w:rFonts w:hint="eastAsia" w:ascii="宋体" w:hAnsi="宋体"/>
          <w:b/>
          <w:sz w:val="24"/>
          <w:szCs w:val="24"/>
        </w:rPr>
      </w:pPr>
      <w:r>
        <w:rPr>
          <w:rFonts w:hint="eastAsia" w:ascii="宋体" w:hAnsi="宋体"/>
          <w:b/>
          <w:sz w:val="24"/>
          <w:szCs w:val="24"/>
        </w:rPr>
        <w:t>1. 总则</w:t>
      </w:r>
      <w:bookmarkEnd w:id="44"/>
      <w:bookmarkEnd w:id="45"/>
      <w:bookmarkEnd w:id="46"/>
      <w:bookmarkEnd w:id="47"/>
      <w:bookmarkEnd w:id="48"/>
      <w:bookmarkEnd w:id="49"/>
      <w:bookmarkEnd w:id="50"/>
    </w:p>
    <w:p w14:paraId="4E923045">
      <w:pPr>
        <w:pStyle w:val="58"/>
        <w:spacing w:line="360" w:lineRule="auto"/>
        <w:outlineLvl w:val="0"/>
        <w:rPr>
          <w:rFonts w:hint="eastAsia" w:ascii="宋体" w:hAnsi="宋体" w:eastAsia="宋体"/>
          <w:szCs w:val="24"/>
        </w:rPr>
      </w:pPr>
      <w:bookmarkStart w:id="51" w:name="_Toc22078"/>
      <w:bookmarkStart w:id="52" w:name="_Toc27341"/>
      <w:bookmarkStart w:id="53" w:name="_Toc532034640"/>
      <w:bookmarkStart w:id="54" w:name="_Toc144974498"/>
      <w:bookmarkStart w:id="55" w:name="_Toc152042306"/>
      <w:bookmarkStart w:id="56" w:name="_Toc29380"/>
      <w:bookmarkStart w:id="57" w:name="_Toc152045530"/>
      <w:bookmarkStart w:id="58" w:name="_Toc18341"/>
      <w:r>
        <w:rPr>
          <w:rFonts w:hint="eastAsia" w:ascii="宋体" w:hAnsi="宋体" w:eastAsia="宋体"/>
          <w:szCs w:val="24"/>
        </w:rPr>
        <w:t>1.1 项目概况</w:t>
      </w:r>
      <w:bookmarkEnd w:id="51"/>
      <w:bookmarkEnd w:id="52"/>
      <w:bookmarkEnd w:id="53"/>
      <w:bookmarkEnd w:id="54"/>
      <w:bookmarkEnd w:id="55"/>
      <w:bookmarkEnd w:id="56"/>
      <w:bookmarkEnd w:id="57"/>
      <w:bookmarkEnd w:id="58"/>
    </w:p>
    <w:p w14:paraId="595297EA">
      <w:pPr>
        <w:spacing w:line="360" w:lineRule="auto"/>
        <w:ind w:firstLine="480" w:firstLineChars="200"/>
        <w:rPr>
          <w:rFonts w:hint="eastAsia" w:ascii="宋体" w:hAnsi="宋体" w:cs="宋体"/>
          <w:sz w:val="24"/>
        </w:rPr>
      </w:pPr>
      <w:r>
        <w:rPr>
          <w:rFonts w:hint="eastAsia" w:ascii="宋体" w:hAnsi="宋体" w:cs="宋体"/>
          <w:sz w:val="24"/>
        </w:rPr>
        <w:t>1.1.1根据《中华人民共和国政府采购法》、《政府采购竞争性磋商采购方式管理暂行办法》等有关法律、法规和规章的规定，本采购项目已具备采购条件，现对本项目进行采购。</w:t>
      </w:r>
    </w:p>
    <w:p w14:paraId="509AC579">
      <w:pPr>
        <w:spacing w:line="360" w:lineRule="auto"/>
        <w:ind w:firstLine="480" w:firstLineChars="200"/>
        <w:rPr>
          <w:rFonts w:hint="eastAsia" w:ascii="宋体" w:hAnsi="宋体" w:cs="宋体"/>
          <w:sz w:val="24"/>
        </w:rPr>
      </w:pPr>
      <w:r>
        <w:rPr>
          <w:rFonts w:hint="eastAsia" w:ascii="宋体" w:hAnsi="宋体" w:cs="宋体"/>
          <w:sz w:val="24"/>
        </w:rPr>
        <w:t>1.1.2 本采购项目采购人：见供应商须知前附表。</w:t>
      </w:r>
    </w:p>
    <w:p w14:paraId="5C968826">
      <w:pPr>
        <w:spacing w:line="360" w:lineRule="auto"/>
        <w:ind w:firstLine="480" w:firstLineChars="200"/>
        <w:rPr>
          <w:rFonts w:hint="eastAsia" w:ascii="宋体" w:hAnsi="宋体" w:cs="宋体"/>
          <w:sz w:val="24"/>
        </w:rPr>
      </w:pPr>
      <w:r>
        <w:rPr>
          <w:rFonts w:hint="eastAsia" w:ascii="宋体" w:hAnsi="宋体" w:cs="宋体"/>
          <w:sz w:val="24"/>
        </w:rPr>
        <w:t>1.1.3 本项目采购代理机构：见供应商须知前附表。</w:t>
      </w:r>
    </w:p>
    <w:p w14:paraId="15F207CD">
      <w:pPr>
        <w:spacing w:line="360" w:lineRule="auto"/>
        <w:ind w:firstLine="480" w:firstLineChars="200"/>
        <w:rPr>
          <w:rFonts w:hint="eastAsia" w:ascii="宋体" w:hAnsi="宋体" w:cs="宋体"/>
          <w:sz w:val="24"/>
        </w:rPr>
      </w:pPr>
      <w:r>
        <w:rPr>
          <w:rFonts w:hint="eastAsia" w:ascii="宋体" w:hAnsi="宋体" w:cs="宋体"/>
          <w:sz w:val="24"/>
        </w:rPr>
        <w:t>1.1.4 本采购项目名称：见供应商须知前附表。</w:t>
      </w:r>
    </w:p>
    <w:p w14:paraId="01220FD4">
      <w:pPr>
        <w:pStyle w:val="58"/>
        <w:spacing w:line="360" w:lineRule="auto"/>
        <w:outlineLvl w:val="0"/>
        <w:rPr>
          <w:rFonts w:hint="eastAsia" w:ascii="宋体" w:hAnsi="宋体" w:eastAsia="宋体"/>
          <w:szCs w:val="24"/>
        </w:rPr>
      </w:pPr>
      <w:bookmarkStart w:id="59" w:name="_Toc532034641"/>
      <w:bookmarkStart w:id="60" w:name="_Toc23695"/>
      <w:bookmarkStart w:id="61" w:name="_Toc10480"/>
      <w:bookmarkStart w:id="62" w:name="_Toc5202"/>
      <w:bookmarkStart w:id="63" w:name="_Toc32554"/>
      <w:bookmarkStart w:id="64" w:name="_Toc144974499"/>
      <w:bookmarkStart w:id="65" w:name="_Toc152042307"/>
      <w:bookmarkStart w:id="66" w:name="_Toc152045531"/>
      <w:r>
        <w:rPr>
          <w:rFonts w:hint="eastAsia" w:ascii="宋体" w:hAnsi="宋体" w:eastAsia="宋体"/>
          <w:szCs w:val="24"/>
        </w:rPr>
        <w:t>1.2 资金来源、出资比例和资金落实情况</w:t>
      </w:r>
      <w:bookmarkEnd w:id="59"/>
      <w:bookmarkEnd w:id="60"/>
      <w:bookmarkEnd w:id="61"/>
      <w:bookmarkEnd w:id="62"/>
      <w:bookmarkEnd w:id="63"/>
      <w:bookmarkEnd w:id="64"/>
      <w:bookmarkEnd w:id="65"/>
      <w:bookmarkEnd w:id="66"/>
    </w:p>
    <w:p w14:paraId="12C5EF04">
      <w:pPr>
        <w:spacing w:line="360" w:lineRule="auto"/>
        <w:ind w:firstLine="480" w:firstLineChars="200"/>
        <w:rPr>
          <w:rFonts w:hint="eastAsia" w:ascii="宋体" w:hAnsi="宋体" w:cs="宋体"/>
          <w:sz w:val="24"/>
        </w:rPr>
      </w:pPr>
      <w:r>
        <w:rPr>
          <w:rFonts w:hint="eastAsia" w:ascii="宋体" w:hAnsi="宋体" w:cs="宋体"/>
          <w:sz w:val="24"/>
        </w:rPr>
        <w:t>1.2.1 本采购项目的资金来源：见供应商须知前附表。</w:t>
      </w:r>
    </w:p>
    <w:p w14:paraId="4E6F2C5E">
      <w:pPr>
        <w:spacing w:line="360" w:lineRule="auto"/>
        <w:ind w:firstLine="480" w:firstLineChars="200"/>
        <w:rPr>
          <w:rFonts w:hint="eastAsia" w:ascii="宋体" w:hAnsi="宋体" w:cs="宋体"/>
          <w:sz w:val="24"/>
        </w:rPr>
      </w:pPr>
      <w:r>
        <w:rPr>
          <w:rFonts w:hint="eastAsia" w:ascii="宋体" w:hAnsi="宋体" w:cs="宋体"/>
          <w:sz w:val="24"/>
        </w:rPr>
        <w:t>1.2.2 本采购项目的出资比例：见供应商须知前附表。</w:t>
      </w:r>
    </w:p>
    <w:p w14:paraId="1A05F52B">
      <w:pPr>
        <w:spacing w:line="360" w:lineRule="auto"/>
        <w:ind w:firstLine="480" w:firstLineChars="200"/>
        <w:rPr>
          <w:rFonts w:hint="eastAsia" w:ascii="宋体" w:hAnsi="宋体" w:cs="宋体"/>
          <w:sz w:val="24"/>
        </w:rPr>
      </w:pPr>
      <w:r>
        <w:rPr>
          <w:rFonts w:hint="eastAsia" w:ascii="宋体" w:hAnsi="宋体" w:cs="宋体"/>
          <w:sz w:val="24"/>
        </w:rPr>
        <w:t>1.2.3 本采购项目的资金落实情况：见供应商须知前附表。</w:t>
      </w:r>
    </w:p>
    <w:p w14:paraId="719B3AB3">
      <w:pPr>
        <w:pStyle w:val="58"/>
        <w:spacing w:line="360" w:lineRule="auto"/>
        <w:outlineLvl w:val="0"/>
        <w:rPr>
          <w:rFonts w:hint="eastAsia" w:ascii="宋体" w:hAnsi="宋体" w:eastAsia="宋体"/>
          <w:szCs w:val="24"/>
        </w:rPr>
      </w:pPr>
      <w:bookmarkStart w:id="67" w:name="_Toc152045532"/>
      <w:bookmarkStart w:id="68" w:name="_Toc19535"/>
      <w:bookmarkStart w:id="69" w:name="_Toc10251"/>
      <w:bookmarkStart w:id="70" w:name="_Toc152042308"/>
      <w:bookmarkStart w:id="71" w:name="_Toc15526"/>
      <w:bookmarkStart w:id="72" w:name="_Toc3519"/>
      <w:bookmarkStart w:id="73" w:name="_Toc144974500"/>
      <w:bookmarkStart w:id="74" w:name="_Toc532034642"/>
      <w:r>
        <w:rPr>
          <w:rFonts w:hint="eastAsia" w:ascii="宋体" w:hAnsi="宋体" w:eastAsia="宋体"/>
          <w:szCs w:val="24"/>
        </w:rPr>
        <w:t>1.3 采购内容、质量标准、交货期</w:t>
      </w:r>
      <w:bookmarkEnd w:id="67"/>
      <w:bookmarkEnd w:id="68"/>
      <w:bookmarkEnd w:id="69"/>
      <w:bookmarkEnd w:id="70"/>
      <w:bookmarkEnd w:id="71"/>
      <w:bookmarkEnd w:id="72"/>
      <w:bookmarkEnd w:id="73"/>
      <w:bookmarkEnd w:id="74"/>
      <w:r>
        <w:rPr>
          <w:rFonts w:hint="eastAsia" w:ascii="宋体" w:hAnsi="宋体" w:eastAsia="宋体"/>
          <w:szCs w:val="24"/>
        </w:rPr>
        <w:t>、交货地点和质保期</w:t>
      </w:r>
    </w:p>
    <w:p w14:paraId="6B27DB30">
      <w:pPr>
        <w:spacing w:line="360" w:lineRule="auto"/>
        <w:ind w:firstLine="480" w:firstLineChars="200"/>
        <w:rPr>
          <w:rFonts w:hint="eastAsia" w:ascii="宋体" w:hAnsi="宋体" w:cs="宋体"/>
          <w:sz w:val="24"/>
        </w:rPr>
      </w:pPr>
      <w:r>
        <w:rPr>
          <w:rFonts w:hint="eastAsia" w:ascii="宋体" w:hAnsi="宋体" w:cs="宋体"/>
          <w:sz w:val="24"/>
        </w:rPr>
        <w:t>1.3.1 本项目采购内容：见供应商须知前附表。</w:t>
      </w:r>
    </w:p>
    <w:p w14:paraId="7310AB82">
      <w:pPr>
        <w:spacing w:line="360" w:lineRule="auto"/>
        <w:ind w:firstLine="480" w:firstLineChars="200"/>
        <w:rPr>
          <w:rFonts w:hint="eastAsia" w:ascii="宋体" w:hAnsi="宋体" w:cs="宋体"/>
          <w:sz w:val="24"/>
        </w:rPr>
      </w:pPr>
      <w:r>
        <w:rPr>
          <w:rFonts w:hint="eastAsia" w:ascii="宋体" w:hAnsi="宋体" w:cs="宋体"/>
          <w:sz w:val="24"/>
        </w:rPr>
        <w:t>1.3.2 本项目的质量标准：见供应商前附表。</w:t>
      </w:r>
    </w:p>
    <w:p w14:paraId="619089CB">
      <w:pPr>
        <w:spacing w:line="360" w:lineRule="auto"/>
        <w:ind w:firstLine="480" w:firstLineChars="200"/>
        <w:rPr>
          <w:rFonts w:hint="eastAsia" w:ascii="宋体" w:hAnsi="宋体" w:cs="宋体"/>
          <w:sz w:val="24"/>
        </w:rPr>
      </w:pPr>
      <w:r>
        <w:rPr>
          <w:rFonts w:hint="eastAsia" w:ascii="宋体" w:hAnsi="宋体" w:cs="宋体"/>
          <w:sz w:val="24"/>
        </w:rPr>
        <w:t>1.3.3 本项目的交货期：见供应商须知前附表。</w:t>
      </w:r>
    </w:p>
    <w:p w14:paraId="01031C6C">
      <w:pPr>
        <w:spacing w:line="360" w:lineRule="auto"/>
        <w:ind w:firstLine="480" w:firstLineChars="200"/>
        <w:rPr>
          <w:rFonts w:hint="eastAsia" w:ascii="宋体" w:hAnsi="宋体" w:cs="宋体"/>
          <w:sz w:val="24"/>
        </w:rPr>
      </w:pPr>
      <w:r>
        <w:rPr>
          <w:rFonts w:hint="eastAsia" w:ascii="宋体" w:hAnsi="宋体" w:cs="宋体"/>
          <w:sz w:val="24"/>
        </w:rPr>
        <w:t>1.3.4本项目的交货地点：见供应商须知前附表。</w:t>
      </w:r>
    </w:p>
    <w:p w14:paraId="6F660F62">
      <w:pPr>
        <w:spacing w:line="360" w:lineRule="auto"/>
        <w:ind w:firstLine="480" w:firstLineChars="200"/>
        <w:rPr>
          <w:rFonts w:hint="eastAsia" w:ascii="宋体" w:hAnsi="宋体" w:cs="宋体"/>
          <w:sz w:val="24"/>
        </w:rPr>
      </w:pPr>
      <w:r>
        <w:rPr>
          <w:rFonts w:hint="eastAsia" w:ascii="宋体" w:hAnsi="宋体" w:cs="宋体"/>
          <w:sz w:val="24"/>
        </w:rPr>
        <w:t>1.3.5本项目的质保期：见供应商须知前附表。</w:t>
      </w:r>
    </w:p>
    <w:p w14:paraId="39690CA1">
      <w:pPr>
        <w:pStyle w:val="58"/>
        <w:spacing w:line="360" w:lineRule="auto"/>
        <w:outlineLvl w:val="0"/>
        <w:rPr>
          <w:rFonts w:hint="eastAsia" w:ascii="宋体" w:hAnsi="宋体" w:eastAsia="宋体"/>
          <w:szCs w:val="24"/>
        </w:rPr>
      </w:pPr>
      <w:bookmarkStart w:id="75" w:name="_Toc6427"/>
      <w:bookmarkStart w:id="76" w:name="_Toc152045534"/>
      <w:bookmarkStart w:id="77" w:name="_Toc532034643"/>
      <w:bookmarkStart w:id="78" w:name="_Toc144974502"/>
      <w:bookmarkStart w:id="79" w:name="_Toc152042310"/>
      <w:bookmarkStart w:id="80" w:name="_Toc2941"/>
      <w:bookmarkStart w:id="81" w:name="_Toc22374"/>
      <w:bookmarkStart w:id="82" w:name="_Toc16566"/>
      <w:r>
        <w:rPr>
          <w:rFonts w:hint="eastAsia" w:ascii="宋体" w:hAnsi="宋体" w:eastAsia="宋体"/>
          <w:szCs w:val="24"/>
        </w:rPr>
        <w:t>1.4 供应商资格要求</w:t>
      </w:r>
      <w:bookmarkEnd w:id="75"/>
      <w:bookmarkEnd w:id="76"/>
      <w:bookmarkEnd w:id="77"/>
      <w:bookmarkEnd w:id="78"/>
      <w:bookmarkEnd w:id="79"/>
      <w:bookmarkEnd w:id="80"/>
      <w:bookmarkEnd w:id="81"/>
      <w:bookmarkEnd w:id="82"/>
    </w:p>
    <w:p w14:paraId="0E163C68">
      <w:pPr>
        <w:autoSpaceDE w:val="0"/>
        <w:autoSpaceDN w:val="0"/>
        <w:adjustRightInd w:val="0"/>
        <w:spacing w:line="360" w:lineRule="auto"/>
        <w:ind w:firstLine="480" w:firstLineChars="200"/>
        <w:jc w:val="left"/>
        <w:rPr>
          <w:rFonts w:hint="eastAsia" w:ascii="宋体" w:hAnsi="宋体" w:cs="宋体"/>
          <w:sz w:val="24"/>
        </w:rPr>
      </w:pPr>
      <w:r>
        <w:rPr>
          <w:rFonts w:hint="eastAsia" w:ascii="宋体" w:hAnsi="宋体" w:cs="宋体"/>
          <w:sz w:val="24"/>
        </w:rPr>
        <w:t>1.4.1 供应商</w:t>
      </w:r>
      <w:r>
        <w:rPr>
          <w:rFonts w:hint="eastAsia" w:ascii="宋体" w:hAnsi="宋体" w:cs="宋体"/>
          <w:kern w:val="0"/>
          <w:sz w:val="24"/>
        </w:rPr>
        <w:t>应具备承担本项目的资格要求：</w:t>
      </w:r>
      <w:r>
        <w:rPr>
          <w:rFonts w:hint="eastAsia" w:ascii="宋体" w:hAnsi="宋体" w:cs="宋体"/>
          <w:sz w:val="24"/>
        </w:rPr>
        <w:t>详见</w:t>
      </w:r>
      <w:r>
        <w:rPr>
          <w:rFonts w:hint="eastAsia" w:ascii="宋体" w:hAnsi="宋体" w:cs="宋体"/>
          <w:spacing w:val="1"/>
          <w:kern w:val="0"/>
          <w:sz w:val="24"/>
        </w:rPr>
        <w:t>供应商</w:t>
      </w:r>
      <w:r>
        <w:rPr>
          <w:rFonts w:hint="eastAsia" w:ascii="宋体" w:hAnsi="宋体" w:cs="宋体"/>
          <w:sz w:val="24"/>
        </w:rPr>
        <w:t>须知前附表；</w:t>
      </w:r>
    </w:p>
    <w:p w14:paraId="061812F0">
      <w:pPr>
        <w:spacing w:line="360" w:lineRule="auto"/>
        <w:ind w:firstLine="480" w:firstLineChars="200"/>
        <w:rPr>
          <w:rFonts w:hint="eastAsia" w:ascii="宋体" w:hAnsi="宋体" w:cs="宋体"/>
          <w:sz w:val="24"/>
        </w:rPr>
      </w:pPr>
      <w:r>
        <w:rPr>
          <w:rFonts w:hint="eastAsia" w:ascii="宋体" w:hAnsi="宋体" w:cs="宋体"/>
          <w:sz w:val="24"/>
        </w:rPr>
        <w:t>1.4.2 本次采购不接受联合体投标。</w:t>
      </w:r>
    </w:p>
    <w:p w14:paraId="649B3AA8">
      <w:pPr>
        <w:pStyle w:val="58"/>
        <w:spacing w:line="360" w:lineRule="auto"/>
        <w:outlineLvl w:val="0"/>
        <w:rPr>
          <w:rFonts w:hint="eastAsia" w:ascii="宋体" w:hAnsi="宋体" w:eastAsia="宋体"/>
          <w:szCs w:val="24"/>
        </w:rPr>
      </w:pPr>
      <w:bookmarkStart w:id="83" w:name="_Toc152045535"/>
      <w:bookmarkStart w:id="84" w:name="_Toc532034644"/>
      <w:bookmarkStart w:id="85" w:name="_Toc144974503"/>
      <w:bookmarkStart w:id="86" w:name="_Toc152042311"/>
      <w:bookmarkStart w:id="87" w:name="_Toc549"/>
      <w:bookmarkStart w:id="88" w:name="_Toc1212"/>
      <w:bookmarkStart w:id="89" w:name="_Toc8518"/>
      <w:bookmarkStart w:id="90" w:name="_Toc3633"/>
      <w:r>
        <w:rPr>
          <w:rFonts w:hint="eastAsia" w:ascii="宋体" w:hAnsi="宋体" w:eastAsia="宋体"/>
          <w:szCs w:val="24"/>
        </w:rPr>
        <w:t>1.5 费用承担</w:t>
      </w:r>
      <w:bookmarkEnd w:id="83"/>
      <w:bookmarkEnd w:id="84"/>
      <w:bookmarkEnd w:id="85"/>
      <w:bookmarkEnd w:id="86"/>
      <w:bookmarkEnd w:id="87"/>
      <w:bookmarkEnd w:id="88"/>
      <w:bookmarkEnd w:id="89"/>
      <w:bookmarkEnd w:id="90"/>
    </w:p>
    <w:p w14:paraId="32262516">
      <w:pPr>
        <w:spacing w:line="360" w:lineRule="auto"/>
        <w:ind w:firstLine="484" w:firstLineChars="200"/>
        <w:rPr>
          <w:rFonts w:hint="eastAsia" w:ascii="宋体" w:hAnsi="宋体" w:cs="宋体"/>
          <w:sz w:val="24"/>
        </w:rPr>
      </w:pPr>
      <w:r>
        <w:rPr>
          <w:rFonts w:hint="eastAsia" w:ascii="宋体" w:hAnsi="宋体" w:cs="宋体"/>
          <w:spacing w:val="1"/>
          <w:kern w:val="0"/>
          <w:sz w:val="24"/>
        </w:rPr>
        <w:t>供应商</w:t>
      </w:r>
      <w:r>
        <w:rPr>
          <w:rFonts w:hint="eastAsia" w:ascii="宋体" w:hAnsi="宋体" w:cs="宋体"/>
          <w:sz w:val="24"/>
        </w:rPr>
        <w:t>准备和参加投标活动发生的费用自理。</w:t>
      </w:r>
    </w:p>
    <w:p w14:paraId="7C697F9A">
      <w:pPr>
        <w:pStyle w:val="58"/>
        <w:spacing w:line="360" w:lineRule="auto"/>
        <w:outlineLvl w:val="0"/>
        <w:rPr>
          <w:rFonts w:hint="eastAsia" w:ascii="宋体" w:hAnsi="宋体" w:eastAsia="宋体"/>
          <w:szCs w:val="24"/>
        </w:rPr>
      </w:pPr>
      <w:bookmarkStart w:id="91" w:name="_Toc14437"/>
      <w:bookmarkStart w:id="92" w:name="_Toc24174"/>
      <w:bookmarkStart w:id="93" w:name="_Toc19869"/>
      <w:bookmarkStart w:id="94" w:name="_Toc18100"/>
      <w:bookmarkStart w:id="95" w:name="_Toc532034645"/>
      <w:bookmarkStart w:id="96" w:name="_Toc152045536"/>
      <w:bookmarkStart w:id="97" w:name="_Toc144974504"/>
      <w:bookmarkStart w:id="98" w:name="_Toc152042312"/>
      <w:r>
        <w:rPr>
          <w:rFonts w:hint="eastAsia" w:ascii="宋体" w:hAnsi="宋体" w:eastAsia="宋体"/>
          <w:szCs w:val="24"/>
        </w:rPr>
        <w:t>1.6 保密</w:t>
      </w:r>
      <w:bookmarkEnd w:id="91"/>
      <w:bookmarkEnd w:id="92"/>
      <w:bookmarkEnd w:id="93"/>
      <w:bookmarkEnd w:id="94"/>
      <w:bookmarkEnd w:id="95"/>
      <w:bookmarkEnd w:id="96"/>
      <w:bookmarkEnd w:id="97"/>
      <w:bookmarkEnd w:id="98"/>
    </w:p>
    <w:p w14:paraId="76512324">
      <w:pPr>
        <w:spacing w:line="360" w:lineRule="auto"/>
        <w:ind w:firstLine="480" w:firstLineChars="200"/>
        <w:rPr>
          <w:rFonts w:hint="eastAsia" w:ascii="宋体" w:hAnsi="宋体" w:cs="宋体"/>
          <w:sz w:val="24"/>
        </w:rPr>
      </w:pPr>
      <w:r>
        <w:rPr>
          <w:rFonts w:hint="eastAsia" w:ascii="宋体" w:hAnsi="宋体" w:cs="宋体"/>
          <w:sz w:val="24"/>
        </w:rPr>
        <w:t>参与采购投标活动的各方应对磋商文件和响应文件中的商业和技术等秘密保密，违者应对由此造成的后果承担法律责任。</w:t>
      </w:r>
    </w:p>
    <w:p w14:paraId="21BE0102">
      <w:pPr>
        <w:pStyle w:val="58"/>
        <w:spacing w:line="360" w:lineRule="auto"/>
        <w:outlineLvl w:val="0"/>
        <w:rPr>
          <w:rFonts w:hint="eastAsia" w:ascii="宋体" w:hAnsi="宋体" w:eastAsia="宋体"/>
          <w:szCs w:val="24"/>
        </w:rPr>
      </w:pPr>
      <w:bookmarkStart w:id="99" w:name="_Toc144974505"/>
      <w:bookmarkStart w:id="100" w:name="_Toc23787"/>
      <w:bookmarkStart w:id="101" w:name="_Toc18112"/>
      <w:bookmarkStart w:id="102" w:name="_Toc12872"/>
      <w:bookmarkStart w:id="103" w:name="_Toc532034646"/>
      <w:bookmarkStart w:id="104" w:name="_Toc152045537"/>
      <w:bookmarkStart w:id="105" w:name="_Toc7394"/>
      <w:bookmarkStart w:id="106" w:name="_Toc152042313"/>
      <w:r>
        <w:rPr>
          <w:rFonts w:hint="eastAsia" w:ascii="宋体" w:hAnsi="宋体" w:eastAsia="宋体"/>
          <w:szCs w:val="24"/>
        </w:rPr>
        <w:t>1.7 语言</w:t>
      </w:r>
      <w:bookmarkEnd w:id="99"/>
      <w:r>
        <w:rPr>
          <w:rFonts w:hint="eastAsia" w:ascii="宋体" w:hAnsi="宋体" w:eastAsia="宋体"/>
          <w:szCs w:val="24"/>
        </w:rPr>
        <w:t>文字</w:t>
      </w:r>
      <w:bookmarkEnd w:id="100"/>
      <w:bookmarkEnd w:id="101"/>
      <w:bookmarkEnd w:id="102"/>
      <w:bookmarkEnd w:id="103"/>
      <w:bookmarkEnd w:id="104"/>
      <w:bookmarkEnd w:id="105"/>
      <w:bookmarkEnd w:id="106"/>
    </w:p>
    <w:p w14:paraId="113976FB">
      <w:pPr>
        <w:spacing w:line="360" w:lineRule="auto"/>
        <w:ind w:firstLine="480" w:firstLineChars="200"/>
        <w:rPr>
          <w:rFonts w:hint="eastAsia" w:ascii="宋体" w:hAnsi="宋体" w:cs="宋体"/>
          <w:sz w:val="24"/>
        </w:rPr>
      </w:pPr>
      <w:r>
        <w:rPr>
          <w:rFonts w:hint="eastAsia" w:ascii="宋体" w:hAnsi="宋体" w:cs="宋体"/>
          <w:sz w:val="24"/>
        </w:rPr>
        <w:t>除专用术语外，与采购投标有关的语言均使用中文。必要时专用术语应附有中文注释。</w:t>
      </w:r>
    </w:p>
    <w:p w14:paraId="64963913">
      <w:pPr>
        <w:pStyle w:val="58"/>
        <w:spacing w:line="360" w:lineRule="auto"/>
        <w:outlineLvl w:val="0"/>
        <w:rPr>
          <w:rFonts w:hint="eastAsia" w:ascii="宋体" w:hAnsi="宋体" w:eastAsia="宋体"/>
          <w:szCs w:val="24"/>
        </w:rPr>
      </w:pPr>
      <w:bookmarkStart w:id="107" w:name="_Toc15061"/>
      <w:bookmarkStart w:id="108" w:name="_Toc532034647"/>
      <w:bookmarkStart w:id="109" w:name="_Toc27820"/>
      <w:bookmarkStart w:id="110" w:name="_Toc144974506"/>
      <w:bookmarkStart w:id="111" w:name="_Toc27851"/>
      <w:bookmarkStart w:id="112" w:name="_Toc152045538"/>
      <w:bookmarkStart w:id="113" w:name="_Toc152042314"/>
      <w:bookmarkStart w:id="114" w:name="_Toc13179"/>
      <w:r>
        <w:rPr>
          <w:rFonts w:hint="eastAsia" w:ascii="宋体" w:hAnsi="宋体" w:eastAsia="宋体"/>
          <w:szCs w:val="24"/>
        </w:rPr>
        <w:t>1.8 计量单位</w:t>
      </w:r>
      <w:bookmarkEnd w:id="107"/>
      <w:bookmarkEnd w:id="108"/>
      <w:bookmarkEnd w:id="109"/>
      <w:bookmarkEnd w:id="110"/>
      <w:bookmarkEnd w:id="111"/>
      <w:bookmarkEnd w:id="112"/>
      <w:bookmarkEnd w:id="113"/>
      <w:bookmarkEnd w:id="114"/>
    </w:p>
    <w:p w14:paraId="72186916">
      <w:pPr>
        <w:spacing w:line="360" w:lineRule="auto"/>
        <w:ind w:firstLine="480" w:firstLineChars="200"/>
        <w:rPr>
          <w:rFonts w:hint="eastAsia" w:ascii="宋体" w:hAnsi="宋体" w:cs="宋体"/>
          <w:sz w:val="24"/>
        </w:rPr>
      </w:pPr>
      <w:r>
        <w:rPr>
          <w:rFonts w:hint="eastAsia" w:ascii="宋体" w:hAnsi="宋体" w:cs="宋体"/>
          <w:sz w:val="24"/>
        </w:rPr>
        <w:t>所有计量均采用中华人民共和国法定计量单位。</w:t>
      </w:r>
    </w:p>
    <w:p w14:paraId="2D84735E">
      <w:pPr>
        <w:pStyle w:val="58"/>
        <w:spacing w:line="360" w:lineRule="auto"/>
        <w:outlineLvl w:val="0"/>
        <w:rPr>
          <w:rFonts w:hint="eastAsia" w:ascii="宋体" w:hAnsi="宋体" w:eastAsia="宋体"/>
          <w:szCs w:val="24"/>
        </w:rPr>
      </w:pPr>
      <w:bookmarkStart w:id="115" w:name="_Toc25772"/>
      <w:bookmarkStart w:id="116" w:name="_Toc152045539"/>
      <w:bookmarkStart w:id="117" w:name="_Toc532034648"/>
      <w:bookmarkStart w:id="118" w:name="_Toc152042315"/>
      <w:bookmarkStart w:id="119" w:name="_Toc21226"/>
      <w:bookmarkStart w:id="120" w:name="_Toc28426"/>
      <w:bookmarkStart w:id="121" w:name="_Toc20977"/>
      <w:bookmarkStart w:id="122" w:name="_Toc144974507"/>
      <w:r>
        <w:rPr>
          <w:rFonts w:hint="eastAsia" w:ascii="宋体" w:hAnsi="宋体" w:eastAsia="宋体"/>
          <w:szCs w:val="24"/>
        </w:rPr>
        <w:t>1.9 踏勘现场</w:t>
      </w:r>
      <w:bookmarkEnd w:id="115"/>
      <w:bookmarkEnd w:id="116"/>
      <w:bookmarkEnd w:id="117"/>
      <w:bookmarkEnd w:id="118"/>
      <w:bookmarkEnd w:id="119"/>
      <w:bookmarkEnd w:id="120"/>
      <w:bookmarkEnd w:id="121"/>
      <w:bookmarkEnd w:id="122"/>
    </w:p>
    <w:p w14:paraId="4D4AB916">
      <w:pPr>
        <w:spacing w:line="360" w:lineRule="auto"/>
        <w:ind w:firstLine="480" w:firstLineChars="200"/>
        <w:rPr>
          <w:rFonts w:hint="eastAsia" w:ascii="宋体" w:hAnsi="宋体" w:cs="宋体"/>
          <w:sz w:val="24"/>
        </w:rPr>
      </w:pPr>
      <w:bookmarkStart w:id="123" w:name="_Toc144974508"/>
      <w:bookmarkStart w:id="124" w:name="_Toc152042316"/>
      <w:bookmarkStart w:id="125" w:name="_Toc152045540"/>
      <w:bookmarkStart w:id="126" w:name="_Toc532034649"/>
      <w:r>
        <w:rPr>
          <w:rFonts w:hint="eastAsia" w:ascii="宋体" w:hAnsi="宋体" w:cs="宋体"/>
          <w:sz w:val="24"/>
        </w:rPr>
        <w:t>1.9.1 供应商须知前附表规定组织踏勘现场的，采购人按供应商须知前附表规定的时间、地点组织供应商踏勘项目现场。</w:t>
      </w:r>
    </w:p>
    <w:p w14:paraId="46AB55F6">
      <w:pPr>
        <w:spacing w:line="360" w:lineRule="auto"/>
        <w:ind w:firstLine="480" w:firstLineChars="200"/>
        <w:rPr>
          <w:rFonts w:hint="eastAsia" w:ascii="宋体" w:hAnsi="宋体" w:cs="宋体"/>
          <w:sz w:val="24"/>
        </w:rPr>
      </w:pPr>
      <w:r>
        <w:rPr>
          <w:rFonts w:hint="eastAsia" w:ascii="宋体" w:hAnsi="宋体" w:cs="宋体"/>
          <w:sz w:val="24"/>
        </w:rPr>
        <w:t>1.9.2 供应商踏勘现场发生的费用自理。</w:t>
      </w:r>
    </w:p>
    <w:p w14:paraId="360D9775">
      <w:pPr>
        <w:spacing w:line="360" w:lineRule="auto"/>
        <w:ind w:firstLine="480" w:firstLineChars="200"/>
        <w:rPr>
          <w:rFonts w:hint="eastAsia" w:ascii="宋体" w:hAnsi="宋体" w:cs="宋体"/>
          <w:sz w:val="24"/>
        </w:rPr>
      </w:pPr>
      <w:r>
        <w:rPr>
          <w:rFonts w:hint="eastAsia" w:ascii="宋体" w:hAnsi="宋体" w:cs="宋体"/>
          <w:sz w:val="24"/>
        </w:rPr>
        <w:t>1.9.3 除采购人的原因外，供应商自行负责在踏勘现场中所发生的人员伤亡和财产损失。</w:t>
      </w:r>
    </w:p>
    <w:p w14:paraId="42783C38">
      <w:pPr>
        <w:spacing w:line="360" w:lineRule="auto"/>
        <w:ind w:firstLine="480" w:firstLineChars="200"/>
        <w:rPr>
          <w:rFonts w:hint="eastAsia" w:ascii="宋体" w:hAnsi="宋体" w:cs="宋体"/>
          <w:sz w:val="24"/>
        </w:rPr>
      </w:pPr>
      <w:r>
        <w:rPr>
          <w:rFonts w:hint="eastAsia" w:ascii="宋体" w:hAnsi="宋体" w:cs="宋体"/>
          <w:sz w:val="24"/>
        </w:rPr>
        <w:t>1.9.4 采购人在踏勘现场中介绍的项目场地和相关的周边环境情况，供供应商在编制响应文件时参考，采购人不对供应商据此作出的判断和决策负责。</w:t>
      </w:r>
    </w:p>
    <w:p w14:paraId="19AB0C95">
      <w:pPr>
        <w:pStyle w:val="58"/>
        <w:spacing w:line="360" w:lineRule="auto"/>
        <w:outlineLvl w:val="0"/>
        <w:rPr>
          <w:rFonts w:hint="eastAsia" w:ascii="宋体" w:hAnsi="宋体" w:eastAsia="宋体"/>
          <w:szCs w:val="24"/>
        </w:rPr>
      </w:pPr>
      <w:bookmarkStart w:id="127" w:name="_Toc502"/>
      <w:bookmarkStart w:id="128" w:name="_Toc29962"/>
      <w:bookmarkStart w:id="129" w:name="_Toc5840"/>
      <w:bookmarkStart w:id="130" w:name="_Toc21569"/>
      <w:r>
        <w:rPr>
          <w:rFonts w:hint="eastAsia" w:ascii="宋体" w:hAnsi="宋体" w:eastAsia="宋体"/>
          <w:szCs w:val="24"/>
        </w:rPr>
        <w:t>1.10 投标预备会</w:t>
      </w:r>
      <w:bookmarkEnd w:id="123"/>
      <w:bookmarkEnd w:id="124"/>
      <w:bookmarkEnd w:id="125"/>
      <w:bookmarkEnd w:id="126"/>
      <w:bookmarkEnd w:id="127"/>
      <w:bookmarkEnd w:id="128"/>
      <w:bookmarkEnd w:id="129"/>
      <w:bookmarkEnd w:id="130"/>
      <w:bookmarkStart w:id="131" w:name="_Toc30593"/>
      <w:bookmarkStart w:id="132" w:name="_Toc532034650"/>
      <w:bookmarkStart w:id="133" w:name="_Toc144974509"/>
      <w:bookmarkStart w:id="134" w:name="_Toc152042317"/>
      <w:bookmarkStart w:id="135" w:name="_Toc152045541"/>
    </w:p>
    <w:bookmarkEnd w:id="131"/>
    <w:bookmarkEnd w:id="132"/>
    <w:p w14:paraId="520E7A9B">
      <w:pPr>
        <w:spacing w:line="360" w:lineRule="auto"/>
        <w:ind w:firstLine="480" w:firstLineChars="200"/>
        <w:rPr>
          <w:rFonts w:hint="eastAsia" w:ascii="宋体" w:hAnsi="宋体" w:cs="宋体"/>
          <w:sz w:val="24"/>
        </w:rPr>
      </w:pPr>
      <w:bookmarkStart w:id="136" w:name="_Toc532034651"/>
      <w:r>
        <w:rPr>
          <w:rFonts w:hint="eastAsia" w:ascii="宋体" w:hAnsi="宋体" w:cs="宋体"/>
          <w:sz w:val="24"/>
        </w:rPr>
        <w:t>1.10.1 供应商须知前附表规定召开投标预备会的，采购人按供应商须知前附表规定的时间和地点召开投标预备会，澄清供应商提出的问题。</w:t>
      </w:r>
    </w:p>
    <w:p w14:paraId="10827B48">
      <w:pPr>
        <w:spacing w:line="360" w:lineRule="auto"/>
        <w:ind w:firstLine="480" w:firstLineChars="200"/>
        <w:rPr>
          <w:rFonts w:hint="eastAsia" w:ascii="宋体" w:hAnsi="宋体" w:cs="宋体"/>
          <w:sz w:val="24"/>
        </w:rPr>
      </w:pPr>
      <w:r>
        <w:rPr>
          <w:rFonts w:hint="eastAsia" w:ascii="宋体" w:hAnsi="宋体" w:cs="宋体"/>
          <w:sz w:val="24"/>
        </w:rPr>
        <w:t>1.10.2 供应商应在供应商须知前附表规定的时间前，以书面形式将提出的问题送达采购人，以便采购人在会议期间澄清。</w:t>
      </w:r>
    </w:p>
    <w:p w14:paraId="78C02D01">
      <w:pPr>
        <w:spacing w:line="360" w:lineRule="auto"/>
        <w:ind w:firstLine="480" w:firstLineChars="200"/>
        <w:rPr>
          <w:rFonts w:hint="eastAsia" w:ascii="宋体" w:hAnsi="宋体" w:cs="宋体"/>
          <w:sz w:val="24"/>
        </w:rPr>
      </w:pPr>
      <w:r>
        <w:rPr>
          <w:rFonts w:hint="eastAsia" w:ascii="宋体" w:hAnsi="宋体" w:cs="宋体"/>
          <w:sz w:val="24"/>
        </w:rPr>
        <w:t>1.10.3 预备会后，采购人在供应商须知前附表规定的时间内，将对供应商所提问题的澄清，以书面方式通知所有购买采购文件的供应商。该澄清内容为采购文件的组成部分。</w:t>
      </w:r>
    </w:p>
    <w:p w14:paraId="7F8B73E0">
      <w:pPr>
        <w:pStyle w:val="58"/>
        <w:spacing w:line="360" w:lineRule="auto"/>
        <w:outlineLvl w:val="0"/>
        <w:rPr>
          <w:rFonts w:hint="eastAsia" w:ascii="宋体" w:hAnsi="宋体" w:eastAsia="宋体"/>
          <w:szCs w:val="24"/>
        </w:rPr>
      </w:pPr>
      <w:bookmarkStart w:id="137" w:name="_Toc25458"/>
      <w:bookmarkStart w:id="138" w:name="_Toc17800"/>
      <w:bookmarkStart w:id="139" w:name="_Toc14869"/>
      <w:bookmarkStart w:id="140" w:name="_Toc4325"/>
      <w:r>
        <w:rPr>
          <w:rFonts w:hint="eastAsia" w:ascii="宋体" w:hAnsi="宋体" w:eastAsia="宋体"/>
          <w:szCs w:val="24"/>
        </w:rPr>
        <w:t>1.11 分包</w:t>
      </w:r>
      <w:bookmarkEnd w:id="133"/>
      <w:bookmarkEnd w:id="134"/>
      <w:bookmarkEnd w:id="135"/>
      <w:bookmarkEnd w:id="136"/>
      <w:bookmarkEnd w:id="137"/>
      <w:bookmarkEnd w:id="138"/>
      <w:bookmarkEnd w:id="139"/>
      <w:bookmarkEnd w:id="140"/>
      <w:bookmarkStart w:id="141" w:name="_Toc532034652"/>
      <w:bookmarkStart w:id="142" w:name="_Toc21720"/>
    </w:p>
    <w:p w14:paraId="23E94399">
      <w:pPr>
        <w:spacing w:line="360" w:lineRule="auto"/>
        <w:ind w:firstLine="480" w:firstLineChars="200"/>
        <w:rPr>
          <w:rFonts w:hint="eastAsia" w:ascii="宋体" w:hAnsi="宋体" w:cs="宋体"/>
          <w:sz w:val="24"/>
        </w:rPr>
      </w:pPr>
      <w:r>
        <w:rPr>
          <w:rFonts w:hint="eastAsia" w:ascii="宋体" w:hAnsi="宋体" w:cs="宋体"/>
          <w:sz w:val="24"/>
        </w:rPr>
        <w:t>不允许</w:t>
      </w:r>
      <w:bookmarkEnd w:id="141"/>
      <w:bookmarkEnd w:id="142"/>
      <w:bookmarkStart w:id="143" w:name="_Toc532034653"/>
    </w:p>
    <w:bookmarkEnd w:id="143"/>
    <w:p w14:paraId="46D31BB9">
      <w:pPr>
        <w:pStyle w:val="56"/>
        <w:spacing w:before="0" w:line="360" w:lineRule="auto"/>
        <w:rPr>
          <w:rFonts w:hint="eastAsia" w:ascii="宋体" w:hAnsi="宋体"/>
          <w:b/>
          <w:sz w:val="24"/>
          <w:szCs w:val="24"/>
        </w:rPr>
      </w:pPr>
      <w:bookmarkStart w:id="144" w:name="_Toc144974510"/>
      <w:bookmarkStart w:id="145" w:name="_Toc152045542"/>
      <w:bookmarkStart w:id="146" w:name="_Toc152042318"/>
      <w:bookmarkStart w:id="147" w:name="_Toc15865"/>
      <w:bookmarkStart w:id="148" w:name="_Toc21912"/>
      <w:bookmarkStart w:id="149" w:name="_Toc4614"/>
      <w:bookmarkStart w:id="150" w:name="_Toc13698"/>
      <w:r>
        <w:rPr>
          <w:rFonts w:hint="eastAsia" w:ascii="宋体" w:hAnsi="宋体"/>
          <w:b/>
          <w:sz w:val="24"/>
          <w:szCs w:val="24"/>
        </w:rPr>
        <w:t xml:space="preserve">2. </w:t>
      </w:r>
      <w:bookmarkEnd w:id="144"/>
      <w:bookmarkEnd w:id="145"/>
      <w:bookmarkEnd w:id="146"/>
      <w:r>
        <w:rPr>
          <w:rFonts w:hint="eastAsia" w:ascii="宋体" w:hAnsi="宋体"/>
          <w:b/>
          <w:sz w:val="24"/>
          <w:szCs w:val="24"/>
        </w:rPr>
        <w:t>磋商文件</w:t>
      </w:r>
      <w:bookmarkEnd w:id="147"/>
      <w:bookmarkEnd w:id="148"/>
      <w:bookmarkEnd w:id="149"/>
      <w:bookmarkEnd w:id="150"/>
    </w:p>
    <w:p w14:paraId="2BDB6B90">
      <w:pPr>
        <w:pStyle w:val="58"/>
        <w:spacing w:line="360" w:lineRule="auto"/>
        <w:outlineLvl w:val="0"/>
        <w:rPr>
          <w:rFonts w:hint="eastAsia" w:ascii="宋体" w:hAnsi="宋体" w:eastAsia="宋体"/>
          <w:szCs w:val="24"/>
        </w:rPr>
      </w:pPr>
      <w:bookmarkStart w:id="151" w:name="_Toc24305"/>
      <w:bookmarkStart w:id="152" w:name="_Toc1427"/>
      <w:bookmarkStart w:id="153" w:name="_Toc9096"/>
      <w:bookmarkStart w:id="154" w:name="_Toc152045543"/>
      <w:bookmarkStart w:id="155" w:name="_Toc144974511"/>
      <w:bookmarkStart w:id="156" w:name="_Toc532034656"/>
      <w:bookmarkStart w:id="157" w:name="_Toc152042319"/>
      <w:bookmarkStart w:id="158" w:name="_Toc8110"/>
      <w:r>
        <w:rPr>
          <w:rFonts w:hint="eastAsia" w:ascii="宋体" w:hAnsi="宋体" w:eastAsia="宋体"/>
          <w:szCs w:val="24"/>
        </w:rPr>
        <w:t>2.1 磋商文件的组成</w:t>
      </w:r>
      <w:bookmarkEnd w:id="151"/>
      <w:bookmarkEnd w:id="152"/>
      <w:bookmarkEnd w:id="153"/>
      <w:bookmarkEnd w:id="154"/>
      <w:bookmarkEnd w:id="155"/>
      <w:bookmarkEnd w:id="156"/>
      <w:bookmarkEnd w:id="157"/>
      <w:bookmarkEnd w:id="158"/>
    </w:p>
    <w:p w14:paraId="1BBA479C">
      <w:pPr>
        <w:spacing w:line="360" w:lineRule="auto"/>
        <w:ind w:firstLine="600" w:firstLineChars="250"/>
        <w:rPr>
          <w:rFonts w:hint="eastAsia" w:ascii="宋体" w:hAnsi="宋体" w:cs="宋体"/>
          <w:sz w:val="24"/>
        </w:rPr>
      </w:pPr>
      <w:r>
        <w:rPr>
          <w:rFonts w:hint="eastAsia" w:ascii="宋体" w:hAnsi="宋体" w:cs="宋体"/>
          <w:sz w:val="24"/>
        </w:rPr>
        <w:t>本磋商文件包括：</w:t>
      </w:r>
    </w:p>
    <w:p w14:paraId="5459EC69">
      <w:pPr>
        <w:tabs>
          <w:tab w:val="left" w:pos="1260"/>
        </w:tabs>
        <w:autoSpaceDE w:val="0"/>
        <w:autoSpaceDN w:val="0"/>
        <w:adjustRightInd w:val="0"/>
        <w:spacing w:line="360" w:lineRule="auto"/>
        <w:ind w:firstLine="484" w:firstLineChars="202"/>
        <w:jc w:val="left"/>
        <w:rPr>
          <w:rFonts w:hint="eastAsia" w:ascii="宋体" w:hAnsi="宋体" w:cs="宋体"/>
          <w:sz w:val="24"/>
        </w:rPr>
      </w:pPr>
      <w:r>
        <w:rPr>
          <w:rFonts w:hint="eastAsia" w:ascii="宋体" w:hAnsi="宋体" w:cs="宋体"/>
          <w:sz w:val="24"/>
        </w:rPr>
        <w:t>（1）竞争性磋商公告</w:t>
      </w:r>
    </w:p>
    <w:p w14:paraId="18CF4F97">
      <w:pPr>
        <w:tabs>
          <w:tab w:val="left" w:pos="1260"/>
        </w:tabs>
        <w:autoSpaceDE w:val="0"/>
        <w:autoSpaceDN w:val="0"/>
        <w:adjustRightInd w:val="0"/>
        <w:spacing w:line="360" w:lineRule="auto"/>
        <w:ind w:firstLine="484" w:firstLineChars="202"/>
        <w:jc w:val="left"/>
        <w:rPr>
          <w:rFonts w:hint="eastAsia" w:ascii="宋体" w:hAnsi="宋体" w:cs="宋体"/>
          <w:sz w:val="24"/>
        </w:rPr>
      </w:pPr>
      <w:r>
        <w:rPr>
          <w:rFonts w:hint="eastAsia" w:ascii="宋体" w:hAnsi="宋体" w:cs="宋体"/>
          <w:sz w:val="24"/>
        </w:rPr>
        <w:t>（2）供应商须知；</w:t>
      </w:r>
    </w:p>
    <w:p w14:paraId="642D065B">
      <w:pPr>
        <w:tabs>
          <w:tab w:val="left" w:pos="1260"/>
        </w:tabs>
        <w:autoSpaceDE w:val="0"/>
        <w:autoSpaceDN w:val="0"/>
        <w:adjustRightInd w:val="0"/>
        <w:spacing w:line="360" w:lineRule="auto"/>
        <w:ind w:firstLine="484" w:firstLineChars="202"/>
        <w:jc w:val="left"/>
        <w:rPr>
          <w:rFonts w:hint="eastAsia" w:ascii="宋体" w:hAnsi="宋体" w:cs="宋体"/>
          <w:sz w:val="24"/>
        </w:rPr>
      </w:pPr>
      <w:r>
        <w:rPr>
          <w:rFonts w:hint="eastAsia" w:ascii="宋体" w:hAnsi="宋体" w:cs="宋体"/>
          <w:sz w:val="24"/>
        </w:rPr>
        <w:t>（3）评标办法；</w:t>
      </w:r>
    </w:p>
    <w:p w14:paraId="2E59BB3C">
      <w:pPr>
        <w:tabs>
          <w:tab w:val="left" w:pos="1260"/>
        </w:tabs>
        <w:autoSpaceDE w:val="0"/>
        <w:autoSpaceDN w:val="0"/>
        <w:adjustRightInd w:val="0"/>
        <w:spacing w:line="360" w:lineRule="auto"/>
        <w:ind w:firstLine="484" w:firstLineChars="202"/>
        <w:jc w:val="left"/>
        <w:rPr>
          <w:rFonts w:hint="eastAsia" w:ascii="宋体" w:hAnsi="宋体" w:cs="宋体"/>
          <w:sz w:val="24"/>
        </w:rPr>
      </w:pPr>
      <w:r>
        <w:rPr>
          <w:rFonts w:hint="eastAsia" w:ascii="宋体" w:hAnsi="宋体" w:cs="宋体"/>
          <w:sz w:val="24"/>
        </w:rPr>
        <w:t>（4）合同主要条款及格式；</w:t>
      </w:r>
    </w:p>
    <w:p w14:paraId="4370AF09">
      <w:pPr>
        <w:tabs>
          <w:tab w:val="left" w:pos="1260"/>
        </w:tabs>
        <w:autoSpaceDE w:val="0"/>
        <w:autoSpaceDN w:val="0"/>
        <w:adjustRightInd w:val="0"/>
        <w:spacing w:line="360" w:lineRule="auto"/>
        <w:ind w:firstLine="484" w:firstLineChars="202"/>
        <w:jc w:val="left"/>
        <w:rPr>
          <w:rFonts w:hint="eastAsia" w:ascii="宋体" w:hAnsi="宋体" w:cs="宋体"/>
          <w:sz w:val="24"/>
        </w:rPr>
      </w:pPr>
      <w:r>
        <w:rPr>
          <w:rFonts w:hint="eastAsia" w:ascii="宋体" w:hAnsi="宋体" w:cs="宋体"/>
          <w:sz w:val="24"/>
        </w:rPr>
        <w:t>（5）采购需求；</w:t>
      </w:r>
    </w:p>
    <w:p w14:paraId="54F7B5A0">
      <w:pPr>
        <w:tabs>
          <w:tab w:val="left" w:pos="1260"/>
        </w:tabs>
        <w:autoSpaceDE w:val="0"/>
        <w:autoSpaceDN w:val="0"/>
        <w:adjustRightInd w:val="0"/>
        <w:spacing w:line="360" w:lineRule="auto"/>
        <w:ind w:firstLine="484" w:firstLineChars="202"/>
        <w:jc w:val="left"/>
        <w:rPr>
          <w:rFonts w:hint="eastAsia" w:ascii="宋体" w:hAnsi="宋体" w:cs="宋体"/>
          <w:sz w:val="24"/>
        </w:rPr>
      </w:pPr>
      <w:r>
        <w:rPr>
          <w:rFonts w:hint="eastAsia" w:ascii="宋体" w:hAnsi="宋体" w:cs="宋体"/>
          <w:sz w:val="24"/>
        </w:rPr>
        <w:t>（6）响应文件格式；</w:t>
      </w:r>
    </w:p>
    <w:p w14:paraId="3DFF8E4C">
      <w:pPr>
        <w:spacing w:line="360" w:lineRule="auto"/>
        <w:ind w:firstLine="480" w:firstLineChars="200"/>
        <w:rPr>
          <w:rFonts w:hint="eastAsia" w:ascii="宋体" w:hAnsi="宋体" w:cs="宋体"/>
          <w:sz w:val="24"/>
        </w:rPr>
      </w:pPr>
      <w:r>
        <w:rPr>
          <w:rFonts w:hint="eastAsia" w:ascii="宋体" w:hAnsi="宋体" w:cs="宋体"/>
          <w:sz w:val="24"/>
        </w:rPr>
        <w:t>根据本章第1.10款、第2.2款和第2.3款对磋商文件所作的澄清、修改，构成磋商文件的组成部分。</w:t>
      </w:r>
    </w:p>
    <w:p w14:paraId="1002C4EA">
      <w:pPr>
        <w:pStyle w:val="58"/>
        <w:spacing w:line="360" w:lineRule="auto"/>
        <w:outlineLvl w:val="0"/>
        <w:rPr>
          <w:rFonts w:hint="eastAsia" w:ascii="宋体" w:hAnsi="宋体" w:eastAsia="宋体"/>
          <w:szCs w:val="24"/>
        </w:rPr>
      </w:pPr>
      <w:bookmarkStart w:id="159" w:name="_Toc7182"/>
      <w:bookmarkStart w:id="160" w:name="_Toc144974512"/>
      <w:bookmarkStart w:id="161" w:name="_Toc152045544"/>
      <w:bookmarkStart w:id="162" w:name="_Toc3375"/>
      <w:bookmarkStart w:id="163" w:name="_Toc9630"/>
      <w:bookmarkStart w:id="164" w:name="_Toc532034657"/>
      <w:bookmarkStart w:id="165" w:name="_Toc17993"/>
      <w:bookmarkStart w:id="166" w:name="_Toc152042320"/>
      <w:r>
        <w:rPr>
          <w:rFonts w:hint="eastAsia" w:ascii="宋体" w:hAnsi="宋体" w:eastAsia="宋体"/>
          <w:szCs w:val="24"/>
        </w:rPr>
        <w:t>2.2 磋商文件的澄清</w:t>
      </w:r>
      <w:bookmarkEnd w:id="159"/>
      <w:bookmarkEnd w:id="160"/>
      <w:bookmarkEnd w:id="161"/>
      <w:bookmarkEnd w:id="162"/>
      <w:bookmarkEnd w:id="163"/>
      <w:bookmarkEnd w:id="164"/>
      <w:bookmarkEnd w:id="165"/>
      <w:bookmarkEnd w:id="166"/>
    </w:p>
    <w:p w14:paraId="55490D8A">
      <w:pPr>
        <w:spacing w:line="360" w:lineRule="auto"/>
        <w:ind w:firstLine="480" w:firstLineChars="200"/>
        <w:jc w:val="left"/>
        <w:rPr>
          <w:rFonts w:hint="eastAsia" w:ascii="宋体" w:hAnsi="宋体" w:cs="宋体"/>
          <w:sz w:val="24"/>
        </w:rPr>
      </w:pPr>
      <w:bookmarkStart w:id="167" w:name="_Toc152042321"/>
      <w:bookmarkStart w:id="168" w:name="_Toc144974513"/>
      <w:bookmarkStart w:id="169" w:name="_Toc152045545"/>
      <w:bookmarkStart w:id="170" w:name="_Toc6732"/>
      <w:bookmarkStart w:id="171" w:name="_Toc152042322"/>
      <w:bookmarkStart w:id="172" w:name="_Toc152045546"/>
      <w:bookmarkStart w:id="173" w:name="_Toc144974514"/>
      <w:r>
        <w:rPr>
          <w:rFonts w:hint="eastAsia" w:ascii="宋体" w:hAnsi="宋体" w:cs="宋体"/>
          <w:sz w:val="24"/>
        </w:rPr>
        <w:t>2.2.1供应商应仔细阅读和检查磋商文件的全部内容。如有疑问，应在供应商须知前附表规定的时间前在交易平台上进行提问，要求采购人对磋商文件予以澄清。</w:t>
      </w:r>
    </w:p>
    <w:p w14:paraId="6E993A60">
      <w:pPr>
        <w:spacing w:line="360" w:lineRule="auto"/>
        <w:ind w:firstLine="480" w:firstLineChars="200"/>
        <w:jc w:val="left"/>
        <w:rPr>
          <w:rFonts w:hint="eastAsia" w:ascii="宋体" w:hAnsi="宋体" w:cs="宋体"/>
          <w:sz w:val="24"/>
        </w:rPr>
      </w:pPr>
      <w:r>
        <w:rPr>
          <w:rFonts w:hint="eastAsia" w:ascii="宋体" w:hAnsi="宋体" w:cs="宋体"/>
          <w:sz w:val="24"/>
        </w:rPr>
        <w:t xml:space="preserve">2.2.2磋商文件的澄清或答疑将在供应商须知前附表规定的时间前在交易平台上发给所有领取磋商文件的供应商，但不指明澄清或答疑问题的来源。如果澄清发出的时间距响应文件递交截止时间不足5日，相应延长响应文件递交截止时间。 </w:t>
      </w:r>
    </w:p>
    <w:p w14:paraId="07616D83">
      <w:pPr>
        <w:spacing w:line="360" w:lineRule="auto"/>
        <w:ind w:firstLine="480" w:firstLineChars="200"/>
        <w:jc w:val="left"/>
        <w:rPr>
          <w:rFonts w:hint="eastAsia" w:ascii="宋体" w:hAnsi="宋体" w:cs="宋体"/>
          <w:sz w:val="24"/>
        </w:rPr>
      </w:pPr>
      <w:r>
        <w:rPr>
          <w:rFonts w:hint="eastAsia" w:ascii="宋体" w:hAnsi="宋体" w:cs="宋体"/>
          <w:sz w:val="24"/>
        </w:rPr>
        <w:t>2.2.3供应商在收到澄清后，应在供应商须知前附表规定的时间内在交易平台上回复确认已收到该澄清。</w:t>
      </w:r>
    </w:p>
    <w:p w14:paraId="3FB2FF26">
      <w:pPr>
        <w:spacing w:line="360" w:lineRule="auto"/>
        <w:ind w:firstLine="480" w:firstLineChars="200"/>
        <w:jc w:val="left"/>
        <w:rPr>
          <w:rFonts w:hint="eastAsia" w:ascii="宋体" w:hAnsi="宋体" w:cs="宋体"/>
          <w:sz w:val="24"/>
        </w:rPr>
      </w:pPr>
      <w:r>
        <w:rPr>
          <w:rFonts w:hint="eastAsia" w:ascii="宋体" w:hAnsi="宋体" w:cs="宋体"/>
          <w:sz w:val="24"/>
        </w:rPr>
        <w:t>2.2.4因交易中心平台在开标前具有保密性，供应商在响应文件递交截止时间前须自行查看项目进展、通知及回复，因供应商未及时查看而造成的后果自负。</w:t>
      </w:r>
    </w:p>
    <w:p w14:paraId="50F3365C">
      <w:pPr>
        <w:pStyle w:val="58"/>
        <w:spacing w:line="360" w:lineRule="auto"/>
        <w:outlineLvl w:val="0"/>
        <w:rPr>
          <w:rFonts w:hint="eastAsia" w:ascii="宋体" w:hAnsi="宋体" w:eastAsia="宋体"/>
          <w:szCs w:val="24"/>
        </w:rPr>
      </w:pPr>
      <w:bookmarkStart w:id="174" w:name="_Toc8950"/>
      <w:bookmarkStart w:id="175" w:name="_Toc22646"/>
      <w:bookmarkStart w:id="176" w:name="_Toc25452"/>
      <w:bookmarkStart w:id="177" w:name="_Toc28594"/>
      <w:r>
        <w:rPr>
          <w:rFonts w:hint="eastAsia" w:ascii="宋体" w:hAnsi="宋体" w:eastAsia="宋体"/>
          <w:szCs w:val="24"/>
        </w:rPr>
        <w:t>2.3 磋商文件的修改</w:t>
      </w:r>
      <w:bookmarkEnd w:id="167"/>
      <w:bookmarkEnd w:id="168"/>
      <w:bookmarkEnd w:id="169"/>
      <w:bookmarkEnd w:id="170"/>
      <w:bookmarkEnd w:id="174"/>
      <w:bookmarkEnd w:id="175"/>
      <w:bookmarkEnd w:id="176"/>
      <w:bookmarkEnd w:id="177"/>
    </w:p>
    <w:p w14:paraId="1D79544C">
      <w:pPr>
        <w:spacing w:line="360" w:lineRule="auto"/>
        <w:ind w:firstLine="480" w:firstLineChars="200"/>
        <w:rPr>
          <w:rFonts w:hint="eastAsia" w:ascii="宋体" w:hAnsi="宋体" w:cs="宋体"/>
          <w:sz w:val="24"/>
        </w:rPr>
      </w:pPr>
      <w:r>
        <w:rPr>
          <w:rFonts w:hint="eastAsia" w:ascii="宋体" w:hAnsi="宋体" w:cs="宋体"/>
          <w:sz w:val="24"/>
        </w:rPr>
        <w:t>2.3.1在响应文件递交截止时间5日前，采购人可以修改磋商文件。如有修改，应在发布招标公告的媒介上变更公告栏发布，同时系统内部将以“答疑文件”告知供应商，对于各项目中已经成功下载磋商文件的供应商，系统以短信推送的形式群发消息通知。此短信仅系友情提示，并不具有任何约束性和必要性，采购代理机构不承担供应商未收到短信而引起的一切后果和法律责任。</w:t>
      </w:r>
    </w:p>
    <w:p w14:paraId="52A39829">
      <w:pPr>
        <w:spacing w:line="360" w:lineRule="auto"/>
        <w:ind w:left="100" w:firstLine="480"/>
        <w:jc w:val="left"/>
        <w:rPr>
          <w:rFonts w:hint="eastAsia" w:ascii="宋体" w:hAnsi="宋体" w:cs="宋体"/>
          <w:sz w:val="24"/>
        </w:rPr>
      </w:pPr>
      <w:r>
        <w:rPr>
          <w:rFonts w:hint="eastAsia" w:ascii="宋体" w:hAnsi="宋体" w:cs="宋体"/>
          <w:sz w:val="24"/>
        </w:rPr>
        <w:t>2.3.2请各供应商及时关注交易平台，因供应商未看到或其他原因造成的后果，由供应商自行承担。</w:t>
      </w:r>
    </w:p>
    <w:p w14:paraId="691151B5">
      <w:pPr>
        <w:pStyle w:val="56"/>
        <w:spacing w:before="0" w:line="360" w:lineRule="auto"/>
        <w:outlineLvl w:val="0"/>
        <w:rPr>
          <w:rFonts w:hint="eastAsia" w:ascii="宋体" w:hAnsi="宋体"/>
          <w:b/>
          <w:sz w:val="24"/>
          <w:szCs w:val="24"/>
        </w:rPr>
      </w:pPr>
      <w:bookmarkStart w:id="178" w:name="_Toc12977"/>
      <w:bookmarkStart w:id="179" w:name="_Toc14329"/>
      <w:bookmarkStart w:id="180" w:name="_Toc31734"/>
      <w:bookmarkStart w:id="181" w:name="_Toc17480"/>
      <w:r>
        <w:rPr>
          <w:rFonts w:hint="eastAsia" w:ascii="宋体" w:hAnsi="宋体"/>
          <w:b/>
          <w:sz w:val="24"/>
          <w:szCs w:val="24"/>
        </w:rPr>
        <w:t xml:space="preserve">3. </w:t>
      </w:r>
      <w:bookmarkEnd w:id="171"/>
      <w:bookmarkEnd w:id="172"/>
      <w:bookmarkEnd w:id="173"/>
      <w:r>
        <w:rPr>
          <w:rFonts w:hint="eastAsia" w:ascii="宋体" w:hAnsi="宋体"/>
          <w:b/>
          <w:sz w:val="24"/>
          <w:szCs w:val="24"/>
        </w:rPr>
        <w:t>响应文件</w:t>
      </w:r>
      <w:bookmarkEnd w:id="178"/>
      <w:bookmarkEnd w:id="179"/>
      <w:bookmarkEnd w:id="180"/>
      <w:bookmarkEnd w:id="181"/>
    </w:p>
    <w:p w14:paraId="58786D69">
      <w:pPr>
        <w:pStyle w:val="58"/>
        <w:spacing w:line="360" w:lineRule="auto"/>
        <w:outlineLvl w:val="0"/>
        <w:rPr>
          <w:rFonts w:hint="eastAsia" w:ascii="宋体" w:hAnsi="宋体" w:eastAsia="宋体"/>
          <w:szCs w:val="24"/>
        </w:rPr>
      </w:pPr>
      <w:bookmarkStart w:id="182" w:name="_Toc152042323"/>
      <w:bookmarkStart w:id="183" w:name="_Toc152045547"/>
      <w:bookmarkStart w:id="184" w:name="_Toc32008"/>
      <w:bookmarkStart w:id="185" w:name="_Toc27702"/>
      <w:bookmarkStart w:id="186" w:name="_Toc16017"/>
      <w:bookmarkStart w:id="187" w:name="_Toc532034660"/>
      <w:bookmarkStart w:id="188" w:name="_Toc11217"/>
      <w:bookmarkStart w:id="189" w:name="_Toc144974515"/>
      <w:r>
        <w:rPr>
          <w:rFonts w:hint="eastAsia" w:ascii="宋体" w:hAnsi="宋体" w:eastAsia="宋体"/>
          <w:szCs w:val="24"/>
        </w:rPr>
        <w:t>3.1 响应文件的组成</w:t>
      </w:r>
      <w:bookmarkEnd w:id="182"/>
      <w:bookmarkEnd w:id="183"/>
      <w:bookmarkEnd w:id="184"/>
      <w:bookmarkEnd w:id="185"/>
      <w:bookmarkEnd w:id="186"/>
      <w:bookmarkEnd w:id="187"/>
      <w:bookmarkEnd w:id="188"/>
      <w:bookmarkEnd w:id="189"/>
    </w:p>
    <w:p w14:paraId="1F0A3B20">
      <w:pPr>
        <w:pStyle w:val="27"/>
        <w:tabs>
          <w:tab w:val="left" w:pos="1260"/>
          <w:tab w:val="left" w:pos="1455"/>
        </w:tabs>
        <w:adjustRightInd/>
        <w:spacing w:before="0" w:after="0" w:line="360" w:lineRule="auto"/>
        <w:ind w:right="-63" w:rightChars="-30" w:firstLine="480" w:firstLineChars="200"/>
        <w:jc w:val="both"/>
        <w:textAlignment w:val="auto"/>
        <w:outlineLvl w:val="9"/>
        <w:rPr>
          <w:rFonts w:hint="eastAsia" w:ascii="宋体" w:hAnsi="宋体" w:cs="宋体"/>
          <w:sz w:val="24"/>
          <w:szCs w:val="24"/>
        </w:rPr>
      </w:pPr>
      <w:bookmarkStart w:id="190" w:name="_Toc12446"/>
      <w:bookmarkStart w:id="191" w:name="_Toc3035"/>
      <w:bookmarkStart w:id="192" w:name="_Toc20961"/>
      <w:bookmarkStart w:id="193" w:name="_Toc532034661"/>
      <w:bookmarkStart w:id="194" w:name="_Toc256519658"/>
      <w:bookmarkStart w:id="195" w:name="_Toc152045548"/>
      <w:bookmarkStart w:id="196" w:name="_Toc152042324"/>
      <w:bookmarkStart w:id="197" w:name="_Toc144974516"/>
      <w:r>
        <w:rPr>
          <w:rFonts w:hint="eastAsia" w:ascii="宋体" w:hAnsi="宋体" w:cs="宋体"/>
          <w:b w:val="0"/>
          <w:sz w:val="24"/>
          <w:szCs w:val="24"/>
        </w:rPr>
        <w:t>3.1.1响应文件应包括下列内容：</w:t>
      </w:r>
      <w:bookmarkEnd w:id="190"/>
      <w:bookmarkEnd w:id="191"/>
      <w:bookmarkEnd w:id="192"/>
      <w:bookmarkEnd w:id="193"/>
      <w:bookmarkEnd w:id="194"/>
    </w:p>
    <w:p w14:paraId="668AF644">
      <w:pPr>
        <w:spacing w:line="360" w:lineRule="auto"/>
        <w:ind w:firstLine="480" w:firstLineChars="200"/>
        <w:rPr>
          <w:rFonts w:hint="eastAsia" w:ascii="宋体" w:hAnsi="宋体" w:cs="宋体"/>
          <w:sz w:val="24"/>
        </w:rPr>
      </w:pPr>
      <w:bookmarkStart w:id="198" w:name="_Toc532034662"/>
      <w:bookmarkStart w:id="199" w:name="_Toc11833"/>
      <w:r>
        <w:rPr>
          <w:rFonts w:hint="eastAsia" w:ascii="宋体" w:hAnsi="宋体" w:cs="宋体"/>
          <w:sz w:val="24"/>
        </w:rPr>
        <w:t>一、磋商响应函及磋商响应一览表</w:t>
      </w:r>
    </w:p>
    <w:p w14:paraId="7C167F04">
      <w:pPr>
        <w:spacing w:line="360" w:lineRule="auto"/>
        <w:ind w:firstLine="480" w:firstLineChars="200"/>
        <w:rPr>
          <w:rFonts w:hint="eastAsia" w:ascii="宋体" w:hAnsi="宋体" w:cs="宋体"/>
          <w:sz w:val="24"/>
        </w:rPr>
      </w:pPr>
      <w:r>
        <w:rPr>
          <w:rFonts w:hint="eastAsia" w:ascii="宋体" w:hAnsi="宋体" w:cs="宋体"/>
          <w:sz w:val="24"/>
        </w:rPr>
        <w:t>二、分项报价表</w:t>
      </w:r>
    </w:p>
    <w:p w14:paraId="0613C760">
      <w:pPr>
        <w:spacing w:line="360" w:lineRule="auto"/>
        <w:ind w:firstLine="480" w:firstLineChars="200"/>
        <w:rPr>
          <w:rFonts w:hint="eastAsia" w:ascii="宋体" w:hAnsi="宋体" w:cs="宋体"/>
          <w:sz w:val="24"/>
        </w:rPr>
      </w:pPr>
      <w:r>
        <w:rPr>
          <w:rFonts w:hint="eastAsia" w:ascii="宋体" w:hAnsi="宋体" w:cs="宋体"/>
          <w:sz w:val="24"/>
        </w:rPr>
        <w:t>三、法定代表人身份证明及授权委托书</w:t>
      </w:r>
    </w:p>
    <w:p w14:paraId="3FD4585C">
      <w:pPr>
        <w:spacing w:line="360" w:lineRule="auto"/>
        <w:ind w:firstLine="480" w:firstLineChars="200"/>
        <w:rPr>
          <w:rFonts w:hint="eastAsia" w:ascii="宋体" w:hAnsi="宋体" w:cs="宋体"/>
          <w:sz w:val="24"/>
        </w:rPr>
      </w:pPr>
      <w:r>
        <w:rPr>
          <w:rFonts w:hint="eastAsia" w:ascii="宋体" w:hAnsi="宋体" w:cs="宋体"/>
          <w:sz w:val="24"/>
        </w:rPr>
        <w:t>四、磋商承诺函</w:t>
      </w:r>
    </w:p>
    <w:p w14:paraId="504E9AE3">
      <w:pPr>
        <w:spacing w:line="360" w:lineRule="auto"/>
        <w:ind w:firstLine="480" w:firstLineChars="200"/>
        <w:rPr>
          <w:rFonts w:hint="eastAsia" w:ascii="宋体" w:hAnsi="宋体" w:cs="宋体"/>
          <w:sz w:val="24"/>
        </w:rPr>
      </w:pPr>
      <w:r>
        <w:rPr>
          <w:rFonts w:hint="eastAsia" w:ascii="宋体" w:hAnsi="宋体" w:cs="宋体"/>
          <w:sz w:val="24"/>
        </w:rPr>
        <w:t>五、资格证明文件</w:t>
      </w:r>
    </w:p>
    <w:p w14:paraId="7298CBA8">
      <w:pPr>
        <w:spacing w:line="360" w:lineRule="auto"/>
        <w:ind w:firstLine="480" w:firstLineChars="200"/>
        <w:rPr>
          <w:rFonts w:hint="eastAsia" w:ascii="宋体" w:hAnsi="宋体" w:cs="宋体"/>
          <w:sz w:val="24"/>
        </w:rPr>
      </w:pPr>
      <w:r>
        <w:rPr>
          <w:rFonts w:hint="eastAsia" w:ascii="宋体" w:hAnsi="宋体" w:cs="宋体"/>
          <w:sz w:val="24"/>
        </w:rPr>
        <w:t>六、技术部分</w:t>
      </w:r>
    </w:p>
    <w:p w14:paraId="6AC9DA06">
      <w:pPr>
        <w:spacing w:line="360" w:lineRule="auto"/>
        <w:ind w:firstLine="480" w:firstLineChars="200"/>
        <w:rPr>
          <w:rFonts w:hint="eastAsia" w:ascii="宋体" w:hAnsi="宋体" w:cs="宋体"/>
          <w:sz w:val="24"/>
        </w:rPr>
      </w:pPr>
      <w:r>
        <w:rPr>
          <w:rFonts w:hint="eastAsia" w:ascii="宋体" w:hAnsi="宋体" w:cs="宋体"/>
          <w:sz w:val="24"/>
        </w:rPr>
        <w:t>七、商务部分</w:t>
      </w:r>
    </w:p>
    <w:p w14:paraId="5CBE0AE5">
      <w:pPr>
        <w:spacing w:line="360" w:lineRule="auto"/>
        <w:ind w:firstLine="480" w:firstLineChars="200"/>
        <w:rPr>
          <w:rFonts w:hint="eastAsia" w:ascii="宋体" w:hAnsi="宋体" w:cs="宋体"/>
          <w:sz w:val="24"/>
        </w:rPr>
      </w:pPr>
      <w:r>
        <w:rPr>
          <w:rFonts w:hint="eastAsia" w:ascii="宋体" w:hAnsi="宋体" w:cs="宋体"/>
          <w:sz w:val="24"/>
        </w:rPr>
        <w:t>八、反商业贿赂承诺书</w:t>
      </w:r>
    </w:p>
    <w:p w14:paraId="01B4D0A2">
      <w:pPr>
        <w:spacing w:line="360" w:lineRule="auto"/>
        <w:ind w:firstLine="480" w:firstLineChars="200"/>
        <w:rPr>
          <w:rFonts w:hint="eastAsia" w:ascii="宋体" w:hAnsi="宋体" w:cs="宋体"/>
          <w:sz w:val="24"/>
        </w:rPr>
      </w:pPr>
      <w:r>
        <w:rPr>
          <w:rFonts w:hint="eastAsia" w:ascii="宋体" w:hAnsi="宋体" w:cs="宋体"/>
          <w:sz w:val="24"/>
        </w:rPr>
        <w:t>九、为落实政府采购政策供应商须提供的证明材料</w:t>
      </w:r>
    </w:p>
    <w:p w14:paraId="10B47760">
      <w:pPr>
        <w:spacing w:line="360" w:lineRule="auto"/>
        <w:ind w:firstLine="480" w:firstLineChars="200"/>
        <w:rPr>
          <w:rFonts w:hint="eastAsia" w:ascii="宋体" w:hAnsi="宋体" w:cs="宋体"/>
          <w:sz w:val="24"/>
        </w:rPr>
      </w:pPr>
      <w:r>
        <w:rPr>
          <w:rFonts w:hint="eastAsia" w:ascii="宋体" w:hAnsi="宋体" w:cs="宋体"/>
          <w:sz w:val="24"/>
        </w:rPr>
        <w:t>十、其他资料</w:t>
      </w:r>
    </w:p>
    <w:p w14:paraId="76544AE8">
      <w:pPr>
        <w:pStyle w:val="58"/>
        <w:spacing w:line="360" w:lineRule="auto"/>
        <w:outlineLvl w:val="0"/>
        <w:rPr>
          <w:rFonts w:hint="eastAsia" w:ascii="宋体" w:hAnsi="宋体" w:eastAsia="宋体"/>
          <w:szCs w:val="24"/>
        </w:rPr>
      </w:pPr>
      <w:bookmarkStart w:id="200" w:name="_Toc17246"/>
      <w:bookmarkStart w:id="201" w:name="_Toc30829"/>
      <w:bookmarkStart w:id="202" w:name="_Toc20315"/>
      <w:r>
        <w:rPr>
          <w:rFonts w:hint="eastAsia" w:ascii="宋体" w:hAnsi="宋体" w:eastAsia="宋体"/>
          <w:szCs w:val="24"/>
        </w:rPr>
        <w:t xml:space="preserve">3.2 </w:t>
      </w:r>
      <w:bookmarkEnd w:id="195"/>
      <w:bookmarkEnd w:id="196"/>
      <w:bookmarkEnd w:id="197"/>
      <w:bookmarkEnd w:id="198"/>
      <w:bookmarkEnd w:id="199"/>
      <w:bookmarkEnd w:id="200"/>
      <w:bookmarkEnd w:id="201"/>
      <w:bookmarkEnd w:id="202"/>
      <w:r>
        <w:rPr>
          <w:rFonts w:hint="eastAsia" w:ascii="宋体" w:hAnsi="宋体" w:eastAsia="宋体"/>
          <w:szCs w:val="24"/>
        </w:rPr>
        <w:t>磋商报价</w:t>
      </w:r>
    </w:p>
    <w:p w14:paraId="1ACA9D7F">
      <w:pPr>
        <w:spacing w:line="360" w:lineRule="auto"/>
        <w:ind w:firstLine="480" w:firstLineChars="200"/>
        <w:rPr>
          <w:rFonts w:hint="eastAsia" w:ascii="宋体" w:hAnsi="宋体" w:cs="宋体"/>
          <w:sz w:val="24"/>
        </w:rPr>
      </w:pPr>
      <w:r>
        <w:rPr>
          <w:rFonts w:hint="eastAsia" w:ascii="宋体" w:hAnsi="宋体" w:cs="宋体"/>
          <w:sz w:val="24"/>
        </w:rPr>
        <w:t>3.2.1供应商的磋商报价应是采购人指定地点交货的包括交货前发生的各种税费、运费及保险费、运杂费、以及伴随的其它服务费总报价。</w:t>
      </w:r>
    </w:p>
    <w:p w14:paraId="6A08C44F">
      <w:pPr>
        <w:spacing w:line="360" w:lineRule="auto"/>
        <w:ind w:firstLine="480" w:firstLineChars="200"/>
        <w:rPr>
          <w:rFonts w:hint="eastAsia" w:ascii="宋体" w:hAnsi="宋体" w:cs="宋体"/>
          <w:sz w:val="24"/>
        </w:rPr>
      </w:pPr>
      <w:r>
        <w:rPr>
          <w:rFonts w:hint="eastAsia" w:ascii="宋体" w:hAnsi="宋体" w:cs="宋体"/>
          <w:sz w:val="24"/>
        </w:rPr>
        <w:t>3.2.2供应商的报价应根据招标要求由供应商参照相关收费管理规定,并结合市场行情、本项目实际情况和自身实力，自主合理报价。</w:t>
      </w:r>
    </w:p>
    <w:p w14:paraId="6D600D39">
      <w:pPr>
        <w:spacing w:line="360" w:lineRule="auto"/>
        <w:ind w:firstLine="480" w:firstLineChars="200"/>
        <w:rPr>
          <w:rFonts w:hint="eastAsia" w:ascii="宋体" w:hAnsi="宋体" w:cs="宋体"/>
          <w:sz w:val="24"/>
        </w:rPr>
      </w:pPr>
      <w:r>
        <w:rPr>
          <w:rFonts w:hint="eastAsia" w:ascii="宋体" w:hAnsi="宋体" w:cs="宋体"/>
          <w:sz w:val="24"/>
        </w:rPr>
        <w:t>3.2.3供应商在报价时应考虑服务期间的物价上涨、政策性调整等诸多因素以及由此引起的费用变动并计入报价。</w:t>
      </w:r>
    </w:p>
    <w:p w14:paraId="18E82D95">
      <w:pPr>
        <w:spacing w:line="360" w:lineRule="auto"/>
        <w:outlineLvl w:val="0"/>
        <w:rPr>
          <w:rFonts w:hint="eastAsia" w:ascii="宋体" w:hAnsi="宋体" w:cs="宋体"/>
          <w:sz w:val="24"/>
        </w:rPr>
      </w:pPr>
      <w:bookmarkStart w:id="203" w:name="_Toc152045549"/>
      <w:bookmarkStart w:id="204" w:name="_Toc1453"/>
      <w:bookmarkStart w:id="205" w:name="_Toc686"/>
      <w:bookmarkStart w:id="206" w:name="_Toc152042325"/>
      <w:bookmarkStart w:id="207" w:name="_Toc532034663"/>
      <w:bookmarkStart w:id="208" w:name="_Toc6116"/>
      <w:bookmarkStart w:id="209" w:name="_Toc13404"/>
      <w:bookmarkStart w:id="210" w:name="_Toc144974517"/>
      <w:bookmarkStart w:id="211" w:name="_Toc29629"/>
      <w:r>
        <w:rPr>
          <w:rFonts w:hint="eastAsia" w:ascii="宋体" w:hAnsi="宋体" w:cs="宋体"/>
          <w:sz w:val="24"/>
        </w:rPr>
        <w:t xml:space="preserve">3.3 </w:t>
      </w:r>
      <w:bookmarkEnd w:id="203"/>
      <w:bookmarkEnd w:id="204"/>
      <w:bookmarkEnd w:id="205"/>
      <w:bookmarkEnd w:id="206"/>
      <w:bookmarkEnd w:id="207"/>
      <w:bookmarkEnd w:id="208"/>
      <w:bookmarkEnd w:id="209"/>
      <w:bookmarkEnd w:id="210"/>
      <w:bookmarkEnd w:id="211"/>
      <w:r>
        <w:rPr>
          <w:rFonts w:hint="eastAsia" w:ascii="宋体" w:hAnsi="宋体" w:cs="宋体"/>
          <w:sz w:val="24"/>
        </w:rPr>
        <w:t>磋商有效期</w:t>
      </w:r>
    </w:p>
    <w:p w14:paraId="1E2979EF">
      <w:pPr>
        <w:spacing w:line="360" w:lineRule="auto"/>
        <w:ind w:firstLine="480" w:firstLineChars="200"/>
        <w:rPr>
          <w:rFonts w:hint="eastAsia" w:ascii="宋体" w:hAnsi="宋体" w:cs="宋体"/>
          <w:sz w:val="24"/>
        </w:rPr>
      </w:pPr>
      <w:r>
        <w:rPr>
          <w:rFonts w:hint="eastAsia" w:ascii="宋体" w:hAnsi="宋体" w:cs="宋体"/>
          <w:sz w:val="24"/>
        </w:rPr>
        <w:t>3.3.1在供应商须知前附表规定的磋商有效期内，供应商不得要求撤销或修改其响应文件。</w:t>
      </w:r>
    </w:p>
    <w:p w14:paraId="38378045">
      <w:pPr>
        <w:spacing w:line="360" w:lineRule="auto"/>
        <w:ind w:firstLine="480" w:firstLineChars="200"/>
        <w:rPr>
          <w:rFonts w:hint="eastAsia" w:ascii="宋体" w:hAnsi="宋体" w:cs="宋体"/>
          <w:sz w:val="24"/>
        </w:rPr>
      </w:pPr>
      <w:r>
        <w:rPr>
          <w:rFonts w:hint="eastAsia" w:ascii="宋体" w:hAnsi="宋体" w:cs="宋体"/>
          <w:sz w:val="24"/>
        </w:rPr>
        <w:t>3.3.2出现特殊情况需要延长磋商有效期的，采购人以书面形式通知所有供应商延长磋商有效期。供应商同意延长的，应相应延长其投标承诺函的有效期，但不得要求或被允许修改或撤销其响应文件；供应商拒绝延长的，其投标失效。</w:t>
      </w:r>
    </w:p>
    <w:p w14:paraId="4440A49E">
      <w:pPr>
        <w:pStyle w:val="58"/>
        <w:spacing w:line="360" w:lineRule="auto"/>
        <w:outlineLvl w:val="0"/>
        <w:rPr>
          <w:rFonts w:hint="eastAsia" w:ascii="宋体" w:hAnsi="宋体" w:eastAsia="宋体"/>
          <w:szCs w:val="24"/>
        </w:rPr>
      </w:pPr>
      <w:bookmarkStart w:id="212" w:name="_Toc144974518"/>
      <w:bookmarkStart w:id="213" w:name="_Toc532034664"/>
      <w:bookmarkStart w:id="214" w:name="_Toc152042326"/>
      <w:bookmarkStart w:id="215" w:name="_Toc4601"/>
      <w:bookmarkStart w:id="216" w:name="_Toc152045550"/>
      <w:bookmarkStart w:id="217" w:name="_Toc11928"/>
      <w:bookmarkStart w:id="218" w:name="_Toc15565"/>
      <w:bookmarkStart w:id="219" w:name="_Toc12143"/>
      <w:bookmarkStart w:id="220" w:name="_Toc144974520"/>
      <w:bookmarkStart w:id="221" w:name="_Toc152045552"/>
      <w:bookmarkStart w:id="222" w:name="_Toc152042328"/>
      <w:r>
        <w:rPr>
          <w:rFonts w:hint="eastAsia" w:ascii="宋体" w:hAnsi="宋体" w:eastAsia="宋体"/>
          <w:szCs w:val="24"/>
        </w:rPr>
        <w:t>3.4 磋商保证金</w:t>
      </w:r>
      <w:bookmarkEnd w:id="212"/>
      <w:bookmarkEnd w:id="213"/>
      <w:bookmarkEnd w:id="214"/>
      <w:bookmarkEnd w:id="215"/>
      <w:bookmarkEnd w:id="216"/>
      <w:bookmarkEnd w:id="217"/>
      <w:bookmarkEnd w:id="218"/>
      <w:bookmarkEnd w:id="219"/>
    </w:p>
    <w:bookmarkEnd w:id="220"/>
    <w:bookmarkEnd w:id="221"/>
    <w:bookmarkEnd w:id="222"/>
    <w:p w14:paraId="7EF81B29">
      <w:pPr>
        <w:spacing w:line="360" w:lineRule="auto"/>
        <w:ind w:firstLine="480" w:firstLineChars="200"/>
        <w:rPr>
          <w:rFonts w:hint="eastAsia" w:ascii="宋体" w:hAnsi="宋体" w:cs="宋体"/>
          <w:sz w:val="24"/>
        </w:rPr>
      </w:pPr>
      <w:bookmarkStart w:id="223" w:name="_Toc144974521"/>
      <w:bookmarkStart w:id="224" w:name="_Toc152042329"/>
      <w:bookmarkStart w:id="225" w:name="_Toc152045553"/>
      <w:bookmarkStart w:id="226" w:name="_Toc532034665"/>
      <w:r>
        <w:rPr>
          <w:rFonts w:hint="eastAsia" w:ascii="宋体" w:hAnsi="宋体" w:cs="宋体"/>
          <w:sz w:val="24"/>
        </w:rPr>
        <w:t>按照河南省财政厅发布《关于优化政府采购营商环境有关问题的通知》，本采购项目不再收取磋商保证金。</w:t>
      </w:r>
    </w:p>
    <w:bookmarkEnd w:id="223"/>
    <w:bookmarkEnd w:id="224"/>
    <w:bookmarkEnd w:id="225"/>
    <w:bookmarkEnd w:id="226"/>
    <w:p w14:paraId="0F36E4F7">
      <w:pPr>
        <w:spacing w:line="360" w:lineRule="auto"/>
        <w:rPr>
          <w:rFonts w:hint="eastAsia" w:ascii="宋体" w:hAnsi="宋体" w:cs="宋体"/>
          <w:sz w:val="24"/>
        </w:rPr>
      </w:pPr>
      <w:bookmarkStart w:id="227" w:name="_Toc152045555"/>
      <w:bookmarkStart w:id="228" w:name="_Toc152042331"/>
      <w:bookmarkStart w:id="229" w:name="_Toc144974523"/>
      <w:r>
        <w:rPr>
          <w:rFonts w:hint="eastAsia" w:ascii="宋体" w:hAnsi="宋体" w:cs="宋体"/>
          <w:sz w:val="24"/>
        </w:rPr>
        <w:t>3.5 资格审查资料</w:t>
      </w:r>
    </w:p>
    <w:p w14:paraId="47FA8EF4">
      <w:pPr>
        <w:spacing w:line="360" w:lineRule="auto"/>
        <w:ind w:firstLine="480" w:firstLineChars="200"/>
        <w:rPr>
          <w:rFonts w:hint="eastAsia" w:ascii="宋体" w:hAnsi="宋体" w:cs="宋体"/>
          <w:sz w:val="24"/>
        </w:rPr>
      </w:pPr>
      <w:r>
        <w:rPr>
          <w:rFonts w:hint="eastAsia" w:ascii="宋体" w:hAnsi="宋体" w:cs="宋体"/>
          <w:sz w:val="24"/>
        </w:rPr>
        <w:t>除供应商须知前附表另有规定外，供应商应按规定提供资格审查资料，以证明其满足本章第 1.4.1 款规定的资格条件和要求。</w:t>
      </w:r>
    </w:p>
    <w:p w14:paraId="724AFB75">
      <w:pPr>
        <w:pStyle w:val="58"/>
        <w:spacing w:line="360" w:lineRule="auto"/>
        <w:outlineLvl w:val="0"/>
        <w:rPr>
          <w:rFonts w:hint="eastAsia" w:ascii="宋体" w:hAnsi="宋体" w:eastAsia="宋体"/>
          <w:szCs w:val="24"/>
        </w:rPr>
      </w:pPr>
      <w:bookmarkStart w:id="230" w:name="_Toc21617"/>
      <w:bookmarkStart w:id="231" w:name="_Toc19094"/>
      <w:bookmarkStart w:id="232" w:name="_Toc20160"/>
      <w:bookmarkStart w:id="233" w:name="_Toc27001"/>
      <w:bookmarkStart w:id="234" w:name="_Toc12185"/>
      <w:r>
        <w:rPr>
          <w:rFonts w:hint="eastAsia" w:ascii="宋体" w:hAnsi="宋体" w:eastAsia="宋体"/>
          <w:szCs w:val="24"/>
        </w:rPr>
        <w:t>3.6 备选</w:t>
      </w:r>
      <w:bookmarkEnd w:id="230"/>
      <w:bookmarkEnd w:id="231"/>
      <w:bookmarkEnd w:id="232"/>
      <w:bookmarkEnd w:id="233"/>
      <w:bookmarkEnd w:id="234"/>
      <w:r>
        <w:rPr>
          <w:rFonts w:hint="eastAsia" w:ascii="宋体" w:hAnsi="宋体" w:eastAsia="宋体"/>
          <w:szCs w:val="24"/>
        </w:rPr>
        <w:t>响应方案</w:t>
      </w:r>
    </w:p>
    <w:p w14:paraId="419DA905">
      <w:pPr>
        <w:spacing w:line="360" w:lineRule="auto"/>
        <w:ind w:firstLine="480" w:firstLineChars="200"/>
        <w:rPr>
          <w:rFonts w:hint="eastAsia" w:ascii="宋体" w:hAnsi="宋体" w:cs="宋体"/>
          <w:sz w:val="24"/>
        </w:rPr>
      </w:pPr>
      <w:r>
        <w:rPr>
          <w:rFonts w:hint="eastAsia" w:ascii="宋体" w:hAnsi="宋体" w:cs="宋体"/>
          <w:sz w:val="24"/>
        </w:rPr>
        <w:t>除供应商须知前附表另有规定外，供应商不得递交备选响应方案。允许供应商递交备选响应方案的，只有成交人所递交的备选响应方案方可予以考虑。磋商小组认为成交人的备选响应方案优于其按照磋商文件要求编制的响应方案的，采购人可以接受该备选响应方案。</w:t>
      </w:r>
    </w:p>
    <w:p w14:paraId="586A05D9">
      <w:pPr>
        <w:pStyle w:val="58"/>
        <w:spacing w:line="360" w:lineRule="auto"/>
        <w:outlineLvl w:val="0"/>
        <w:rPr>
          <w:rFonts w:hint="eastAsia" w:ascii="宋体" w:hAnsi="宋体" w:eastAsia="宋体"/>
          <w:szCs w:val="24"/>
        </w:rPr>
      </w:pPr>
      <w:bookmarkStart w:id="235" w:name="_Toc22623"/>
      <w:bookmarkStart w:id="236" w:name="_Toc24496"/>
      <w:bookmarkStart w:id="237" w:name="_Toc2797"/>
      <w:bookmarkStart w:id="238" w:name="_Toc144974522"/>
      <w:bookmarkStart w:id="239" w:name="_Toc152045554"/>
      <w:bookmarkStart w:id="240" w:name="_Toc9548"/>
      <w:bookmarkStart w:id="241" w:name="_Toc7743"/>
      <w:bookmarkStart w:id="242" w:name="_Toc152042330"/>
      <w:r>
        <w:rPr>
          <w:rFonts w:hint="eastAsia" w:ascii="宋体" w:hAnsi="宋体" w:eastAsia="宋体"/>
          <w:szCs w:val="24"/>
        </w:rPr>
        <w:t>3.7 响应文件的编制</w:t>
      </w:r>
      <w:bookmarkEnd w:id="235"/>
      <w:bookmarkEnd w:id="236"/>
      <w:bookmarkEnd w:id="237"/>
      <w:bookmarkEnd w:id="238"/>
      <w:bookmarkEnd w:id="239"/>
      <w:bookmarkEnd w:id="240"/>
      <w:bookmarkEnd w:id="241"/>
      <w:bookmarkEnd w:id="242"/>
    </w:p>
    <w:p w14:paraId="766F3849">
      <w:pPr>
        <w:spacing w:line="360" w:lineRule="auto"/>
        <w:ind w:firstLine="480" w:firstLineChars="200"/>
        <w:rPr>
          <w:rFonts w:hint="eastAsia" w:ascii="宋体" w:hAnsi="宋体" w:cs="宋体"/>
          <w:sz w:val="24"/>
        </w:rPr>
      </w:pPr>
      <w:r>
        <w:rPr>
          <w:rFonts w:hint="eastAsia" w:ascii="宋体" w:hAnsi="宋体" w:cs="宋体"/>
          <w:sz w:val="24"/>
        </w:rPr>
        <w:t>3.7.1响应文件应按“响应文件格式”进行编写，如有必要，可以增加附页，作为响应文件的组成部分。其中，磋商响应一览表在满足磋商文件实质性要求的基础上，可以提出比磋商文件要求更有利于采购人的承诺。</w:t>
      </w:r>
    </w:p>
    <w:p w14:paraId="23CF3C49">
      <w:pPr>
        <w:spacing w:line="360" w:lineRule="auto"/>
        <w:ind w:firstLine="480" w:firstLineChars="200"/>
        <w:rPr>
          <w:rFonts w:hint="eastAsia" w:ascii="宋体" w:hAnsi="宋体" w:cs="宋体"/>
          <w:sz w:val="24"/>
        </w:rPr>
      </w:pPr>
      <w:r>
        <w:rPr>
          <w:rFonts w:hint="eastAsia" w:ascii="宋体" w:hAnsi="宋体" w:cs="宋体"/>
          <w:sz w:val="24"/>
        </w:rPr>
        <w:t>3.7.2响应文件应当对磋商文件有关采购内容、磋商有效期、交货期、质量等实质性内容作出响应。</w:t>
      </w:r>
    </w:p>
    <w:p w14:paraId="6048886C">
      <w:pPr>
        <w:spacing w:line="360" w:lineRule="auto"/>
        <w:ind w:firstLine="480" w:firstLineChars="200"/>
        <w:rPr>
          <w:rFonts w:hint="eastAsia" w:ascii="宋体" w:hAnsi="宋体" w:cs="宋体"/>
          <w:sz w:val="24"/>
        </w:rPr>
      </w:pPr>
      <w:r>
        <w:rPr>
          <w:rFonts w:hint="eastAsia" w:ascii="宋体" w:hAnsi="宋体" w:cs="宋体"/>
          <w:sz w:val="24"/>
        </w:rPr>
        <w:t>3.7.3供应商在制作电子投标（响应）文件时，应按照河南省公共资源交易中心提供的“投标文件制作工具”制作电子投标文件。具体查询河南省公共资源交易中心网站主页→办事指南及下载专区。</w:t>
      </w:r>
    </w:p>
    <w:p w14:paraId="59A67126">
      <w:pPr>
        <w:spacing w:line="360" w:lineRule="auto"/>
        <w:ind w:firstLine="480" w:firstLineChars="200"/>
        <w:rPr>
          <w:rFonts w:hint="eastAsia" w:ascii="宋体" w:hAnsi="宋体" w:cs="宋体"/>
          <w:sz w:val="24"/>
        </w:rPr>
      </w:pPr>
      <w:r>
        <w:rPr>
          <w:rFonts w:hint="eastAsia" w:ascii="宋体" w:hAnsi="宋体" w:cs="宋体"/>
          <w:sz w:val="24"/>
        </w:rPr>
        <w:t>3.7.4供应商在编辑电子投标（响应）文件时，根据采购文件要求用法定代表人CA密钥和企业CA密钥进行签章制作；最后一步生成电子投标文件时，用本单位的企业CA密钥。供应商须在投标截止时间前，制作、加密并上传投标（响应）文件。加密的电子投标（响应）文件,应在投标截止时间前通过“河南省公共资源交易中心（hnsggzyjy.henan.gov.cn）”电子交易平台内上传并确保上传成功。</w:t>
      </w:r>
    </w:p>
    <w:p w14:paraId="614F9771">
      <w:pPr>
        <w:spacing w:line="360" w:lineRule="auto"/>
        <w:ind w:firstLine="480" w:firstLineChars="200"/>
        <w:rPr>
          <w:rFonts w:hint="eastAsia" w:ascii="宋体" w:hAnsi="宋体" w:cs="宋体"/>
          <w:sz w:val="24"/>
        </w:rPr>
      </w:pPr>
      <w:r>
        <w:rPr>
          <w:rFonts w:hint="eastAsia" w:ascii="宋体" w:hAnsi="宋体" w:cs="宋体"/>
          <w:sz w:val="24"/>
        </w:rPr>
        <w:t>3.7.5响应文件全部采用电子文档，除供应商须知前附表另有规定外，响应文件所附证书证件均为原件扫描件或复印件，并采用单位和个人数字证书，按磋商文件要求在相应位置加盖电子印章。由供应商的法定代表人（单位负责人）签字或加盖电子印章的，应附法定代表人（单位负责人）身份证明，由代理人签字或加盖电子印章的，应附由法定代表人（单位负责人）签署的授权委托书。签字或盖章的具体要求见供应商须知前附表。</w:t>
      </w:r>
    </w:p>
    <w:p w14:paraId="4571C5AF">
      <w:pPr>
        <w:spacing w:line="360" w:lineRule="auto"/>
        <w:ind w:firstLine="480" w:firstLineChars="200"/>
        <w:rPr>
          <w:rFonts w:hint="eastAsia" w:ascii="宋体" w:hAnsi="宋体" w:cs="宋体"/>
          <w:sz w:val="24"/>
        </w:rPr>
      </w:pPr>
      <w:r>
        <w:rPr>
          <w:rFonts w:hint="eastAsia" w:ascii="宋体" w:hAnsi="宋体" w:cs="宋体"/>
          <w:sz w:val="24"/>
        </w:rPr>
        <w:t>3.7.6采购人不接收以电报、电话、传真、邮件形式的磋商。</w:t>
      </w:r>
    </w:p>
    <w:p w14:paraId="38B9992D">
      <w:pPr>
        <w:spacing w:line="360" w:lineRule="auto"/>
        <w:ind w:firstLine="480" w:firstLineChars="200"/>
        <w:rPr>
          <w:rFonts w:hint="eastAsia" w:ascii="宋体" w:hAnsi="宋体" w:cs="宋体"/>
          <w:sz w:val="24"/>
        </w:rPr>
      </w:pPr>
      <w:r>
        <w:rPr>
          <w:rFonts w:hint="eastAsia" w:ascii="宋体" w:hAnsi="宋体" w:cs="宋体"/>
          <w:sz w:val="24"/>
        </w:rPr>
        <w:t>3.7.7供应商必须对响应文件所提供的全部资料的真实性承担法律责任，并无条件接受招标单位及招标监督管理部门等对其中任何资料进行核实的要求。</w:t>
      </w:r>
    </w:p>
    <w:p w14:paraId="43361B94">
      <w:pPr>
        <w:pStyle w:val="56"/>
        <w:spacing w:before="0" w:line="360" w:lineRule="auto"/>
        <w:outlineLvl w:val="0"/>
        <w:rPr>
          <w:rFonts w:hint="eastAsia" w:ascii="宋体" w:hAnsi="宋体"/>
          <w:b/>
          <w:sz w:val="24"/>
          <w:szCs w:val="24"/>
        </w:rPr>
      </w:pPr>
      <w:bookmarkStart w:id="243" w:name="_Toc17284"/>
      <w:bookmarkStart w:id="244" w:name="_Toc12590"/>
      <w:bookmarkStart w:id="245" w:name="_Toc24012"/>
      <w:r>
        <w:rPr>
          <w:rFonts w:hint="eastAsia" w:ascii="宋体" w:hAnsi="宋体"/>
          <w:b/>
          <w:sz w:val="24"/>
          <w:szCs w:val="24"/>
        </w:rPr>
        <w:t>4. 投标</w:t>
      </w:r>
      <w:bookmarkEnd w:id="227"/>
      <w:bookmarkEnd w:id="228"/>
      <w:bookmarkEnd w:id="229"/>
      <w:bookmarkEnd w:id="243"/>
      <w:bookmarkEnd w:id="244"/>
      <w:bookmarkEnd w:id="245"/>
    </w:p>
    <w:p w14:paraId="0DCCDA81">
      <w:pPr>
        <w:pStyle w:val="58"/>
        <w:spacing w:line="360" w:lineRule="auto"/>
        <w:outlineLvl w:val="0"/>
        <w:rPr>
          <w:rFonts w:hint="eastAsia" w:ascii="宋体" w:hAnsi="宋体" w:eastAsia="宋体"/>
          <w:szCs w:val="24"/>
        </w:rPr>
      </w:pPr>
      <w:bookmarkStart w:id="246" w:name="_Toc6962"/>
      <w:bookmarkStart w:id="247" w:name="_Toc2329"/>
      <w:bookmarkStart w:id="248" w:name="_Toc29519"/>
      <w:bookmarkStart w:id="249" w:name="_Toc22217"/>
      <w:bookmarkStart w:id="250" w:name="_Toc20899"/>
      <w:bookmarkStart w:id="251" w:name="_Toc10945"/>
      <w:bookmarkStart w:id="252" w:name="_Toc25132"/>
      <w:bookmarkStart w:id="253" w:name="_Toc25782"/>
      <w:bookmarkStart w:id="254" w:name="_Toc152042335"/>
      <w:bookmarkStart w:id="255" w:name="_Toc152045559"/>
      <w:bookmarkStart w:id="256" w:name="_Toc144974527"/>
      <w:r>
        <w:rPr>
          <w:rFonts w:hint="eastAsia" w:ascii="宋体" w:hAnsi="宋体" w:eastAsia="宋体"/>
          <w:b/>
          <w:bCs/>
          <w:szCs w:val="24"/>
        </w:rPr>
        <w:t>4.1响应文件的密封和标记</w:t>
      </w:r>
      <w:bookmarkEnd w:id="246"/>
      <w:bookmarkEnd w:id="247"/>
      <w:bookmarkEnd w:id="248"/>
      <w:bookmarkEnd w:id="249"/>
      <w:bookmarkEnd w:id="250"/>
      <w:bookmarkEnd w:id="251"/>
      <w:bookmarkEnd w:id="252"/>
      <w:bookmarkEnd w:id="253"/>
    </w:p>
    <w:p w14:paraId="06E74342">
      <w:pPr>
        <w:spacing w:line="360" w:lineRule="auto"/>
        <w:ind w:firstLine="480" w:firstLineChars="200"/>
        <w:rPr>
          <w:rFonts w:hint="eastAsia" w:ascii="宋体" w:hAnsi="宋体" w:cs="宋体"/>
          <w:sz w:val="24"/>
        </w:rPr>
      </w:pPr>
      <w:r>
        <w:rPr>
          <w:rFonts w:hint="eastAsia" w:ascii="宋体" w:hAnsi="宋体" w:cs="宋体"/>
          <w:sz w:val="24"/>
        </w:rPr>
        <w:t>交易中心系统上传的电子响应文件应使用数字证书认证并加密。</w:t>
      </w:r>
    </w:p>
    <w:p w14:paraId="710BFDE3">
      <w:pPr>
        <w:spacing w:line="360" w:lineRule="auto"/>
        <w:rPr>
          <w:rFonts w:hint="eastAsia" w:ascii="宋体" w:hAnsi="宋体" w:cs="宋体"/>
          <w:sz w:val="24"/>
        </w:rPr>
      </w:pPr>
      <w:r>
        <w:rPr>
          <w:rFonts w:hint="eastAsia" w:ascii="宋体" w:hAnsi="宋体" w:cs="宋体"/>
          <w:b/>
          <w:bCs/>
          <w:sz w:val="24"/>
        </w:rPr>
        <w:t>4.2响应文件的递交</w:t>
      </w:r>
    </w:p>
    <w:p w14:paraId="7417CF2B">
      <w:pPr>
        <w:spacing w:line="360" w:lineRule="auto"/>
        <w:ind w:firstLine="480" w:firstLineChars="200"/>
        <w:rPr>
          <w:rFonts w:hint="eastAsia" w:ascii="宋体" w:hAnsi="宋体" w:cs="宋体"/>
          <w:sz w:val="24"/>
        </w:rPr>
      </w:pPr>
      <w:r>
        <w:rPr>
          <w:rFonts w:hint="eastAsia" w:ascii="宋体" w:hAnsi="宋体" w:cs="宋体"/>
          <w:sz w:val="24"/>
        </w:rPr>
        <w:t>4.2.1供应商应在响应文件递交截止时间前上传加密的电子响应文件（*.hntf）到省交易中心系统的指定位置。上传时必须得到电脑“上传成功”的确认。请供应商在上传时认真检查上传响应文件是否完整、正确。</w:t>
      </w:r>
    </w:p>
    <w:p w14:paraId="50739F6E">
      <w:pPr>
        <w:spacing w:line="360" w:lineRule="auto"/>
        <w:ind w:firstLine="480" w:firstLineChars="200"/>
        <w:rPr>
          <w:rFonts w:hint="eastAsia" w:ascii="宋体" w:hAnsi="宋体" w:cs="宋体"/>
          <w:sz w:val="24"/>
        </w:rPr>
      </w:pPr>
      <w:r>
        <w:rPr>
          <w:rFonts w:hint="eastAsia" w:ascii="宋体" w:hAnsi="宋体" w:cs="宋体"/>
          <w:sz w:val="24"/>
        </w:rPr>
        <w:t>4.2.2供应商因河南省公共资源交易平台投标系统问题无法上传电子响应文件时，请在工作时间与河南省公共资源交易中心联系。</w:t>
      </w:r>
    </w:p>
    <w:p w14:paraId="7EB80DB5">
      <w:pPr>
        <w:spacing w:line="360" w:lineRule="auto"/>
        <w:ind w:firstLine="480" w:firstLineChars="200"/>
        <w:rPr>
          <w:rFonts w:hint="eastAsia" w:ascii="宋体" w:hAnsi="宋体" w:cs="宋体"/>
          <w:sz w:val="24"/>
        </w:rPr>
      </w:pPr>
      <w:r>
        <w:rPr>
          <w:rFonts w:hint="eastAsia" w:ascii="宋体" w:hAnsi="宋体" w:cs="宋体"/>
          <w:sz w:val="24"/>
        </w:rPr>
        <w:t>4.2.3供应商因未在响应文件递交截止时间前将加密电子响应文件上传至交易中心系统的指定位置，其投标将被拒绝。</w:t>
      </w:r>
    </w:p>
    <w:p w14:paraId="75F2D548">
      <w:pPr>
        <w:spacing w:line="360" w:lineRule="auto"/>
        <w:rPr>
          <w:rFonts w:hint="eastAsia" w:ascii="宋体" w:hAnsi="宋体" w:cs="宋体"/>
          <w:b/>
          <w:bCs/>
          <w:sz w:val="24"/>
        </w:rPr>
      </w:pPr>
      <w:r>
        <w:rPr>
          <w:rFonts w:hint="eastAsia" w:ascii="宋体" w:hAnsi="宋体" w:cs="宋体"/>
          <w:b/>
          <w:bCs/>
          <w:sz w:val="24"/>
        </w:rPr>
        <w:t>4.3响应文件的修改与撤回</w:t>
      </w:r>
    </w:p>
    <w:p w14:paraId="7FED2729">
      <w:pPr>
        <w:spacing w:line="360" w:lineRule="auto"/>
        <w:ind w:firstLine="480" w:firstLineChars="200"/>
        <w:rPr>
          <w:rFonts w:hint="eastAsia" w:ascii="宋体" w:hAnsi="宋体" w:cs="宋体"/>
          <w:sz w:val="24"/>
        </w:rPr>
      </w:pPr>
      <w:r>
        <w:rPr>
          <w:rFonts w:hint="eastAsia" w:ascii="宋体" w:hAnsi="宋体" w:cs="宋体"/>
          <w:sz w:val="24"/>
        </w:rPr>
        <w:t>4.3.1在供应商须知前附表规定的响应文件截止时间前，供应商可以对所上传的响应文件进行补充、修改或者撤回，并书面通知采购人或者采购代理机构。补充、修改的内容应当按照磋商通知书要求签署、盖章后，作为响应文件的组成部分。</w:t>
      </w:r>
    </w:p>
    <w:p w14:paraId="48044169">
      <w:pPr>
        <w:spacing w:line="360" w:lineRule="auto"/>
        <w:ind w:firstLine="480" w:firstLineChars="200"/>
        <w:rPr>
          <w:rFonts w:hint="eastAsia" w:ascii="宋体" w:hAnsi="宋体" w:cs="宋体"/>
          <w:sz w:val="24"/>
        </w:rPr>
      </w:pPr>
      <w:r>
        <w:rPr>
          <w:rFonts w:hint="eastAsia" w:ascii="宋体" w:hAnsi="宋体" w:cs="宋体"/>
          <w:sz w:val="24"/>
        </w:rPr>
        <w:t>4.3.2从响应文件截止时间至供应商在响应文件中载明的磋商有效期满期间，供应商不得撤销其投标。</w:t>
      </w:r>
    </w:p>
    <w:p w14:paraId="664E3A2D">
      <w:pPr>
        <w:pStyle w:val="56"/>
        <w:spacing w:before="0" w:line="360" w:lineRule="auto"/>
        <w:outlineLvl w:val="0"/>
        <w:rPr>
          <w:rFonts w:hint="eastAsia" w:ascii="宋体" w:hAnsi="宋体"/>
          <w:b/>
          <w:sz w:val="24"/>
          <w:szCs w:val="24"/>
        </w:rPr>
      </w:pPr>
      <w:bookmarkStart w:id="257" w:name="_Toc10356"/>
      <w:bookmarkStart w:id="258" w:name="_Toc10320"/>
      <w:bookmarkStart w:id="259" w:name="_Toc7243"/>
      <w:r>
        <w:rPr>
          <w:rFonts w:hint="eastAsia" w:ascii="宋体" w:hAnsi="宋体"/>
          <w:b/>
          <w:sz w:val="24"/>
          <w:szCs w:val="24"/>
        </w:rPr>
        <w:t>5. 开标</w:t>
      </w:r>
      <w:bookmarkEnd w:id="254"/>
      <w:bookmarkEnd w:id="255"/>
      <w:bookmarkEnd w:id="256"/>
      <w:bookmarkEnd w:id="257"/>
      <w:bookmarkEnd w:id="258"/>
      <w:bookmarkEnd w:id="259"/>
    </w:p>
    <w:p w14:paraId="621AB2CD">
      <w:pPr>
        <w:pStyle w:val="58"/>
        <w:spacing w:line="360" w:lineRule="auto"/>
        <w:outlineLvl w:val="0"/>
        <w:rPr>
          <w:rFonts w:hint="eastAsia" w:ascii="宋体" w:hAnsi="宋体" w:eastAsia="宋体"/>
          <w:szCs w:val="24"/>
        </w:rPr>
      </w:pPr>
      <w:bookmarkStart w:id="260" w:name="_Toc532034672"/>
      <w:bookmarkStart w:id="261" w:name="_Toc144974528"/>
      <w:bookmarkStart w:id="262" w:name="_Toc12233"/>
      <w:bookmarkStart w:id="263" w:name="_Toc152042336"/>
      <w:bookmarkStart w:id="264" w:name="_Toc21477"/>
      <w:bookmarkStart w:id="265" w:name="_Toc152045560"/>
      <w:bookmarkStart w:id="266" w:name="_Toc13674"/>
      <w:bookmarkStart w:id="267" w:name="_Toc9425"/>
      <w:r>
        <w:rPr>
          <w:rFonts w:hint="eastAsia" w:ascii="宋体" w:hAnsi="宋体" w:eastAsia="宋体"/>
          <w:szCs w:val="24"/>
        </w:rPr>
        <w:t>5.1 开标时间和地点</w:t>
      </w:r>
      <w:bookmarkEnd w:id="260"/>
      <w:bookmarkEnd w:id="261"/>
      <w:bookmarkEnd w:id="262"/>
      <w:bookmarkEnd w:id="263"/>
      <w:bookmarkEnd w:id="264"/>
      <w:bookmarkEnd w:id="265"/>
      <w:bookmarkEnd w:id="266"/>
      <w:bookmarkEnd w:id="267"/>
    </w:p>
    <w:p w14:paraId="354A563D">
      <w:pPr>
        <w:spacing w:line="360" w:lineRule="auto"/>
        <w:ind w:firstLine="480" w:firstLineChars="200"/>
        <w:rPr>
          <w:rFonts w:hint="eastAsia" w:ascii="宋体" w:hAnsi="宋体" w:cs="宋体"/>
          <w:sz w:val="24"/>
        </w:rPr>
      </w:pPr>
      <w:bookmarkStart w:id="268" w:name="_Toc152045561"/>
      <w:bookmarkStart w:id="269" w:name="_Toc144974529"/>
      <w:bookmarkStart w:id="270" w:name="_Toc152042337"/>
      <w:bookmarkStart w:id="271" w:name="_Toc24058"/>
      <w:bookmarkStart w:id="272" w:name="_Toc6512"/>
      <w:bookmarkStart w:id="273" w:name="_Toc22870"/>
      <w:bookmarkStart w:id="274" w:name="_Toc24719"/>
      <w:bookmarkStart w:id="275" w:name="_Toc189"/>
      <w:bookmarkStart w:id="276" w:name="_Toc152042338"/>
      <w:bookmarkStart w:id="277" w:name="_Toc152045562"/>
      <w:bookmarkStart w:id="278" w:name="_Toc144974530"/>
      <w:r>
        <w:rPr>
          <w:rFonts w:hint="eastAsia" w:ascii="宋体" w:hAnsi="宋体" w:cs="宋体"/>
          <w:sz w:val="24"/>
        </w:rPr>
        <w:t>采购人在本章供应商须知前附表规定的投标截止时间（开标时间）和供应商须知前附表规定的地点公开开标。</w:t>
      </w:r>
    </w:p>
    <w:p w14:paraId="7FDB2DFC">
      <w:pPr>
        <w:pStyle w:val="58"/>
        <w:spacing w:line="360" w:lineRule="auto"/>
        <w:outlineLvl w:val="0"/>
        <w:rPr>
          <w:rFonts w:hint="eastAsia" w:ascii="宋体" w:hAnsi="宋体" w:eastAsia="宋体"/>
          <w:szCs w:val="24"/>
        </w:rPr>
      </w:pPr>
      <w:r>
        <w:rPr>
          <w:rFonts w:hint="eastAsia" w:ascii="宋体" w:hAnsi="宋体" w:eastAsia="宋体"/>
          <w:szCs w:val="24"/>
        </w:rPr>
        <w:t>5.2 开标程序</w:t>
      </w:r>
      <w:bookmarkEnd w:id="268"/>
      <w:bookmarkEnd w:id="269"/>
      <w:bookmarkEnd w:id="270"/>
      <w:bookmarkEnd w:id="271"/>
      <w:bookmarkEnd w:id="272"/>
      <w:bookmarkEnd w:id="273"/>
      <w:bookmarkEnd w:id="274"/>
      <w:bookmarkEnd w:id="275"/>
    </w:p>
    <w:p w14:paraId="168015DC">
      <w:pPr>
        <w:spacing w:line="360" w:lineRule="auto"/>
        <w:ind w:firstLine="480" w:firstLineChars="200"/>
        <w:rPr>
          <w:rFonts w:hint="eastAsia" w:ascii="宋体" w:hAnsi="宋体" w:cs="宋体"/>
          <w:sz w:val="24"/>
        </w:rPr>
      </w:pPr>
      <w:r>
        <w:rPr>
          <w:rFonts w:hint="eastAsia" w:ascii="宋体" w:hAnsi="宋体" w:cs="宋体"/>
          <w:sz w:val="24"/>
        </w:rPr>
        <w:t>5.2.1本项目采用“远程不见面”开标方式，供应商应当在磋商文件确定的截止时间前，供应商无需到开标现场，登录不见面开标大厅，在线准时参加开标活动并进行文件解密、答疑澄清等。</w:t>
      </w:r>
    </w:p>
    <w:p w14:paraId="4AD34F65">
      <w:pPr>
        <w:spacing w:line="360" w:lineRule="auto"/>
        <w:ind w:firstLine="480" w:firstLineChars="200"/>
        <w:rPr>
          <w:rFonts w:hint="eastAsia" w:ascii="宋体" w:hAnsi="宋体" w:cs="宋体"/>
          <w:sz w:val="24"/>
        </w:rPr>
      </w:pPr>
      <w:r>
        <w:rPr>
          <w:rFonts w:hint="eastAsia" w:ascii="宋体" w:hAnsi="宋体" w:cs="宋体"/>
          <w:sz w:val="24"/>
        </w:rPr>
        <w:t>5.2.2供应商须在系统规定的解密时间内完成解密，未在规定截止时间前解密的，采购人不予受理。因加密电子供应商文件未能成功上传或误传而导致的解密失败，将被拒绝。</w:t>
      </w:r>
    </w:p>
    <w:p w14:paraId="2799B18E">
      <w:pPr>
        <w:spacing w:line="360" w:lineRule="auto"/>
        <w:ind w:firstLine="480" w:firstLineChars="200"/>
        <w:rPr>
          <w:rFonts w:hint="eastAsia" w:ascii="宋体" w:hAnsi="宋体" w:cs="宋体"/>
          <w:sz w:val="24"/>
        </w:rPr>
      </w:pPr>
      <w:r>
        <w:rPr>
          <w:rFonts w:hint="eastAsia" w:ascii="宋体" w:hAnsi="宋体" w:cs="宋体"/>
          <w:sz w:val="24"/>
        </w:rPr>
        <w:t>5.2.3供应商对开标过程和开标记录如有疑义，以及认为采购人、采购代理机构相关工作人员有需要回避的情形的，应在不见面开标大厅“文字互动”对话框或“新增质疑”处在线提出询问或者回避申请。采购人、采购代理机构对供应商代表提出的询问或者回避申请应当及时处理。</w:t>
      </w:r>
    </w:p>
    <w:p w14:paraId="4E3D6296">
      <w:pPr>
        <w:spacing w:line="360" w:lineRule="auto"/>
        <w:ind w:firstLine="480" w:firstLineChars="200"/>
        <w:rPr>
          <w:rFonts w:hint="eastAsia" w:ascii="宋体" w:hAnsi="宋体" w:cs="宋体"/>
          <w:sz w:val="24"/>
        </w:rPr>
      </w:pPr>
      <w:r>
        <w:rPr>
          <w:rFonts w:hint="eastAsia" w:ascii="宋体" w:hAnsi="宋体" w:cs="宋体"/>
          <w:sz w:val="24"/>
        </w:rPr>
        <w:t>5.2.4供应商未参加开标的，视同认可开标结果。</w:t>
      </w:r>
    </w:p>
    <w:p w14:paraId="23FBF1B4">
      <w:pPr>
        <w:pStyle w:val="56"/>
        <w:spacing w:before="0" w:line="360" w:lineRule="auto"/>
        <w:outlineLvl w:val="0"/>
        <w:rPr>
          <w:rFonts w:hint="eastAsia" w:ascii="宋体" w:hAnsi="宋体"/>
          <w:b/>
          <w:sz w:val="24"/>
          <w:szCs w:val="24"/>
        </w:rPr>
      </w:pPr>
      <w:bookmarkStart w:id="279" w:name="_Toc29431"/>
      <w:bookmarkStart w:id="280" w:name="_Toc438"/>
      <w:bookmarkStart w:id="281" w:name="_Toc13792"/>
      <w:r>
        <w:rPr>
          <w:rFonts w:hint="eastAsia" w:ascii="宋体" w:hAnsi="宋体"/>
          <w:b/>
          <w:sz w:val="24"/>
          <w:szCs w:val="24"/>
        </w:rPr>
        <w:t xml:space="preserve">6. </w:t>
      </w:r>
      <w:bookmarkEnd w:id="276"/>
      <w:bookmarkEnd w:id="277"/>
      <w:bookmarkEnd w:id="278"/>
      <w:bookmarkEnd w:id="279"/>
      <w:r>
        <w:rPr>
          <w:rFonts w:hint="eastAsia" w:ascii="宋体" w:hAnsi="宋体"/>
          <w:b/>
          <w:sz w:val="24"/>
          <w:szCs w:val="24"/>
        </w:rPr>
        <w:t>磋商</w:t>
      </w:r>
      <w:bookmarkEnd w:id="280"/>
      <w:bookmarkEnd w:id="281"/>
    </w:p>
    <w:p w14:paraId="13745EBC">
      <w:pPr>
        <w:pStyle w:val="58"/>
        <w:spacing w:line="360" w:lineRule="auto"/>
        <w:outlineLvl w:val="0"/>
        <w:rPr>
          <w:rFonts w:hint="eastAsia" w:ascii="宋体" w:hAnsi="宋体" w:eastAsia="宋体"/>
          <w:szCs w:val="24"/>
        </w:rPr>
      </w:pPr>
      <w:bookmarkStart w:id="282" w:name="_Toc532034675"/>
      <w:bookmarkStart w:id="283" w:name="_Toc8863"/>
      <w:bookmarkStart w:id="284" w:name="_Toc152045563"/>
      <w:bookmarkStart w:id="285" w:name="_Toc152042339"/>
      <w:bookmarkStart w:id="286" w:name="_Toc144974531"/>
      <w:bookmarkStart w:id="287" w:name="_Toc25684"/>
      <w:bookmarkStart w:id="288" w:name="_Toc13791"/>
      <w:bookmarkStart w:id="289" w:name="_Toc8450"/>
      <w:r>
        <w:rPr>
          <w:rFonts w:hint="eastAsia" w:ascii="宋体" w:hAnsi="宋体" w:eastAsia="宋体"/>
          <w:szCs w:val="24"/>
        </w:rPr>
        <w:t xml:space="preserve">6.1 </w:t>
      </w:r>
      <w:bookmarkEnd w:id="282"/>
      <w:bookmarkEnd w:id="283"/>
      <w:bookmarkEnd w:id="284"/>
      <w:bookmarkEnd w:id="285"/>
      <w:bookmarkEnd w:id="286"/>
      <w:bookmarkEnd w:id="287"/>
      <w:r>
        <w:rPr>
          <w:rFonts w:hint="eastAsia" w:ascii="宋体" w:hAnsi="宋体" w:eastAsia="宋体"/>
          <w:szCs w:val="24"/>
        </w:rPr>
        <w:t>磋商小组</w:t>
      </w:r>
      <w:bookmarkEnd w:id="288"/>
      <w:bookmarkEnd w:id="289"/>
    </w:p>
    <w:p w14:paraId="72630BB0">
      <w:pPr>
        <w:spacing w:line="360" w:lineRule="auto"/>
        <w:ind w:firstLine="480" w:firstLineChars="200"/>
        <w:rPr>
          <w:rFonts w:hint="eastAsia" w:ascii="宋体" w:hAnsi="宋体" w:cs="宋体"/>
          <w:sz w:val="24"/>
        </w:rPr>
      </w:pPr>
      <w:bookmarkStart w:id="290" w:name="_Toc152045566"/>
      <w:bookmarkStart w:id="291" w:name="_Toc144974534"/>
      <w:bookmarkStart w:id="292" w:name="_Toc152042342"/>
      <w:r>
        <w:rPr>
          <w:rFonts w:hint="eastAsia" w:ascii="宋体" w:hAnsi="宋体" w:cs="宋体"/>
          <w:sz w:val="24"/>
        </w:rPr>
        <w:t>6.1.1磋商由采购人依法组建的磋商小组负责。磋商小组由采购人代表以及有关评审专家组成。磋商小组成员人数以及评审专家的确定方式见供应商须知前附表。</w:t>
      </w:r>
    </w:p>
    <w:p w14:paraId="5CC46462">
      <w:pPr>
        <w:spacing w:line="360" w:lineRule="auto"/>
        <w:ind w:firstLine="480" w:firstLineChars="200"/>
        <w:rPr>
          <w:rFonts w:hint="eastAsia" w:ascii="宋体" w:hAnsi="宋体" w:cs="宋体"/>
          <w:sz w:val="24"/>
        </w:rPr>
      </w:pPr>
      <w:r>
        <w:rPr>
          <w:rFonts w:hint="eastAsia" w:ascii="宋体" w:hAnsi="宋体" w:cs="宋体"/>
          <w:sz w:val="24"/>
        </w:rPr>
        <w:t>6.1.2 磋商小组成员有下列情形之一的，应当回避：</w:t>
      </w:r>
    </w:p>
    <w:p w14:paraId="754BF0C5">
      <w:pPr>
        <w:spacing w:line="360" w:lineRule="auto"/>
        <w:ind w:firstLine="480" w:firstLineChars="200"/>
        <w:rPr>
          <w:rFonts w:hint="eastAsia" w:ascii="宋体" w:hAnsi="宋体" w:cs="宋体"/>
          <w:kern w:val="0"/>
          <w:sz w:val="24"/>
        </w:rPr>
      </w:pPr>
      <w:r>
        <w:rPr>
          <w:rFonts w:hint="eastAsia" w:ascii="宋体" w:hAnsi="宋体" w:cs="宋体"/>
          <w:kern w:val="0"/>
          <w:sz w:val="24"/>
        </w:rPr>
        <w:t>(1）采购人或供应商的主要负责人的近亲属；</w:t>
      </w:r>
    </w:p>
    <w:p w14:paraId="7D60A85A">
      <w:pPr>
        <w:spacing w:line="360" w:lineRule="auto"/>
        <w:ind w:firstLine="480" w:firstLineChars="200"/>
        <w:rPr>
          <w:rFonts w:hint="eastAsia" w:ascii="宋体" w:hAnsi="宋体" w:cs="宋体"/>
          <w:kern w:val="0"/>
          <w:sz w:val="24"/>
        </w:rPr>
      </w:pPr>
      <w:r>
        <w:rPr>
          <w:rFonts w:hint="eastAsia" w:ascii="宋体" w:hAnsi="宋体" w:cs="宋体"/>
          <w:kern w:val="0"/>
          <w:sz w:val="24"/>
        </w:rPr>
        <w:t>(2）项目主管部门或者行政监督部门的人员：</w:t>
      </w:r>
    </w:p>
    <w:p w14:paraId="00278F64">
      <w:pPr>
        <w:spacing w:line="360" w:lineRule="auto"/>
        <w:ind w:firstLine="480" w:firstLineChars="200"/>
        <w:rPr>
          <w:rFonts w:hint="eastAsia" w:ascii="宋体" w:hAnsi="宋体" w:cs="宋体"/>
          <w:kern w:val="0"/>
          <w:sz w:val="24"/>
        </w:rPr>
      </w:pPr>
      <w:r>
        <w:rPr>
          <w:rFonts w:hint="eastAsia" w:ascii="宋体" w:hAnsi="宋体" w:cs="宋体"/>
          <w:kern w:val="0"/>
          <w:sz w:val="24"/>
        </w:rPr>
        <w:t>(3）与供应商有经济利益关系，可能影响对投标公正评审的；</w:t>
      </w:r>
    </w:p>
    <w:p w14:paraId="08B4AB33">
      <w:pPr>
        <w:spacing w:line="360" w:lineRule="auto"/>
        <w:ind w:firstLine="480" w:firstLineChars="200"/>
        <w:rPr>
          <w:rFonts w:hint="eastAsia" w:ascii="宋体" w:hAnsi="宋体" w:cs="宋体"/>
          <w:kern w:val="0"/>
          <w:sz w:val="24"/>
        </w:rPr>
      </w:pPr>
      <w:r>
        <w:rPr>
          <w:rFonts w:hint="eastAsia" w:ascii="宋体" w:hAnsi="宋体" w:cs="宋体"/>
          <w:kern w:val="0"/>
          <w:sz w:val="24"/>
        </w:rPr>
        <w:t>(4）曾因在采购、评标以及其他与采购投标有关活动中从事违法行为而受过行政处罚或刑事处罚的。</w:t>
      </w:r>
    </w:p>
    <w:p w14:paraId="16187C07">
      <w:pPr>
        <w:pStyle w:val="4"/>
        <w:spacing w:before="0" w:after="0" w:line="360" w:lineRule="auto"/>
        <w:rPr>
          <w:rFonts w:hint="eastAsia" w:ascii="宋体" w:hAnsi="宋体" w:cs="宋体"/>
          <w:b w:val="0"/>
          <w:bCs w:val="0"/>
          <w:sz w:val="24"/>
          <w:szCs w:val="24"/>
        </w:rPr>
      </w:pPr>
      <w:bookmarkStart w:id="293" w:name="_Toc5078"/>
      <w:bookmarkStart w:id="294" w:name="_Toc532034676"/>
      <w:bookmarkStart w:id="295" w:name="_Toc22810"/>
      <w:bookmarkStart w:id="296" w:name="_Toc8164"/>
      <w:bookmarkStart w:id="297" w:name="_Toc345139489"/>
      <w:bookmarkStart w:id="298" w:name="_Toc31527"/>
      <w:bookmarkStart w:id="299" w:name="_Toc31998"/>
      <w:r>
        <w:rPr>
          <w:rFonts w:hint="eastAsia" w:ascii="宋体" w:hAnsi="宋体" w:cs="宋体"/>
          <w:b w:val="0"/>
          <w:bCs w:val="0"/>
          <w:sz w:val="24"/>
          <w:szCs w:val="24"/>
        </w:rPr>
        <w:t>6.2 磋商原则</w:t>
      </w:r>
      <w:bookmarkEnd w:id="293"/>
      <w:bookmarkEnd w:id="294"/>
      <w:bookmarkEnd w:id="295"/>
      <w:bookmarkEnd w:id="296"/>
      <w:bookmarkEnd w:id="297"/>
      <w:bookmarkEnd w:id="298"/>
      <w:bookmarkEnd w:id="299"/>
    </w:p>
    <w:p w14:paraId="445AD8BF">
      <w:pPr>
        <w:spacing w:line="360" w:lineRule="auto"/>
        <w:ind w:firstLine="480" w:firstLineChars="200"/>
        <w:rPr>
          <w:rFonts w:hint="eastAsia" w:ascii="宋体" w:hAnsi="宋体" w:cs="宋体"/>
          <w:kern w:val="0"/>
          <w:sz w:val="24"/>
        </w:rPr>
      </w:pPr>
      <w:r>
        <w:rPr>
          <w:rFonts w:hint="eastAsia" w:ascii="宋体" w:hAnsi="宋体" w:cs="宋体"/>
          <w:kern w:val="0"/>
          <w:sz w:val="24"/>
        </w:rPr>
        <w:t>磋商活动遵循公平、公正、科学和择优的原则。</w:t>
      </w:r>
      <w:bookmarkStart w:id="300" w:name="_Toc345139490"/>
      <w:bookmarkStart w:id="301" w:name="_Toc13889"/>
      <w:bookmarkStart w:id="302" w:name="_Toc16271"/>
      <w:bookmarkStart w:id="303" w:name="_Toc25969"/>
      <w:bookmarkStart w:id="304" w:name="_Toc139"/>
      <w:bookmarkStart w:id="305" w:name="_Toc532034677"/>
      <w:bookmarkStart w:id="306" w:name="_Toc10382"/>
    </w:p>
    <w:p w14:paraId="6C39FB87">
      <w:pPr>
        <w:spacing w:line="360" w:lineRule="auto"/>
        <w:rPr>
          <w:rFonts w:hint="eastAsia" w:ascii="宋体" w:hAnsi="宋体" w:cs="宋体"/>
          <w:sz w:val="24"/>
        </w:rPr>
      </w:pPr>
      <w:r>
        <w:rPr>
          <w:rFonts w:hint="eastAsia" w:ascii="宋体" w:hAnsi="宋体" w:cs="宋体"/>
          <w:sz w:val="24"/>
        </w:rPr>
        <w:t xml:space="preserve">6.3 </w:t>
      </w:r>
      <w:bookmarkEnd w:id="300"/>
      <w:bookmarkEnd w:id="301"/>
      <w:bookmarkEnd w:id="302"/>
      <w:bookmarkEnd w:id="303"/>
      <w:bookmarkEnd w:id="304"/>
      <w:bookmarkEnd w:id="305"/>
      <w:bookmarkEnd w:id="306"/>
      <w:r>
        <w:rPr>
          <w:rFonts w:hint="eastAsia" w:ascii="宋体" w:hAnsi="宋体" w:cs="宋体"/>
          <w:sz w:val="24"/>
        </w:rPr>
        <w:t>评审</w:t>
      </w:r>
      <w:bookmarkStart w:id="307" w:name="_Toc260"/>
      <w:bookmarkStart w:id="308" w:name="_Toc24062"/>
      <w:bookmarkStart w:id="309" w:name="_Toc7585"/>
    </w:p>
    <w:p w14:paraId="07734E00">
      <w:pPr>
        <w:spacing w:line="360" w:lineRule="auto"/>
        <w:ind w:firstLine="480" w:firstLineChars="200"/>
        <w:rPr>
          <w:rFonts w:hint="eastAsia" w:ascii="宋体" w:hAnsi="宋体" w:cs="宋体"/>
          <w:kern w:val="0"/>
          <w:sz w:val="24"/>
        </w:rPr>
      </w:pPr>
      <w:r>
        <w:rPr>
          <w:rFonts w:hint="eastAsia" w:ascii="宋体" w:hAnsi="宋体" w:cs="宋体"/>
          <w:kern w:val="0"/>
          <w:sz w:val="24"/>
        </w:rPr>
        <w:t>6.3.1 磋商小组按照第三章“评分办法”规定的方法、评审因素、标准和程序对响应文件进行评审。第三章“评分办法”没有规定的方法、评审因素和标准，不作为评审依据。</w:t>
      </w:r>
    </w:p>
    <w:p w14:paraId="6D841576">
      <w:pPr>
        <w:spacing w:line="360" w:lineRule="auto"/>
        <w:ind w:firstLine="480" w:firstLineChars="200"/>
        <w:rPr>
          <w:rFonts w:hint="eastAsia" w:ascii="宋体" w:hAnsi="宋体" w:cs="宋体"/>
          <w:kern w:val="0"/>
          <w:sz w:val="24"/>
        </w:rPr>
      </w:pPr>
      <w:r>
        <w:rPr>
          <w:rFonts w:hint="eastAsia" w:ascii="宋体" w:hAnsi="宋体" w:cs="宋体"/>
          <w:kern w:val="0"/>
          <w:sz w:val="24"/>
        </w:rPr>
        <w:t>6.3.2 初步评审</w:t>
      </w:r>
    </w:p>
    <w:p w14:paraId="7F384A4C">
      <w:pPr>
        <w:spacing w:line="360" w:lineRule="auto"/>
        <w:ind w:firstLine="480" w:firstLineChars="200"/>
        <w:rPr>
          <w:rFonts w:hint="eastAsia" w:ascii="宋体" w:hAnsi="宋体" w:cs="宋体"/>
          <w:kern w:val="0"/>
          <w:sz w:val="24"/>
        </w:rPr>
      </w:pPr>
      <w:r>
        <w:rPr>
          <w:rFonts w:hint="eastAsia" w:ascii="宋体" w:hAnsi="宋体" w:cs="宋体"/>
          <w:kern w:val="0"/>
          <w:sz w:val="24"/>
        </w:rPr>
        <w:t>磋商小组应当对各供应商的响应文件进行初步评审，以确定其是否满足磋商文件的实质性要求，未实质性响应磋商文件的响应文件按无效响应处理。</w:t>
      </w:r>
    </w:p>
    <w:p w14:paraId="2D873E52">
      <w:pPr>
        <w:spacing w:line="360" w:lineRule="auto"/>
        <w:ind w:firstLine="480" w:firstLineChars="200"/>
        <w:rPr>
          <w:rFonts w:hint="eastAsia" w:ascii="宋体" w:hAnsi="宋体" w:cs="宋体"/>
          <w:kern w:val="0"/>
          <w:sz w:val="24"/>
        </w:rPr>
      </w:pPr>
      <w:r>
        <w:rPr>
          <w:rFonts w:hint="eastAsia" w:ascii="宋体" w:hAnsi="宋体" w:cs="宋体"/>
          <w:kern w:val="0"/>
          <w:sz w:val="24"/>
        </w:rPr>
        <w:t>6.3.3 响应文件的澄清</w:t>
      </w:r>
    </w:p>
    <w:p w14:paraId="386E9B3E">
      <w:pPr>
        <w:spacing w:line="360" w:lineRule="auto"/>
        <w:ind w:firstLine="480" w:firstLineChars="200"/>
        <w:rPr>
          <w:rFonts w:hint="eastAsia" w:ascii="宋体" w:hAnsi="宋体" w:cs="宋体"/>
          <w:kern w:val="0"/>
          <w:sz w:val="24"/>
        </w:rPr>
      </w:pPr>
      <w:r>
        <w:rPr>
          <w:rFonts w:hint="eastAsia" w:ascii="宋体" w:hAnsi="宋体" w:cs="宋体"/>
          <w:kern w:val="0"/>
          <w:sz w:val="24"/>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6466FFF">
      <w:pPr>
        <w:spacing w:line="360" w:lineRule="auto"/>
        <w:ind w:firstLine="480" w:firstLineChars="200"/>
        <w:rPr>
          <w:rFonts w:hint="eastAsia" w:ascii="宋体" w:hAnsi="宋体" w:cs="宋体"/>
          <w:kern w:val="0"/>
          <w:sz w:val="24"/>
        </w:rPr>
      </w:pPr>
      <w:r>
        <w:rPr>
          <w:rFonts w:hint="eastAsia" w:ascii="宋体" w:hAnsi="宋体" w:cs="宋体"/>
          <w:kern w:val="0"/>
          <w:sz w:val="24"/>
        </w:rPr>
        <w:t>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7432E47">
      <w:pPr>
        <w:spacing w:line="360" w:lineRule="auto"/>
        <w:ind w:firstLine="480" w:firstLineChars="200"/>
        <w:rPr>
          <w:rFonts w:hint="eastAsia" w:ascii="宋体" w:hAnsi="宋体" w:cs="宋体"/>
          <w:sz w:val="24"/>
        </w:rPr>
      </w:pPr>
      <w:r>
        <w:rPr>
          <w:rFonts w:hint="eastAsia" w:ascii="宋体" w:hAnsi="宋体" w:cs="宋体"/>
          <w:kern w:val="0"/>
          <w:sz w:val="24"/>
        </w:rPr>
        <w:t xml:space="preserve">6.3.4 </w:t>
      </w:r>
      <w:r>
        <w:rPr>
          <w:rFonts w:hint="eastAsia" w:ascii="宋体" w:hAnsi="宋体" w:cs="宋体"/>
          <w:sz w:val="24"/>
        </w:rPr>
        <w:t>最后报价</w:t>
      </w:r>
    </w:p>
    <w:p w14:paraId="47532CD0">
      <w:pPr>
        <w:spacing w:line="360" w:lineRule="auto"/>
        <w:ind w:firstLine="480" w:firstLineChars="200"/>
        <w:rPr>
          <w:rFonts w:hint="eastAsia" w:ascii="宋体" w:hAnsi="宋体" w:cs="宋体"/>
          <w:kern w:val="0"/>
          <w:sz w:val="24"/>
        </w:rPr>
      </w:pPr>
      <w:r>
        <w:rPr>
          <w:rFonts w:hint="eastAsia" w:ascii="宋体" w:hAnsi="宋体" w:cs="宋体"/>
          <w:kern w:val="0"/>
          <w:sz w:val="24"/>
        </w:rPr>
        <w:t xml:space="preserve">磋商过程中，磋商小组可以根据磋商文件和磋商情况实质性变动采购需求中的技术、服务要求以及合同草案条款，但不得变动磋商文件中的其他内容。实质性变动的内容，须经采购人代表确认。该变动是磋商文件的有效组成部分。   </w:t>
      </w:r>
    </w:p>
    <w:p w14:paraId="5CEB0B4A">
      <w:pPr>
        <w:spacing w:line="360" w:lineRule="auto"/>
        <w:rPr>
          <w:rFonts w:hint="eastAsia" w:ascii="宋体" w:hAnsi="宋体" w:cs="宋体"/>
          <w:kern w:val="0"/>
          <w:sz w:val="24"/>
        </w:rPr>
      </w:pPr>
      <w:r>
        <w:rPr>
          <w:rFonts w:hint="eastAsia" w:ascii="宋体" w:hAnsi="宋体" w:cs="宋体"/>
          <w:kern w:val="0"/>
          <w:sz w:val="24"/>
        </w:rPr>
        <w:t>对磋商文件作出的实质性变动是磋商文件的有效组成部分，磋商小组通过河南省公共资源交易平台同时通知所有参加磋商的供应商，并要求所有实质性响应的供应商在规定时间内提交最后报价，提交最后报价的供应商不得少于3 家。</w:t>
      </w:r>
    </w:p>
    <w:p w14:paraId="401D0D05">
      <w:pPr>
        <w:spacing w:line="360" w:lineRule="auto"/>
        <w:ind w:firstLine="480" w:firstLineChars="200"/>
        <w:rPr>
          <w:rFonts w:hint="eastAsia" w:ascii="宋体" w:hAnsi="宋体" w:cs="宋体"/>
          <w:sz w:val="24"/>
        </w:rPr>
      </w:pPr>
      <w:r>
        <w:rPr>
          <w:rFonts w:hint="eastAsia" w:ascii="宋体" w:hAnsi="宋体" w:cs="宋体"/>
          <w:kern w:val="0"/>
          <w:sz w:val="24"/>
        </w:rPr>
        <w:t>特殊情况：</w:t>
      </w:r>
      <w:r>
        <w:rPr>
          <w:rFonts w:hint="eastAsia" w:ascii="宋体" w:hAnsi="宋体" w:cs="宋体"/>
          <w:sz w:val="24"/>
        </w:rPr>
        <w:t>市场竞争不充分的科研项目、需要扶持的科技成果转化项目、政府购买服务项目（含政府和社会资本合作项目）提交最后报价的供应商可以为2家。</w:t>
      </w:r>
    </w:p>
    <w:p w14:paraId="35894B50">
      <w:pPr>
        <w:spacing w:line="360" w:lineRule="auto"/>
        <w:ind w:firstLine="482" w:firstLineChars="200"/>
        <w:jc w:val="left"/>
        <w:rPr>
          <w:rFonts w:hint="eastAsia" w:ascii="宋体" w:hAnsi="宋体" w:cs="宋体"/>
          <w:b/>
          <w:bCs/>
          <w:kern w:val="0"/>
          <w:sz w:val="24"/>
        </w:rPr>
      </w:pPr>
      <w:r>
        <w:rPr>
          <w:rFonts w:hint="eastAsia" w:ascii="宋体" w:hAnsi="宋体" w:cs="宋体"/>
          <w:b/>
          <w:bCs/>
          <w:kern w:val="0"/>
          <w:sz w:val="24"/>
        </w:rPr>
        <w:t xml:space="preserve">供应商应当按照磋商文件的变动情况和磋商小组的要求提交最后报价，未在交易平台系统规定时间内进行第二次磋商报价或第二次磋商报价未提交成功的，视为退出磋商，其响应文件无效，由此产生的一切后果由响应人自行承担。  </w:t>
      </w:r>
    </w:p>
    <w:p w14:paraId="6F1B1560">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已提交响应文件的供应商，在提交最后报价之前，可以根据磋商情况退出磋商。    </w:t>
      </w:r>
    </w:p>
    <w:p w14:paraId="7D0FF17E">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6.3.5 异常低价审查</w:t>
      </w:r>
    </w:p>
    <w:p w14:paraId="67B06515">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评审中出现下列情形之一的，评审委员会应当启动异常低价投标（响应）审查程序：</w:t>
      </w:r>
      <w:bookmarkStart w:id="310" w:name="_Toc22834"/>
      <w:bookmarkStart w:id="311" w:name="_Toc28373"/>
    </w:p>
    <w:bookmarkEnd w:id="310"/>
    <w:bookmarkEnd w:id="311"/>
    <w:p w14:paraId="7522CFA3">
      <w:pPr>
        <w:spacing w:line="360" w:lineRule="auto"/>
        <w:ind w:firstLine="523" w:firstLineChars="218"/>
        <w:rPr>
          <w:rFonts w:hint="eastAsia" w:ascii="宋体" w:hAnsi="宋体" w:cs="宋体"/>
          <w:sz w:val="24"/>
        </w:rPr>
      </w:pPr>
      <w:bookmarkStart w:id="312" w:name="_Toc32521"/>
      <w:bookmarkStart w:id="313" w:name="_Toc11945"/>
      <w:r>
        <w:rPr>
          <w:rFonts w:hint="eastAsia" w:ascii="宋体" w:hAnsi="宋体" w:cs="宋体"/>
          <w:sz w:val="24"/>
        </w:rPr>
        <w:t>1.投标（响应）报价低于全部通过符合性审查供应商投标（响应）报价平均值50%的，即投标（响应）报价&lt;全部通过符合性审查供应商投标（响应）报价平均值×50%；</w:t>
      </w:r>
    </w:p>
    <w:p w14:paraId="53848777">
      <w:pPr>
        <w:spacing w:line="360" w:lineRule="auto"/>
        <w:ind w:firstLine="523" w:firstLineChars="218"/>
        <w:rPr>
          <w:rFonts w:hint="eastAsia" w:ascii="宋体" w:hAnsi="宋体" w:cs="宋体"/>
          <w:sz w:val="24"/>
        </w:rPr>
      </w:pPr>
      <w:r>
        <w:rPr>
          <w:rFonts w:hint="eastAsia" w:ascii="宋体" w:hAnsi="宋体" w:cs="宋体"/>
          <w:sz w:val="24"/>
        </w:rPr>
        <w:t>2.投标（响应）报价低于通过符合性审查的次低报价供应商投标（响应）报价50%的，即投标（响应）报价&lt;通过符合性审查的次低报价供应商投标（响应）报价×50%；</w:t>
      </w:r>
    </w:p>
    <w:p w14:paraId="1E4DC5C3">
      <w:pPr>
        <w:spacing w:line="360" w:lineRule="auto"/>
        <w:ind w:firstLine="523" w:firstLineChars="218"/>
        <w:rPr>
          <w:rFonts w:hint="eastAsia" w:ascii="宋体" w:hAnsi="宋体" w:cs="宋体"/>
          <w:sz w:val="24"/>
        </w:rPr>
      </w:pPr>
      <w:r>
        <w:rPr>
          <w:rFonts w:hint="eastAsia" w:ascii="宋体" w:hAnsi="宋体" w:cs="宋体"/>
          <w:sz w:val="24"/>
        </w:rPr>
        <w:t>3.投标（响应）报价低于采购项目最高限价45%的，即投标（响应）报价&lt;采购项目最高限价×45%；</w:t>
      </w:r>
    </w:p>
    <w:p w14:paraId="28A8820A">
      <w:pPr>
        <w:spacing w:line="360" w:lineRule="auto"/>
        <w:ind w:firstLine="480" w:firstLineChars="200"/>
        <w:jc w:val="left"/>
        <w:rPr>
          <w:rFonts w:hint="eastAsia" w:ascii="宋体" w:hAnsi="宋体" w:cs="宋体"/>
          <w:sz w:val="24"/>
        </w:rPr>
      </w:pPr>
      <w:r>
        <w:rPr>
          <w:rFonts w:hint="eastAsia" w:ascii="宋体" w:hAnsi="宋体" w:cs="宋体"/>
          <w:sz w:val="24"/>
        </w:rPr>
        <w:t>4.评审委员会基于专业判断，认为供应商报价过低，有可能影响产品质量或者不能诚信履约的其他情形。</w:t>
      </w:r>
    </w:p>
    <w:p w14:paraId="639175F3">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bookmarkEnd w:id="312"/>
      <w:bookmarkEnd w:id="313"/>
      <w:bookmarkStart w:id="314" w:name="_Toc19947"/>
      <w:bookmarkStart w:id="315" w:name="_Toc24010"/>
    </w:p>
    <w:p w14:paraId="5E66CD95">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bookmarkEnd w:id="314"/>
      <w:bookmarkEnd w:id="315"/>
      <w:bookmarkStart w:id="316" w:name="_Toc1146"/>
    </w:p>
    <w:p w14:paraId="28E9B2F5">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bookmarkEnd w:id="316"/>
      <w:bookmarkStart w:id="317" w:name="_Toc28128"/>
      <w:bookmarkStart w:id="318" w:name="_Toc32762"/>
    </w:p>
    <w:p w14:paraId="28833513">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异常低价投标（响应）审查的启动原因、审查意见和审查结果应当在评审报告中记录，并随供应商提供的相关书面说明及证明材料，以及评审委员会有关互联网浏览、查询历史一并归档。</w:t>
      </w:r>
      <w:bookmarkEnd w:id="317"/>
      <w:bookmarkEnd w:id="318"/>
    </w:p>
    <w:p w14:paraId="4C97EC19">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6.3.6评审方法</w:t>
      </w:r>
    </w:p>
    <w:p w14:paraId="7B495EE2">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评审采取综合评分法，综合评分法是指响应文件满足磋商文件全部实质性要求且按评审因素的量化指标评审得分最高的供应商为成交候选供应商的评审方法。经磋商确定最终采购需求和提交最后报价的供应商后，由磋商小组采用综合评分法对提交最后报价的供应商的响应文件和最后报价进行综合评分。</w:t>
      </w:r>
    </w:p>
    <w:p w14:paraId="48CA0235">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如有价格扣除，按扣除后价格进行评审，但不做为签订合同的依据。</w:t>
      </w:r>
    </w:p>
    <w:p w14:paraId="08C379B5">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评审完成后，磋商小组应当向采购人提交书面评审报告和成交候选供应商名单。磋商小组推荐成交候选供应商数量见供应商须知前附表。</w:t>
      </w:r>
    </w:p>
    <w:p w14:paraId="4E20CF0C">
      <w:pPr>
        <w:numPr>
          <w:ilvl w:val="0"/>
          <w:numId w:val="3"/>
        </w:numPr>
        <w:spacing w:line="360" w:lineRule="auto"/>
        <w:ind w:firstLine="482" w:firstLineChars="200"/>
        <w:jc w:val="left"/>
        <w:rPr>
          <w:rFonts w:hint="eastAsia" w:ascii="宋体" w:hAnsi="宋体" w:cs="宋体"/>
          <w:b/>
          <w:sz w:val="24"/>
        </w:rPr>
      </w:pPr>
      <w:r>
        <w:rPr>
          <w:rFonts w:hint="eastAsia" w:ascii="宋体" w:hAnsi="宋体" w:cs="宋体"/>
          <w:b/>
          <w:sz w:val="24"/>
        </w:rPr>
        <w:t>合同授予</w:t>
      </w:r>
      <w:bookmarkEnd w:id="290"/>
      <w:bookmarkEnd w:id="291"/>
      <w:bookmarkEnd w:id="292"/>
      <w:bookmarkEnd w:id="307"/>
      <w:bookmarkEnd w:id="308"/>
      <w:bookmarkEnd w:id="309"/>
      <w:bookmarkStart w:id="319" w:name="_Toc22802"/>
      <w:bookmarkStart w:id="320" w:name="_Toc532034679"/>
      <w:bookmarkStart w:id="321" w:name="_Toc152045567"/>
      <w:bookmarkStart w:id="322" w:name="_Toc28656"/>
      <w:bookmarkStart w:id="323" w:name="_Toc152042343"/>
      <w:bookmarkStart w:id="324" w:name="_Toc144974535"/>
      <w:bookmarkStart w:id="325" w:name="_Toc19952"/>
      <w:bookmarkStart w:id="326" w:name="_Toc12600"/>
    </w:p>
    <w:p w14:paraId="5BB3E556">
      <w:pPr>
        <w:spacing w:line="360" w:lineRule="auto"/>
        <w:ind w:firstLine="480" w:firstLineChars="200"/>
        <w:jc w:val="left"/>
        <w:rPr>
          <w:rFonts w:hint="eastAsia" w:ascii="宋体" w:hAnsi="宋体" w:cs="宋体"/>
          <w:sz w:val="24"/>
        </w:rPr>
      </w:pPr>
      <w:r>
        <w:rPr>
          <w:rFonts w:hint="eastAsia" w:ascii="宋体" w:hAnsi="宋体" w:cs="宋体"/>
          <w:sz w:val="24"/>
        </w:rPr>
        <w:t>7.1 定标方式</w:t>
      </w:r>
      <w:bookmarkEnd w:id="319"/>
      <w:bookmarkEnd w:id="320"/>
      <w:bookmarkEnd w:id="321"/>
      <w:bookmarkEnd w:id="322"/>
      <w:bookmarkEnd w:id="323"/>
      <w:bookmarkEnd w:id="324"/>
      <w:bookmarkEnd w:id="325"/>
      <w:bookmarkEnd w:id="326"/>
    </w:p>
    <w:p w14:paraId="1F71F640">
      <w:pPr>
        <w:spacing w:line="360" w:lineRule="auto"/>
        <w:ind w:firstLine="480" w:firstLineChars="200"/>
        <w:rPr>
          <w:rFonts w:hint="eastAsia" w:ascii="宋体" w:hAnsi="宋体" w:cs="宋体"/>
          <w:sz w:val="24"/>
        </w:rPr>
      </w:pPr>
      <w:r>
        <w:rPr>
          <w:rFonts w:hint="eastAsia" w:ascii="宋体" w:hAnsi="宋体" w:cs="宋体"/>
          <w:sz w:val="24"/>
        </w:rPr>
        <w:t>除供应商须知前附表规定磋商小组直接确定成交人外，采购人依据磋商小组推荐的成交候选人确定成交人，磋商小组推荐成交候选人的人数见供应商须知前附表（特殊情况除外）。</w:t>
      </w:r>
    </w:p>
    <w:p w14:paraId="7200BF34">
      <w:pPr>
        <w:pStyle w:val="58"/>
        <w:spacing w:line="360" w:lineRule="auto"/>
        <w:outlineLvl w:val="0"/>
        <w:rPr>
          <w:rFonts w:hint="eastAsia" w:ascii="宋体" w:hAnsi="宋体" w:eastAsia="宋体"/>
          <w:szCs w:val="24"/>
        </w:rPr>
      </w:pPr>
      <w:bookmarkStart w:id="327" w:name="_Toc19004"/>
      <w:bookmarkStart w:id="328" w:name="_Toc25155"/>
      <w:bookmarkStart w:id="329" w:name="_Toc144974536"/>
      <w:bookmarkStart w:id="330" w:name="_Toc19516"/>
      <w:bookmarkStart w:id="331" w:name="_Toc152042344"/>
      <w:bookmarkStart w:id="332" w:name="_Toc532034680"/>
      <w:bookmarkStart w:id="333" w:name="_Toc152045568"/>
      <w:bookmarkStart w:id="334" w:name="_Toc2108"/>
      <w:r>
        <w:rPr>
          <w:rFonts w:hint="eastAsia" w:ascii="宋体" w:hAnsi="宋体" w:eastAsia="宋体"/>
          <w:szCs w:val="24"/>
        </w:rPr>
        <w:t>7.2 成交通知</w:t>
      </w:r>
      <w:bookmarkEnd w:id="327"/>
      <w:bookmarkEnd w:id="328"/>
      <w:bookmarkEnd w:id="329"/>
      <w:bookmarkEnd w:id="330"/>
      <w:bookmarkEnd w:id="331"/>
      <w:bookmarkEnd w:id="332"/>
      <w:bookmarkEnd w:id="333"/>
      <w:bookmarkEnd w:id="334"/>
    </w:p>
    <w:p w14:paraId="21B41272">
      <w:pPr>
        <w:spacing w:line="360" w:lineRule="auto"/>
        <w:ind w:firstLine="480" w:firstLineChars="200"/>
        <w:rPr>
          <w:rFonts w:hint="eastAsia" w:ascii="宋体" w:hAnsi="宋体" w:cs="宋体"/>
          <w:sz w:val="24"/>
        </w:rPr>
      </w:pPr>
      <w:r>
        <w:rPr>
          <w:rFonts w:hint="eastAsia" w:ascii="宋体" w:hAnsi="宋体" w:cs="宋体"/>
          <w:sz w:val="24"/>
        </w:rPr>
        <w:t>7.2.1采购代理机构应当在评标结束后2个工作日内将评标报告送采购人。</w:t>
      </w:r>
    </w:p>
    <w:p w14:paraId="14347044">
      <w:pPr>
        <w:spacing w:line="360" w:lineRule="auto"/>
        <w:ind w:firstLine="480" w:firstLineChars="200"/>
        <w:rPr>
          <w:rFonts w:hint="eastAsia" w:ascii="宋体" w:hAnsi="宋体" w:cs="宋体"/>
          <w:sz w:val="24"/>
        </w:rPr>
      </w:pPr>
      <w:r>
        <w:rPr>
          <w:rFonts w:hint="eastAsia" w:ascii="宋体" w:hAnsi="宋体" w:cs="宋体"/>
          <w:sz w:val="24"/>
        </w:rPr>
        <w:t>7.2.2采购人应当自收到评标报告之日起5个工作日内，在评标报告确定的成交候选人名单中按照排序由高到低的原则确定成交人。成交候选人并列的，由采购人或者采购人委托磋商小组按照磋商文件规定的方式确定成交人；磋商文件未规定的，采取随机抽取的方式确定。</w:t>
      </w:r>
    </w:p>
    <w:p w14:paraId="3AC393CE">
      <w:pPr>
        <w:spacing w:line="360" w:lineRule="auto"/>
        <w:ind w:firstLine="480" w:firstLineChars="200"/>
        <w:rPr>
          <w:rFonts w:hint="eastAsia" w:ascii="宋体" w:hAnsi="宋体" w:cs="宋体"/>
          <w:sz w:val="24"/>
        </w:rPr>
      </w:pPr>
      <w:r>
        <w:rPr>
          <w:rFonts w:hint="eastAsia" w:ascii="宋体" w:hAnsi="宋体" w:cs="宋体"/>
          <w:sz w:val="24"/>
        </w:rPr>
        <w:t>7.2.3采购人在收到评标报告5个工作日内未按评标报告推荐的成交候选人顺序确定成交人，又不能说明合法理由的，视同按评标报告推荐的顺序确定排名第一的成交候选人为成交人。</w:t>
      </w:r>
    </w:p>
    <w:p w14:paraId="7C0A1B07">
      <w:pPr>
        <w:spacing w:line="360" w:lineRule="auto"/>
        <w:ind w:firstLine="480" w:firstLineChars="200"/>
        <w:rPr>
          <w:rFonts w:hint="eastAsia" w:ascii="宋体" w:hAnsi="宋体" w:cs="宋体"/>
          <w:sz w:val="24"/>
        </w:rPr>
      </w:pPr>
      <w:r>
        <w:rPr>
          <w:rFonts w:hint="eastAsia" w:ascii="宋体" w:hAnsi="宋体" w:cs="宋体"/>
          <w:sz w:val="24"/>
        </w:rPr>
        <w:t>7.2.4采购人或者采购代理机构应当自成交人确定之日起2个工作日内，在省级以上财政部门指定的媒体上公告成交结果，磋商文件应当随成交结果同时公告。公告期限为1个工作日。</w:t>
      </w:r>
    </w:p>
    <w:p w14:paraId="2ABBC98A">
      <w:pPr>
        <w:spacing w:line="360" w:lineRule="auto"/>
        <w:ind w:firstLine="480" w:firstLineChars="200"/>
        <w:rPr>
          <w:rFonts w:hint="eastAsia" w:ascii="宋体" w:hAnsi="宋体" w:cs="宋体"/>
          <w:sz w:val="24"/>
        </w:rPr>
      </w:pPr>
      <w:r>
        <w:rPr>
          <w:rFonts w:hint="eastAsia" w:ascii="宋体" w:hAnsi="宋体" w:cs="宋体"/>
          <w:sz w:val="24"/>
        </w:rPr>
        <w:t>7.2.5在公告成交结果的同时，采购人或者采购代理机构应当向成交人发出成交通知书。</w:t>
      </w:r>
    </w:p>
    <w:p w14:paraId="012F7F7D">
      <w:pPr>
        <w:pStyle w:val="58"/>
        <w:spacing w:line="360" w:lineRule="auto"/>
        <w:ind w:firstLine="480" w:firstLineChars="200"/>
        <w:outlineLvl w:val="0"/>
        <w:rPr>
          <w:rFonts w:hint="eastAsia" w:ascii="宋体" w:hAnsi="宋体" w:eastAsia="宋体"/>
          <w:szCs w:val="24"/>
        </w:rPr>
      </w:pPr>
      <w:bookmarkStart w:id="335" w:name="_Toc5667"/>
      <w:r>
        <w:rPr>
          <w:rFonts w:hint="eastAsia" w:ascii="宋体" w:hAnsi="宋体" w:eastAsia="宋体"/>
          <w:szCs w:val="24"/>
        </w:rPr>
        <w:t>7.2.6成交通知书发出后，采购人不得违法改变成交结果，成交人无正当理由不得放弃成交。</w:t>
      </w:r>
      <w:bookmarkEnd w:id="335"/>
    </w:p>
    <w:p w14:paraId="163A9569">
      <w:pPr>
        <w:pStyle w:val="58"/>
        <w:spacing w:line="360" w:lineRule="auto"/>
        <w:outlineLvl w:val="0"/>
        <w:rPr>
          <w:rFonts w:hint="eastAsia" w:ascii="宋体" w:hAnsi="宋体" w:eastAsia="宋体"/>
          <w:szCs w:val="24"/>
        </w:rPr>
      </w:pPr>
      <w:bookmarkStart w:id="336" w:name="_Toc7296"/>
      <w:r>
        <w:rPr>
          <w:rFonts w:hint="eastAsia" w:ascii="宋体" w:hAnsi="宋体" w:eastAsia="宋体"/>
          <w:szCs w:val="24"/>
        </w:rPr>
        <w:t>7.3 履约保证金</w:t>
      </w:r>
      <w:bookmarkEnd w:id="336"/>
    </w:p>
    <w:p w14:paraId="60829D0F">
      <w:pPr>
        <w:spacing w:line="360" w:lineRule="auto"/>
        <w:ind w:firstLine="480" w:firstLineChars="200"/>
        <w:rPr>
          <w:rFonts w:hint="eastAsia" w:ascii="宋体" w:hAnsi="宋体" w:cs="宋体"/>
          <w:sz w:val="24"/>
        </w:rPr>
      </w:pPr>
      <w:r>
        <w:rPr>
          <w:rFonts w:hint="eastAsia" w:ascii="宋体" w:hAnsi="宋体" w:cs="宋体"/>
          <w:sz w:val="24"/>
        </w:rPr>
        <w:t>7.3.1 履约保证金金额、递交方式、递交时间详见供应商须知前附表规定。</w:t>
      </w:r>
    </w:p>
    <w:p w14:paraId="0DD02B78">
      <w:pPr>
        <w:spacing w:line="360" w:lineRule="auto"/>
        <w:ind w:firstLine="480" w:firstLineChars="200"/>
        <w:rPr>
          <w:rFonts w:hint="eastAsia" w:ascii="宋体" w:hAnsi="宋体" w:cs="宋体"/>
          <w:sz w:val="24"/>
        </w:rPr>
      </w:pPr>
      <w:r>
        <w:rPr>
          <w:rFonts w:hint="eastAsia" w:ascii="宋体" w:hAnsi="宋体" w:cs="宋体"/>
          <w:sz w:val="24"/>
        </w:rPr>
        <w:t>7.3.2 成交人不能按要求提交履约保证金的，视为放弃成交，按照采购文件规定进行处罚。</w:t>
      </w:r>
    </w:p>
    <w:p w14:paraId="062062AE">
      <w:pPr>
        <w:spacing w:line="360" w:lineRule="auto"/>
        <w:ind w:firstLine="480" w:firstLineChars="200"/>
        <w:rPr>
          <w:rFonts w:hint="eastAsia" w:ascii="宋体" w:hAnsi="宋体" w:cs="宋体"/>
          <w:sz w:val="24"/>
        </w:rPr>
      </w:pPr>
      <w:r>
        <w:rPr>
          <w:rFonts w:hint="eastAsia" w:ascii="宋体" w:hAnsi="宋体" w:cs="宋体"/>
          <w:sz w:val="24"/>
        </w:rPr>
        <w:t>7.3.3履约保证金在项目验收合格后30日内无息退还给成交供应商。最终验收不合格的，没收履约保证金，采购人有权要求退货、有权要求供应商退回之前支付款项，解除合同。</w:t>
      </w:r>
    </w:p>
    <w:p w14:paraId="237656A6">
      <w:pPr>
        <w:pStyle w:val="58"/>
        <w:spacing w:line="360" w:lineRule="auto"/>
        <w:outlineLvl w:val="0"/>
        <w:rPr>
          <w:rFonts w:hint="eastAsia" w:ascii="宋体" w:hAnsi="宋体" w:eastAsia="宋体"/>
          <w:szCs w:val="24"/>
        </w:rPr>
      </w:pPr>
      <w:bookmarkStart w:id="337" w:name="_Toc532034681"/>
      <w:bookmarkStart w:id="338" w:name="_Toc12553"/>
      <w:bookmarkStart w:id="339" w:name="_Toc144974538"/>
      <w:bookmarkStart w:id="340" w:name="_Toc152042346"/>
      <w:bookmarkStart w:id="341" w:name="_Toc1506"/>
      <w:bookmarkStart w:id="342" w:name="_Toc152045570"/>
      <w:bookmarkStart w:id="343" w:name="_Toc11740"/>
      <w:bookmarkStart w:id="344" w:name="_Toc12689"/>
      <w:r>
        <w:rPr>
          <w:rFonts w:hint="eastAsia" w:ascii="宋体" w:hAnsi="宋体" w:eastAsia="宋体"/>
          <w:szCs w:val="24"/>
        </w:rPr>
        <w:t>7.4 签订合同</w:t>
      </w:r>
      <w:bookmarkEnd w:id="337"/>
      <w:bookmarkEnd w:id="338"/>
      <w:bookmarkEnd w:id="339"/>
      <w:bookmarkEnd w:id="340"/>
      <w:bookmarkEnd w:id="341"/>
      <w:bookmarkEnd w:id="342"/>
      <w:bookmarkEnd w:id="343"/>
      <w:bookmarkEnd w:id="344"/>
    </w:p>
    <w:p w14:paraId="0DE6E2F1">
      <w:pPr>
        <w:spacing w:line="360" w:lineRule="auto"/>
        <w:ind w:firstLine="480" w:firstLineChars="200"/>
        <w:rPr>
          <w:rFonts w:hint="eastAsia" w:ascii="宋体" w:hAnsi="宋体" w:cs="宋体"/>
          <w:sz w:val="24"/>
        </w:rPr>
      </w:pPr>
      <w:r>
        <w:rPr>
          <w:rFonts w:hint="eastAsia" w:ascii="宋体" w:hAnsi="宋体" w:cs="宋体"/>
          <w:sz w:val="24"/>
        </w:rPr>
        <w:t>7.4.1采购人应当自成交通知书发出之日起15日内，按照磋商文件和成交人响应文件的规定，与成交人签订书面合同。所签订的合同不得对磋商文件确定的事项和成交人响应文件作实质性修改。</w:t>
      </w:r>
    </w:p>
    <w:p w14:paraId="6D9CF9B6">
      <w:pPr>
        <w:spacing w:line="360" w:lineRule="auto"/>
        <w:ind w:firstLine="480" w:firstLineChars="200"/>
        <w:rPr>
          <w:rFonts w:hint="eastAsia" w:ascii="宋体" w:hAnsi="宋体" w:cs="宋体"/>
          <w:sz w:val="24"/>
        </w:rPr>
      </w:pPr>
      <w:r>
        <w:rPr>
          <w:rFonts w:hint="eastAsia" w:ascii="宋体" w:hAnsi="宋体" w:cs="宋体"/>
          <w:sz w:val="24"/>
        </w:rPr>
        <w:t>7.4.2采购人不得向成交人提出任何不合理的要求作为签订合同的条件。</w:t>
      </w:r>
    </w:p>
    <w:p w14:paraId="3A24A3DE">
      <w:pPr>
        <w:spacing w:line="360" w:lineRule="auto"/>
        <w:ind w:firstLine="480" w:firstLineChars="200"/>
        <w:rPr>
          <w:rFonts w:hint="eastAsia" w:ascii="宋体" w:hAnsi="宋体" w:cs="宋体"/>
          <w:sz w:val="24"/>
        </w:rPr>
      </w:pPr>
      <w:r>
        <w:rPr>
          <w:rFonts w:hint="eastAsia" w:ascii="宋体" w:hAnsi="宋体" w:cs="宋体"/>
          <w:sz w:val="24"/>
        </w:rPr>
        <w:t>7.4.3 发出成交通知书后，采购人无正当理由拒签合同的，给成交人造成损失的，还应当赔偿损失。</w:t>
      </w:r>
    </w:p>
    <w:p w14:paraId="2AAF5317">
      <w:pPr>
        <w:pStyle w:val="56"/>
        <w:spacing w:before="0" w:line="360" w:lineRule="auto"/>
        <w:outlineLvl w:val="0"/>
        <w:rPr>
          <w:rFonts w:hint="eastAsia" w:ascii="宋体" w:hAnsi="宋体"/>
          <w:b/>
          <w:sz w:val="24"/>
          <w:szCs w:val="24"/>
        </w:rPr>
      </w:pPr>
      <w:bookmarkStart w:id="345" w:name="_Toc152042350"/>
      <w:bookmarkStart w:id="346" w:name="_Toc152045574"/>
      <w:bookmarkStart w:id="347" w:name="_Toc6722"/>
      <w:bookmarkStart w:id="348" w:name="_Toc7774"/>
      <w:bookmarkStart w:id="349" w:name="_Toc29373"/>
      <w:bookmarkStart w:id="350" w:name="_Toc144974542"/>
      <w:r>
        <w:rPr>
          <w:rFonts w:hint="eastAsia" w:ascii="宋体" w:hAnsi="宋体"/>
          <w:b/>
          <w:sz w:val="24"/>
          <w:szCs w:val="24"/>
        </w:rPr>
        <w:t>8. 纪律和监督</w:t>
      </w:r>
      <w:bookmarkEnd w:id="345"/>
      <w:bookmarkEnd w:id="346"/>
      <w:bookmarkEnd w:id="347"/>
      <w:bookmarkEnd w:id="348"/>
      <w:bookmarkEnd w:id="349"/>
      <w:bookmarkEnd w:id="350"/>
    </w:p>
    <w:p w14:paraId="23137239">
      <w:pPr>
        <w:pStyle w:val="58"/>
        <w:spacing w:line="360" w:lineRule="auto"/>
        <w:outlineLvl w:val="0"/>
        <w:rPr>
          <w:rFonts w:hint="eastAsia" w:ascii="宋体" w:hAnsi="宋体" w:eastAsia="宋体"/>
          <w:szCs w:val="24"/>
        </w:rPr>
      </w:pPr>
      <w:bookmarkStart w:id="351" w:name="_Toc532034686"/>
      <w:bookmarkStart w:id="352" w:name="_Toc2030"/>
      <w:bookmarkStart w:id="353" w:name="_Toc152045575"/>
      <w:bookmarkStart w:id="354" w:name="_Toc19352"/>
      <w:bookmarkStart w:id="355" w:name="_Toc22976"/>
      <w:bookmarkStart w:id="356" w:name="_Toc13184"/>
      <w:bookmarkStart w:id="357" w:name="_Toc144974543"/>
      <w:bookmarkStart w:id="358" w:name="_Toc152042351"/>
      <w:r>
        <w:rPr>
          <w:rFonts w:hint="eastAsia" w:ascii="宋体" w:hAnsi="宋体" w:eastAsia="宋体"/>
          <w:szCs w:val="24"/>
        </w:rPr>
        <w:t>8.1 对采购人的纪律要求</w:t>
      </w:r>
      <w:bookmarkEnd w:id="351"/>
      <w:bookmarkEnd w:id="352"/>
      <w:bookmarkEnd w:id="353"/>
      <w:bookmarkEnd w:id="354"/>
      <w:bookmarkEnd w:id="355"/>
      <w:bookmarkEnd w:id="356"/>
      <w:bookmarkEnd w:id="357"/>
      <w:bookmarkEnd w:id="358"/>
    </w:p>
    <w:p w14:paraId="3C11B885">
      <w:pPr>
        <w:spacing w:line="360" w:lineRule="auto"/>
        <w:ind w:firstLine="480" w:firstLineChars="200"/>
        <w:rPr>
          <w:rFonts w:hint="eastAsia" w:ascii="宋体" w:hAnsi="宋体" w:cs="宋体"/>
          <w:sz w:val="24"/>
        </w:rPr>
      </w:pPr>
      <w:r>
        <w:rPr>
          <w:rFonts w:hint="eastAsia" w:ascii="宋体" w:hAnsi="宋体" w:cs="宋体"/>
          <w:sz w:val="24"/>
        </w:rPr>
        <w:t>采购人不得泄漏采购投标活动中应当保密的情况和资料，不得与供应商串通损害国家利益、社会公共利益或者他人合法权益。</w:t>
      </w:r>
    </w:p>
    <w:p w14:paraId="0EE0888E">
      <w:pPr>
        <w:pStyle w:val="58"/>
        <w:spacing w:line="360" w:lineRule="auto"/>
        <w:outlineLvl w:val="0"/>
        <w:rPr>
          <w:rFonts w:hint="eastAsia" w:ascii="宋体" w:hAnsi="宋体" w:eastAsia="宋体"/>
          <w:szCs w:val="24"/>
        </w:rPr>
      </w:pPr>
      <w:bookmarkStart w:id="359" w:name="_Toc6872"/>
      <w:bookmarkStart w:id="360" w:name="_Toc22076"/>
      <w:bookmarkStart w:id="361" w:name="_Toc7937"/>
      <w:bookmarkStart w:id="362" w:name="_Toc14457"/>
      <w:bookmarkStart w:id="363" w:name="_Toc532034687"/>
      <w:bookmarkStart w:id="364" w:name="_Toc144974544"/>
      <w:bookmarkStart w:id="365" w:name="_Toc152042352"/>
      <w:bookmarkStart w:id="366" w:name="_Toc152045576"/>
      <w:r>
        <w:rPr>
          <w:rFonts w:hint="eastAsia" w:ascii="宋体" w:hAnsi="宋体" w:eastAsia="宋体"/>
          <w:szCs w:val="24"/>
        </w:rPr>
        <w:t>8.2 对供应商的纪律要求</w:t>
      </w:r>
      <w:bookmarkEnd w:id="359"/>
      <w:bookmarkEnd w:id="360"/>
      <w:bookmarkEnd w:id="361"/>
      <w:bookmarkEnd w:id="362"/>
      <w:bookmarkEnd w:id="363"/>
      <w:bookmarkEnd w:id="364"/>
      <w:bookmarkEnd w:id="365"/>
      <w:bookmarkEnd w:id="366"/>
    </w:p>
    <w:p w14:paraId="56E378F1">
      <w:pPr>
        <w:spacing w:line="360" w:lineRule="auto"/>
        <w:ind w:firstLine="480" w:firstLineChars="200"/>
        <w:rPr>
          <w:rFonts w:hint="eastAsia" w:ascii="宋体" w:hAnsi="宋体" w:cs="宋体"/>
          <w:sz w:val="24"/>
        </w:rPr>
      </w:pPr>
      <w:r>
        <w:rPr>
          <w:rFonts w:hint="eastAsia" w:ascii="宋体" w:hAnsi="宋体" w:cs="宋体"/>
          <w:sz w:val="24"/>
        </w:rPr>
        <w:t>供应商不得相互串通投标或者与采购人串通投标，不得向采购人或者磋商小组成员行贿谋取成交，不得以他人名义投标或者以其他方式弄虚作假骗取成交；供应商不得以任何方式干扰、影响评标工作。</w:t>
      </w:r>
    </w:p>
    <w:p w14:paraId="6FA388B8">
      <w:pPr>
        <w:pStyle w:val="58"/>
        <w:spacing w:line="360" w:lineRule="auto"/>
        <w:outlineLvl w:val="0"/>
        <w:rPr>
          <w:rFonts w:hint="eastAsia" w:ascii="宋体" w:hAnsi="宋体" w:eastAsia="宋体"/>
          <w:szCs w:val="24"/>
        </w:rPr>
      </w:pPr>
      <w:bookmarkStart w:id="367" w:name="_Toc18130"/>
      <w:bookmarkStart w:id="368" w:name="_Toc152045577"/>
      <w:bookmarkStart w:id="369" w:name="_Toc28998"/>
      <w:bookmarkStart w:id="370" w:name="_Toc14467"/>
      <w:bookmarkStart w:id="371" w:name="_Toc152042353"/>
      <w:bookmarkStart w:id="372" w:name="_Toc144974545"/>
      <w:bookmarkStart w:id="373" w:name="_Toc1861"/>
      <w:bookmarkStart w:id="374" w:name="_Toc532034688"/>
      <w:r>
        <w:rPr>
          <w:rFonts w:hint="eastAsia" w:ascii="宋体" w:hAnsi="宋体" w:eastAsia="宋体"/>
          <w:szCs w:val="24"/>
        </w:rPr>
        <w:t>8.3 对磋商小组成员的纪律要求</w:t>
      </w:r>
      <w:bookmarkEnd w:id="367"/>
      <w:bookmarkEnd w:id="368"/>
      <w:bookmarkEnd w:id="369"/>
      <w:bookmarkEnd w:id="370"/>
      <w:bookmarkEnd w:id="371"/>
      <w:bookmarkEnd w:id="372"/>
      <w:bookmarkEnd w:id="373"/>
      <w:bookmarkEnd w:id="374"/>
    </w:p>
    <w:p w14:paraId="6FC0EC82">
      <w:pPr>
        <w:spacing w:line="360" w:lineRule="auto"/>
        <w:ind w:firstLine="480" w:firstLineChars="200"/>
        <w:rPr>
          <w:rFonts w:hint="eastAsia" w:ascii="宋体" w:hAnsi="宋体" w:cs="宋体"/>
          <w:sz w:val="24"/>
        </w:rPr>
      </w:pPr>
      <w:r>
        <w:rPr>
          <w:rFonts w:hint="eastAsia" w:ascii="宋体" w:hAnsi="宋体" w:cs="宋体"/>
          <w:sz w:val="24"/>
        </w:rPr>
        <w:t>8.3.1磋商小组成员不得收受他人的财物或者其他好处，不得向他人透漏对响应文件的评审和比较、成交候选人的推荐情况以及评标有关的其他情况。在评标活动中，磋商小组成员不得擅离职守，影响评标程序正常进行，不得使用第三章“评标办法”没有规定的评审因素和标准进行评标。</w:t>
      </w:r>
    </w:p>
    <w:p w14:paraId="573E2632">
      <w:pPr>
        <w:spacing w:line="360" w:lineRule="auto"/>
        <w:ind w:firstLine="480" w:firstLineChars="200"/>
        <w:rPr>
          <w:rFonts w:hint="eastAsia" w:ascii="宋体" w:hAnsi="宋体" w:cs="宋体"/>
          <w:sz w:val="24"/>
        </w:rPr>
      </w:pPr>
      <w:r>
        <w:rPr>
          <w:rFonts w:hint="eastAsia" w:ascii="宋体" w:hAnsi="宋体" w:cs="宋体"/>
          <w:sz w:val="24"/>
        </w:rPr>
        <w:t>8.3.2磋商小组及其成员不得有下列行为：</w:t>
      </w:r>
    </w:p>
    <w:p w14:paraId="064C2675">
      <w:pPr>
        <w:spacing w:line="360" w:lineRule="auto"/>
        <w:ind w:firstLine="480" w:firstLineChars="200"/>
        <w:rPr>
          <w:rFonts w:hint="eastAsia" w:ascii="宋体" w:hAnsi="宋体" w:cs="宋体"/>
          <w:sz w:val="24"/>
        </w:rPr>
      </w:pPr>
      <w:r>
        <w:rPr>
          <w:rFonts w:hint="eastAsia" w:ascii="宋体" w:hAnsi="宋体" w:cs="宋体"/>
          <w:sz w:val="24"/>
        </w:rPr>
        <w:t>（一）确定参与评标至评标结束前私自接触供应商；</w:t>
      </w:r>
    </w:p>
    <w:p w14:paraId="326C0543">
      <w:pPr>
        <w:spacing w:line="360" w:lineRule="auto"/>
        <w:ind w:left="540" w:leftChars="200" w:hanging="120" w:hangingChars="50"/>
        <w:rPr>
          <w:rFonts w:hint="eastAsia" w:ascii="宋体" w:hAnsi="宋体" w:cs="宋体"/>
          <w:sz w:val="24"/>
        </w:rPr>
      </w:pPr>
      <w:r>
        <w:rPr>
          <w:rFonts w:hint="eastAsia" w:ascii="宋体" w:hAnsi="宋体" w:cs="宋体"/>
          <w:sz w:val="24"/>
        </w:rPr>
        <w:t>（二）接受供应商提出的与响应文件不一致的澄清或者说明，《政府采购货物和服务采购投标管理办法》（财政部令第87号）第五十一条规定的情形除外；</w:t>
      </w:r>
    </w:p>
    <w:p w14:paraId="75129C00">
      <w:pPr>
        <w:spacing w:line="360" w:lineRule="auto"/>
        <w:ind w:firstLine="480" w:firstLineChars="200"/>
        <w:rPr>
          <w:rFonts w:hint="eastAsia" w:ascii="宋体" w:hAnsi="宋体" w:cs="宋体"/>
          <w:sz w:val="24"/>
        </w:rPr>
      </w:pPr>
      <w:r>
        <w:rPr>
          <w:rFonts w:hint="eastAsia" w:ascii="宋体" w:hAnsi="宋体" w:cs="宋体"/>
          <w:sz w:val="24"/>
        </w:rPr>
        <w:t>（三）违反评标纪律发表倾向性意见或者征询采购人的倾向性意见；</w:t>
      </w:r>
    </w:p>
    <w:p w14:paraId="65F7A2D6">
      <w:pPr>
        <w:spacing w:line="360" w:lineRule="auto"/>
        <w:ind w:firstLine="480" w:firstLineChars="200"/>
        <w:rPr>
          <w:rFonts w:hint="eastAsia" w:ascii="宋体" w:hAnsi="宋体" w:cs="宋体"/>
          <w:sz w:val="24"/>
        </w:rPr>
      </w:pPr>
      <w:r>
        <w:rPr>
          <w:rFonts w:hint="eastAsia" w:ascii="宋体" w:hAnsi="宋体" w:cs="宋体"/>
          <w:sz w:val="24"/>
        </w:rPr>
        <w:t>（四）对需要专业判断的主观评审因素协商评分；</w:t>
      </w:r>
    </w:p>
    <w:p w14:paraId="682EC8E0">
      <w:pPr>
        <w:spacing w:line="360" w:lineRule="auto"/>
        <w:ind w:firstLine="480" w:firstLineChars="200"/>
        <w:rPr>
          <w:rFonts w:hint="eastAsia" w:ascii="宋体" w:hAnsi="宋体" w:cs="宋体"/>
          <w:sz w:val="24"/>
        </w:rPr>
      </w:pPr>
      <w:r>
        <w:rPr>
          <w:rFonts w:hint="eastAsia" w:ascii="宋体" w:hAnsi="宋体" w:cs="宋体"/>
          <w:sz w:val="24"/>
        </w:rPr>
        <w:t>（五）在评标过程中擅离职守，影响评标程序正常进行的；</w:t>
      </w:r>
    </w:p>
    <w:p w14:paraId="65DD311C">
      <w:pPr>
        <w:spacing w:line="360" w:lineRule="auto"/>
        <w:ind w:firstLine="480" w:firstLineChars="200"/>
        <w:rPr>
          <w:rFonts w:hint="eastAsia" w:ascii="宋体" w:hAnsi="宋体" w:cs="宋体"/>
          <w:sz w:val="24"/>
        </w:rPr>
      </w:pPr>
      <w:r>
        <w:rPr>
          <w:rFonts w:hint="eastAsia" w:ascii="宋体" w:hAnsi="宋体" w:cs="宋体"/>
          <w:sz w:val="24"/>
        </w:rPr>
        <w:t>（六）记录、复制或者带走任何评标资料；</w:t>
      </w:r>
    </w:p>
    <w:p w14:paraId="71B1E30C">
      <w:pPr>
        <w:spacing w:line="360" w:lineRule="auto"/>
        <w:ind w:firstLine="480" w:firstLineChars="200"/>
        <w:rPr>
          <w:rFonts w:hint="eastAsia" w:ascii="宋体" w:hAnsi="宋体" w:cs="宋体"/>
          <w:sz w:val="24"/>
        </w:rPr>
      </w:pPr>
      <w:r>
        <w:rPr>
          <w:rFonts w:hint="eastAsia" w:ascii="宋体" w:hAnsi="宋体" w:cs="宋体"/>
          <w:sz w:val="24"/>
        </w:rPr>
        <w:t>（七）其他不遵守评标纪律的行为。</w:t>
      </w:r>
    </w:p>
    <w:p w14:paraId="5060486E">
      <w:pPr>
        <w:pStyle w:val="58"/>
        <w:spacing w:line="360" w:lineRule="auto"/>
        <w:outlineLvl w:val="0"/>
        <w:rPr>
          <w:rFonts w:hint="eastAsia" w:ascii="宋体" w:hAnsi="宋体" w:eastAsia="宋体"/>
          <w:szCs w:val="24"/>
        </w:rPr>
      </w:pPr>
      <w:bookmarkStart w:id="375" w:name="_Toc532034689"/>
      <w:bookmarkStart w:id="376" w:name="_Toc23961"/>
      <w:bookmarkStart w:id="377" w:name="_Toc22906"/>
      <w:bookmarkStart w:id="378" w:name="_Toc152045578"/>
      <w:bookmarkStart w:id="379" w:name="_Toc6665"/>
      <w:bookmarkStart w:id="380" w:name="_Toc152042354"/>
      <w:bookmarkStart w:id="381" w:name="_Toc30034"/>
      <w:bookmarkStart w:id="382" w:name="_Toc144974546"/>
      <w:r>
        <w:rPr>
          <w:rFonts w:hint="eastAsia" w:ascii="宋体" w:hAnsi="宋体" w:eastAsia="宋体"/>
          <w:szCs w:val="24"/>
        </w:rPr>
        <w:t>8.4 对与评标活动有关的工作人员的纪律要求</w:t>
      </w:r>
      <w:bookmarkEnd w:id="375"/>
      <w:bookmarkEnd w:id="376"/>
      <w:bookmarkEnd w:id="377"/>
      <w:bookmarkEnd w:id="378"/>
      <w:bookmarkEnd w:id="379"/>
      <w:bookmarkEnd w:id="380"/>
      <w:bookmarkEnd w:id="381"/>
    </w:p>
    <w:p w14:paraId="18C79495">
      <w:pPr>
        <w:spacing w:line="360" w:lineRule="auto"/>
        <w:ind w:firstLine="480" w:firstLineChars="200"/>
        <w:rPr>
          <w:rFonts w:hint="eastAsia" w:ascii="宋体" w:hAnsi="宋体" w:cs="宋体"/>
          <w:sz w:val="24"/>
        </w:rPr>
      </w:pPr>
      <w:bookmarkStart w:id="383" w:name="_Toc152042355"/>
      <w:r>
        <w:rPr>
          <w:rFonts w:hint="eastAsia" w:ascii="宋体" w:hAnsi="宋体" w:cs="宋体"/>
          <w:sz w:val="24"/>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383"/>
    </w:p>
    <w:p w14:paraId="3B9BCBD4">
      <w:pPr>
        <w:pStyle w:val="56"/>
        <w:spacing w:before="0" w:line="360" w:lineRule="auto"/>
        <w:outlineLvl w:val="0"/>
        <w:rPr>
          <w:rFonts w:hint="eastAsia" w:ascii="宋体" w:hAnsi="宋体"/>
          <w:b/>
          <w:sz w:val="24"/>
          <w:szCs w:val="24"/>
        </w:rPr>
      </w:pPr>
      <w:bookmarkStart w:id="384" w:name="_Toc17141"/>
      <w:bookmarkStart w:id="385" w:name="_Toc20807"/>
      <w:bookmarkStart w:id="386" w:name="_Toc152045579"/>
      <w:bookmarkStart w:id="387" w:name="_Toc532034690"/>
      <w:bookmarkStart w:id="388" w:name="_Toc30295"/>
      <w:bookmarkStart w:id="389" w:name="_Toc2347"/>
      <w:bookmarkStart w:id="390" w:name="_Toc152042356"/>
      <w:r>
        <w:rPr>
          <w:rFonts w:hint="eastAsia" w:ascii="宋体" w:hAnsi="宋体"/>
          <w:b/>
          <w:sz w:val="24"/>
          <w:szCs w:val="24"/>
        </w:rPr>
        <w:t>9. 质疑与投诉</w:t>
      </w:r>
      <w:bookmarkEnd w:id="382"/>
      <w:bookmarkEnd w:id="384"/>
      <w:bookmarkEnd w:id="385"/>
      <w:bookmarkEnd w:id="386"/>
      <w:bookmarkEnd w:id="387"/>
      <w:bookmarkEnd w:id="388"/>
      <w:bookmarkEnd w:id="389"/>
      <w:bookmarkEnd w:id="390"/>
    </w:p>
    <w:p w14:paraId="62E76A97">
      <w:pPr>
        <w:spacing w:line="360" w:lineRule="auto"/>
        <w:ind w:firstLine="480" w:firstLineChars="200"/>
        <w:rPr>
          <w:rFonts w:hint="eastAsia" w:ascii="宋体" w:hAnsi="宋体" w:cs="宋体"/>
          <w:sz w:val="24"/>
        </w:rPr>
      </w:pPr>
      <w:r>
        <w:rPr>
          <w:rFonts w:hint="eastAsia" w:ascii="宋体" w:hAnsi="宋体" w:cs="宋体"/>
          <w:sz w:val="24"/>
        </w:rPr>
        <w:t>9.1政府采购供应商提出质疑和投诉应当坚持依法依规、诚实信用原则。</w:t>
      </w:r>
    </w:p>
    <w:p w14:paraId="62F1163E">
      <w:pPr>
        <w:spacing w:line="360" w:lineRule="auto"/>
        <w:ind w:firstLine="480" w:firstLineChars="200"/>
        <w:rPr>
          <w:rFonts w:hint="eastAsia" w:ascii="宋体" w:hAnsi="宋体" w:cs="宋体"/>
          <w:sz w:val="24"/>
        </w:rPr>
      </w:pPr>
      <w:r>
        <w:rPr>
          <w:rFonts w:hint="eastAsia" w:ascii="宋体" w:hAnsi="宋体" w:cs="宋体"/>
          <w:sz w:val="24"/>
        </w:rPr>
        <w:t>9.2质疑函的接收及回复</w:t>
      </w:r>
    </w:p>
    <w:p w14:paraId="55EF3E3C">
      <w:pPr>
        <w:spacing w:line="360" w:lineRule="auto"/>
        <w:ind w:firstLine="480" w:firstLineChars="200"/>
        <w:rPr>
          <w:rFonts w:hint="eastAsia" w:ascii="宋体" w:hAnsi="宋体" w:cs="宋体"/>
          <w:sz w:val="24"/>
        </w:rPr>
      </w:pPr>
      <w:r>
        <w:rPr>
          <w:rFonts w:hint="eastAsia" w:ascii="宋体" w:hAnsi="宋体" w:cs="宋体"/>
          <w:sz w:val="24"/>
        </w:rPr>
        <w:t>（一）接收质疑函的方式：供应商应在法定质疑期内以书面形式递交至采购人或采购代理机构，并按要求提供质疑函及相关证明材料。</w:t>
      </w:r>
    </w:p>
    <w:p w14:paraId="56336B59">
      <w:pPr>
        <w:spacing w:line="360" w:lineRule="auto"/>
        <w:ind w:firstLine="480" w:firstLineChars="200"/>
        <w:rPr>
          <w:rFonts w:hint="eastAsia" w:ascii="宋体" w:hAnsi="宋体" w:cs="宋体"/>
          <w:sz w:val="24"/>
        </w:rPr>
      </w:pPr>
      <w:r>
        <w:rPr>
          <w:rFonts w:hint="eastAsia" w:ascii="宋体" w:hAnsi="宋体" w:cs="宋体"/>
          <w:sz w:val="24"/>
        </w:rPr>
        <w:t>（二）质疑函接收联系事宜</w:t>
      </w:r>
    </w:p>
    <w:p w14:paraId="0DAA1039">
      <w:pPr>
        <w:spacing w:line="360" w:lineRule="auto"/>
        <w:ind w:firstLine="480" w:firstLineChars="200"/>
        <w:rPr>
          <w:rFonts w:hint="eastAsia" w:ascii="宋体" w:hAnsi="宋体" w:cs="宋体"/>
          <w:sz w:val="24"/>
        </w:rPr>
      </w:pPr>
      <w:r>
        <w:rPr>
          <w:rFonts w:hint="eastAsia" w:ascii="宋体" w:hAnsi="宋体" w:cs="宋体"/>
          <w:sz w:val="24"/>
        </w:rPr>
        <w:t>名称：河南省光大建设管理有限公司</w:t>
      </w:r>
    </w:p>
    <w:p w14:paraId="503D1AD8">
      <w:pPr>
        <w:spacing w:line="360" w:lineRule="auto"/>
        <w:ind w:firstLine="480" w:firstLineChars="200"/>
        <w:rPr>
          <w:rFonts w:hint="eastAsia" w:ascii="宋体" w:hAnsi="宋体" w:cs="宋体"/>
          <w:sz w:val="24"/>
        </w:rPr>
      </w:pPr>
      <w:r>
        <w:rPr>
          <w:rFonts w:hint="eastAsia" w:ascii="宋体" w:hAnsi="宋体" w:cs="宋体"/>
          <w:sz w:val="24"/>
        </w:rPr>
        <w:t>地址：郑州市北三环与中州大道交叉口西500米路北经三名筑9号楼10楼1010室招标代理事务部</w:t>
      </w:r>
    </w:p>
    <w:p w14:paraId="533BBCE4">
      <w:pPr>
        <w:spacing w:line="360" w:lineRule="auto"/>
        <w:ind w:firstLine="480" w:firstLineChars="200"/>
        <w:rPr>
          <w:rFonts w:hint="eastAsia" w:ascii="宋体" w:hAnsi="宋体" w:cs="宋体"/>
          <w:sz w:val="24"/>
        </w:rPr>
      </w:pPr>
      <w:r>
        <w:rPr>
          <w:rFonts w:hint="eastAsia" w:ascii="宋体" w:hAnsi="宋体" w:cs="宋体"/>
          <w:sz w:val="24"/>
        </w:rPr>
        <w:t>联系人：李树芳、朱慧芳</w:t>
      </w:r>
    </w:p>
    <w:p w14:paraId="35CA4A4D">
      <w:pPr>
        <w:spacing w:line="360" w:lineRule="auto"/>
        <w:ind w:firstLine="480" w:firstLineChars="200"/>
        <w:rPr>
          <w:rFonts w:hint="eastAsia" w:ascii="宋体" w:hAnsi="宋体" w:cs="宋体"/>
          <w:sz w:val="24"/>
        </w:rPr>
      </w:pPr>
      <w:r>
        <w:rPr>
          <w:rFonts w:hint="eastAsia" w:ascii="宋体" w:hAnsi="宋体" w:cs="宋体"/>
          <w:sz w:val="24"/>
        </w:rPr>
        <w:t>联系电话：0371-86610696</w:t>
      </w:r>
    </w:p>
    <w:p w14:paraId="2C912CCA">
      <w:pPr>
        <w:spacing w:line="360" w:lineRule="auto"/>
        <w:ind w:firstLine="480" w:firstLineChars="200"/>
        <w:rPr>
          <w:rFonts w:hint="eastAsia" w:ascii="宋体" w:hAnsi="宋体" w:cs="宋体"/>
          <w:sz w:val="24"/>
        </w:rPr>
      </w:pPr>
      <w:r>
        <w:rPr>
          <w:rFonts w:hint="eastAsia" w:ascii="宋体" w:hAnsi="宋体" w:cs="宋体"/>
          <w:sz w:val="24"/>
        </w:rPr>
        <w:t>（三）质疑/异议回复方式：采购人或采购代理机构在规定时间内以书面形式回复供应商。</w:t>
      </w:r>
    </w:p>
    <w:p w14:paraId="586FF96E">
      <w:pPr>
        <w:spacing w:line="360" w:lineRule="auto"/>
        <w:ind w:firstLine="480" w:firstLineChars="200"/>
        <w:rPr>
          <w:rFonts w:hint="eastAsia" w:ascii="宋体" w:hAnsi="宋体" w:cs="宋体"/>
          <w:sz w:val="24"/>
        </w:rPr>
      </w:pPr>
      <w:r>
        <w:rPr>
          <w:rFonts w:hint="eastAsia" w:ascii="宋体" w:hAnsi="宋体" w:cs="宋体"/>
          <w:sz w:val="24"/>
        </w:rPr>
        <w:t>9.3供应商可以委托代理人进行质疑和投诉。其授权委托书应当载明代理人的姓名或者名称、代理事项、具体权限、期限和相关事项。供应商为自然人的，应当由本人签字；供应商为法人或者其他组织的，应当由法定代表人、主要负责人签字或者盖章，并加盖公章。代理人提出质疑和投诉，应当提交供应商签署的授权委托书。</w:t>
      </w:r>
    </w:p>
    <w:p w14:paraId="5AC0C5B4">
      <w:pPr>
        <w:spacing w:line="360" w:lineRule="auto"/>
        <w:ind w:firstLine="480" w:firstLineChars="200"/>
        <w:rPr>
          <w:rFonts w:hint="eastAsia" w:ascii="宋体" w:hAnsi="宋体" w:cs="宋体"/>
          <w:sz w:val="24"/>
        </w:rPr>
      </w:pPr>
      <w:r>
        <w:rPr>
          <w:rFonts w:hint="eastAsia" w:ascii="宋体" w:hAnsi="宋体" w:cs="宋体"/>
          <w:sz w:val="24"/>
        </w:rPr>
        <w:t>9.4以联合体形式参加政府采购活动的，其质疑和投诉应当由组成联合体的所有供应商共同提出。</w:t>
      </w:r>
    </w:p>
    <w:p w14:paraId="306D74F1">
      <w:pPr>
        <w:spacing w:line="360" w:lineRule="auto"/>
        <w:ind w:firstLine="480" w:firstLineChars="200"/>
        <w:rPr>
          <w:rFonts w:hint="eastAsia" w:ascii="宋体" w:hAnsi="宋体" w:cs="宋体"/>
          <w:sz w:val="24"/>
        </w:rPr>
      </w:pPr>
      <w:r>
        <w:rPr>
          <w:rFonts w:hint="eastAsia" w:ascii="宋体" w:hAnsi="宋体" w:cs="宋体"/>
          <w:sz w:val="24"/>
        </w:rPr>
        <w:t>9.5供应商认为磋商文件、采购过程、中标或者成交结果使自己的权益受到损害的，可以在知道或者应知其权益受到损害之日起 7 个工作日内，以书面形式提出质疑；供应商应在法定质疑期内一次性提出针对同一采购程序环节的质疑。</w:t>
      </w:r>
    </w:p>
    <w:p w14:paraId="722C0043">
      <w:pPr>
        <w:spacing w:line="360" w:lineRule="auto"/>
        <w:ind w:firstLine="480" w:firstLineChars="200"/>
        <w:rPr>
          <w:rFonts w:hint="eastAsia" w:ascii="宋体" w:hAnsi="宋体" w:cs="宋体"/>
          <w:sz w:val="24"/>
        </w:rPr>
      </w:pPr>
      <w:r>
        <w:rPr>
          <w:rFonts w:hint="eastAsia" w:ascii="宋体" w:hAnsi="宋体" w:cs="宋体"/>
          <w:sz w:val="24"/>
        </w:rPr>
        <w:t>9.6供应商提出质疑应当提交质疑函和必要的证明材料。质疑函应当包括下列内容：</w:t>
      </w:r>
    </w:p>
    <w:p w14:paraId="1D130BD2">
      <w:pPr>
        <w:spacing w:line="360" w:lineRule="auto"/>
        <w:ind w:firstLine="480" w:firstLineChars="200"/>
        <w:rPr>
          <w:rFonts w:hint="eastAsia" w:ascii="宋体" w:hAnsi="宋体" w:cs="宋体"/>
          <w:sz w:val="24"/>
        </w:rPr>
      </w:pPr>
      <w:r>
        <w:rPr>
          <w:rFonts w:hint="eastAsia" w:ascii="宋体" w:hAnsi="宋体" w:cs="宋体"/>
          <w:sz w:val="24"/>
        </w:rPr>
        <w:t>（一）供应商的姓名或者名称、地址、邮编、联系人及联系电话；</w:t>
      </w:r>
    </w:p>
    <w:p w14:paraId="7EB925F7">
      <w:pPr>
        <w:spacing w:line="360" w:lineRule="auto"/>
        <w:ind w:firstLine="480" w:firstLineChars="200"/>
        <w:rPr>
          <w:rFonts w:hint="eastAsia" w:ascii="宋体" w:hAnsi="宋体" w:cs="宋体"/>
          <w:sz w:val="24"/>
        </w:rPr>
      </w:pPr>
      <w:r>
        <w:rPr>
          <w:rFonts w:hint="eastAsia" w:ascii="宋体" w:hAnsi="宋体" w:cs="宋体"/>
          <w:sz w:val="24"/>
        </w:rPr>
        <w:t>（二）质疑项目的名称、编号；</w:t>
      </w:r>
    </w:p>
    <w:p w14:paraId="1FF27B27">
      <w:pPr>
        <w:spacing w:line="360" w:lineRule="auto"/>
        <w:ind w:firstLine="480" w:firstLineChars="200"/>
        <w:rPr>
          <w:rFonts w:hint="eastAsia" w:ascii="宋体" w:hAnsi="宋体" w:cs="宋体"/>
          <w:sz w:val="24"/>
        </w:rPr>
      </w:pPr>
      <w:r>
        <w:rPr>
          <w:rFonts w:hint="eastAsia" w:ascii="宋体" w:hAnsi="宋体" w:cs="宋体"/>
          <w:sz w:val="24"/>
        </w:rPr>
        <w:t>（三）具体、明确的质疑事项和与质疑事项相关的请求；</w:t>
      </w:r>
    </w:p>
    <w:p w14:paraId="346B5BEA">
      <w:pPr>
        <w:spacing w:line="360" w:lineRule="auto"/>
        <w:ind w:firstLine="480" w:firstLineChars="200"/>
        <w:rPr>
          <w:rFonts w:hint="eastAsia" w:ascii="宋体" w:hAnsi="宋体" w:cs="宋体"/>
          <w:sz w:val="24"/>
        </w:rPr>
      </w:pPr>
      <w:r>
        <w:rPr>
          <w:rFonts w:hint="eastAsia" w:ascii="宋体" w:hAnsi="宋体" w:cs="宋体"/>
          <w:sz w:val="24"/>
        </w:rPr>
        <w:t>（四）事实依据；</w:t>
      </w:r>
    </w:p>
    <w:p w14:paraId="15B1E432">
      <w:pPr>
        <w:spacing w:line="360" w:lineRule="auto"/>
        <w:ind w:firstLine="480" w:firstLineChars="200"/>
        <w:rPr>
          <w:rFonts w:hint="eastAsia" w:ascii="宋体" w:hAnsi="宋体" w:cs="宋体"/>
          <w:sz w:val="24"/>
        </w:rPr>
      </w:pPr>
      <w:r>
        <w:rPr>
          <w:rFonts w:hint="eastAsia" w:ascii="宋体" w:hAnsi="宋体" w:cs="宋体"/>
          <w:sz w:val="24"/>
        </w:rPr>
        <w:t>（五）必要的法律依据；</w:t>
      </w:r>
    </w:p>
    <w:p w14:paraId="648C10E1">
      <w:pPr>
        <w:spacing w:line="360" w:lineRule="auto"/>
        <w:ind w:firstLine="480" w:firstLineChars="200"/>
        <w:rPr>
          <w:rFonts w:hint="eastAsia" w:ascii="宋体" w:hAnsi="宋体" w:cs="宋体"/>
          <w:sz w:val="24"/>
        </w:rPr>
      </w:pPr>
      <w:r>
        <w:rPr>
          <w:rFonts w:hint="eastAsia" w:ascii="宋体" w:hAnsi="宋体" w:cs="宋体"/>
          <w:sz w:val="24"/>
        </w:rPr>
        <w:t>（六）提出质疑的日期。</w:t>
      </w:r>
    </w:p>
    <w:p w14:paraId="6C7062D9">
      <w:pPr>
        <w:spacing w:line="360" w:lineRule="auto"/>
        <w:ind w:firstLine="480" w:firstLineChars="200"/>
        <w:rPr>
          <w:rFonts w:hint="eastAsia" w:ascii="宋体" w:hAnsi="宋体" w:cs="宋体"/>
          <w:sz w:val="24"/>
        </w:rPr>
      </w:pPr>
      <w:r>
        <w:rPr>
          <w:rFonts w:hint="eastAsia" w:ascii="宋体" w:hAnsi="宋体" w:cs="宋体"/>
          <w:sz w:val="24"/>
        </w:rPr>
        <w:t>9.7采购人、采购代理机构不得拒收质疑供应商在法定质疑期内发出的质疑函，应当在收到质疑函后 7 个工作日内作出答复，并以书面形式通知质疑供应商和其他有关供应商。</w:t>
      </w:r>
    </w:p>
    <w:p w14:paraId="2E8D1A3E">
      <w:pPr>
        <w:spacing w:line="360" w:lineRule="auto"/>
        <w:ind w:firstLine="480" w:firstLineChars="200"/>
        <w:rPr>
          <w:rFonts w:hint="eastAsia" w:ascii="宋体" w:hAnsi="宋体" w:cs="宋体"/>
          <w:sz w:val="24"/>
        </w:rPr>
      </w:pPr>
      <w:r>
        <w:rPr>
          <w:rFonts w:hint="eastAsia" w:ascii="宋体" w:hAnsi="宋体" w:cs="宋体"/>
          <w:sz w:val="24"/>
        </w:rPr>
        <w:t>9.8质疑供应商对采购人、采购代理机构的答复不满意，或者采购人、采购代理机构未在规定时间内作出答复的，可以在答复期满后 15 个工作日内向监督部门提起投诉。</w:t>
      </w:r>
    </w:p>
    <w:p w14:paraId="7634764A">
      <w:pPr>
        <w:spacing w:line="360" w:lineRule="auto"/>
        <w:ind w:firstLine="480" w:firstLineChars="200"/>
        <w:rPr>
          <w:rFonts w:hint="eastAsia" w:ascii="宋体" w:hAnsi="宋体" w:cs="宋体"/>
          <w:sz w:val="24"/>
        </w:rPr>
      </w:pPr>
      <w:r>
        <w:rPr>
          <w:rFonts w:hint="eastAsia" w:ascii="宋体" w:hAnsi="宋体" w:cs="宋体"/>
          <w:sz w:val="24"/>
        </w:rPr>
        <w:t>9.9投诉人在全国范围 12 个月内三次以上投诉查无实据的，由财政部门列入不良行为记录名单，投诉人有下列行为之一的，属于虚假、恶意投诉，由财政部门列入不良行为记录名单，禁止其1 至 3 年内参加政府采购活动：</w:t>
      </w:r>
    </w:p>
    <w:p w14:paraId="55AAF6CF">
      <w:pPr>
        <w:spacing w:line="360" w:lineRule="auto"/>
        <w:ind w:firstLine="480" w:firstLineChars="200"/>
        <w:rPr>
          <w:rFonts w:hint="eastAsia" w:ascii="宋体" w:hAnsi="宋体" w:cs="宋体"/>
          <w:sz w:val="24"/>
        </w:rPr>
      </w:pPr>
      <w:r>
        <w:rPr>
          <w:rFonts w:hint="eastAsia" w:ascii="宋体" w:hAnsi="宋体" w:cs="宋体"/>
          <w:sz w:val="24"/>
        </w:rPr>
        <w:t>（一）捏造事实；</w:t>
      </w:r>
    </w:p>
    <w:p w14:paraId="1ACB3BD8">
      <w:pPr>
        <w:spacing w:line="360" w:lineRule="auto"/>
        <w:ind w:firstLine="480" w:firstLineChars="200"/>
        <w:rPr>
          <w:rFonts w:hint="eastAsia" w:ascii="宋体" w:hAnsi="宋体" w:cs="宋体"/>
          <w:sz w:val="24"/>
        </w:rPr>
      </w:pPr>
      <w:r>
        <w:rPr>
          <w:rFonts w:hint="eastAsia" w:ascii="宋体" w:hAnsi="宋体" w:cs="宋体"/>
          <w:sz w:val="24"/>
        </w:rPr>
        <w:t>（二）提供虚假材料；</w:t>
      </w:r>
    </w:p>
    <w:p w14:paraId="01C37C61">
      <w:pPr>
        <w:spacing w:line="360" w:lineRule="auto"/>
        <w:ind w:firstLine="480" w:firstLineChars="200"/>
        <w:rPr>
          <w:rFonts w:hint="eastAsia" w:ascii="宋体" w:hAnsi="宋体" w:cs="宋体"/>
          <w:sz w:val="24"/>
        </w:rPr>
      </w:pPr>
      <w:r>
        <w:rPr>
          <w:rFonts w:hint="eastAsia" w:ascii="宋体" w:hAnsi="宋体" w:cs="宋体"/>
          <w:sz w:val="24"/>
        </w:rPr>
        <w:t>（三）以非法手段取得证明材料。证据来源的合法性存在明显疑问，投诉人无法证明其取得方式合法的，视为以非法手段取得证明材料。</w:t>
      </w:r>
    </w:p>
    <w:p w14:paraId="43873D7A">
      <w:pPr>
        <w:pStyle w:val="56"/>
        <w:spacing w:before="0" w:line="360" w:lineRule="auto"/>
        <w:outlineLvl w:val="0"/>
        <w:rPr>
          <w:rFonts w:hint="eastAsia" w:ascii="宋体" w:hAnsi="宋体"/>
          <w:b/>
          <w:sz w:val="24"/>
          <w:szCs w:val="24"/>
        </w:rPr>
      </w:pPr>
      <w:bookmarkStart w:id="391" w:name="_Toc144974547"/>
      <w:bookmarkStart w:id="392" w:name="_Toc152042357"/>
      <w:bookmarkStart w:id="393" w:name="_Toc23296"/>
      <w:bookmarkStart w:id="394" w:name="_Toc31751"/>
      <w:bookmarkStart w:id="395" w:name="_Toc152045580"/>
      <w:bookmarkStart w:id="396" w:name="_Toc30175"/>
      <w:r>
        <w:rPr>
          <w:rFonts w:hint="eastAsia" w:ascii="宋体" w:hAnsi="宋体"/>
          <w:b/>
          <w:sz w:val="24"/>
          <w:szCs w:val="24"/>
        </w:rPr>
        <w:t>10. 需要补充的其他内容</w:t>
      </w:r>
      <w:bookmarkEnd w:id="391"/>
      <w:bookmarkEnd w:id="392"/>
      <w:bookmarkEnd w:id="393"/>
      <w:bookmarkEnd w:id="394"/>
      <w:bookmarkEnd w:id="395"/>
      <w:bookmarkEnd w:id="396"/>
    </w:p>
    <w:p w14:paraId="364E398E">
      <w:pPr>
        <w:spacing w:line="360" w:lineRule="auto"/>
        <w:ind w:firstLine="480" w:firstLineChars="200"/>
        <w:rPr>
          <w:rFonts w:hint="eastAsia" w:ascii="宋体" w:hAnsi="宋体" w:cs="宋体"/>
          <w:sz w:val="24"/>
        </w:rPr>
      </w:pPr>
      <w:r>
        <w:rPr>
          <w:rFonts w:hint="eastAsia" w:ascii="宋体" w:hAnsi="宋体" w:cs="宋体"/>
          <w:sz w:val="24"/>
        </w:rPr>
        <w:t>需要补充的其他内容：见供应商须知前附表。</w:t>
      </w:r>
    </w:p>
    <w:p w14:paraId="7202CAF5">
      <w:pPr>
        <w:pStyle w:val="51"/>
        <w:spacing w:line="360" w:lineRule="auto"/>
        <w:ind w:firstLine="420"/>
        <w:rPr>
          <w:rFonts w:hint="eastAsia" w:hAnsi="宋体"/>
          <w:color w:val="auto"/>
        </w:rPr>
      </w:pPr>
    </w:p>
    <w:p w14:paraId="7031190E">
      <w:pPr>
        <w:rPr>
          <w:rFonts w:hint="eastAsia" w:ascii="宋体" w:hAnsi="宋体" w:cs="宋体"/>
          <w:sz w:val="24"/>
        </w:rPr>
      </w:pPr>
      <w:r>
        <w:rPr>
          <w:rFonts w:hint="eastAsia" w:ascii="宋体" w:hAnsi="宋体" w:cs="宋体"/>
          <w:sz w:val="24"/>
        </w:rPr>
        <w:br w:type="page"/>
      </w:r>
    </w:p>
    <w:p w14:paraId="269B1843">
      <w:pPr>
        <w:pStyle w:val="2"/>
        <w:spacing w:before="120" w:after="120" w:line="500" w:lineRule="exact"/>
        <w:jc w:val="center"/>
        <w:rPr>
          <w:rFonts w:hint="eastAsia" w:ascii="宋体" w:hAnsi="宋体" w:cs="宋体"/>
          <w:sz w:val="10"/>
          <w:szCs w:val="10"/>
        </w:rPr>
      </w:pPr>
      <w:bookmarkStart w:id="397" w:name="_Toc20448"/>
      <w:bookmarkStart w:id="398" w:name="_Toc144974565"/>
      <w:bookmarkStart w:id="399" w:name="_Toc152045598"/>
      <w:bookmarkStart w:id="400" w:name="_Toc152042375"/>
      <w:r>
        <w:rPr>
          <w:rFonts w:hint="eastAsia" w:ascii="宋体" w:hAnsi="宋体" w:cs="宋体"/>
          <w:sz w:val="32"/>
        </w:rPr>
        <w:t>第三章 评标办法</w:t>
      </w:r>
      <w:bookmarkEnd w:id="397"/>
      <w:bookmarkEnd w:id="398"/>
      <w:bookmarkEnd w:id="399"/>
      <w:bookmarkEnd w:id="400"/>
    </w:p>
    <w:p w14:paraId="26FE84A7">
      <w:pPr>
        <w:spacing w:line="320" w:lineRule="exact"/>
        <w:jc w:val="center"/>
        <w:rPr>
          <w:rFonts w:hint="eastAsia" w:ascii="宋体" w:hAnsi="宋体" w:cs="宋体"/>
          <w:b/>
          <w:bCs/>
          <w:sz w:val="28"/>
          <w:szCs w:val="28"/>
        </w:rPr>
      </w:pPr>
      <w:r>
        <w:rPr>
          <w:rFonts w:hint="eastAsia" w:ascii="宋体" w:hAnsi="宋体" w:cs="宋体"/>
          <w:b/>
          <w:bCs/>
          <w:sz w:val="28"/>
          <w:szCs w:val="28"/>
        </w:rPr>
        <w:t>评标办法前附表</w:t>
      </w:r>
      <w:bookmarkStart w:id="401" w:name="_Toc350881051"/>
      <w:bookmarkStart w:id="402" w:name="_Toc26261451"/>
      <w:bookmarkStart w:id="403" w:name="_Toc120416258"/>
      <w:bookmarkStart w:id="404" w:name="_Toc25726404"/>
      <w:bookmarkStart w:id="405" w:name="_Toc25037540"/>
      <w:bookmarkStart w:id="406" w:name="_Toc130028398"/>
      <w:bookmarkStart w:id="407" w:name="_Toc138753174"/>
    </w:p>
    <w:tbl>
      <w:tblPr>
        <w:tblStyle w:val="30"/>
        <w:tblW w:w="10600"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293"/>
        <w:gridCol w:w="2118"/>
        <w:gridCol w:w="6289"/>
      </w:tblGrid>
      <w:tr w14:paraId="3280286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PrEx>
        <w:trPr>
          <w:trHeight w:val="570" w:hRule="atLeast"/>
          <w:jc w:val="center"/>
        </w:trPr>
        <w:tc>
          <w:tcPr>
            <w:tcW w:w="2193" w:type="dxa"/>
            <w:gridSpan w:val="2"/>
            <w:tcBorders>
              <w:top w:val="single" w:color="auto" w:sz="4" w:space="0"/>
              <w:left w:val="single" w:color="auto" w:sz="4" w:space="0"/>
            </w:tcBorders>
            <w:vAlign w:val="center"/>
          </w:tcPr>
          <w:p w14:paraId="0D33CAFF">
            <w:pPr>
              <w:spacing w:line="440" w:lineRule="exact"/>
              <w:jc w:val="center"/>
              <w:rPr>
                <w:rFonts w:hint="eastAsia" w:ascii="宋体" w:hAnsi="宋体" w:cs="宋体"/>
                <w:b/>
                <w:sz w:val="24"/>
              </w:rPr>
            </w:pPr>
            <w:r>
              <w:rPr>
                <w:rFonts w:hint="eastAsia" w:ascii="宋体" w:hAnsi="宋体" w:cs="宋体"/>
                <w:b/>
                <w:sz w:val="24"/>
              </w:rPr>
              <w:t>条款号</w:t>
            </w:r>
          </w:p>
        </w:tc>
        <w:tc>
          <w:tcPr>
            <w:tcW w:w="2118" w:type="dxa"/>
            <w:tcBorders>
              <w:top w:val="single" w:color="auto" w:sz="4" w:space="0"/>
            </w:tcBorders>
            <w:vAlign w:val="center"/>
          </w:tcPr>
          <w:p w14:paraId="16FF4153">
            <w:pPr>
              <w:spacing w:line="440" w:lineRule="exact"/>
              <w:jc w:val="center"/>
              <w:rPr>
                <w:rFonts w:hint="eastAsia" w:ascii="宋体" w:hAnsi="宋体" w:cs="宋体"/>
                <w:b/>
                <w:sz w:val="24"/>
              </w:rPr>
            </w:pPr>
            <w:r>
              <w:rPr>
                <w:rFonts w:hint="eastAsia" w:ascii="宋体" w:hAnsi="宋体" w:cs="宋体"/>
                <w:b/>
                <w:sz w:val="24"/>
              </w:rPr>
              <w:t>评审因素</w:t>
            </w:r>
          </w:p>
        </w:tc>
        <w:tc>
          <w:tcPr>
            <w:tcW w:w="6289" w:type="dxa"/>
            <w:tcBorders>
              <w:top w:val="single" w:color="auto" w:sz="4" w:space="0"/>
              <w:right w:val="single" w:color="auto" w:sz="4" w:space="0"/>
            </w:tcBorders>
            <w:vAlign w:val="center"/>
          </w:tcPr>
          <w:p w14:paraId="5979D8D4">
            <w:pPr>
              <w:spacing w:line="440" w:lineRule="exact"/>
              <w:jc w:val="center"/>
              <w:rPr>
                <w:rFonts w:hint="eastAsia" w:ascii="宋体" w:hAnsi="宋体" w:cs="宋体"/>
                <w:b/>
                <w:sz w:val="24"/>
              </w:rPr>
            </w:pPr>
            <w:r>
              <w:rPr>
                <w:rFonts w:hint="eastAsia" w:ascii="宋体" w:hAnsi="宋体" w:cs="宋体"/>
                <w:b/>
                <w:sz w:val="24"/>
              </w:rPr>
              <w:t>评审标准</w:t>
            </w:r>
          </w:p>
        </w:tc>
      </w:tr>
      <w:tr w14:paraId="6E5383C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restart"/>
            <w:tcBorders>
              <w:left w:val="single" w:color="auto" w:sz="4" w:space="0"/>
            </w:tcBorders>
            <w:vAlign w:val="center"/>
          </w:tcPr>
          <w:p w14:paraId="799A42F7">
            <w:pPr>
              <w:spacing w:line="440" w:lineRule="exact"/>
              <w:jc w:val="center"/>
              <w:rPr>
                <w:rFonts w:hint="eastAsia" w:ascii="宋体" w:hAnsi="宋体" w:cs="宋体"/>
                <w:sz w:val="24"/>
              </w:rPr>
            </w:pPr>
            <w:r>
              <w:rPr>
                <w:rFonts w:hint="eastAsia" w:ascii="宋体" w:hAnsi="宋体" w:cs="宋体"/>
                <w:sz w:val="24"/>
              </w:rPr>
              <w:t>2.1.1</w:t>
            </w:r>
          </w:p>
        </w:tc>
        <w:tc>
          <w:tcPr>
            <w:tcW w:w="1293" w:type="dxa"/>
            <w:vMerge w:val="restart"/>
            <w:vAlign w:val="center"/>
          </w:tcPr>
          <w:p w14:paraId="2E07F83D">
            <w:pPr>
              <w:spacing w:line="440" w:lineRule="exact"/>
              <w:jc w:val="center"/>
              <w:rPr>
                <w:rFonts w:hint="eastAsia" w:ascii="宋体" w:hAnsi="宋体" w:cs="宋体"/>
                <w:sz w:val="24"/>
              </w:rPr>
            </w:pPr>
            <w:r>
              <w:rPr>
                <w:rFonts w:hint="eastAsia" w:ascii="宋体" w:hAnsi="宋体" w:cs="宋体"/>
                <w:sz w:val="24"/>
              </w:rPr>
              <w:t>形式评审标准</w:t>
            </w:r>
          </w:p>
        </w:tc>
        <w:tc>
          <w:tcPr>
            <w:tcW w:w="2118" w:type="dxa"/>
            <w:vAlign w:val="center"/>
          </w:tcPr>
          <w:p w14:paraId="02CB1567">
            <w:pPr>
              <w:spacing w:before="78" w:beforeLines="25" w:after="78" w:afterLines="25"/>
              <w:jc w:val="center"/>
              <w:rPr>
                <w:rFonts w:hint="eastAsia" w:ascii="宋体" w:hAnsi="宋体" w:cs="宋体"/>
                <w:sz w:val="24"/>
              </w:rPr>
            </w:pPr>
            <w:r>
              <w:rPr>
                <w:rFonts w:hint="eastAsia" w:ascii="宋体" w:hAnsi="宋体" w:cs="宋体"/>
                <w:sz w:val="24"/>
              </w:rPr>
              <w:t>标书雷同性分析</w:t>
            </w:r>
          </w:p>
        </w:tc>
        <w:tc>
          <w:tcPr>
            <w:tcW w:w="6289" w:type="dxa"/>
            <w:tcBorders>
              <w:right w:val="single" w:color="auto" w:sz="4" w:space="0"/>
            </w:tcBorders>
            <w:vAlign w:val="center"/>
          </w:tcPr>
          <w:p w14:paraId="4400D0B5">
            <w:pPr>
              <w:spacing w:before="78" w:beforeLines="25" w:after="78" w:afterLines="25"/>
              <w:rPr>
                <w:rFonts w:hint="eastAsia" w:ascii="宋体" w:hAnsi="宋体" w:cs="宋体"/>
                <w:sz w:val="24"/>
              </w:rPr>
            </w:pPr>
            <w:r>
              <w:rPr>
                <w:rFonts w:hint="eastAsia" w:ascii="宋体" w:hAnsi="宋体" w:cs="宋体"/>
                <w:sz w:val="24"/>
              </w:rPr>
              <w:t>投标（响应）文件制作机器码不能一致</w:t>
            </w:r>
          </w:p>
        </w:tc>
      </w:tr>
      <w:tr w14:paraId="5E142A8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tcBorders>
            <w:vAlign w:val="center"/>
          </w:tcPr>
          <w:p w14:paraId="14F23EFC">
            <w:pPr>
              <w:spacing w:line="440" w:lineRule="exact"/>
              <w:jc w:val="center"/>
              <w:rPr>
                <w:rFonts w:hint="eastAsia" w:ascii="宋体" w:hAnsi="宋体" w:cs="宋体"/>
                <w:sz w:val="24"/>
              </w:rPr>
            </w:pPr>
          </w:p>
        </w:tc>
        <w:tc>
          <w:tcPr>
            <w:tcW w:w="1293" w:type="dxa"/>
            <w:vMerge w:val="continue"/>
            <w:vAlign w:val="center"/>
          </w:tcPr>
          <w:p w14:paraId="2C67021F">
            <w:pPr>
              <w:spacing w:line="440" w:lineRule="exact"/>
              <w:jc w:val="center"/>
              <w:rPr>
                <w:rFonts w:hint="eastAsia" w:ascii="宋体" w:hAnsi="宋体" w:cs="宋体"/>
                <w:sz w:val="24"/>
              </w:rPr>
            </w:pPr>
          </w:p>
        </w:tc>
        <w:tc>
          <w:tcPr>
            <w:tcW w:w="2118" w:type="dxa"/>
            <w:vAlign w:val="center"/>
          </w:tcPr>
          <w:p w14:paraId="06C91810">
            <w:pPr>
              <w:spacing w:line="440" w:lineRule="exact"/>
              <w:jc w:val="center"/>
              <w:rPr>
                <w:rFonts w:hint="eastAsia" w:ascii="宋体" w:hAnsi="宋体" w:cs="宋体"/>
                <w:sz w:val="24"/>
              </w:rPr>
            </w:pPr>
            <w:r>
              <w:rPr>
                <w:rFonts w:hint="eastAsia" w:ascii="宋体" w:hAnsi="宋体" w:cs="宋体"/>
                <w:sz w:val="24"/>
              </w:rPr>
              <w:t>供应商名称</w:t>
            </w:r>
          </w:p>
        </w:tc>
        <w:tc>
          <w:tcPr>
            <w:tcW w:w="6289" w:type="dxa"/>
            <w:tcBorders>
              <w:right w:val="single" w:color="auto" w:sz="4" w:space="0"/>
            </w:tcBorders>
            <w:vAlign w:val="center"/>
          </w:tcPr>
          <w:p w14:paraId="6BACC526">
            <w:pPr>
              <w:spacing w:line="440" w:lineRule="exact"/>
              <w:jc w:val="left"/>
              <w:rPr>
                <w:rFonts w:hint="eastAsia" w:ascii="宋体" w:hAnsi="宋体" w:cs="宋体"/>
                <w:sz w:val="24"/>
              </w:rPr>
            </w:pPr>
            <w:r>
              <w:rPr>
                <w:rFonts w:hint="eastAsia" w:ascii="宋体" w:hAnsi="宋体" w:cs="宋体"/>
                <w:sz w:val="24"/>
              </w:rPr>
              <w:t>与营业执照或其他组织证明材料名称一致</w:t>
            </w:r>
          </w:p>
        </w:tc>
      </w:tr>
      <w:tr w14:paraId="6A0FFF7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tcBorders>
            <w:vAlign w:val="center"/>
          </w:tcPr>
          <w:p w14:paraId="46AF7FB0">
            <w:pPr>
              <w:spacing w:line="440" w:lineRule="exact"/>
              <w:jc w:val="center"/>
              <w:rPr>
                <w:rFonts w:hint="eastAsia" w:ascii="宋体" w:hAnsi="宋体" w:cs="宋体"/>
                <w:sz w:val="24"/>
              </w:rPr>
            </w:pPr>
          </w:p>
        </w:tc>
        <w:tc>
          <w:tcPr>
            <w:tcW w:w="1293" w:type="dxa"/>
            <w:vMerge w:val="continue"/>
            <w:vAlign w:val="center"/>
          </w:tcPr>
          <w:p w14:paraId="55C26132">
            <w:pPr>
              <w:spacing w:line="440" w:lineRule="exact"/>
              <w:jc w:val="center"/>
              <w:rPr>
                <w:rFonts w:hint="eastAsia" w:ascii="宋体" w:hAnsi="宋体" w:cs="宋体"/>
                <w:sz w:val="24"/>
              </w:rPr>
            </w:pPr>
          </w:p>
        </w:tc>
        <w:tc>
          <w:tcPr>
            <w:tcW w:w="2118" w:type="dxa"/>
            <w:vAlign w:val="center"/>
          </w:tcPr>
          <w:p w14:paraId="1D17A856">
            <w:pPr>
              <w:spacing w:line="400" w:lineRule="exact"/>
              <w:jc w:val="center"/>
              <w:rPr>
                <w:rFonts w:hint="eastAsia" w:ascii="宋体" w:hAnsi="宋体" w:cs="宋体"/>
                <w:sz w:val="24"/>
              </w:rPr>
            </w:pPr>
            <w:r>
              <w:rPr>
                <w:rFonts w:hint="eastAsia" w:ascii="宋体" w:hAnsi="宋体" w:cs="宋体"/>
                <w:sz w:val="24"/>
              </w:rPr>
              <w:t>响应文件签署、盖章</w:t>
            </w:r>
          </w:p>
        </w:tc>
        <w:tc>
          <w:tcPr>
            <w:tcW w:w="6289" w:type="dxa"/>
            <w:tcBorders>
              <w:right w:val="single" w:color="auto" w:sz="4" w:space="0"/>
            </w:tcBorders>
            <w:vAlign w:val="center"/>
          </w:tcPr>
          <w:p w14:paraId="2FA1B7AC">
            <w:pPr>
              <w:spacing w:line="400" w:lineRule="exact"/>
              <w:jc w:val="left"/>
              <w:rPr>
                <w:rFonts w:hint="eastAsia" w:ascii="宋体" w:hAnsi="宋体" w:cs="宋体"/>
                <w:sz w:val="24"/>
              </w:rPr>
            </w:pPr>
            <w:r>
              <w:rPr>
                <w:rFonts w:hint="eastAsia" w:ascii="宋体" w:hAnsi="宋体" w:cs="宋体"/>
                <w:sz w:val="24"/>
              </w:rPr>
              <w:t>符合磋商文件规定</w:t>
            </w:r>
          </w:p>
        </w:tc>
      </w:tr>
      <w:tr w14:paraId="569973F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tcBorders>
            <w:vAlign w:val="center"/>
          </w:tcPr>
          <w:p w14:paraId="02C7C0F0">
            <w:pPr>
              <w:spacing w:line="440" w:lineRule="exact"/>
              <w:jc w:val="center"/>
              <w:rPr>
                <w:rFonts w:hint="eastAsia" w:ascii="宋体" w:hAnsi="宋体" w:cs="宋体"/>
                <w:sz w:val="24"/>
              </w:rPr>
            </w:pPr>
          </w:p>
        </w:tc>
        <w:tc>
          <w:tcPr>
            <w:tcW w:w="1293" w:type="dxa"/>
            <w:vMerge w:val="continue"/>
            <w:vAlign w:val="center"/>
          </w:tcPr>
          <w:p w14:paraId="444168B7">
            <w:pPr>
              <w:spacing w:line="440" w:lineRule="exact"/>
              <w:jc w:val="center"/>
              <w:rPr>
                <w:rFonts w:hint="eastAsia" w:ascii="宋体" w:hAnsi="宋体" w:cs="宋体"/>
                <w:sz w:val="24"/>
              </w:rPr>
            </w:pPr>
          </w:p>
        </w:tc>
        <w:tc>
          <w:tcPr>
            <w:tcW w:w="2118" w:type="dxa"/>
            <w:vAlign w:val="center"/>
          </w:tcPr>
          <w:p w14:paraId="1C5B10CC">
            <w:pPr>
              <w:spacing w:line="440" w:lineRule="exact"/>
              <w:jc w:val="center"/>
              <w:rPr>
                <w:rFonts w:hint="eastAsia" w:ascii="宋体" w:hAnsi="宋体" w:cs="宋体"/>
                <w:sz w:val="24"/>
              </w:rPr>
            </w:pPr>
            <w:r>
              <w:rPr>
                <w:rFonts w:hint="eastAsia" w:ascii="宋体" w:hAnsi="宋体" w:cs="宋体"/>
                <w:sz w:val="24"/>
              </w:rPr>
              <w:t>报价唯一</w:t>
            </w:r>
          </w:p>
        </w:tc>
        <w:tc>
          <w:tcPr>
            <w:tcW w:w="6289" w:type="dxa"/>
            <w:tcBorders>
              <w:right w:val="single" w:color="auto" w:sz="4" w:space="0"/>
            </w:tcBorders>
            <w:vAlign w:val="center"/>
          </w:tcPr>
          <w:p w14:paraId="6CA02432">
            <w:pPr>
              <w:spacing w:line="440" w:lineRule="exact"/>
              <w:jc w:val="left"/>
              <w:rPr>
                <w:rFonts w:hint="eastAsia" w:ascii="宋体" w:hAnsi="宋体" w:cs="宋体"/>
                <w:sz w:val="24"/>
              </w:rPr>
            </w:pPr>
            <w:r>
              <w:rPr>
                <w:rFonts w:hint="eastAsia" w:ascii="宋体" w:hAnsi="宋体" w:cs="宋体"/>
                <w:sz w:val="24"/>
              </w:rPr>
              <w:t>只能有一个有效报价</w:t>
            </w:r>
          </w:p>
        </w:tc>
      </w:tr>
      <w:tr w14:paraId="5F5C396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restart"/>
            <w:tcBorders>
              <w:left w:val="single" w:color="auto" w:sz="4" w:space="0"/>
            </w:tcBorders>
            <w:vAlign w:val="center"/>
          </w:tcPr>
          <w:p w14:paraId="5801E666">
            <w:pPr>
              <w:spacing w:line="440" w:lineRule="exact"/>
              <w:jc w:val="center"/>
              <w:rPr>
                <w:rFonts w:hint="eastAsia" w:ascii="宋体" w:hAnsi="宋体" w:cs="宋体"/>
                <w:sz w:val="24"/>
              </w:rPr>
            </w:pPr>
            <w:r>
              <w:rPr>
                <w:rFonts w:hint="eastAsia" w:ascii="宋体" w:hAnsi="宋体" w:cs="宋体"/>
                <w:sz w:val="24"/>
              </w:rPr>
              <w:t>2.1.2</w:t>
            </w:r>
          </w:p>
        </w:tc>
        <w:tc>
          <w:tcPr>
            <w:tcW w:w="1293" w:type="dxa"/>
            <w:vMerge w:val="restart"/>
            <w:vAlign w:val="center"/>
          </w:tcPr>
          <w:p w14:paraId="5BF0CEF0">
            <w:pPr>
              <w:spacing w:line="440" w:lineRule="exact"/>
              <w:jc w:val="center"/>
              <w:rPr>
                <w:rFonts w:hint="eastAsia" w:ascii="宋体" w:hAnsi="宋体" w:cs="宋体"/>
                <w:sz w:val="24"/>
              </w:rPr>
            </w:pPr>
            <w:r>
              <w:rPr>
                <w:rFonts w:hint="eastAsia" w:ascii="宋体" w:hAnsi="宋体" w:cs="宋体"/>
                <w:sz w:val="24"/>
              </w:rPr>
              <w:t>资格评审标准</w:t>
            </w:r>
          </w:p>
        </w:tc>
        <w:tc>
          <w:tcPr>
            <w:tcW w:w="2118" w:type="dxa"/>
            <w:tcBorders>
              <w:bottom w:val="single" w:color="auto" w:sz="4" w:space="0"/>
            </w:tcBorders>
            <w:vAlign w:val="center"/>
          </w:tcPr>
          <w:p w14:paraId="403FBF01">
            <w:pPr>
              <w:spacing w:line="440" w:lineRule="exact"/>
              <w:jc w:val="center"/>
              <w:rPr>
                <w:rFonts w:hint="eastAsia" w:ascii="宋体" w:hAnsi="宋体" w:cs="宋体"/>
                <w:sz w:val="24"/>
              </w:rPr>
            </w:pPr>
            <w:r>
              <w:rPr>
                <w:rFonts w:hint="eastAsia" w:ascii="宋体" w:hAnsi="宋体" w:cs="宋体"/>
                <w:sz w:val="24"/>
              </w:rPr>
              <w:t>具有独立承担民事责任的能力</w:t>
            </w:r>
          </w:p>
        </w:tc>
        <w:tc>
          <w:tcPr>
            <w:tcW w:w="6289" w:type="dxa"/>
            <w:tcBorders>
              <w:bottom w:val="single" w:color="auto" w:sz="4" w:space="0"/>
              <w:right w:val="single" w:color="auto" w:sz="4" w:space="0"/>
            </w:tcBorders>
            <w:vAlign w:val="center"/>
          </w:tcPr>
          <w:p w14:paraId="688F5FD4">
            <w:pPr>
              <w:spacing w:line="440" w:lineRule="exact"/>
              <w:jc w:val="left"/>
              <w:rPr>
                <w:rFonts w:hint="eastAsia" w:ascii="宋体" w:hAnsi="宋体" w:cs="宋体"/>
                <w:sz w:val="24"/>
              </w:rPr>
            </w:pPr>
            <w:r>
              <w:rPr>
                <w:rFonts w:hint="eastAsia" w:ascii="宋体" w:hAnsi="宋体" w:cs="宋体"/>
                <w:sz w:val="24"/>
              </w:rPr>
              <w:t>在中华人民共和国境内具备履行合同所必需的设备和专业技术能力的法人或者其他组织或自然人，提供有效的营业执照或相关的证明文件</w:t>
            </w:r>
          </w:p>
        </w:tc>
      </w:tr>
      <w:tr w14:paraId="28129B4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tcBorders>
            <w:vAlign w:val="center"/>
          </w:tcPr>
          <w:p w14:paraId="7012379F">
            <w:pPr>
              <w:spacing w:line="440" w:lineRule="exact"/>
              <w:jc w:val="center"/>
              <w:rPr>
                <w:rFonts w:hint="eastAsia" w:ascii="宋体" w:hAnsi="宋体" w:cs="宋体"/>
                <w:sz w:val="24"/>
              </w:rPr>
            </w:pPr>
          </w:p>
        </w:tc>
        <w:tc>
          <w:tcPr>
            <w:tcW w:w="1293" w:type="dxa"/>
            <w:vMerge w:val="continue"/>
            <w:vAlign w:val="center"/>
          </w:tcPr>
          <w:p w14:paraId="05ECB27F">
            <w:pPr>
              <w:spacing w:line="440" w:lineRule="exact"/>
              <w:jc w:val="center"/>
              <w:rPr>
                <w:rFonts w:hint="eastAsia" w:ascii="宋体" w:hAnsi="宋体" w:cs="宋体"/>
                <w:sz w:val="24"/>
              </w:rPr>
            </w:pPr>
          </w:p>
        </w:tc>
        <w:tc>
          <w:tcPr>
            <w:tcW w:w="2118" w:type="dxa"/>
            <w:tcBorders>
              <w:bottom w:val="single" w:color="auto" w:sz="4" w:space="0"/>
            </w:tcBorders>
            <w:vAlign w:val="center"/>
          </w:tcPr>
          <w:p w14:paraId="64885C9F">
            <w:pPr>
              <w:spacing w:line="360" w:lineRule="auto"/>
              <w:ind w:firstLine="67" w:firstLineChars="28"/>
              <w:jc w:val="center"/>
              <w:rPr>
                <w:rFonts w:hint="eastAsia" w:ascii="宋体" w:hAnsi="宋体" w:cs="宋体"/>
                <w:sz w:val="24"/>
              </w:rPr>
            </w:pPr>
            <w:r>
              <w:rPr>
                <w:rFonts w:hint="eastAsia" w:ascii="宋体" w:hAnsi="宋体" w:cs="宋体"/>
                <w:sz w:val="24"/>
              </w:rPr>
              <w:t>具有良好的商业信誉和健全的财务会计制度</w:t>
            </w:r>
          </w:p>
        </w:tc>
        <w:tc>
          <w:tcPr>
            <w:tcW w:w="6289" w:type="dxa"/>
            <w:tcBorders>
              <w:bottom w:val="single" w:color="auto" w:sz="4" w:space="0"/>
              <w:right w:val="single" w:color="auto" w:sz="4" w:space="0"/>
            </w:tcBorders>
            <w:vAlign w:val="center"/>
          </w:tcPr>
          <w:p w14:paraId="5E561939">
            <w:pPr>
              <w:spacing w:line="360" w:lineRule="auto"/>
              <w:jc w:val="left"/>
              <w:rPr>
                <w:rFonts w:hint="eastAsia" w:ascii="宋体" w:hAnsi="宋体" w:cs="宋体"/>
                <w:sz w:val="24"/>
              </w:rPr>
            </w:pPr>
            <w:r>
              <w:rPr>
                <w:rFonts w:hint="eastAsia" w:ascii="宋体" w:hAnsi="宋体" w:cs="宋体"/>
                <w:sz w:val="24"/>
              </w:rPr>
              <w:t>提供2025年度财务审计报告，新成立不足一年的供应商若无审计报告的可提供基本户开户银行开具的有效的资信证明</w:t>
            </w:r>
          </w:p>
        </w:tc>
      </w:tr>
      <w:tr w14:paraId="62E9516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tcBorders>
            <w:vAlign w:val="center"/>
          </w:tcPr>
          <w:p w14:paraId="6CDB4755">
            <w:pPr>
              <w:spacing w:line="440" w:lineRule="exact"/>
              <w:jc w:val="center"/>
              <w:rPr>
                <w:rFonts w:hint="eastAsia" w:ascii="宋体" w:hAnsi="宋体" w:cs="宋体"/>
                <w:sz w:val="24"/>
              </w:rPr>
            </w:pPr>
          </w:p>
        </w:tc>
        <w:tc>
          <w:tcPr>
            <w:tcW w:w="1293" w:type="dxa"/>
            <w:vMerge w:val="continue"/>
            <w:vAlign w:val="center"/>
          </w:tcPr>
          <w:p w14:paraId="334C7A98">
            <w:pPr>
              <w:spacing w:line="440" w:lineRule="exact"/>
              <w:jc w:val="center"/>
              <w:rPr>
                <w:rFonts w:hint="eastAsia" w:ascii="宋体" w:hAnsi="宋体" w:cs="宋体"/>
                <w:sz w:val="24"/>
              </w:rPr>
            </w:pPr>
          </w:p>
        </w:tc>
        <w:tc>
          <w:tcPr>
            <w:tcW w:w="2118" w:type="dxa"/>
            <w:tcBorders>
              <w:bottom w:val="single" w:color="auto" w:sz="4" w:space="0"/>
            </w:tcBorders>
            <w:vAlign w:val="center"/>
          </w:tcPr>
          <w:p w14:paraId="1807F6A8">
            <w:pPr>
              <w:spacing w:line="360" w:lineRule="auto"/>
              <w:ind w:firstLine="67" w:firstLineChars="28"/>
              <w:jc w:val="center"/>
              <w:rPr>
                <w:rFonts w:hint="eastAsia" w:ascii="宋体" w:hAnsi="宋体" w:cs="宋体"/>
                <w:sz w:val="24"/>
              </w:rPr>
            </w:pPr>
            <w:r>
              <w:rPr>
                <w:rFonts w:hint="eastAsia" w:ascii="宋体" w:hAnsi="宋体" w:cs="宋体"/>
                <w:sz w:val="24"/>
              </w:rPr>
              <w:t>具有履行合同所必需的设备和专业技术能力</w:t>
            </w:r>
          </w:p>
        </w:tc>
        <w:tc>
          <w:tcPr>
            <w:tcW w:w="6289" w:type="dxa"/>
            <w:tcBorders>
              <w:bottom w:val="single" w:color="auto" w:sz="4" w:space="0"/>
              <w:right w:val="single" w:color="auto" w:sz="4" w:space="0"/>
            </w:tcBorders>
            <w:vAlign w:val="center"/>
          </w:tcPr>
          <w:p w14:paraId="048E51EB">
            <w:pPr>
              <w:spacing w:line="360" w:lineRule="auto"/>
              <w:jc w:val="left"/>
              <w:rPr>
                <w:rFonts w:hint="eastAsia" w:ascii="宋体" w:hAnsi="宋体" w:cs="宋体"/>
                <w:sz w:val="24"/>
              </w:rPr>
            </w:pPr>
            <w:r>
              <w:rPr>
                <w:rFonts w:hint="eastAsia" w:ascii="宋体" w:hAnsi="宋体" w:cs="宋体"/>
                <w:sz w:val="24"/>
              </w:rPr>
              <w:t>提供承诺书，加盖公章</w:t>
            </w:r>
          </w:p>
        </w:tc>
      </w:tr>
      <w:tr w14:paraId="4809367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tcBorders>
            <w:vAlign w:val="center"/>
          </w:tcPr>
          <w:p w14:paraId="2BE4BCA1">
            <w:pPr>
              <w:spacing w:line="440" w:lineRule="exact"/>
              <w:jc w:val="center"/>
              <w:rPr>
                <w:rFonts w:hint="eastAsia" w:ascii="宋体" w:hAnsi="宋体" w:cs="宋体"/>
                <w:sz w:val="24"/>
              </w:rPr>
            </w:pPr>
          </w:p>
        </w:tc>
        <w:tc>
          <w:tcPr>
            <w:tcW w:w="1293" w:type="dxa"/>
            <w:vMerge w:val="continue"/>
            <w:vAlign w:val="center"/>
          </w:tcPr>
          <w:p w14:paraId="012528A9">
            <w:pPr>
              <w:spacing w:line="440" w:lineRule="exact"/>
              <w:jc w:val="center"/>
              <w:rPr>
                <w:rFonts w:hint="eastAsia" w:ascii="宋体" w:hAnsi="宋体" w:cs="宋体"/>
                <w:sz w:val="24"/>
              </w:rPr>
            </w:pPr>
          </w:p>
        </w:tc>
        <w:tc>
          <w:tcPr>
            <w:tcW w:w="2118" w:type="dxa"/>
            <w:tcBorders>
              <w:bottom w:val="single" w:color="auto" w:sz="4" w:space="0"/>
            </w:tcBorders>
            <w:vAlign w:val="center"/>
          </w:tcPr>
          <w:p w14:paraId="09958967">
            <w:pPr>
              <w:spacing w:line="360" w:lineRule="auto"/>
              <w:ind w:firstLine="67" w:firstLineChars="28"/>
              <w:jc w:val="center"/>
              <w:rPr>
                <w:rFonts w:hint="eastAsia" w:ascii="宋体" w:hAnsi="宋体" w:cs="宋体"/>
                <w:sz w:val="24"/>
              </w:rPr>
            </w:pPr>
            <w:r>
              <w:rPr>
                <w:rFonts w:hint="eastAsia" w:ascii="宋体" w:hAnsi="宋体" w:cs="宋体"/>
                <w:sz w:val="24"/>
              </w:rPr>
              <w:t>有依法缴纳税收和社会保障资金的良好记录</w:t>
            </w:r>
          </w:p>
        </w:tc>
        <w:tc>
          <w:tcPr>
            <w:tcW w:w="6289" w:type="dxa"/>
            <w:tcBorders>
              <w:bottom w:val="single" w:color="auto" w:sz="4" w:space="0"/>
              <w:right w:val="single" w:color="auto" w:sz="4" w:space="0"/>
            </w:tcBorders>
            <w:vAlign w:val="center"/>
          </w:tcPr>
          <w:p w14:paraId="48C4FC20">
            <w:pPr>
              <w:spacing w:line="360" w:lineRule="auto"/>
              <w:jc w:val="left"/>
              <w:rPr>
                <w:rFonts w:hint="eastAsia" w:ascii="宋体" w:hAnsi="宋体" w:cs="宋体"/>
                <w:sz w:val="24"/>
              </w:rPr>
            </w:pPr>
            <w:r>
              <w:rPr>
                <w:rFonts w:hint="eastAsia" w:ascii="宋体" w:hAnsi="宋体" w:cs="宋体"/>
                <w:sz w:val="24"/>
              </w:rPr>
              <w:t>提供2026年1月1日以来交纳的社保缴纳证明(电子缴款凭证或银行扣款回单或相关部门开具的票据)及纳税证明(电子缴款凭证或银行扣款回单或税局开具的凭据)，其中任意1个月即可,依法免税和不需要缴纳社会保障资金的供应商，应提供相应文件证明其依法免税或者不需要缴纳社会保障资金</w:t>
            </w:r>
          </w:p>
        </w:tc>
      </w:tr>
      <w:tr w14:paraId="6F5419C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tcBorders>
            <w:vAlign w:val="center"/>
          </w:tcPr>
          <w:p w14:paraId="247A9B44">
            <w:pPr>
              <w:spacing w:line="440" w:lineRule="exact"/>
              <w:jc w:val="center"/>
              <w:rPr>
                <w:rFonts w:hint="eastAsia" w:ascii="宋体" w:hAnsi="宋体" w:cs="宋体"/>
                <w:sz w:val="24"/>
              </w:rPr>
            </w:pPr>
          </w:p>
        </w:tc>
        <w:tc>
          <w:tcPr>
            <w:tcW w:w="1293" w:type="dxa"/>
            <w:vMerge w:val="continue"/>
            <w:vAlign w:val="center"/>
          </w:tcPr>
          <w:p w14:paraId="0EA3501B">
            <w:pPr>
              <w:spacing w:line="440" w:lineRule="exact"/>
              <w:jc w:val="center"/>
              <w:rPr>
                <w:rFonts w:hint="eastAsia" w:ascii="宋体" w:hAnsi="宋体" w:cs="宋体"/>
                <w:sz w:val="24"/>
              </w:rPr>
            </w:pPr>
          </w:p>
        </w:tc>
        <w:tc>
          <w:tcPr>
            <w:tcW w:w="2118" w:type="dxa"/>
            <w:tcBorders>
              <w:bottom w:val="single" w:color="auto" w:sz="4" w:space="0"/>
            </w:tcBorders>
            <w:vAlign w:val="center"/>
          </w:tcPr>
          <w:p w14:paraId="2A44CB77">
            <w:pPr>
              <w:spacing w:line="360" w:lineRule="auto"/>
              <w:ind w:firstLine="67" w:firstLineChars="28"/>
              <w:jc w:val="center"/>
              <w:rPr>
                <w:rFonts w:hint="eastAsia" w:ascii="宋体" w:hAnsi="宋体" w:cs="宋体"/>
                <w:sz w:val="24"/>
              </w:rPr>
            </w:pPr>
            <w:r>
              <w:rPr>
                <w:rFonts w:hint="eastAsia" w:ascii="宋体" w:hAnsi="宋体" w:cs="宋体"/>
                <w:sz w:val="24"/>
              </w:rPr>
              <w:t>参加政府采购活动前三年内，在经营活动中没有重大违法记录</w:t>
            </w:r>
          </w:p>
        </w:tc>
        <w:tc>
          <w:tcPr>
            <w:tcW w:w="6289" w:type="dxa"/>
            <w:tcBorders>
              <w:bottom w:val="single" w:color="auto" w:sz="4" w:space="0"/>
              <w:right w:val="single" w:color="auto" w:sz="4" w:space="0"/>
            </w:tcBorders>
            <w:vAlign w:val="center"/>
          </w:tcPr>
          <w:p w14:paraId="2C3E5BCA">
            <w:pPr>
              <w:spacing w:line="360" w:lineRule="auto"/>
              <w:jc w:val="left"/>
              <w:rPr>
                <w:rFonts w:hint="eastAsia" w:ascii="宋体" w:hAnsi="宋体" w:cs="宋体"/>
                <w:sz w:val="24"/>
              </w:rPr>
            </w:pPr>
            <w:r>
              <w:rPr>
                <w:rFonts w:hint="eastAsia" w:ascii="宋体" w:hAnsi="宋体" w:cs="宋体"/>
                <w:sz w:val="24"/>
              </w:rPr>
              <w:t>提供承诺书，加盖公章</w:t>
            </w:r>
          </w:p>
        </w:tc>
      </w:tr>
      <w:tr w14:paraId="7239928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tcBorders>
            <w:vAlign w:val="center"/>
          </w:tcPr>
          <w:p w14:paraId="086D55B0">
            <w:pPr>
              <w:spacing w:line="440" w:lineRule="exact"/>
              <w:jc w:val="center"/>
              <w:rPr>
                <w:rFonts w:hint="eastAsia" w:ascii="宋体" w:hAnsi="宋体" w:cs="宋体"/>
                <w:sz w:val="24"/>
              </w:rPr>
            </w:pPr>
          </w:p>
        </w:tc>
        <w:tc>
          <w:tcPr>
            <w:tcW w:w="1293" w:type="dxa"/>
            <w:vMerge w:val="continue"/>
            <w:vAlign w:val="center"/>
          </w:tcPr>
          <w:p w14:paraId="657D008D">
            <w:pPr>
              <w:spacing w:line="440" w:lineRule="exact"/>
              <w:jc w:val="center"/>
              <w:rPr>
                <w:rFonts w:hint="eastAsia" w:ascii="宋体" w:hAnsi="宋体" w:cs="宋体"/>
                <w:sz w:val="24"/>
              </w:rPr>
            </w:pPr>
          </w:p>
        </w:tc>
        <w:tc>
          <w:tcPr>
            <w:tcW w:w="2118" w:type="dxa"/>
            <w:tcBorders>
              <w:bottom w:val="single" w:color="auto" w:sz="4" w:space="0"/>
            </w:tcBorders>
            <w:vAlign w:val="center"/>
          </w:tcPr>
          <w:p w14:paraId="078B033C">
            <w:pPr>
              <w:spacing w:line="360" w:lineRule="auto"/>
              <w:ind w:firstLine="67" w:firstLineChars="28"/>
              <w:jc w:val="center"/>
              <w:rPr>
                <w:rFonts w:hint="eastAsia" w:ascii="宋体" w:hAnsi="宋体" w:cs="宋体"/>
                <w:sz w:val="24"/>
              </w:rPr>
            </w:pPr>
            <w:r>
              <w:rPr>
                <w:rFonts w:hint="eastAsia" w:ascii="宋体" w:hAnsi="宋体" w:cs="宋体"/>
                <w:sz w:val="24"/>
              </w:rPr>
              <w:t>信用结果查询</w:t>
            </w:r>
          </w:p>
        </w:tc>
        <w:tc>
          <w:tcPr>
            <w:tcW w:w="6289" w:type="dxa"/>
            <w:tcBorders>
              <w:bottom w:val="single" w:color="auto" w:sz="4" w:space="0"/>
              <w:right w:val="single" w:color="auto" w:sz="4" w:space="0"/>
            </w:tcBorders>
            <w:vAlign w:val="center"/>
          </w:tcPr>
          <w:p w14:paraId="7B07B862">
            <w:pPr>
              <w:spacing w:line="360" w:lineRule="auto"/>
              <w:jc w:val="left"/>
              <w:rPr>
                <w:rFonts w:hint="eastAsia" w:ascii="宋体" w:hAnsi="宋体" w:cs="宋体"/>
                <w:sz w:val="24"/>
              </w:rPr>
            </w:pPr>
            <w:r>
              <w:rPr>
                <w:rFonts w:hint="eastAsia" w:ascii="宋体" w:hAnsi="宋体" w:cs="宋体"/>
                <w:sz w:val="24"/>
              </w:rPr>
              <w:t>根据《关于在政府采购活动中查询及使用信用记录有关问题的通知》（财库[2016]125号）和豫财购【2016】15号的规定，对列入失信被执行人、重大税收违法失信主体、政府采购严重违法失信行为记录名单的供应商，拒绝参与本项目政府采购活动。查询渠道：a.“信用中国”网站查询内容：重大税收违法失信主体；b.“中国执行信息公开网”网站查询内容：失信被执行人；c.中国政府采购网查询内容：政府采购严重违法失信行为记录名单。采购人或采购代理机构在提交响应文件截止时间至评审结束之前将通过“信用中国”网站、中国执行信息公开网、中国政府采购网查询供应商信用记录，被列入“信用中国”网站的“重大税收违法失信主体”、中国执行信息公开网“失信被执行人”、“中国政府采购”网站的“政府采购严重违法失信行为记录名单”的供应商，采购人、采购代理机构将视为无效投标，并将查询网页、内容进行截图，以作证据存档。</w:t>
            </w:r>
          </w:p>
        </w:tc>
      </w:tr>
      <w:tr w14:paraId="7A11150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tcBorders>
            <w:vAlign w:val="center"/>
          </w:tcPr>
          <w:p w14:paraId="25B6C92A">
            <w:pPr>
              <w:spacing w:line="440" w:lineRule="exact"/>
              <w:jc w:val="center"/>
              <w:rPr>
                <w:rFonts w:hint="eastAsia" w:ascii="宋体" w:hAnsi="宋体" w:cs="宋体"/>
                <w:sz w:val="24"/>
              </w:rPr>
            </w:pPr>
          </w:p>
        </w:tc>
        <w:tc>
          <w:tcPr>
            <w:tcW w:w="1293" w:type="dxa"/>
            <w:vMerge w:val="continue"/>
            <w:vAlign w:val="center"/>
          </w:tcPr>
          <w:p w14:paraId="705029CB">
            <w:pPr>
              <w:spacing w:line="440" w:lineRule="exact"/>
              <w:jc w:val="center"/>
              <w:rPr>
                <w:rFonts w:hint="eastAsia" w:ascii="宋体" w:hAnsi="宋体" w:cs="宋体"/>
                <w:sz w:val="24"/>
              </w:rPr>
            </w:pPr>
          </w:p>
        </w:tc>
        <w:tc>
          <w:tcPr>
            <w:tcW w:w="2118" w:type="dxa"/>
            <w:tcBorders>
              <w:bottom w:val="single" w:color="auto" w:sz="4" w:space="0"/>
            </w:tcBorders>
            <w:vAlign w:val="center"/>
          </w:tcPr>
          <w:p w14:paraId="4E605345">
            <w:pPr>
              <w:spacing w:before="50"/>
              <w:ind w:right="96" w:firstLine="67" w:firstLineChars="28"/>
              <w:jc w:val="center"/>
              <w:rPr>
                <w:rFonts w:hint="eastAsia" w:ascii="宋体" w:hAnsi="宋体" w:cs="宋体"/>
                <w:sz w:val="24"/>
              </w:rPr>
            </w:pPr>
            <w:r>
              <w:rPr>
                <w:rFonts w:hint="eastAsia" w:ascii="宋体" w:hAnsi="宋体" w:cs="宋体"/>
                <w:sz w:val="24"/>
              </w:rPr>
              <w:t>控股、管理关系</w:t>
            </w:r>
          </w:p>
        </w:tc>
        <w:tc>
          <w:tcPr>
            <w:tcW w:w="6289" w:type="dxa"/>
            <w:tcBorders>
              <w:bottom w:val="single" w:color="auto" w:sz="4" w:space="0"/>
              <w:right w:val="single" w:color="auto" w:sz="4" w:space="0"/>
            </w:tcBorders>
            <w:vAlign w:val="center"/>
          </w:tcPr>
          <w:p w14:paraId="60676817">
            <w:pPr>
              <w:spacing w:line="440" w:lineRule="exact"/>
              <w:jc w:val="left"/>
              <w:rPr>
                <w:rFonts w:hint="eastAsia" w:ascii="宋体" w:hAnsi="宋体" w:cs="宋体"/>
                <w:sz w:val="24"/>
              </w:rPr>
            </w:pPr>
            <w:r>
              <w:rPr>
                <w:rFonts w:hint="eastAsia" w:ascii="宋体" w:hAnsi="宋体" w:cs="宋体"/>
                <w:sz w:val="24"/>
              </w:rPr>
              <w:t>单位负责人为同一人或者存在直接控股、管理关系的不同供应商，不得参加同一合同项下的政府采购活动（提供承诺书，加盖公章）</w:t>
            </w:r>
          </w:p>
        </w:tc>
      </w:tr>
      <w:tr w14:paraId="63F3F95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restart"/>
            <w:tcBorders>
              <w:top w:val="single" w:color="auto" w:sz="4" w:space="0"/>
              <w:left w:val="single" w:color="auto" w:sz="4" w:space="0"/>
              <w:right w:val="single" w:color="auto" w:sz="4" w:space="0"/>
            </w:tcBorders>
            <w:vAlign w:val="center"/>
          </w:tcPr>
          <w:p w14:paraId="7C603269">
            <w:pPr>
              <w:spacing w:line="440" w:lineRule="exact"/>
              <w:jc w:val="center"/>
              <w:rPr>
                <w:rFonts w:hint="eastAsia" w:ascii="宋体" w:hAnsi="宋体" w:cs="宋体"/>
                <w:sz w:val="24"/>
              </w:rPr>
            </w:pPr>
            <w:r>
              <w:rPr>
                <w:rFonts w:hint="eastAsia" w:ascii="宋体" w:hAnsi="宋体" w:cs="宋体"/>
                <w:sz w:val="24"/>
              </w:rPr>
              <w:t>2.1.3</w:t>
            </w:r>
          </w:p>
        </w:tc>
        <w:tc>
          <w:tcPr>
            <w:tcW w:w="1293" w:type="dxa"/>
            <w:vMerge w:val="restart"/>
            <w:tcBorders>
              <w:top w:val="single" w:color="auto" w:sz="4" w:space="0"/>
              <w:left w:val="single" w:color="auto" w:sz="4" w:space="0"/>
              <w:right w:val="single" w:color="auto" w:sz="4" w:space="0"/>
            </w:tcBorders>
            <w:vAlign w:val="center"/>
          </w:tcPr>
          <w:p w14:paraId="117ADF02">
            <w:pPr>
              <w:spacing w:line="440" w:lineRule="exact"/>
              <w:jc w:val="center"/>
              <w:rPr>
                <w:rFonts w:hint="eastAsia" w:ascii="宋体" w:hAnsi="宋体" w:cs="宋体"/>
                <w:sz w:val="24"/>
              </w:rPr>
            </w:pPr>
            <w:r>
              <w:rPr>
                <w:rFonts w:hint="eastAsia" w:ascii="宋体" w:hAnsi="宋体" w:cs="宋体"/>
                <w:sz w:val="24"/>
              </w:rPr>
              <w:t>响应性评审标准</w:t>
            </w:r>
          </w:p>
        </w:tc>
        <w:tc>
          <w:tcPr>
            <w:tcW w:w="2118" w:type="dxa"/>
            <w:tcBorders>
              <w:top w:val="single" w:color="auto" w:sz="4" w:space="0"/>
              <w:left w:val="single" w:color="auto" w:sz="4" w:space="0"/>
              <w:bottom w:val="single" w:color="auto" w:sz="4" w:space="0"/>
              <w:right w:val="single" w:color="auto" w:sz="4" w:space="0"/>
            </w:tcBorders>
            <w:vAlign w:val="center"/>
          </w:tcPr>
          <w:p w14:paraId="31CA02C1">
            <w:pPr>
              <w:spacing w:line="440" w:lineRule="exact"/>
              <w:jc w:val="center"/>
              <w:rPr>
                <w:rFonts w:hint="eastAsia" w:ascii="宋体" w:hAnsi="宋体" w:cs="宋体"/>
                <w:sz w:val="24"/>
              </w:rPr>
            </w:pPr>
            <w:r>
              <w:rPr>
                <w:rFonts w:hint="eastAsia" w:ascii="宋体" w:hAnsi="宋体" w:cs="宋体"/>
                <w:sz w:val="24"/>
              </w:rPr>
              <w:t>采购内容</w:t>
            </w:r>
          </w:p>
        </w:tc>
        <w:tc>
          <w:tcPr>
            <w:tcW w:w="6289" w:type="dxa"/>
            <w:tcBorders>
              <w:top w:val="single" w:color="auto" w:sz="4" w:space="0"/>
              <w:left w:val="single" w:color="auto" w:sz="4" w:space="0"/>
              <w:bottom w:val="single" w:color="auto" w:sz="4" w:space="0"/>
              <w:right w:val="single" w:color="auto" w:sz="4" w:space="0"/>
            </w:tcBorders>
            <w:vAlign w:val="center"/>
          </w:tcPr>
          <w:p w14:paraId="2DD87457">
            <w:pPr>
              <w:spacing w:line="440" w:lineRule="exact"/>
              <w:rPr>
                <w:rFonts w:hint="eastAsia" w:ascii="宋体" w:hAnsi="宋体" w:cs="宋体"/>
                <w:sz w:val="24"/>
              </w:rPr>
            </w:pPr>
            <w:r>
              <w:rPr>
                <w:rFonts w:hint="eastAsia" w:ascii="宋体" w:hAnsi="宋体" w:cs="宋体"/>
                <w:sz w:val="24"/>
              </w:rPr>
              <w:t>符合第二章“供应商须知”第1.3.1项规定</w:t>
            </w:r>
          </w:p>
        </w:tc>
      </w:tr>
      <w:tr w14:paraId="72216F3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right w:val="single" w:color="auto" w:sz="4" w:space="0"/>
            </w:tcBorders>
            <w:vAlign w:val="center"/>
          </w:tcPr>
          <w:p w14:paraId="21B20A67">
            <w:pPr>
              <w:spacing w:line="440" w:lineRule="exact"/>
              <w:jc w:val="center"/>
              <w:rPr>
                <w:rFonts w:hint="eastAsia" w:ascii="宋体" w:hAnsi="宋体" w:cs="宋体"/>
                <w:sz w:val="24"/>
              </w:rPr>
            </w:pPr>
          </w:p>
        </w:tc>
        <w:tc>
          <w:tcPr>
            <w:tcW w:w="1293" w:type="dxa"/>
            <w:vMerge w:val="continue"/>
            <w:tcBorders>
              <w:left w:val="single" w:color="auto" w:sz="4" w:space="0"/>
              <w:right w:val="single" w:color="auto" w:sz="4" w:space="0"/>
            </w:tcBorders>
            <w:vAlign w:val="center"/>
          </w:tcPr>
          <w:p w14:paraId="4645CBF0">
            <w:pPr>
              <w:spacing w:line="440" w:lineRule="exact"/>
              <w:jc w:val="center"/>
              <w:rPr>
                <w:rFonts w:hint="eastAsia" w:ascii="宋体" w:hAnsi="宋体" w:cs="宋体"/>
                <w:sz w:val="24"/>
              </w:rPr>
            </w:pPr>
          </w:p>
        </w:tc>
        <w:tc>
          <w:tcPr>
            <w:tcW w:w="2118" w:type="dxa"/>
            <w:tcBorders>
              <w:top w:val="single" w:color="auto" w:sz="4" w:space="0"/>
              <w:left w:val="single" w:color="auto" w:sz="4" w:space="0"/>
              <w:bottom w:val="single" w:color="auto" w:sz="4" w:space="0"/>
              <w:right w:val="single" w:color="auto" w:sz="4" w:space="0"/>
            </w:tcBorders>
            <w:vAlign w:val="center"/>
          </w:tcPr>
          <w:p w14:paraId="7EAD8AB4">
            <w:pPr>
              <w:pStyle w:val="13"/>
              <w:spacing w:line="440" w:lineRule="exact"/>
              <w:jc w:val="center"/>
              <w:rPr>
                <w:rFonts w:hint="eastAsia" w:hAnsi="宋体" w:cs="宋体"/>
                <w:sz w:val="24"/>
                <w:szCs w:val="24"/>
              </w:rPr>
            </w:pPr>
            <w:r>
              <w:rPr>
                <w:rFonts w:hint="eastAsia" w:hAnsi="宋体" w:cs="宋体"/>
                <w:sz w:val="24"/>
                <w:szCs w:val="24"/>
              </w:rPr>
              <w:t>质量标准</w:t>
            </w:r>
          </w:p>
        </w:tc>
        <w:tc>
          <w:tcPr>
            <w:tcW w:w="6289" w:type="dxa"/>
            <w:tcBorders>
              <w:top w:val="single" w:color="auto" w:sz="4" w:space="0"/>
              <w:left w:val="single" w:color="auto" w:sz="4" w:space="0"/>
              <w:bottom w:val="single" w:color="auto" w:sz="4" w:space="0"/>
              <w:right w:val="single" w:color="auto" w:sz="4" w:space="0"/>
            </w:tcBorders>
            <w:vAlign w:val="center"/>
          </w:tcPr>
          <w:p w14:paraId="62AF1765">
            <w:pPr>
              <w:spacing w:line="440" w:lineRule="exact"/>
              <w:rPr>
                <w:rFonts w:hint="eastAsia" w:ascii="宋体" w:hAnsi="宋体" w:cs="宋体"/>
                <w:sz w:val="24"/>
              </w:rPr>
            </w:pPr>
            <w:r>
              <w:rPr>
                <w:rFonts w:hint="eastAsia" w:ascii="宋体" w:hAnsi="宋体" w:cs="宋体"/>
                <w:sz w:val="24"/>
              </w:rPr>
              <w:t>符合第二章“供应商须知”第1.3.2项规定</w:t>
            </w:r>
          </w:p>
        </w:tc>
      </w:tr>
      <w:tr w14:paraId="6DC514C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right w:val="single" w:color="auto" w:sz="4" w:space="0"/>
            </w:tcBorders>
            <w:vAlign w:val="center"/>
          </w:tcPr>
          <w:p w14:paraId="07B42537">
            <w:pPr>
              <w:spacing w:line="440" w:lineRule="exact"/>
              <w:jc w:val="center"/>
              <w:rPr>
                <w:rFonts w:hint="eastAsia" w:ascii="宋体" w:hAnsi="宋体" w:cs="宋体"/>
                <w:sz w:val="24"/>
              </w:rPr>
            </w:pPr>
          </w:p>
        </w:tc>
        <w:tc>
          <w:tcPr>
            <w:tcW w:w="1293" w:type="dxa"/>
            <w:vMerge w:val="continue"/>
            <w:tcBorders>
              <w:left w:val="single" w:color="auto" w:sz="4" w:space="0"/>
              <w:right w:val="single" w:color="auto" w:sz="4" w:space="0"/>
            </w:tcBorders>
            <w:vAlign w:val="center"/>
          </w:tcPr>
          <w:p w14:paraId="25046442">
            <w:pPr>
              <w:spacing w:line="440" w:lineRule="exact"/>
              <w:jc w:val="center"/>
              <w:rPr>
                <w:rFonts w:hint="eastAsia" w:ascii="宋体" w:hAnsi="宋体" w:cs="宋体"/>
                <w:sz w:val="24"/>
              </w:rPr>
            </w:pPr>
          </w:p>
        </w:tc>
        <w:tc>
          <w:tcPr>
            <w:tcW w:w="2118" w:type="dxa"/>
            <w:tcBorders>
              <w:top w:val="single" w:color="auto" w:sz="4" w:space="0"/>
              <w:left w:val="single" w:color="auto" w:sz="4" w:space="0"/>
              <w:bottom w:val="single" w:color="auto" w:sz="4" w:space="0"/>
              <w:right w:val="single" w:color="auto" w:sz="4" w:space="0"/>
            </w:tcBorders>
            <w:vAlign w:val="center"/>
          </w:tcPr>
          <w:p w14:paraId="3486F113">
            <w:pPr>
              <w:pStyle w:val="13"/>
              <w:spacing w:line="440" w:lineRule="exact"/>
              <w:jc w:val="center"/>
              <w:rPr>
                <w:rFonts w:hint="eastAsia" w:hAnsi="宋体" w:cs="宋体"/>
                <w:sz w:val="24"/>
                <w:szCs w:val="24"/>
              </w:rPr>
            </w:pPr>
            <w:r>
              <w:rPr>
                <w:rFonts w:hint="eastAsia" w:hAnsi="宋体" w:cs="宋体"/>
                <w:sz w:val="24"/>
                <w:szCs w:val="24"/>
              </w:rPr>
              <w:t>交货期</w:t>
            </w:r>
          </w:p>
        </w:tc>
        <w:tc>
          <w:tcPr>
            <w:tcW w:w="6289" w:type="dxa"/>
            <w:tcBorders>
              <w:top w:val="single" w:color="auto" w:sz="4" w:space="0"/>
              <w:left w:val="single" w:color="auto" w:sz="4" w:space="0"/>
              <w:bottom w:val="single" w:color="auto" w:sz="4" w:space="0"/>
              <w:right w:val="single" w:color="auto" w:sz="4" w:space="0"/>
            </w:tcBorders>
            <w:vAlign w:val="center"/>
          </w:tcPr>
          <w:p w14:paraId="37DB291D">
            <w:pPr>
              <w:spacing w:line="440" w:lineRule="exact"/>
              <w:rPr>
                <w:rFonts w:hint="eastAsia" w:ascii="宋体" w:hAnsi="宋体" w:cs="宋体"/>
                <w:sz w:val="24"/>
              </w:rPr>
            </w:pPr>
            <w:r>
              <w:rPr>
                <w:rFonts w:hint="eastAsia" w:ascii="宋体" w:hAnsi="宋体" w:cs="宋体"/>
                <w:sz w:val="24"/>
              </w:rPr>
              <w:t>符合第二章“供应商须知”第1.3.3项规定</w:t>
            </w:r>
          </w:p>
        </w:tc>
      </w:tr>
      <w:tr w14:paraId="1A8E435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00" w:type="dxa"/>
            <w:vMerge w:val="continue"/>
            <w:tcBorders>
              <w:left w:val="single" w:color="auto" w:sz="4" w:space="0"/>
              <w:right w:val="single" w:color="auto" w:sz="4" w:space="0"/>
            </w:tcBorders>
          </w:tcPr>
          <w:p w14:paraId="3CB9F413">
            <w:pPr>
              <w:spacing w:line="440" w:lineRule="exact"/>
              <w:rPr>
                <w:rFonts w:hint="eastAsia" w:ascii="宋体" w:hAnsi="宋体" w:cs="宋体"/>
                <w:sz w:val="24"/>
              </w:rPr>
            </w:pPr>
          </w:p>
        </w:tc>
        <w:tc>
          <w:tcPr>
            <w:tcW w:w="1293" w:type="dxa"/>
            <w:vMerge w:val="continue"/>
            <w:tcBorders>
              <w:left w:val="single" w:color="auto" w:sz="4" w:space="0"/>
              <w:right w:val="single" w:color="auto" w:sz="4" w:space="0"/>
            </w:tcBorders>
          </w:tcPr>
          <w:p w14:paraId="44D54D27">
            <w:pPr>
              <w:spacing w:line="440" w:lineRule="exact"/>
              <w:rPr>
                <w:rFonts w:hint="eastAsia" w:ascii="宋体" w:hAnsi="宋体" w:cs="宋体"/>
                <w:sz w:val="24"/>
              </w:rPr>
            </w:pPr>
          </w:p>
        </w:tc>
        <w:tc>
          <w:tcPr>
            <w:tcW w:w="2118" w:type="dxa"/>
            <w:tcBorders>
              <w:top w:val="single" w:color="auto" w:sz="4" w:space="0"/>
              <w:left w:val="single" w:color="auto" w:sz="4" w:space="0"/>
              <w:bottom w:val="single" w:color="auto" w:sz="4" w:space="0"/>
              <w:right w:val="single" w:color="auto" w:sz="4" w:space="0"/>
            </w:tcBorders>
            <w:vAlign w:val="center"/>
          </w:tcPr>
          <w:p w14:paraId="45FD9940">
            <w:pPr>
              <w:pStyle w:val="13"/>
              <w:spacing w:line="440" w:lineRule="exact"/>
              <w:jc w:val="center"/>
              <w:rPr>
                <w:rFonts w:hint="eastAsia" w:hAnsi="宋体" w:cs="宋体"/>
                <w:sz w:val="24"/>
                <w:szCs w:val="24"/>
              </w:rPr>
            </w:pPr>
            <w:r>
              <w:rPr>
                <w:rFonts w:hint="eastAsia" w:hAnsi="宋体" w:cs="宋体"/>
                <w:sz w:val="24"/>
                <w:szCs w:val="24"/>
              </w:rPr>
              <w:t>交货地点</w:t>
            </w:r>
          </w:p>
        </w:tc>
        <w:tc>
          <w:tcPr>
            <w:tcW w:w="6289" w:type="dxa"/>
            <w:tcBorders>
              <w:top w:val="single" w:color="auto" w:sz="4" w:space="0"/>
              <w:left w:val="single" w:color="auto" w:sz="4" w:space="0"/>
              <w:bottom w:val="single" w:color="auto" w:sz="4" w:space="0"/>
              <w:right w:val="single" w:color="auto" w:sz="4" w:space="0"/>
            </w:tcBorders>
            <w:vAlign w:val="center"/>
          </w:tcPr>
          <w:p w14:paraId="2CECFC0D">
            <w:pPr>
              <w:spacing w:line="440" w:lineRule="exact"/>
              <w:rPr>
                <w:rFonts w:hint="eastAsia" w:ascii="宋体" w:hAnsi="宋体" w:cs="宋体"/>
                <w:sz w:val="24"/>
              </w:rPr>
            </w:pPr>
            <w:r>
              <w:rPr>
                <w:rFonts w:hint="eastAsia" w:ascii="宋体" w:hAnsi="宋体" w:cs="宋体"/>
                <w:sz w:val="24"/>
              </w:rPr>
              <w:t>符合第二章“供应商须知”第1.3.4项规定</w:t>
            </w:r>
          </w:p>
        </w:tc>
      </w:tr>
      <w:tr w14:paraId="3501BBC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00" w:type="dxa"/>
            <w:vMerge w:val="continue"/>
            <w:tcBorders>
              <w:left w:val="single" w:color="auto" w:sz="4" w:space="0"/>
              <w:right w:val="single" w:color="auto" w:sz="4" w:space="0"/>
            </w:tcBorders>
          </w:tcPr>
          <w:p w14:paraId="5EBAE295">
            <w:pPr>
              <w:spacing w:line="440" w:lineRule="exact"/>
              <w:rPr>
                <w:rFonts w:hint="eastAsia" w:ascii="宋体" w:hAnsi="宋体" w:cs="宋体"/>
                <w:sz w:val="24"/>
              </w:rPr>
            </w:pPr>
          </w:p>
        </w:tc>
        <w:tc>
          <w:tcPr>
            <w:tcW w:w="1293" w:type="dxa"/>
            <w:vMerge w:val="continue"/>
            <w:tcBorders>
              <w:left w:val="single" w:color="auto" w:sz="4" w:space="0"/>
              <w:right w:val="single" w:color="auto" w:sz="4" w:space="0"/>
            </w:tcBorders>
          </w:tcPr>
          <w:p w14:paraId="429356E1">
            <w:pPr>
              <w:spacing w:line="440" w:lineRule="exact"/>
              <w:rPr>
                <w:rFonts w:hint="eastAsia" w:ascii="宋体" w:hAnsi="宋体" w:cs="宋体"/>
                <w:sz w:val="24"/>
              </w:rPr>
            </w:pPr>
          </w:p>
        </w:tc>
        <w:tc>
          <w:tcPr>
            <w:tcW w:w="2118" w:type="dxa"/>
            <w:tcBorders>
              <w:top w:val="single" w:color="auto" w:sz="4" w:space="0"/>
              <w:left w:val="single" w:color="auto" w:sz="4" w:space="0"/>
              <w:bottom w:val="single" w:color="auto" w:sz="4" w:space="0"/>
              <w:right w:val="single" w:color="auto" w:sz="4" w:space="0"/>
            </w:tcBorders>
            <w:vAlign w:val="center"/>
          </w:tcPr>
          <w:p w14:paraId="2978CD08">
            <w:pPr>
              <w:pStyle w:val="13"/>
              <w:spacing w:line="440" w:lineRule="exact"/>
              <w:jc w:val="center"/>
              <w:rPr>
                <w:rFonts w:hint="eastAsia" w:hAnsi="宋体" w:cs="宋体"/>
                <w:sz w:val="24"/>
                <w:szCs w:val="24"/>
              </w:rPr>
            </w:pPr>
            <w:r>
              <w:rPr>
                <w:rFonts w:hint="eastAsia" w:hAnsi="宋体" w:cs="宋体"/>
                <w:sz w:val="24"/>
                <w:szCs w:val="24"/>
              </w:rPr>
              <w:t>质保期</w:t>
            </w:r>
          </w:p>
        </w:tc>
        <w:tc>
          <w:tcPr>
            <w:tcW w:w="6289" w:type="dxa"/>
            <w:tcBorders>
              <w:top w:val="single" w:color="auto" w:sz="4" w:space="0"/>
              <w:left w:val="single" w:color="auto" w:sz="4" w:space="0"/>
              <w:bottom w:val="single" w:color="auto" w:sz="4" w:space="0"/>
              <w:right w:val="single" w:color="auto" w:sz="4" w:space="0"/>
            </w:tcBorders>
            <w:vAlign w:val="center"/>
          </w:tcPr>
          <w:p w14:paraId="1A5E76D6">
            <w:pPr>
              <w:spacing w:line="440" w:lineRule="exact"/>
              <w:rPr>
                <w:rFonts w:hint="eastAsia" w:ascii="宋体" w:hAnsi="宋体" w:cs="宋体"/>
                <w:sz w:val="24"/>
              </w:rPr>
            </w:pPr>
            <w:r>
              <w:rPr>
                <w:rFonts w:hint="eastAsia" w:ascii="宋体" w:hAnsi="宋体" w:cs="宋体"/>
                <w:sz w:val="24"/>
              </w:rPr>
              <w:t>符合第二章“供应商须知”第1.3.5项规定</w:t>
            </w:r>
          </w:p>
        </w:tc>
      </w:tr>
      <w:tr w14:paraId="0ED2E92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right w:val="single" w:color="auto" w:sz="4" w:space="0"/>
            </w:tcBorders>
          </w:tcPr>
          <w:p w14:paraId="1E8E4299">
            <w:pPr>
              <w:spacing w:line="440" w:lineRule="exact"/>
              <w:rPr>
                <w:rFonts w:hint="eastAsia" w:ascii="宋体" w:hAnsi="宋体" w:cs="宋体"/>
                <w:sz w:val="24"/>
              </w:rPr>
            </w:pPr>
          </w:p>
        </w:tc>
        <w:tc>
          <w:tcPr>
            <w:tcW w:w="1293" w:type="dxa"/>
            <w:vMerge w:val="continue"/>
            <w:tcBorders>
              <w:left w:val="single" w:color="auto" w:sz="4" w:space="0"/>
              <w:right w:val="single" w:color="auto" w:sz="4" w:space="0"/>
            </w:tcBorders>
          </w:tcPr>
          <w:p w14:paraId="529DB7FB">
            <w:pPr>
              <w:spacing w:line="440" w:lineRule="exact"/>
              <w:rPr>
                <w:rFonts w:hint="eastAsia" w:ascii="宋体" w:hAnsi="宋体" w:cs="宋体"/>
                <w:sz w:val="24"/>
              </w:rPr>
            </w:pPr>
          </w:p>
        </w:tc>
        <w:tc>
          <w:tcPr>
            <w:tcW w:w="2118" w:type="dxa"/>
            <w:tcBorders>
              <w:top w:val="single" w:color="auto" w:sz="4" w:space="0"/>
            </w:tcBorders>
            <w:vAlign w:val="center"/>
          </w:tcPr>
          <w:p w14:paraId="07A7EE34">
            <w:pPr>
              <w:spacing w:line="440" w:lineRule="exact"/>
              <w:jc w:val="center"/>
              <w:rPr>
                <w:rFonts w:hint="eastAsia" w:ascii="宋体" w:hAnsi="宋体" w:cs="宋体"/>
                <w:sz w:val="24"/>
              </w:rPr>
            </w:pPr>
            <w:r>
              <w:rPr>
                <w:rFonts w:hint="eastAsia" w:ascii="宋体" w:hAnsi="宋体" w:cs="宋体"/>
                <w:sz w:val="24"/>
              </w:rPr>
              <w:t>磋商有效期</w:t>
            </w:r>
          </w:p>
        </w:tc>
        <w:tc>
          <w:tcPr>
            <w:tcW w:w="6289" w:type="dxa"/>
            <w:tcBorders>
              <w:top w:val="single" w:color="auto" w:sz="4" w:space="0"/>
              <w:right w:val="single" w:color="auto" w:sz="4" w:space="0"/>
            </w:tcBorders>
            <w:vAlign w:val="center"/>
          </w:tcPr>
          <w:p w14:paraId="506A0872">
            <w:pPr>
              <w:spacing w:line="440" w:lineRule="exact"/>
              <w:rPr>
                <w:rFonts w:hint="eastAsia" w:ascii="宋体" w:hAnsi="宋体" w:cs="宋体"/>
                <w:sz w:val="24"/>
              </w:rPr>
            </w:pPr>
            <w:r>
              <w:rPr>
                <w:rFonts w:hint="eastAsia" w:ascii="宋体" w:hAnsi="宋体" w:cs="宋体"/>
                <w:sz w:val="24"/>
              </w:rPr>
              <w:t>符合第二章“供应商须知”第3.3.1项规定</w:t>
            </w:r>
          </w:p>
        </w:tc>
      </w:tr>
      <w:tr w14:paraId="534A4EB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right w:val="single" w:color="auto" w:sz="4" w:space="0"/>
            </w:tcBorders>
          </w:tcPr>
          <w:p w14:paraId="4C47AB60">
            <w:pPr>
              <w:spacing w:line="440" w:lineRule="exact"/>
              <w:rPr>
                <w:rFonts w:hint="eastAsia" w:ascii="宋体" w:hAnsi="宋体" w:cs="宋体"/>
                <w:sz w:val="24"/>
              </w:rPr>
            </w:pPr>
          </w:p>
        </w:tc>
        <w:tc>
          <w:tcPr>
            <w:tcW w:w="1293" w:type="dxa"/>
            <w:vMerge w:val="continue"/>
            <w:tcBorders>
              <w:left w:val="single" w:color="auto" w:sz="4" w:space="0"/>
              <w:right w:val="single" w:color="auto" w:sz="4" w:space="0"/>
            </w:tcBorders>
          </w:tcPr>
          <w:p w14:paraId="748667C6">
            <w:pPr>
              <w:spacing w:line="440" w:lineRule="exact"/>
              <w:rPr>
                <w:rFonts w:hint="eastAsia" w:ascii="宋体" w:hAnsi="宋体" w:cs="宋体"/>
                <w:sz w:val="24"/>
              </w:rPr>
            </w:pPr>
          </w:p>
        </w:tc>
        <w:tc>
          <w:tcPr>
            <w:tcW w:w="2118" w:type="dxa"/>
            <w:tcBorders>
              <w:top w:val="single" w:color="auto" w:sz="4" w:space="0"/>
            </w:tcBorders>
            <w:vAlign w:val="center"/>
          </w:tcPr>
          <w:p w14:paraId="63481854">
            <w:pPr>
              <w:spacing w:line="440" w:lineRule="exact"/>
              <w:jc w:val="center"/>
              <w:rPr>
                <w:rFonts w:hint="eastAsia" w:ascii="宋体" w:hAnsi="宋体" w:cs="宋体"/>
                <w:sz w:val="24"/>
              </w:rPr>
            </w:pPr>
            <w:r>
              <w:rPr>
                <w:rFonts w:hint="eastAsia" w:ascii="宋体" w:hAnsi="宋体" w:cs="宋体"/>
                <w:sz w:val="24"/>
              </w:rPr>
              <w:t>磋商报价</w:t>
            </w:r>
          </w:p>
        </w:tc>
        <w:tc>
          <w:tcPr>
            <w:tcW w:w="6289" w:type="dxa"/>
            <w:tcBorders>
              <w:top w:val="single" w:color="auto" w:sz="4" w:space="0"/>
              <w:right w:val="single" w:color="auto" w:sz="4" w:space="0"/>
            </w:tcBorders>
            <w:vAlign w:val="center"/>
          </w:tcPr>
          <w:p w14:paraId="5FDA4307">
            <w:pPr>
              <w:spacing w:line="440" w:lineRule="exact"/>
              <w:rPr>
                <w:rFonts w:hint="eastAsia" w:ascii="宋体" w:hAnsi="宋体" w:cs="宋体"/>
                <w:sz w:val="24"/>
              </w:rPr>
            </w:pPr>
            <w:r>
              <w:rPr>
                <w:rFonts w:hint="eastAsia" w:ascii="宋体" w:hAnsi="宋体" w:cs="宋体"/>
                <w:sz w:val="24"/>
              </w:rPr>
              <w:t>报价未超过竞争性磋商文件中规定的最高限价</w:t>
            </w:r>
          </w:p>
        </w:tc>
      </w:tr>
      <w:tr w14:paraId="6D0D201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right w:val="single" w:color="auto" w:sz="4" w:space="0"/>
            </w:tcBorders>
          </w:tcPr>
          <w:p w14:paraId="64B9AC66">
            <w:pPr>
              <w:spacing w:line="440" w:lineRule="exact"/>
              <w:rPr>
                <w:rFonts w:hint="eastAsia" w:ascii="宋体" w:hAnsi="宋体" w:cs="宋体"/>
                <w:sz w:val="24"/>
              </w:rPr>
            </w:pPr>
          </w:p>
        </w:tc>
        <w:tc>
          <w:tcPr>
            <w:tcW w:w="1293" w:type="dxa"/>
            <w:vMerge w:val="continue"/>
            <w:tcBorders>
              <w:left w:val="single" w:color="auto" w:sz="4" w:space="0"/>
              <w:right w:val="single" w:color="auto" w:sz="4" w:space="0"/>
            </w:tcBorders>
          </w:tcPr>
          <w:p w14:paraId="4217A590">
            <w:pPr>
              <w:spacing w:line="440" w:lineRule="exact"/>
              <w:rPr>
                <w:rFonts w:hint="eastAsia" w:ascii="宋体" w:hAnsi="宋体" w:cs="宋体"/>
                <w:sz w:val="24"/>
              </w:rPr>
            </w:pPr>
          </w:p>
        </w:tc>
        <w:tc>
          <w:tcPr>
            <w:tcW w:w="2118" w:type="dxa"/>
            <w:vAlign w:val="center"/>
          </w:tcPr>
          <w:p w14:paraId="20375D5B">
            <w:pPr>
              <w:spacing w:line="440" w:lineRule="exact"/>
              <w:jc w:val="center"/>
              <w:rPr>
                <w:rFonts w:hint="eastAsia" w:ascii="宋体" w:hAnsi="宋体" w:cs="宋体"/>
                <w:sz w:val="24"/>
              </w:rPr>
            </w:pPr>
            <w:r>
              <w:rPr>
                <w:rFonts w:hint="eastAsia" w:ascii="宋体" w:hAnsi="宋体" w:cs="宋体"/>
                <w:sz w:val="24"/>
              </w:rPr>
              <w:t>其他要求</w:t>
            </w:r>
          </w:p>
        </w:tc>
        <w:tc>
          <w:tcPr>
            <w:tcW w:w="6289" w:type="dxa"/>
            <w:tcBorders>
              <w:right w:val="single" w:color="auto" w:sz="4" w:space="0"/>
            </w:tcBorders>
            <w:vAlign w:val="center"/>
          </w:tcPr>
          <w:p w14:paraId="07052FF3">
            <w:pPr>
              <w:spacing w:line="440" w:lineRule="exact"/>
              <w:rPr>
                <w:rFonts w:hint="eastAsia" w:ascii="宋体" w:hAnsi="宋体" w:cs="宋体"/>
                <w:sz w:val="24"/>
              </w:rPr>
            </w:pPr>
            <w:r>
              <w:rPr>
                <w:rFonts w:hint="eastAsia" w:ascii="宋体" w:hAnsi="宋体" w:cs="宋体"/>
                <w:sz w:val="24"/>
              </w:rPr>
              <w:t>符合竞争性磋商文件规定的其他实质性要求</w:t>
            </w:r>
          </w:p>
        </w:tc>
      </w:tr>
      <w:bookmarkEnd w:id="401"/>
      <w:bookmarkEnd w:id="402"/>
      <w:bookmarkEnd w:id="403"/>
      <w:bookmarkEnd w:id="404"/>
      <w:bookmarkEnd w:id="405"/>
      <w:bookmarkEnd w:id="406"/>
      <w:bookmarkEnd w:id="407"/>
      <w:tr w14:paraId="6DFFF8C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tcBorders>
              <w:left w:val="single" w:color="auto" w:sz="4" w:space="0"/>
            </w:tcBorders>
            <w:vAlign w:val="center"/>
          </w:tcPr>
          <w:p w14:paraId="2B960A7F">
            <w:pPr>
              <w:spacing w:line="440" w:lineRule="exact"/>
              <w:jc w:val="center"/>
              <w:rPr>
                <w:rFonts w:hint="eastAsia" w:ascii="宋体" w:hAnsi="宋体" w:cs="宋体"/>
                <w:sz w:val="24"/>
              </w:rPr>
            </w:pPr>
            <w:bookmarkStart w:id="408" w:name="_Toc2081"/>
            <w:bookmarkStart w:id="409" w:name="_Toc532034254"/>
            <w:bookmarkStart w:id="410" w:name="_Toc2281"/>
            <w:bookmarkStart w:id="411" w:name="_Toc532034697"/>
            <w:r>
              <w:rPr>
                <w:rFonts w:hint="eastAsia" w:ascii="宋体" w:hAnsi="宋体" w:cs="宋体"/>
                <w:sz w:val="24"/>
              </w:rPr>
              <w:t>2.2</w:t>
            </w:r>
          </w:p>
        </w:tc>
        <w:tc>
          <w:tcPr>
            <w:tcW w:w="3411" w:type="dxa"/>
            <w:gridSpan w:val="2"/>
            <w:tcBorders>
              <w:left w:val="single" w:color="auto" w:sz="4" w:space="0"/>
            </w:tcBorders>
            <w:vAlign w:val="center"/>
          </w:tcPr>
          <w:p w14:paraId="361D7DAF">
            <w:pPr>
              <w:spacing w:line="440" w:lineRule="exact"/>
              <w:jc w:val="center"/>
              <w:rPr>
                <w:rFonts w:hint="eastAsia" w:ascii="宋体" w:hAnsi="宋体" w:cs="宋体"/>
                <w:sz w:val="24"/>
              </w:rPr>
            </w:pPr>
            <w:r>
              <w:rPr>
                <w:rFonts w:hint="eastAsia" w:ascii="宋体" w:hAnsi="宋体" w:cs="宋体"/>
                <w:sz w:val="24"/>
              </w:rPr>
              <w:t>2.2.1分值构成</w:t>
            </w:r>
          </w:p>
        </w:tc>
        <w:tc>
          <w:tcPr>
            <w:tcW w:w="6289" w:type="dxa"/>
            <w:tcBorders>
              <w:right w:val="single" w:color="auto" w:sz="4" w:space="0"/>
            </w:tcBorders>
            <w:vAlign w:val="center"/>
          </w:tcPr>
          <w:p w14:paraId="246B6A5C">
            <w:pPr>
              <w:spacing w:line="440" w:lineRule="exact"/>
              <w:rPr>
                <w:rFonts w:hint="eastAsia" w:ascii="宋体" w:hAnsi="宋体" w:cs="宋体"/>
                <w:sz w:val="24"/>
              </w:rPr>
            </w:pPr>
            <w:r>
              <w:rPr>
                <w:rFonts w:hint="eastAsia" w:ascii="宋体" w:hAnsi="宋体" w:cs="宋体"/>
                <w:sz w:val="24"/>
              </w:rPr>
              <w:t>（1）报价部分：35分；</w:t>
            </w:r>
          </w:p>
          <w:p w14:paraId="47DBFF59">
            <w:pPr>
              <w:spacing w:line="440" w:lineRule="exact"/>
              <w:rPr>
                <w:rFonts w:hint="eastAsia" w:ascii="宋体" w:hAnsi="宋体" w:cs="宋体"/>
                <w:sz w:val="24"/>
              </w:rPr>
            </w:pPr>
            <w:r>
              <w:rPr>
                <w:rFonts w:hint="eastAsia" w:ascii="宋体" w:hAnsi="宋体" w:cs="宋体"/>
                <w:sz w:val="24"/>
              </w:rPr>
              <w:t>（2）技术部分：58分；</w:t>
            </w:r>
          </w:p>
          <w:p w14:paraId="5DDFCE73">
            <w:pPr>
              <w:spacing w:line="440" w:lineRule="exact"/>
              <w:rPr>
                <w:rFonts w:hint="eastAsia" w:ascii="宋体" w:hAnsi="宋体" w:cs="宋体"/>
                <w:sz w:val="24"/>
              </w:rPr>
            </w:pPr>
            <w:r>
              <w:rPr>
                <w:rFonts w:hint="eastAsia" w:ascii="宋体" w:hAnsi="宋体" w:cs="宋体"/>
                <w:sz w:val="24"/>
              </w:rPr>
              <w:t>（3）综合部分：7分；</w:t>
            </w:r>
          </w:p>
        </w:tc>
      </w:tr>
      <w:tr w14:paraId="349BB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0FF8C750">
            <w:pPr>
              <w:jc w:val="center"/>
              <w:rPr>
                <w:rFonts w:hint="eastAsia" w:ascii="宋体" w:hAnsi="宋体" w:cs="宋体"/>
                <w:sz w:val="24"/>
              </w:rPr>
            </w:pPr>
            <w:r>
              <w:rPr>
                <w:rFonts w:hint="eastAsia" w:ascii="宋体" w:hAnsi="宋体" w:cs="宋体"/>
                <w:sz w:val="24"/>
              </w:rPr>
              <w:t>序号</w:t>
            </w:r>
          </w:p>
        </w:tc>
        <w:tc>
          <w:tcPr>
            <w:tcW w:w="1293" w:type="dxa"/>
            <w:tcBorders>
              <w:top w:val="single" w:color="auto" w:sz="4" w:space="0"/>
              <w:left w:val="single" w:color="auto" w:sz="4" w:space="0"/>
              <w:bottom w:val="single" w:color="auto" w:sz="4" w:space="0"/>
              <w:right w:val="single" w:color="auto" w:sz="4" w:space="0"/>
            </w:tcBorders>
            <w:vAlign w:val="center"/>
          </w:tcPr>
          <w:p w14:paraId="5602FED6">
            <w:pPr>
              <w:jc w:val="center"/>
              <w:rPr>
                <w:rFonts w:hint="eastAsia" w:ascii="宋体" w:hAnsi="宋体" w:cs="宋体"/>
                <w:sz w:val="24"/>
              </w:rPr>
            </w:pPr>
            <w:r>
              <w:rPr>
                <w:rFonts w:hint="eastAsia" w:ascii="宋体" w:hAnsi="宋体" w:cs="宋体"/>
                <w:sz w:val="24"/>
              </w:rPr>
              <w:t>评分内容</w:t>
            </w:r>
          </w:p>
        </w:tc>
        <w:tc>
          <w:tcPr>
            <w:tcW w:w="2118" w:type="dxa"/>
            <w:tcBorders>
              <w:top w:val="single" w:color="auto" w:sz="4" w:space="0"/>
              <w:left w:val="single" w:color="auto" w:sz="4" w:space="0"/>
              <w:bottom w:val="single" w:color="auto" w:sz="4" w:space="0"/>
              <w:right w:val="single" w:color="auto" w:sz="4" w:space="0"/>
            </w:tcBorders>
            <w:vAlign w:val="center"/>
          </w:tcPr>
          <w:p w14:paraId="4BF7291D">
            <w:pPr>
              <w:jc w:val="center"/>
              <w:rPr>
                <w:rFonts w:hint="eastAsia" w:ascii="宋体" w:hAnsi="宋体" w:cs="宋体"/>
                <w:sz w:val="24"/>
              </w:rPr>
            </w:pPr>
            <w:r>
              <w:rPr>
                <w:rFonts w:hint="eastAsia" w:ascii="宋体" w:hAnsi="宋体" w:cs="宋体"/>
                <w:kern w:val="0"/>
                <w:sz w:val="24"/>
              </w:rPr>
              <w:t>评分因素</w:t>
            </w:r>
          </w:p>
        </w:tc>
        <w:tc>
          <w:tcPr>
            <w:tcW w:w="6289" w:type="dxa"/>
            <w:tcBorders>
              <w:top w:val="single" w:color="auto" w:sz="4" w:space="0"/>
              <w:left w:val="single" w:color="auto" w:sz="4" w:space="0"/>
              <w:bottom w:val="single" w:color="auto" w:sz="4" w:space="0"/>
              <w:right w:val="single" w:color="000000" w:sz="2" w:space="0"/>
            </w:tcBorders>
            <w:vAlign w:val="center"/>
          </w:tcPr>
          <w:p w14:paraId="63F1216A">
            <w:pPr>
              <w:jc w:val="center"/>
              <w:rPr>
                <w:rFonts w:hint="eastAsia" w:ascii="宋体" w:hAnsi="宋体" w:cs="宋体"/>
                <w:sz w:val="24"/>
              </w:rPr>
            </w:pPr>
            <w:r>
              <w:rPr>
                <w:rFonts w:hint="eastAsia" w:ascii="宋体" w:hAnsi="宋体" w:cs="宋体"/>
                <w:sz w:val="24"/>
              </w:rPr>
              <w:t>评分标准</w:t>
            </w:r>
          </w:p>
        </w:tc>
      </w:tr>
      <w:tr w14:paraId="3996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0" w:type="dxa"/>
            <w:tcBorders>
              <w:top w:val="single" w:color="auto" w:sz="4" w:space="0"/>
              <w:left w:val="single" w:color="auto" w:sz="4" w:space="0"/>
              <w:right w:val="single" w:color="auto" w:sz="4" w:space="0"/>
            </w:tcBorders>
            <w:vAlign w:val="center"/>
          </w:tcPr>
          <w:p w14:paraId="55DD3499">
            <w:pPr>
              <w:jc w:val="center"/>
              <w:rPr>
                <w:rFonts w:hint="eastAsia" w:ascii="宋体" w:hAnsi="宋体" w:cs="宋体"/>
                <w:sz w:val="24"/>
              </w:rPr>
            </w:pPr>
            <w:r>
              <w:rPr>
                <w:rFonts w:hint="eastAsia" w:ascii="宋体" w:hAnsi="宋体" w:cs="宋体"/>
                <w:sz w:val="24"/>
              </w:rPr>
              <w:t>2.2.2</w:t>
            </w:r>
          </w:p>
          <w:p w14:paraId="2237ABA6">
            <w:pPr>
              <w:autoSpaceDE w:val="0"/>
              <w:autoSpaceDN w:val="0"/>
              <w:adjustRightInd w:val="0"/>
              <w:jc w:val="center"/>
              <w:rPr>
                <w:rFonts w:hint="eastAsia" w:ascii="宋体" w:hAnsi="宋体" w:cs="宋体"/>
                <w:kern w:val="0"/>
                <w:sz w:val="24"/>
                <w:lang w:val="zh-CN"/>
              </w:rPr>
            </w:pPr>
            <w:r>
              <w:rPr>
                <w:rFonts w:hint="eastAsia" w:ascii="宋体" w:hAnsi="宋体" w:cs="宋体"/>
                <w:sz w:val="24"/>
              </w:rPr>
              <w:t>（1）</w:t>
            </w:r>
          </w:p>
        </w:tc>
        <w:tc>
          <w:tcPr>
            <w:tcW w:w="1293" w:type="dxa"/>
            <w:tcBorders>
              <w:top w:val="single" w:color="auto" w:sz="4" w:space="0"/>
              <w:left w:val="single" w:color="auto" w:sz="4" w:space="0"/>
              <w:right w:val="single" w:color="auto" w:sz="4" w:space="0"/>
            </w:tcBorders>
            <w:vAlign w:val="center"/>
          </w:tcPr>
          <w:p w14:paraId="4CC0BF85">
            <w:pPr>
              <w:autoSpaceDE w:val="0"/>
              <w:autoSpaceDN w:val="0"/>
              <w:adjustRightInd w:val="0"/>
              <w:jc w:val="center"/>
              <w:rPr>
                <w:rFonts w:hint="eastAsia" w:ascii="宋体" w:hAnsi="宋体" w:cs="宋体"/>
                <w:kern w:val="0"/>
                <w:sz w:val="24"/>
                <w:lang w:val="zh-CN"/>
              </w:rPr>
            </w:pPr>
            <w:r>
              <w:rPr>
                <w:rFonts w:hint="eastAsia" w:ascii="宋体" w:hAnsi="宋体" w:cs="宋体"/>
                <w:kern w:val="0"/>
                <w:sz w:val="24"/>
                <w:lang w:val="zh-CN"/>
              </w:rPr>
              <w:t>报价</w:t>
            </w:r>
            <w:r>
              <w:rPr>
                <w:rFonts w:hint="eastAsia" w:ascii="宋体" w:hAnsi="宋体" w:cs="宋体"/>
                <w:kern w:val="0"/>
                <w:sz w:val="24"/>
              </w:rPr>
              <w:t>部分</w:t>
            </w:r>
            <w:r>
              <w:rPr>
                <w:rFonts w:hint="eastAsia" w:ascii="宋体" w:hAnsi="宋体" w:cs="宋体"/>
                <w:kern w:val="0"/>
                <w:sz w:val="24"/>
                <w:lang w:val="zh-CN"/>
              </w:rPr>
              <w:t>（</w:t>
            </w:r>
            <w:r>
              <w:rPr>
                <w:rFonts w:hint="eastAsia" w:ascii="宋体" w:hAnsi="宋体" w:cs="宋体"/>
                <w:kern w:val="0"/>
                <w:sz w:val="24"/>
              </w:rPr>
              <w:t>35分</w:t>
            </w:r>
            <w:r>
              <w:rPr>
                <w:rFonts w:hint="eastAsia" w:ascii="宋体" w:hAnsi="宋体" w:cs="宋体"/>
                <w:kern w:val="0"/>
                <w:sz w:val="24"/>
                <w:lang w:val="zh-CN"/>
              </w:rPr>
              <w:t>）</w:t>
            </w:r>
          </w:p>
        </w:tc>
        <w:tc>
          <w:tcPr>
            <w:tcW w:w="2118" w:type="dxa"/>
            <w:tcBorders>
              <w:top w:val="single" w:color="auto" w:sz="4" w:space="0"/>
              <w:left w:val="single" w:color="auto" w:sz="4" w:space="0"/>
              <w:bottom w:val="single" w:color="auto" w:sz="4" w:space="0"/>
              <w:right w:val="single" w:color="auto" w:sz="4" w:space="0"/>
            </w:tcBorders>
            <w:vAlign w:val="center"/>
          </w:tcPr>
          <w:p w14:paraId="19801E58">
            <w:pPr>
              <w:widowControl/>
              <w:spacing w:line="360" w:lineRule="auto"/>
              <w:jc w:val="center"/>
              <w:rPr>
                <w:rFonts w:hint="eastAsia" w:ascii="宋体" w:hAnsi="宋体" w:cs="宋体"/>
                <w:bCs/>
                <w:sz w:val="24"/>
              </w:rPr>
            </w:pPr>
            <w:r>
              <w:rPr>
                <w:rFonts w:hint="eastAsia" w:ascii="宋体" w:hAnsi="宋体" w:cs="宋体"/>
                <w:bCs/>
                <w:sz w:val="24"/>
              </w:rPr>
              <w:t>磋商报价</w:t>
            </w:r>
          </w:p>
          <w:p w14:paraId="6318E551">
            <w:pPr>
              <w:spacing w:line="440" w:lineRule="exact"/>
              <w:jc w:val="center"/>
              <w:rPr>
                <w:rFonts w:hint="eastAsia" w:ascii="宋体" w:hAnsi="宋体" w:cs="宋体"/>
                <w:sz w:val="24"/>
                <w:lang w:val="zh-CN"/>
              </w:rPr>
            </w:pPr>
            <w:r>
              <w:rPr>
                <w:rFonts w:hint="eastAsia" w:ascii="宋体" w:hAnsi="宋体" w:cs="宋体"/>
                <w:bCs/>
                <w:sz w:val="24"/>
              </w:rPr>
              <w:t>评分标准</w:t>
            </w:r>
          </w:p>
        </w:tc>
        <w:tc>
          <w:tcPr>
            <w:tcW w:w="6289" w:type="dxa"/>
            <w:tcBorders>
              <w:top w:val="single" w:color="auto" w:sz="4" w:space="0"/>
              <w:left w:val="single" w:color="auto" w:sz="4" w:space="0"/>
              <w:bottom w:val="single" w:color="auto" w:sz="4" w:space="0"/>
              <w:right w:val="single" w:color="000000" w:sz="2" w:space="0"/>
            </w:tcBorders>
            <w:vAlign w:val="center"/>
          </w:tcPr>
          <w:p w14:paraId="4D223BFA">
            <w:pPr>
              <w:spacing w:line="360" w:lineRule="auto"/>
              <w:rPr>
                <w:rFonts w:hint="eastAsia" w:ascii="宋体" w:hAnsi="宋体" w:cs="宋体"/>
                <w:sz w:val="24"/>
              </w:rPr>
            </w:pPr>
            <w:r>
              <w:rPr>
                <w:rFonts w:hint="eastAsia" w:ascii="宋体" w:hAnsi="宋体" w:cs="宋体"/>
                <w:sz w:val="24"/>
              </w:rPr>
              <w:t>（1）价格分采用低价优先法计算，即满足竞争性磋商文件要求且最后磋商报价最低的磋商报价为磋商基准价，其价格分为满分。其他供应商的价格分统一按照下列公式计算：</w:t>
            </w:r>
          </w:p>
          <w:p w14:paraId="3563C0B6">
            <w:pPr>
              <w:spacing w:line="360" w:lineRule="auto"/>
              <w:rPr>
                <w:rFonts w:hint="eastAsia" w:ascii="宋体" w:hAnsi="宋体" w:cs="宋体"/>
                <w:sz w:val="24"/>
              </w:rPr>
            </w:pPr>
            <w:r>
              <w:rPr>
                <w:rFonts w:hint="eastAsia" w:ascii="宋体" w:hAnsi="宋体" w:cs="宋体"/>
                <w:sz w:val="24"/>
              </w:rPr>
              <w:t>（2）磋商报价得分=（磋商基准价/最后磋商报价）×35</w:t>
            </w:r>
          </w:p>
          <w:p w14:paraId="4EE4C641">
            <w:pPr>
              <w:spacing w:line="360" w:lineRule="auto"/>
              <w:rPr>
                <w:rFonts w:hint="eastAsia" w:ascii="宋体" w:hAnsi="宋体" w:cs="宋体"/>
                <w:b/>
                <w:bCs/>
                <w:sz w:val="24"/>
              </w:rPr>
            </w:pPr>
            <w:r>
              <w:rPr>
                <w:rFonts w:hint="eastAsia" w:ascii="宋体" w:hAnsi="宋体" w:cs="宋体"/>
                <w:b/>
                <w:bCs/>
                <w:sz w:val="24"/>
              </w:rPr>
              <w:t>注：因落实政府采购政策进行价格调整的，以调整后的价格计算磋商基准价和最后磋商报价。具体规定详见竞争性磋商文件“供应商须知前附表10.7政府采购政策”。</w:t>
            </w:r>
          </w:p>
        </w:tc>
      </w:tr>
      <w:tr w14:paraId="56B1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00" w:type="dxa"/>
            <w:vMerge w:val="restart"/>
            <w:tcBorders>
              <w:left w:val="single" w:color="auto" w:sz="4" w:space="0"/>
              <w:right w:val="single" w:color="auto" w:sz="4" w:space="0"/>
            </w:tcBorders>
            <w:vAlign w:val="center"/>
          </w:tcPr>
          <w:p w14:paraId="615364BD">
            <w:pPr>
              <w:jc w:val="center"/>
              <w:rPr>
                <w:rFonts w:hint="eastAsia" w:ascii="宋体" w:hAnsi="宋体" w:cs="宋体"/>
                <w:sz w:val="24"/>
              </w:rPr>
            </w:pPr>
            <w:r>
              <w:rPr>
                <w:rFonts w:hint="eastAsia" w:ascii="宋体" w:hAnsi="宋体" w:cs="宋体"/>
                <w:sz w:val="24"/>
              </w:rPr>
              <w:t>2.2.2</w:t>
            </w:r>
          </w:p>
          <w:p w14:paraId="574C8DD6">
            <w:pPr>
              <w:autoSpaceDE w:val="0"/>
              <w:autoSpaceDN w:val="0"/>
              <w:adjustRightInd w:val="0"/>
              <w:rPr>
                <w:rFonts w:hint="eastAsia" w:ascii="宋体" w:hAnsi="宋体" w:cs="宋体"/>
                <w:sz w:val="24"/>
              </w:rPr>
            </w:pPr>
            <w:r>
              <w:rPr>
                <w:rFonts w:hint="eastAsia" w:ascii="宋体" w:hAnsi="宋体" w:cs="宋体"/>
                <w:sz w:val="24"/>
              </w:rPr>
              <w:t>（2）</w:t>
            </w:r>
          </w:p>
        </w:tc>
        <w:tc>
          <w:tcPr>
            <w:tcW w:w="1293" w:type="dxa"/>
            <w:vMerge w:val="restart"/>
            <w:tcBorders>
              <w:left w:val="single" w:color="auto" w:sz="4" w:space="0"/>
              <w:right w:val="single" w:color="auto" w:sz="4" w:space="0"/>
            </w:tcBorders>
            <w:vAlign w:val="center"/>
          </w:tcPr>
          <w:p w14:paraId="2EEA2927">
            <w:pPr>
              <w:autoSpaceDE w:val="0"/>
              <w:autoSpaceDN w:val="0"/>
              <w:adjustRightInd w:val="0"/>
              <w:jc w:val="center"/>
              <w:rPr>
                <w:rFonts w:hint="eastAsia" w:ascii="宋体" w:hAnsi="宋体" w:cs="宋体"/>
                <w:kern w:val="0"/>
                <w:sz w:val="24"/>
                <w:lang w:val="zh-CN"/>
              </w:rPr>
            </w:pPr>
            <w:r>
              <w:rPr>
                <w:rFonts w:hint="eastAsia" w:ascii="宋体" w:hAnsi="宋体" w:cs="宋体"/>
                <w:bCs/>
                <w:sz w:val="24"/>
              </w:rPr>
              <w:t>技术部分</w:t>
            </w:r>
            <w:r>
              <w:rPr>
                <w:rFonts w:hint="eastAsia" w:ascii="宋体" w:hAnsi="宋体" w:cs="宋体"/>
                <w:kern w:val="0"/>
                <w:sz w:val="24"/>
                <w:lang w:val="zh-CN"/>
              </w:rPr>
              <w:t>（</w:t>
            </w:r>
            <w:r>
              <w:rPr>
                <w:rFonts w:hint="eastAsia" w:ascii="宋体" w:hAnsi="宋体" w:cs="宋体"/>
                <w:kern w:val="0"/>
                <w:sz w:val="24"/>
              </w:rPr>
              <w:t>58分</w:t>
            </w:r>
            <w:r>
              <w:rPr>
                <w:rFonts w:hint="eastAsia" w:ascii="宋体" w:hAnsi="宋体" w:cs="宋体"/>
                <w:kern w:val="0"/>
                <w:sz w:val="24"/>
                <w:lang w:val="zh-CN"/>
              </w:rPr>
              <w:t>）</w:t>
            </w:r>
          </w:p>
        </w:tc>
        <w:tc>
          <w:tcPr>
            <w:tcW w:w="2118" w:type="dxa"/>
            <w:tcBorders>
              <w:top w:val="single" w:color="auto" w:sz="4" w:space="0"/>
              <w:left w:val="single" w:color="auto" w:sz="4" w:space="0"/>
              <w:bottom w:val="single" w:color="auto" w:sz="4" w:space="0"/>
              <w:right w:val="single" w:color="auto" w:sz="4" w:space="0"/>
            </w:tcBorders>
            <w:vAlign w:val="center"/>
          </w:tcPr>
          <w:p w14:paraId="683991E9">
            <w:pPr>
              <w:spacing w:line="360" w:lineRule="auto"/>
              <w:jc w:val="center"/>
              <w:rPr>
                <w:rFonts w:hint="eastAsia" w:ascii="宋体" w:hAnsi="宋体" w:cs="宋体"/>
                <w:sz w:val="24"/>
              </w:rPr>
            </w:pPr>
            <w:r>
              <w:rPr>
                <w:rFonts w:hint="eastAsia" w:ascii="宋体" w:hAnsi="宋体" w:cs="宋体"/>
                <w:sz w:val="24"/>
              </w:rPr>
              <w:t>产品配置及</w:t>
            </w:r>
          </w:p>
          <w:p w14:paraId="039F8232">
            <w:pPr>
              <w:spacing w:line="360" w:lineRule="auto"/>
              <w:jc w:val="center"/>
              <w:rPr>
                <w:rFonts w:hint="eastAsia" w:ascii="宋体" w:hAnsi="宋体" w:cs="宋体"/>
                <w:sz w:val="24"/>
              </w:rPr>
            </w:pPr>
            <w:r>
              <w:rPr>
                <w:rFonts w:hint="eastAsia" w:ascii="宋体" w:hAnsi="宋体" w:cs="宋体"/>
                <w:sz w:val="24"/>
              </w:rPr>
              <w:t>技术指标</w:t>
            </w:r>
          </w:p>
          <w:p w14:paraId="195276E2">
            <w:pPr>
              <w:spacing w:line="360" w:lineRule="auto"/>
              <w:jc w:val="center"/>
              <w:rPr>
                <w:rFonts w:hint="eastAsia" w:ascii="宋体" w:hAnsi="宋体" w:cs="宋体"/>
                <w:sz w:val="24"/>
              </w:rPr>
            </w:pPr>
            <w:r>
              <w:rPr>
                <w:rFonts w:hint="eastAsia" w:ascii="宋体" w:hAnsi="宋体" w:cs="宋体"/>
                <w:sz w:val="24"/>
              </w:rPr>
              <w:t>（48分）</w:t>
            </w:r>
          </w:p>
        </w:tc>
        <w:tc>
          <w:tcPr>
            <w:tcW w:w="6289" w:type="dxa"/>
            <w:tcBorders>
              <w:top w:val="single" w:color="auto" w:sz="4" w:space="0"/>
              <w:left w:val="single" w:color="auto" w:sz="4" w:space="0"/>
              <w:bottom w:val="single" w:color="auto" w:sz="4" w:space="0"/>
              <w:right w:val="single" w:color="000000" w:sz="2" w:space="0"/>
            </w:tcBorders>
            <w:vAlign w:val="center"/>
          </w:tcPr>
          <w:p w14:paraId="0BA770DB">
            <w:pPr>
              <w:spacing w:line="360" w:lineRule="auto"/>
              <w:rPr>
                <w:rFonts w:hint="eastAsia" w:ascii="宋体" w:hAnsi="宋体" w:cs="宋体"/>
                <w:sz w:val="24"/>
              </w:rPr>
            </w:pPr>
            <w:r>
              <w:rPr>
                <w:rFonts w:hint="eastAsia" w:ascii="宋体" w:hAnsi="宋体" w:cs="宋体"/>
                <w:sz w:val="24"/>
              </w:rPr>
              <w:t>磋商小组</w:t>
            </w:r>
            <w:r>
              <w:rPr>
                <w:rFonts w:ascii="宋体" w:hAnsi="宋体" w:cs="宋体"/>
                <w:sz w:val="24"/>
              </w:rPr>
              <w:t>根据</w:t>
            </w:r>
            <w:r>
              <w:rPr>
                <w:rFonts w:hint="eastAsia" w:ascii="宋体" w:hAnsi="宋体" w:cs="宋体"/>
                <w:sz w:val="24"/>
              </w:rPr>
              <w:t>响应</w:t>
            </w:r>
            <w:r>
              <w:rPr>
                <w:rFonts w:ascii="宋体" w:hAnsi="宋体" w:cs="宋体"/>
                <w:sz w:val="24"/>
              </w:rPr>
              <w:t>文件和相关证明材料对</w:t>
            </w:r>
            <w:r>
              <w:rPr>
                <w:rFonts w:hint="eastAsia" w:ascii="宋体" w:hAnsi="宋体" w:cs="宋体"/>
                <w:sz w:val="24"/>
              </w:rPr>
              <w:t>响应</w:t>
            </w:r>
            <w:r>
              <w:rPr>
                <w:rFonts w:ascii="宋体" w:hAnsi="宋体" w:cs="宋体"/>
                <w:sz w:val="24"/>
              </w:rPr>
              <w:t>文件的响应情况，对照判断所投产品是否满足</w:t>
            </w:r>
            <w:r>
              <w:rPr>
                <w:rFonts w:hint="eastAsia" w:ascii="宋体" w:hAnsi="宋体" w:cs="宋体"/>
                <w:sz w:val="24"/>
              </w:rPr>
              <w:t>磋商</w:t>
            </w:r>
            <w:r>
              <w:rPr>
                <w:rFonts w:ascii="宋体" w:hAnsi="宋体" w:cs="宋体"/>
                <w:sz w:val="24"/>
              </w:rPr>
              <w:t>文件的要求：</w:t>
            </w:r>
          </w:p>
          <w:p w14:paraId="31A1303D">
            <w:pPr>
              <w:spacing w:line="360" w:lineRule="auto"/>
              <w:rPr>
                <w:rFonts w:hint="eastAsia" w:ascii="宋体" w:hAnsi="宋体" w:cs="宋体"/>
                <w:sz w:val="24"/>
              </w:rPr>
            </w:pPr>
            <w:r>
              <w:rPr>
                <w:rFonts w:hint="eastAsia" w:ascii="宋体" w:hAnsi="宋体" w:cs="宋体"/>
                <w:sz w:val="24"/>
              </w:rPr>
              <w:t>（1）</w:t>
            </w:r>
            <w:r>
              <w:rPr>
                <w:rFonts w:ascii="宋体" w:hAnsi="宋体" w:cs="宋体"/>
                <w:sz w:val="24"/>
              </w:rPr>
              <w:t>采购需求中“参数”标“*”技术参数</w:t>
            </w:r>
            <w:r>
              <w:rPr>
                <w:rFonts w:hint="eastAsia" w:ascii="宋体" w:hAnsi="宋体" w:cs="宋体"/>
                <w:sz w:val="24"/>
              </w:rPr>
              <w:t>16</w:t>
            </w:r>
            <w:r>
              <w:rPr>
                <w:rFonts w:ascii="宋体" w:hAnsi="宋体" w:cs="宋体"/>
                <w:sz w:val="24"/>
              </w:rPr>
              <w:t>条，若参数出现负偏离，每出现一项减</w:t>
            </w:r>
            <w:r>
              <w:rPr>
                <w:rFonts w:hint="eastAsia" w:ascii="宋体" w:hAnsi="宋体" w:cs="宋体"/>
                <w:sz w:val="24"/>
              </w:rPr>
              <w:t>1</w:t>
            </w:r>
            <w:r>
              <w:rPr>
                <w:rFonts w:ascii="宋体" w:hAnsi="宋体" w:cs="宋体"/>
                <w:sz w:val="24"/>
              </w:rPr>
              <w:t>分，</w:t>
            </w:r>
            <w:r>
              <w:rPr>
                <w:rFonts w:hint="eastAsia" w:ascii="宋体" w:hAnsi="宋体" w:cs="宋体"/>
                <w:sz w:val="24"/>
                <w:lang w:val="en-US" w:eastAsia="zh-CN"/>
              </w:rPr>
              <w:t>累计16分</w:t>
            </w:r>
            <w:r>
              <w:rPr>
                <w:rFonts w:hint="eastAsia" w:ascii="宋体" w:hAnsi="宋体" w:cs="宋体"/>
                <w:sz w:val="24"/>
                <w:lang w:eastAsia="zh-CN"/>
              </w:rPr>
              <w:t>，</w:t>
            </w:r>
            <w:r>
              <w:rPr>
                <w:rFonts w:ascii="宋体" w:hAnsi="宋体" w:cs="宋体"/>
                <w:sz w:val="24"/>
              </w:rPr>
              <w:t>扣完为止。</w:t>
            </w:r>
          </w:p>
          <w:p w14:paraId="0FC47439">
            <w:pPr>
              <w:spacing w:line="360" w:lineRule="auto"/>
              <w:rPr>
                <w:rFonts w:ascii="宋体" w:hAnsi="宋体" w:cs="宋体"/>
                <w:sz w:val="24"/>
              </w:rPr>
            </w:pPr>
            <w:r>
              <w:rPr>
                <w:rFonts w:hint="eastAsia" w:ascii="宋体" w:hAnsi="宋体" w:cs="宋体"/>
                <w:sz w:val="24"/>
              </w:rPr>
              <w:t>（2）</w:t>
            </w:r>
            <w:r>
              <w:rPr>
                <w:rFonts w:ascii="宋体" w:hAnsi="宋体" w:cs="宋体"/>
                <w:sz w:val="24"/>
              </w:rPr>
              <w:t>采购需求中“技术要求”非“*”的技术参数</w:t>
            </w:r>
            <w:r>
              <w:rPr>
                <w:rFonts w:hint="eastAsia" w:ascii="宋体" w:hAnsi="宋体" w:cs="宋体"/>
                <w:sz w:val="24"/>
              </w:rPr>
              <w:t>103</w:t>
            </w:r>
            <w:r>
              <w:rPr>
                <w:rFonts w:ascii="宋体" w:hAnsi="宋体" w:cs="宋体"/>
                <w:sz w:val="24"/>
              </w:rPr>
              <w:t>条，若参数出现负偏离，每出现一项减</w:t>
            </w:r>
            <w:r>
              <w:rPr>
                <w:rFonts w:hint="eastAsia" w:ascii="宋体" w:hAnsi="宋体" w:cs="宋体"/>
                <w:sz w:val="24"/>
              </w:rPr>
              <w:t>0.3</w:t>
            </w:r>
            <w:r>
              <w:rPr>
                <w:rFonts w:hint="eastAsia" w:ascii="宋体" w:hAnsi="宋体" w:cs="宋体"/>
                <w:sz w:val="24"/>
                <w:lang w:val="en-US" w:eastAsia="zh-CN"/>
              </w:rPr>
              <w:t>2</w:t>
            </w:r>
            <w:r>
              <w:rPr>
                <w:rFonts w:ascii="宋体" w:hAnsi="宋体" w:cs="宋体"/>
                <w:sz w:val="24"/>
              </w:rPr>
              <w:t>分，</w:t>
            </w:r>
            <w:r>
              <w:rPr>
                <w:rFonts w:hint="eastAsia" w:ascii="宋体" w:hAnsi="宋体" w:cs="宋体"/>
                <w:sz w:val="24"/>
                <w:lang w:val="en-US" w:eastAsia="zh-CN"/>
              </w:rPr>
              <w:t>累计32分</w:t>
            </w:r>
            <w:r>
              <w:rPr>
                <w:rFonts w:hint="eastAsia" w:ascii="宋体" w:hAnsi="宋体" w:cs="宋体"/>
                <w:sz w:val="24"/>
                <w:lang w:eastAsia="zh-CN"/>
              </w:rPr>
              <w:t>，</w:t>
            </w:r>
            <w:r>
              <w:rPr>
                <w:rFonts w:ascii="宋体" w:hAnsi="宋体" w:cs="宋体"/>
                <w:sz w:val="24"/>
              </w:rPr>
              <w:t>扣完为止。</w:t>
            </w:r>
          </w:p>
          <w:p w14:paraId="7EAB5CEF">
            <w:pPr>
              <w:spacing w:line="360" w:lineRule="auto"/>
              <w:rPr>
                <w:rFonts w:hint="eastAsia" w:ascii="宋体" w:hAnsi="宋体" w:cs="宋体"/>
                <w:sz w:val="24"/>
              </w:rPr>
            </w:pPr>
            <w:r>
              <w:rPr>
                <w:rFonts w:hint="eastAsia" w:ascii="宋体" w:hAnsi="宋体" w:cs="宋体"/>
                <w:sz w:val="24"/>
              </w:rPr>
              <w:t>（3）</w:t>
            </w:r>
            <w:r>
              <w:rPr>
                <w:rFonts w:ascii="宋体" w:hAnsi="宋体" w:cs="宋体"/>
                <w:sz w:val="24"/>
              </w:rPr>
              <w:t>采购需求中“参数”标“</w:t>
            </w:r>
            <w:r>
              <w:rPr>
                <w:rFonts w:hint="eastAsia" w:ascii="宋体" w:hAnsi="宋体" w:cs="宋体"/>
                <w:sz w:val="24"/>
              </w:rPr>
              <w:t>▲</w:t>
            </w:r>
            <w:r>
              <w:rPr>
                <w:rFonts w:ascii="宋体" w:hAnsi="宋体" w:cs="宋体"/>
                <w:sz w:val="24"/>
              </w:rPr>
              <w:t>”技术参数，为实质性参数，若未响应或出现负偏离的其投标无效。</w:t>
            </w:r>
          </w:p>
          <w:p w14:paraId="0F193FCD">
            <w:pPr>
              <w:spacing w:line="360" w:lineRule="auto"/>
              <w:rPr>
                <w:rFonts w:hint="eastAsia" w:ascii="宋体" w:hAnsi="宋体" w:cs="宋体"/>
                <w:sz w:val="24"/>
              </w:rPr>
            </w:pPr>
            <w:r>
              <w:rPr>
                <w:rFonts w:ascii="宋体" w:hAnsi="宋体" w:cs="宋体"/>
                <w:sz w:val="24"/>
              </w:rPr>
              <w:t>注：供应商须对采购需求书中“参数”中技术参数内容进行点对点应答，在引用</w:t>
            </w:r>
            <w:r>
              <w:rPr>
                <w:rFonts w:hint="eastAsia" w:ascii="宋体" w:hAnsi="宋体" w:cs="宋体"/>
                <w:sz w:val="24"/>
              </w:rPr>
              <w:t>磋商</w:t>
            </w:r>
            <w:r>
              <w:rPr>
                <w:rFonts w:ascii="宋体" w:hAnsi="宋体" w:cs="宋体"/>
                <w:sz w:val="24"/>
              </w:rPr>
              <w:t>文件的基础上,进行逐条逐项答复、说明和解释，填写“技术指标参数偏离表”，所有重要技术参数均应按要求提供相关证明材料，未提供相关证明材料的，该项参数视为不满足，其他参数按要求进行自行响应。若供应商提供虚假证明材料，将被按无效响应处理，并报有关监督部门按提供虚假资料谋取中标处理。</w:t>
            </w:r>
          </w:p>
        </w:tc>
      </w:tr>
      <w:tr w14:paraId="64E02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00" w:type="dxa"/>
            <w:vMerge w:val="continue"/>
            <w:tcBorders>
              <w:left w:val="single" w:color="auto" w:sz="4" w:space="0"/>
              <w:right w:val="single" w:color="auto" w:sz="4" w:space="0"/>
            </w:tcBorders>
            <w:vAlign w:val="center"/>
          </w:tcPr>
          <w:p w14:paraId="6E19F052">
            <w:pPr>
              <w:autoSpaceDE w:val="0"/>
              <w:autoSpaceDN w:val="0"/>
              <w:adjustRightInd w:val="0"/>
              <w:rPr>
                <w:rFonts w:hint="eastAsia" w:ascii="宋体" w:hAnsi="宋体" w:cs="宋体"/>
                <w:sz w:val="24"/>
              </w:rPr>
            </w:pPr>
          </w:p>
        </w:tc>
        <w:tc>
          <w:tcPr>
            <w:tcW w:w="1293" w:type="dxa"/>
            <w:vMerge w:val="continue"/>
            <w:tcBorders>
              <w:left w:val="single" w:color="auto" w:sz="4" w:space="0"/>
              <w:right w:val="single" w:color="auto" w:sz="4" w:space="0"/>
            </w:tcBorders>
            <w:vAlign w:val="center"/>
          </w:tcPr>
          <w:p w14:paraId="74257C3D">
            <w:pPr>
              <w:autoSpaceDE w:val="0"/>
              <w:autoSpaceDN w:val="0"/>
              <w:adjustRightInd w:val="0"/>
              <w:jc w:val="center"/>
              <w:rPr>
                <w:rFonts w:hint="eastAsia" w:ascii="宋体" w:hAnsi="宋体" w:cs="宋体"/>
                <w:bCs/>
                <w:sz w:val="24"/>
              </w:rPr>
            </w:pPr>
          </w:p>
        </w:tc>
        <w:tc>
          <w:tcPr>
            <w:tcW w:w="2118" w:type="dxa"/>
            <w:tcBorders>
              <w:top w:val="single" w:color="auto" w:sz="4" w:space="0"/>
              <w:left w:val="single" w:color="auto" w:sz="4" w:space="0"/>
              <w:bottom w:val="single" w:color="auto" w:sz="4" w:space="0"/>
              <w:right w:val="single" w:color="auto" w:sz="4" w:space="0"/>
            </w:tcBorders>
            <w:vAlign w:val="center"/>
          </w:tcPr>
          <w:p w14:paraId="5D1C1324">
            <w:pPr>
              <w:pStyle w:val="57"/>
              <w:wordWrap w:val="0"/>
              <w:spacing w:before="93" w:after="93" w:line="360" w:lineRule="auto"/>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安装调试方案</w:t>
            </w:r>
          </w:p>
          <w:p w14:paraId="191723F9">
            <w:pPr>
              <w:pStyle w:val="57"/>
              <w:wordWrap w:val="0"/>
              <w:spacing w:before="93" w:after="93" w:line="360" w:lineRule="auto"/>
              <w:jc w:val="center"/>
            </w:pPr>
            <w:r>
              <w:rPr>
                <w:rFonts w:hint="eastAsia" w:asciiTheme="minorEastAsia" w:hAnsiTheme="minorEastAsia" w:eastAsiaTheme="minorEastAsia" w:cstheme="minorEastAsia"/>
                <w:sz w:val="24"/>
                <w:lang w:val="zh-CN"/>
              </w:rPr>
              <w:t>（</w:t>
            </w:r>
            <w:r>
              <w:rPr>
                <w:rFonts w:hint="eastAsia" w:asciiTheme="minorEastAsia" w:hAnsiTheme="minorEastAsia" w:eastAsiaTheme="minorEastAsia" w:cstheme="minorEastAsia"/>
                <w:sz w:val="24"/>
              </w:rPr>
              <w:t>5分</w:t>
            </w:r>
            <w:r>
              <w:rPr>
                <w:rFonts w:hint="eastAsia" w:asciiTheme="minorEastAsia" w:hAnsiTheme="minorEastAsia" w:eastAsiaTheme="minorEastAsia" w:cstheme="minorEastAsia"/>
                <w:sz w:val="24"/>
                <w:lang w:val="zh-CN"/>
              </w:rPr>
              <w:t>）</w:t>
            </w:r>
          </w:p>
        </w:tc>
        <w:tc>
          <w:tcPr>
            <w:tcW w:w="6289" w:type="dxa"/>
            <w:tcBorders>
              <w:top w:val="single" w:color="auto" w:sz="4" w:space="0"/>
              <w:left w:val="single" w:color="auto" w:sz="4" w:space="0"/>
              <w:bottom w:val="single" w:color="auto" w:sz="4" w:space="0"/>
              <w:right w:val="single" w:color="000000" w:sz="2" w:space="0"/>
            </w:tcBorders>
            <w:vAlign w:val="center"/>
          </w:tcPr>
          <w:p w14:paraId="27CBBD68">
            <w:pPr>
              <w:spacing w:line="360" w:lineRule="auto"/>
              <w:rPr>
                <w:rFonts w:hint="eastAsia" w:asciiTheme="minorEastAsia" w:hAnsiTheme="minorEastAsia"/>
                <w:sz w:val="24"/>
              </w:rPr>
            </w:pPr>
            <w:r>
              <w:rPr>
                <w:rFonts w:hint="eastAsia" w:asciiTheme="minorEastAsia" w:hAnsiTheme="minorEastAsia"/>
                <w:sz w:val="24"/>
              </w:rPr>
              <w:t>根据供应商提供的安装调试方案，包括但不限于安装进度计划、安装方法、安装质量保障、试运行测试、运行维护等方面：</w:t>
            </w:r>
          </w:p>
          <w:p w14:paraId="4E2E103A">
            <w:pPr>
              <w:spacing w:line="360" w:lineRule="auto"/>
              <w:rPr>
                <w:rFonts w:hint="eastAsia" w:asciiTheme="minorEastAsia" w:hAnsiTheme="minorEastAsia"/>
                <w:sz w:val="24"/>
              </w:rPr>
            </w:pPr>
            <w:r>
              <w:rPr>
                <w:rFonts w:hint="eastAsia" w:asciiTheme="minorEastAsia" w:hAnsiTheme="minorEastAsia"/>
                <w:sz w:val="24"/>
              </w:rPr>
              <w:t>（1）安装调试方案安排全面详尽、考虑周全，有合理且完善的试运行测试方案及运行维护方案，完全满足或优于采购人需求，得 5 分；</w:t>
            </w:r>
          </w:p>
          <w:p w14:paraId="58316BEB">
            <w:pPr>
              <w:spacing w:line="360" w:lineRule="auto"/>
              <w:rPr>
                <w:rFonts w:hint="eastAsia" w:asciiTheme="minorEastAsia" w:hAnsiTheme="minorEastAsia"/>
                <w:sz w:val="24"/>
              </w:rPr>
            </w:pPr>
            <w:r>
              <w:rPr>
                <w:rFonts w:hint="eastAsia" w:asciiTheme="minorEastAsia" w:hAnsiTheme="minorEastAsia"/>
                <w:sz w:val="24"/>
              </w:rPr>
              <w:t>（2）安装调试方案安排较为全面详尽、考虑周全，有具体可行的试运行测试方案及运行维护方案，能满足采购人需求，得 2 分；</w:t>
            </w:r>
          </w:p>
          <w:p w14:paraId="7B05F0F5">
            <w:pPr>
              <w:spacing w:line="360" w:lineRule="auto"/>
              <w:rPr>
                <w:rFonts w:hint="eastAsia" w:asciiTheme="minorEastAsia" w:hAnsiTheme="minorEastAsia"/>
                <w:sz w:val="24"/>
              </w:rPr>
            </w:pPr>
            <w:r>
              <w:rPr>
                <w:rFonts w:hint="eastAsia" w:asciiTheme="minorEastAsia" w:hAnsiTheme="minorEastAsia"/>
                <w:sz w:val="24"/>
              </w:rPr>
              <w:t>（3）有安装调试、试运行及运行维护方案，但内容完整程度一般且安排的合理周全程度一般、基本满足采购人需求，得 1 分；</w:t>
            </w:r>
          </w:p>
          <w:p w14:paraId="2DF9D7FF">
            <w:pPr>
              <w:spacing w:line="360" w:lineRule="auto"/>
            </w:pPr>
            <w:r>
              <w:rPr>
                <w:rFonts w:hint="eastAsia" w:asciiTheme="minorEastAsia" w:hAnsiTheme="minorEastAsia"/>
                <w:sz w:val="24"/>
              </w:rPr>
              <w:t>（4）未提供不得分。</w:t>
            </w:r>
          </w:p>
        </w:tc>
      </w:tr>
      <w:tr w14:paraId="1E75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00" w:type="dxa"/>
            <w:vMerge w:val="continue"/>
            <w:tcBorders>
              <w:left w:val="single" w:color="auto" w:sz="4" w:space="0"/>
              <w:right w:val="single" w:color="auto" w:sz="4" w:space="0"/>
            </w:tcBorders>
            <w:vAlign w:val="center"/>
          </w:tcPr>
          <w:p w14:paraId="06723EB0">
            <w:pPr>
              <w:autoSpaceDE w:val="0"/>
              <w:autoSpaceDN w:val="0"/>
              <w:adjustRightInd w:val="0"/>
              <w:rPr>
                <w:rFonts w:hint="eastAsia" w:ascii="宋体" w:hAnsi="宋体" w:cs="宋体"/>
                <w:sz w:val="24"/>
              </w:rPr>
            </w:pPr>
          </w:p>
        </w:tc>
        <w:tc>
          <w:tcPr>
            <w:tcW w:w="1293" w:type="dxa"/>
            <w:vMerge w:val="continue"/>
            <w:tcBorders>
              <w:left w:val="single" w:color="auto" w:sz="4" w:space="0"/>
              <w:right w:val="single" w:color="auto" w:sz="4" w:space="0"/>
            </w:tcBorders>
            <w:vAlign w:val="center"/>
          </w:tcPr>
          <w:p w14:paraId="67DB8E79">
            <w:pPr>
              <w:autoSpaceDE w:val="0"/>
              <w:autoSpaceDN w:val="0"/>
              <w:adjustRightInd w:val="0"/>
              <w:jc w:val="center"/>
              <w:rPr>
                <w:rFonts w:hint="eastAsia" w:ascii="宋体" w:hAnsi="宋体" w:cs="宋体"/>
                <w:sz w:val="24"/>
              </w:rPr>
            </w:pPr>
          </w:p>
        </w:tc>
        <w:tc>
          <w:tcPr>
            <w:tcW w:w="2118" w:type="dxa"/>
            <w:tcBorders>
              <w:top w:val="single" w:color="auto" w:sz="4" w:space="0"/>
              <w:left w:val="single" w:color="auto" w:sz="4" w:space="0"/>
              <w:bottom w:val="single" w:color="auto" w:sz="4" w:space="0"/>
              <w:right w:val="single" w:color="auto" w:sz="4" w:space="0"/>
            </w:tcBorders>
            <w:vAlign w:val="center"/>
          </w:tcPr>
          <w:p w14:paraId="6CF59C0F">
            <w:pPr>
              <w:pStyle w:val="57"/>
              <w:wordWrap w:val="0"/>
              <w:spacing w:before="93" w:after="93"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用户培训方案</w:t>
            </w:r>
          </w:p>
          <w:p w14:paraId="2570DF11">
            <w:pPr>
              <w:pStyle w:val="57"/>
              <w:wordWrap w:val="0"/>
              <w:spacing w:before="93" w:after="93" w:line="360" w:lineRule="auto"/>
              <w:jc w:val="center"/>
              <w:rPr>
                <w:rFonts w:hint="eastAsia" w:ascii="宋体" w:hAnsi="宋体" w:cs="宋体"/>
                <w:sz w:val="24"/>
              </w:rPr>
            </w:pPr>
            <w:r>
              <w:rPr>
                <w:rFonts w:hint="eastAsia" w:asciiTheme="minorEastAsia" w:hAnsiTheme="minorEastAsia" w:eastAsiaTheme="minorEastAsia" w:cstheme="minorEastAsia"/>
                <w:sz w:val="24"/>
              </w:rPr>
              <w:t>(5分)</w:t>
            </w:r>
          </w:p>
        </w:tc>
        <w:tc>
          <w:tcPr>
            <w:tcW w:w="6289" w:type="dxa"/>
            <w:tcBorders>
              <w:top w:val="single" w:color="auto" w:sz="4" w:space="0"/>
              <w:left w:val="single" w:color="auto" w:sz="4" w:space="0"/>
              <w:bottom w:val="single" w:color="auto" w:sz="4" w:space="0"/>
              <w:right w:val="single" w:color="000000" w:sz="2" w:space="0"/>
            </w:tcBorders>
          </w:tcPr>
          <w:p w14:paraId="762A4D23">
            <w:pPr>
              <w:spacing w:line="360" w:lineRule="auto"/>
              <w:rPr>
                <w:rFonts w:hint="eastAsia" w:asciiTheme="minorEastAsia" w:hAnsiTheme="minorEastAsia"/>
                <w:sz w:val="24"/>
              </w:rPr>
            </w:pPr>
            <w:r>
              <w:rPr>
                <w:rFonts w:hint="eastAsia" w:asciiTheme="minorEastAsia" w:hAnsiTheme="minorEastAsia"/>
                <w:sz w:val="24"/>
              </w:rPr>
              <w:t>根据供应商针对本项目提供的专项培训方案，结合方案的全面性、具体性、可行性、合理性及保障力度，重点考核具体培训计划、专业技术培训、培训日程、人员安排、内容效果、质量保证、设备介绍、操作流程等核心内容，按以下细化标准综合评分。供应商需提供书面佐证材料（如培训计划、培训课件大纲、日程表、考核标准、操作流程等），评委根据佐证材料按对应标准评分：</w:t>
            </w:r>
          </w:p>
          <w:p w14:paraId="4FDE403C">
            <w:pPr>
              <w:spacing w:line="360" w:lineRule="auto"/>
              <w:rPr>
                <w:rFonts w:hint="eastAsia" w:asciiTheme="minorEastAsia" w:hAnsiTheme="minorEastAsia"/>
                <w:sz w:val="24"/>
              </w:rPr>
            </w:pPr>
            <w:r>
              <w:rPr>
                <w:rFonts w:hint="eastAsia" w:asciiTheme="minorEastAsia" w:hAnsiTheme="minorEastAsia"/>
                <w:sz w:val="24"/>
              </w:rPr>
              <w:t>（1）培训方案全面具体、保障充足，规划科学可行；明确培训目标及详细计划，专业培训贴合需求，日程合理，配备持资质专业讲师，内容涵盖设备结构、操作、维护及故障排查，配套理论+实操考核，质量保障完善，对磋商文件响应程度高，得 5 分。</w:t>
            </w:r>
          </w:p>
          <w:p w14:paraId="1C5315D7">
            <w:pPr>
              <w:spacing w:line="360" w:lineRule="auto"/>
              <w:rPr>
                <w:rFonts w:hint="eastAsia" w:asciiTheme="minorEastAsia" w:hAnsiTheme="minorEastAsia"/>
                <w:sz w:val="24"/>
              </w:rPr>
            </w:pPr>
            <w:r>
              <w:rPr>
                <w:rFonts w:hint="eastAsia" w:asciiTheme="minorEastAsia" w:hAnsiTheme="minorEastAsia"/>
                <w:sz w:val="24"/>
              </w:rPr>
              <w:t>（2）培训方案较全面具体，保障到位、规划合理；明确培训目标及基本计划，专业培训较全面，日程较合理，配备讲师且明确职责，内容覆盖设备核心操作及维护，对磋商文件响应程度较高，无重大遗漏，得 2 分。</w:t>
            </w:r>
          </w:p>
          <w:p w14:paraId="3A799CFE">
            <w:pPr>
              <w:spacing w:line="360" w:lineRule="auto"/>
              <w:rPr>
                <w:rFonts w:hint="eastAsia" w:asciiTheme="minorEastAsia" w:hAnsiTheme="minorEastAsia"/>
                <w:sz w:val="24"/>
              </w:rPr>
            </w:pPr>
            <w:r>
              <w:rPr>
                <w:rFonts w:hint="eastAsia" w:asciiTheme="minorEastAsia" w:hAnsiTheme="minorEastAsia"/>
                <w:sz w:val="24"/>
              </w:rPr>
              <w:t>（3）培训方案不全面，仅明确基本培训方向，无详细计划，专业培训简略；日程简单，未明确讲师资质，内容仅含设备基础操作，无完善考核，对磋商文件响应程度一般，有较多遗漏，得 1 分。</w:t>
            </w:r>
          </w:p>
          <w:p w14:paraId="6688857A">
            <w:pPr>
              <w:spacing w:line="360" w:lineRule="auto"/>
            </w:pPr>
            <w:r>
              <w:rPr>
                <w:rFonts w:hint="eastAsia" w:asciiTheme="minorEastAsia" w:hAnsiTheme="minorEastAsia"/>
                <w:sz w:val="24"/>
              </w:rPr>
              <w:t>（4） 未提供不得分。</w:t>
            </w:r>
          </w:p>
        </w:tc>
      </w:tr>
      <w:tr w14:paraId="3B1F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900" w:type="dxa"/>
            <w:vMerge w:val="restart"/>
            <w:tcBorders>
              <w:left w:val="single" w:color="auto" w:sz="4" w:space="0"/>
              <w:right w:val="single" w:color="auto" w:sz="4" w:space="0"/>
            </w:tcBorders>
            <w:vAlign w:val="center"/>
          </w:tcPr>
          <w:p w14:paraId="1D78FEEB">
            <w:pPr>
              <w:jc w:val="center"/>
              <w:rPr>
                <w:rFonts w:hint="eastAsia" w:ascii="宋体" w:hAnsi="宋体" w:cs="宋体"/>
                <w:sz w:val="24"/>
              </w:rPr>
            </w:pPr>
            <w:r>
              <w:rPr>
                <w:rFonts w:hint="eastAsia" w:ascii="宋体" w:hAnsi="宋体" w:cs="宋体"/>
                <w:sz w:val="24"/>
              </w:rPr>
              <w:t>2.2.2</w:t>
            </w:r>
          </w:p>
          <w:p w14:paraId="45D84527">
            <w:pPr>
              <w:autoSpaceDE w:val="0"/>
              <w:autoSpaceDN w:val="0"/>
              <w:adjustRightInd w:val="0"/>
              <w:rPr>
                <w:rFonts w:hint="eastAsia" w:ascii="宋体" w:hAnsi="宋体" w:cs="宋体"/>
                <w:kern w:val="0"/>
                <w:sz w:val="24"/>
                <w:lang w:val="zh-CN"/>
              </w:rPr>
            </w:pPr>
            <w:r>
              <w:rPr>
                <w:rFonts w:hint="eastAsia" w:ascii="宋体" w:hAnsi="宋体" w:cs="宋体"/>
                <w:sz w:val="24"/>
              </w:rPr>
              <w:t>（3）</w:t>
            </w:r>
          </w:p>
        </w:tc>
        <w:tc>
          <w:tcPr>
            <w:tcW w:w="1293" w:type="dxa"/>
            <w:vMerge w:val="restart"/>
            <w:tcBorders>
              <w:left w:val="single" w:color="auto" w:sz="4" w:space="0"/>
              <w:right w:val="single" w:color="auto" w:sz="4" w:space="0"/>
            </w:tcBorders>
            <w:vAlign w:val="center"/>
          </w:tcPr>
          <w:p w14:paraId="14E1C376">
            <w:pPr>
              <w:autoSpaceDE w:val="0"/>
              <w:autoSpaceDN w:val="0"/>
              <w:adjustRightInd w:val="0"/>
              <w:jc w:val="center"/>
              <w:rPr>
                <w:rFonts w:hint="eastAsia" w:ascii="宋体" w:hAnsi="宋体" w:cs="宋体"/>
                <w:kern w:val="0"/>
                <w:sz w:val="24"/>
              </w:rPr>
            </w:pPr>
            <w:r>
              <w:rPr>
                <w:rFonts w:hint="eastAsia" w:ascii="宋体" w:hAnsi="宋体" w:cs="宋体"/>
                <w:kern w:val="0"/>
                <w:sz w:val="24"/>
              </w:rPr>
              <w:t>综合</w:t>
            </w:r>
            <w:r>
              <w:rPr>
                <w:rFonts w:hint="eastAsia" w:ascii="宋体" w:hAnsi="宋体" w:cs="宋体"/>
                <w:kern w:val="0"/>
                <w:sz w:val="24"/>
                <w:lang w:val="zh-CN"/>
              </w:rPr>
              <w:t>部分（</w:t>
            </w:r>
            <w:r>
              <w:rPr>
                <w:rFonts w:hint="eastAsia" w:ascii="宋体" w:hAnsi="宋体" w:cs="宋体"/>
                <w:kern w:val="0"/>
                <w:sz w:val="24"/>
              </w:rPr>
              <w:t>7</w:t>
            </w:r>
            <w:r>
              <w:rPr>
                <w:rFonts w:hint="eastAsia" w:ascii="宋体" w:hAnsi="宋体" w:cs="宋体"/>
                <w:kern w:val="0"/>
                <w:sz w:val="24"/>
                <w:lang w:val="zh-CN"/>
              </w:rPr>
              <w:t>分）</w:t>
            </w:r>
          </w:p>
        </w:tc>
        <w:tc>
          <w:tcPr>
            <w:tcW w:w="2118" w:type="dxa"/>
            <w:tcBorders>
              <w:top w:val="single" w:color="auto" w:sz="4" w:space="0"/>
              <w:left w:val="single" w:color="auto" w:sz="4" w:space="0"/>
              <w:bottom w:val="single" w:color="auto" w:sz="4" w:space="0"/>
              <w:right w:val="single" w:color="auto" w:sz="4" w:space="0"/>
            </w:tcBorders>
            <w:vAlign w:val="center"/>
          </w:tcPr>
          <w:p w14:paraId="341434A0">
            <w:pPr>
              <w:spacing w:before="93" w:after="93"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类似业绩</w:t>
            </w:r>
          </w:p>
          <w:p w14:paraId="06339ECB">
            <w:pPr>
              <w:spacing w:before="93" w:after="93" w:line="360" w:lineRule="auto"/>
              <w:jc w:val="center"/>
              <w:rPr>
                <w:rFonts w:hint="eastAsia" w:ascii="宋体" w:hAnsi="宋体" w:cs="宋体"/>
                <w:sz w:val="24"/>
              </w:rPr>
            </w:pPr>
            <w:r>
              <w:rPr>
                <w:rFonts w:hint="eastAsia" w:asciiTheme="minorEastAsia" w:hAnsiTheme="minorEastAsia" w:eastAsiaTheme="minorEastAsia" w:cstheme="minorEastAsia"/>
                <w:sz w:val="24"/>
              </w:rPr>
              <w:t>（2分）</w:t>
            </w:r>
          </w:p>
        </w:tc>
        <w:tc>
          <w:tcPr>
            <w:tcW w:w="6289" w:type="dxa"/>
            <w:tcBorders>
              <w:top w:val="single" w:color="auto" w:sz="4" w:space="0"/>
              <w:left w:val="single" w:color="auto" w:sz="4" w:space="0"/>
              <w:bottom w:val="single" w:color="auto" w:sz="4" w:space="0"/>
              <w:right w:val="single" w:color="auto" w:sz="4" w:space="0"/>
            </w:tcBorders>
            <w:vAlign w:val="center"/>
          </w:tcPr>
          <w:p w14:paraId="055F7BDC">
            <w:pPr>
              <w:pStyle w:val="57"/>
              <w:spacing w:line="360" w:lineRule="auto"/>
              <w:rPr>
                <w:rFonts w:hint="eastAsia" w:ascii="宋体" w:hAnsi="宋体" w:cs="宋体"/>
                <w:kern w:val="0"/>
                <w:sz w:val="24"/>
              </w:rPr>
            </w:pPr>
            <w:r>
              <w:rPr>
                <w:rFonts w:hint="eastAsia" w:ascii="宋体" w:hAnsi="宋体" w:cs="宋体"/>
                <w:sz w:val="24"/>
              </w:rPr>
              <w:t>提供2023年1月1日（以合同签订时间为准）以来类似产品业绩合同，每提供一份得1分，本项最高得2分。</w:t>
            </w:r>
          </w:p>
        </w:tc>
      </w:tr>
      <w:tr w14:paraId="5A74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900" w:type="dxa"/>
            <w:vMerge w:val="continue"/>
            <w:tcBorders>
              <w:left w:val="single" w:color="auto" w:sz="4" w:space="0"/>
              <w:right w:val="single" w:color="auto" w:sz="4" w:space="0"/>
            </w:tcBorders>
            <w:vAlign w:val="center"/>
          </w:tcPr>
          <w:p w14:paraId="3D54874C">
            <w:pPr>
              <w:autoSpaceDE w:val="0"/>
              <w:autoSpaceDN w:val="0"/>
              <w:adjustRightInd w:val="0"/>
              <w:rPr>
                <w:rFonts w:hint="eastAsia" w:ascii="宋体" w:hAnsi="宋体" w:cs="宋体"/>
                <w:sz w:val="24"/>
              </w:rPr>
            </w:pPr>
          </w:p>
        </w:tc>
        <w:tc>
          <w:tcPr>
            <w:tcW w:w="1293" w:type="dxa"/>
            <w:vMerge w:val="continue"/>
            <w:tcBorders>
              <w:left w:val="single" w:color="auto" w:sz="4" w:space="0"/>
              <w:right w:val="single" w:color="auto" w:sz="4" w:space="0"/>
            </w:tcBorders>
            <w:vAlign w:val="center"/>
          </w:tcPr>
          <w:p w14:paraId="6ED7345D">
            <w:pPr>
              <w:autoSpaceDE w:val="0"/>
              <w:autoSpaceDN w:val="0"/>
              <w:adjustRightInd w:val="0"/>
              <w:jc w:val="center"/>
              <w:rPr>
                <w:rFonts w:hint="eastAsia" w:ascii="宋体" w:hAnsi="宋体" w:cs="宋体"/>
                <w:kern w:val="0"/>
                <w:sz w:val="24"/>
              </w:rPr>
            </w:pPr>
          </w:p>
        </w:tc>
        <w:tc>
          <w:tcPr>
            <w:tcW w:w="2118" w:type="dxa"/>
            <w:tcBorders>
              <w:top w:val="single" w:color="auto" w:sz="4" w:space="0"/>
              <w:left w:val="single" w:color="auto" w:sz="4" w:space="0"/>
              <w:bottom w:val="single" w:color="auto" w:sz="4" w:space="0"/>
              <w:right w:val="single" w:color="auto" w:sz="4" w:space="0"/>
            </w:tcBorders>
            <w:vAlign w:val="center"/>
          </w:tcPr>
          <w:p w14:paraId="5100D81C">
            <w:pPr>
              <w:tabs>
                <w:tab w:val="left" w:pos="0"/>
                <w:tab w:val="left" w:pos="360"/>
              </w:tabs>
              <w:spacing w:before="93" w:after="93" w:line="360" w:lineRule="auto"/>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质保期</w:t>
            </w:r>
            <w:r>
              <w:rPr>
                <w:rFonts w:hint="eastAsia" w:asciiTheme="minorEastAsia" w:hAnsiTheme="minorEastAsia" w:eastAsiaTheme="minorEastAsia" w:cstheme="minorEastAsia"/>
                <w:sz w:val="24"/>
                <w:lang w:val="zh-CN"/>
              </w:rPr>
              <w:t>内、</w:t>
            </w:r>
            <w:r>
              <w:rPr>
                <w:rFonts w:hint="eastAsia" w:asciiTheme="minorEastAsia" w:hAnsiTheme="minorEastAsia" w:eastAsiaTheme="minorEastAsia" w:cstheme="minorEastAsia"/>
                <w:sz w:val="24"/>
              </w:rPr>
              <w:t>外</w:t>
            </w:r>
            <w:r>
              <w:rPr>
                <w:rFonts w:hint="eastAsia" w:asciiTheme="minorEastAsia" w:hAnsiTheme="minorEastAsia" w:eastAsiaTheme="minorEastAsia" w:cstheme="minorEastAsia"/>
                <w:sz w:val="24"/>
                <w:lang w:val="zh-CN"/>
              </w:rPr>
              <w:t>售后服务</w:t>
            </w:r>
          </w:p>
          <w:p w14:paraId="286F7B9F">
            <w:pPr>
              <w:tabs>
                <w:tab w:val="left" w:pos="0"/>
                <w:tab w:val="left" w:pos="360"/>
              </w:tabs>
              <w:spacing w:before="93" w:after="93" w:line="360" w:lineRule="auto"/>
              <w:jc w:val="center"/>
              <w:rPr>
                <w:rFonts w:hint="eastAsia" w:ascii="宋体" w:hAnsi="宋体" w:cs="宋体"/>
                <w:kern w:val="0"/>
                <w:sz w:val="24"/>
              </w:rPr>
            </w:pPr>
            <w:r>
              <w:rPr>
                <w:rFonts w:hint="eastAsia" w:asciiTheme="minorEastAsia" w:hAnsiTheme="minorEastAsia" w:eastAsiaTheme="minorEastAsia" w:cstheme="minorEastAsia"/>
                <w:sz w:val="24"/>
                <w:lang w:val="zh-CN"/>
              </w:rPr>
              <w:t>（</w:t>
            </w:r>
            <w:r>
              <w:rPr>
                <w:rFonts w:hint="eastAsia" w:asciiTheme="minorEastAsia" w:hAnsiTheme="minorEastAsia" w:eastAsiaTheme="minorEastAsia" w:cstheme="minorEastAsia"/>
                <w:sz w:val="24"/>
              </w:rPr>
              <w:t>5分</w:t>
            </w:r>
            <w:r>
              <w:rPr>
                <w:rFonts w:hint="eastAsia" w:asciiTheme="minorEastAsia" w:hAnsiTheme="minorEastAsia" w:eastAsiaTheme="minorEastAsia" w:cstheme="minorEastAsia"/>
                <w:sz w:val="24"/>
                <w:lang w:val="zh-CN"/>
              </w:rPr>
              <w:t>）</w:t>
            </w:r>
          </w:p>
        </w:tc>
        <w:tc>
          <w:tcPr>
            <w:tcW w:w="6289" w:type="dxa"/>
            <w:tcBorders>
              <w:top w:val="single" w:color="auto" w:sz="4" w:space="0"/>
              <w:left w:val="single" w:color="auto" w:sz="4" w:space="0"/>
              <w:bottom w:val="single" w:color="auto" w:sz="4" w:space="0"/>
              <w:right w:val="single" w:color="auto" w:sz="4" w:space="0"/>
            </w:tcBorders>
            <w:vAlign w:val="center"/>
          </w:tcPr>
          <w:p w14:paraId="57E6473F">
            <w:pPr>
              <w:spacing w:line="360" w:lineRule="auto"/>
              <w:rPr>
                <w:rFonts w:hint="eastAsia" w:asciiTheme="minorEastAsia" w:hAnsiTheme="minorEastAsia"/>
                <w:sz w:val="24"/>
              </w:rPr>
            </w:pPr>
            <w:r>
              <w:rPr>
                <w:rFonts w:hint="eastAsia" w:asciiTheme="minorEastAsia" w:hAnsiTheme="minorEastAsia"/>
                <w:sz w:val="24"/>
              </w:rPr>
              <w:t>根据供应商制定的售后服务方案及相关承诺，结合方案的完整性、可靠性，承诺的合理性、可行性，重点考核服务内容、服务体系、响应方式、响应时间、服务质量、备机服务等核心内容，按以下细化标准综合评分。供应商需提供书面佐证材料（如售后服务方案、服务承诺函、服务响应时间等），评委根据佐证材料按对应标准评分：</w:t>
            </w:r>
          </w:p>
          <w:p w14:paraId="3848167A">
            <w:pPr>
              <w:spacing w:line="360" w:lineRule="auto"/>
              <w:rPr>
                <w:rFonts w:hint="eastAsia" w:asciiTheme="minorEastAsia" w:hAnsiTheme="minorEastAsia"/>
                <w:sz w:val="24"/>
              </w:rPr>
            </w:pPr>
            <w:r>
              <w:rPr>
                <w:rFonts w:hint="eastAsia" w:asciiTheme="minorEastAsia" w:hAnsiTheme="minorEastAsia"/>
                <w:sz w:val="24"/>
              </w:rPr>
              <w:t>（1）售后服务方案成熟可靠，响应程度高，服务内容涵盖维修、故障排查等全方面，服务体系完善、网点齐全，响应灵活高效，维修合格率和质量标准高，备机服务证明完整可靠，服务承诺完善，保障项目正常运行，得 5 分。</w:t>
            </w:r>
          </w:p>
          <w:p w14:paraId="409310F3">
            <w:pPr>
              <w:spacing w:line="360" w:lineRule="auto"/>
              <w:rPr>
                <w:rFonts w:hint="eastAsia" w:asciiTheme="minorEastAsia" w:hAnsiTheme="minorEastAsia"/>
                <w:sz w:val="24"/>
              </w:rPr>
            </w:pPr>
            <w:r>
              <w:rPr>
                <w:rFonts w:hint="eastAsia" w:asciiTheme="minorEastAsia" w:hAnsiTheme="minorEastAsia"/>
                <w:sz w:val="24"/>
              </w:rPr>
              <w:t>（2）售后服务方案合理、承诺完整，响应程度较高，核心服务齐全，有基本服务体系及人员，响应时间达标，质量标准较高，备机服务到位，能满足采购需求，得 2 分。</w:t>
            </w:r>
          </w:p>
          <w:p w14:paraId="64FE10D1">
            <w:pPr>
              <w:spacing w:line="360" w:lineRule="auto"/>
              <w:rPr>
                <w:rFonts w:hint="eastAsia" w:asciiTheme="minorEastAsia" w:hAnsiTheme="minorEastAsia"/>
                <w:sz w:val="24"/>
              </w:rPr>
            </w:pPr>
            <w:r>
              <w:rPr>
                <w:rFonts w:hint="eastAsia" w:asciiTheme="minorEastAsia" w:hAnsiTheme="minorEastAsia"/>
                <w:sz w:val="24"/>
              </w:rPr>
              <w:t>（3）售后服务方案内容一般，响应程度一般，仅提供核心维修服务，服务体系不完善，响应单一、无明确质量标准，备机保障不足，得 1 分。</w:t>
            </w:r>
          </w:p>
          <w:p w14:paraId="01D81A44">
            <w:pPr>
              <w:spacing w:line="360" w:lineRule="auto"/>
              <w:rPr>
                <w:rFonts w:hint="eastAsia" w:ascii="宋体" w:hAnsi="宋体" w:cs="宋体"/>
                <w:kern w:val="0"/>
                <w:sz w:val="24"/>
              </w:rPr>
            </w:pPr>
            <w:r>
              <w:rPr>
                <w:rFonts w:hint="eastAsia" w:asciiTheme="minorEastAsia" w:hAnsiTheme="minorEastAsia"/>
                <w:sz w:val="24"/>
              </w:rPr>
              <w:t>（4）未提供不得分。</w:t>
            </w:r>
          </w:p>
        </w:tc>
      </w:tr>
      <w:tr w14:paraId="4F9D9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10600" w:type="dxa"/>
            <w:gridSpan w:val="4"/>
            <w:tcBorders>
              <w:left w:val="single" w:color="auto" w:sz="4" w:space="0"/>
              <w:right w:val="single" w:color="auto" w:sz="4" w:space="0"/>
            </w:tcBorders>
            <w:vAlign w:val="center"/>
          </w:tcPr>
          <w:p w14:paraId="3A774744">
            <w:pPr>
              <w:spacing w:line="360" w:lineRule="auto"/>
              <w:rPr>
                <w:rFonts w:hint="eastAsia" w:ascii="宋体" w:hAnsi="宋体" w:cs="宋体"/>
                <w:sz w:val="24"/>
              </w:rPr>
            </w:pPr>
            <w:r>
              <w:rPr>
                <w:rFonts w:hint="eastAsia" w:ascii="宋体" w:hAnsi="宋体" w:cs="宋体"/>
                <w:sz w:val="24"/>
              </w:rPr>
              <w:t>供应商综合得分=报价部分得分+技术部分得分＋综合部分得分。</w:t>
            </w:r>
          </w:p>
          <w:p w14:paraId="0CF5DFF6">
            <w:pPr>
              <w:spacing w:line="360" w:lineRule="auto"/>
              <w:rPr>
                <w:rFonts w:hint="eastAsia" w:ascii="宋体" w:hAnsi="宋体" w:cs="宋体"/>
                <w:kern w:val="0"/>
                <w:sz w:val="24"/>
              </w:rPr>
            </w:pPr>
            <w:r>
              <w:rPr>
                <w:rFonts w:hint="eastAsia" w:ascii="宋体" w:hAnsi="宋体" w:cs="宋体"/>
                <w:sz w:val="24"/>
              </w:rPr>
              <w:t>供应商的最终得分：磋商小组打分的算术平均值，作为该供应商的最终得分。</w:t>
            </w:r>
          </w:p>
        </w:tc>
      </w:tr>
    </w:tbl>
    <w:p w14:paraId="6B7154CF">
      <w:pPr>
        <w:pStyle w:val="27"/>
        <w:adjustRightInd/>
        <w:spacing w:before="0" w:after="0" w:line="360" w:lineRule="auto"/>
        <w:ind w:right="-1031" w:rightChars="-491"/>
        <w:jc w:val="both"/>
        <w:textAlignment w:val="auto"/>
        <w:outlineLvl w:val="9"/>
        <w:rPr>
          <w:rFonts w:hint="eastAsia" w:ascii="宋体" w:hAnsi="宋体" w:cs="宋体"/>
          <w:sz w:val="24"/>
          <w:szCs w:val="24"/>
        </w:rPr>
        <w:sectPr>
          <w:pgSz w:w="11906" w:h="16838"/>
          <w:pgMar w:top="1440" w:right="1800" w:bottom="1440" w:left="1800" w:header="851" w:footer="992" w:gutter="0"/>
          <w:cols w:space="425" w:num="1"/>
          <w:docGrid w:type="lines" w:linePitch="312" w:charSpace="0"/>
        </w:sectPr>
      </w:pPr>
    </w:p>
    <w:p w14:paraId="75CF8B7F">
      <w:pPr>
        <w:pStyle w:val="27"/>
        <w:adjustRightInd/>
        <w:spacing w:before="0" w:after="0" w:line="360" w:lineRule="auto"/>
        <w:ind w:right="-1031" w:rightChars="-491"/>
        <w:jc w:val="both"/>
        <w:textAlignment w:val="auto"/>
        <w:outlineLvl w:val="9"/>
        <w:rPr>
          <w:rFonts w:hint="eastAsia" w:ascii="宋体" w:hAnsi="宋体" w:cs="宋体"/>
          <w:sz w:val="24"/>
          <w:szCs w:val="24"/>
        </w:rPr>
      </w:pPr>
      <w:r>
        <w:rPr>
          <w:rFonts w:hint="eastAsia" w:ascii="宋体" w:hAnsi="宋体" w:cs="宋体"/>
          <w:sz w:val="24"/>
          <w:szCs w:val="24"/>
        </w:rPr>
        <w:t>1.评标方法</w:t>
      </w:r>
      <w:bookmarkEnd w:id="408"/>
      <w:bookmarkEnd w:id="409"/>
    </w:p>
    <w:p w14:paraId="3627828B">
      <w:pPr>
        <w:spacing w:line="360" w:lineRule="auto"/>
        <w:ind w:firstLine="480" w:firstLineChars="200"/>
        <w:rPr>
          <w:rFonts w:hint="eastAsia" w:ascii="宋体" w:hAnsi="宋体" w:cs="宋体"/>
          <w:sz w:val="24"/>
        </w:rPr>
      </w:pPr>
      <w:bookmarkStart w:id="412" w:name="_Toc254788515"/>
      <w:bookmarkStart w:id="413" w:name="_Toc11627"/>
      <w:bookmarkStart w:id="414" w:name="_Toc256519729"/>
      <w:bookmarkStart w:id="415" w:name="_Toc346731842"/>
      <w:bookmarkStart w:id="416" w:name="_Toc17153"/>
      <w:bookmarkStart w:id="417" w:name="_Toc955"/>
      <w:r>
        <w:rPr>
          <w:rFonts w:hint="eastAsia" w:ascii="宋体" w:hAnsi="宋体" w:cs="宋体"/>
          <w:sz w:val="24"/>
        </w:rPr>
        <w:t>本次评标采用综合评分法。磋商小组对满足磋商文件实质性要求的响应文件，按照本章第2.2款规定的评分标准进行打分，并按得分由高到低顺序推荐成交候选人，或根据采购人授权直接确定成交人，但磋商报价低于其成本的除外。综合评分相等时，以磋商报价低的优先；磋商报价也相等的，由采购人自行确定。</w:t>
      </w:r>
    </w:p>
    <w:bookmarkEnd w:id="412"/>
    <w:bookmarkEnd w:id="413"/>
    <w:bookmarkEnd w:id="414"/>
    <w:bookmarkEnd w:id="415"/>
    <w:bookmarkEnd w:id="416"/>
    <w:bookmarkEnd w:id="417"/>
    <w:p w14:paraId="24C7EEA2">
      <w:pPr>
        <w:pStyle w:val="27"/>
        <w:adjustRightInd/>
        <w:spacing w:before="0" w:after="0" w:line="360" w:lineRule="auto"/>
        <w:ind w:right="-1031" w:rightChars="-491"/>
        <w:jc w:val="both"/>
        <w:textAlignment w:val="auto"/>
        <w:outlineLvl w:val="9"/>
        <w:rPr>
          <w:rFonts w:hint="eastAsia" w:ascii="宋体" w:hAnsi="宋体" w:cs="宋体"/>
          <w:sz w:val="24"/>
          <w:szCs w:val="24"/>
        </w:rPr>
      </w:pPr>
      <w:bookmarkStart w:id="418" w:name="_Toc152042378"/>
      <w:bookmarkStart w:id="419" w:name="_Toc26145"/>
      <w:bookmarkStart w:id="420" w:name="_Toc9475"/>
      <w:bookmarkStart w:id="421" w:name="_Toc152045601"/>
      <w:bookmarkStart w:id="422" w:name="_Toc144974568"/>
      <w:bookmarkStart w:id="423" w:name="_Toc256519734"/>
      <w:bookmarkStart w:id="424" w:name="_Toc18230"/>
      <w:bookmarkStart w:id="425" w:name="_Toc346731844"/>
      <w:bookmarkStart w:id="426" w:name="_Toc31154"/>
      <w:bookmarkStart w:id="427" w:name="_Toc254788517"/>
      <w:bookmarkStart w:id="428" w:name="_Toc17390"/>
      <w:r>
        <w:rPr>
          <w:rFonts w:hint="eastAsia" w:ascii="宋体" w:hAnsi="宋体" w:cs="宋体"/>
          <w:sz w:val="24"/>
          <w:szCs w:val="24"/>
        </w:rPr>
        <w:t>2.评审标准</w:t>
      </w:r>
      <w:bookmarkEnd w:id="418"/>
      <w:bookmarkEnd w:id="419"/>
      <w:bookmarkEnd w:id="420"/>
      <w:bookmarkEnd w:id="421"/>
      <w:bookmarkEnd w:id="422"/>
    </w:p>
    <w:p w14:paraId="251A720D">
      <w:pPr>
        <w:pStyle w:val="58"/>
        <w:spacing w:line="360" w:lineRule="auto"/>
        <w:rPr>
          <w:rFonts w:hint="eastAsia" w:ascii="宋体" w:hAnsi="宋体" w:eastAsia="宋体"/>
          <w:szCs w:val="24"/>
        </w:rPr>
      </w:pPr>
      <w:bookmarkStart w:id="429" w:name="_Toc20412"/>
      <w:bookmarkStart w:id="430" w:name="_Toc22128"/>
      <w:bookmarkStart w:id="431" w:name="_Toc152045602"/>
      <w:bookmarkStart w:id="432" w:name="_Toc28963"/>
      <w:bookmarkStart w:id="433" w:name="_Toc144974569"/>
      <w:bookmarkStart w:id="434" w:name="_Toc5543"/>
      <w:bookmarkStart w:id="435" w:name="_Toc3080"/>
      <w:bookmarkStart w:id="436" w:name="_Toc152042379"/>
      <w:r>
        <w:rPr>
          <w:rFonts w:hint="eastAsia" w:ascii="宋体" w:hAnsi="宋体" w:eastAsia="宋体"/>
          <w:szCs w:val="24"/>
        </w:rPr>
        <w:t>2.1 初步评审标准</w:t>
      </w:r>
      <w:bookmarkEnd w:id="429"/>
      <w:bookmarkEnd w:id="430"/>
      <w:bookmarkEnd w:id="431"/>
      <w:bookmarkEnd w:id="432"/>
      <w:bookmarkEnd w:id="433"/>
      <w:bookmarkEnd w:id="434"/>
      <w:bookmarkEnd w:id="435"/>
      <w:bookmarkEnd w:id="436"/>
    </w:p>
    <w:bookmarkEnd w:id="423"/>
    <w:bookmarkEnd w:id="424"/>
    <w:bookmarkEnd w:id="425"/>
    <w:bookmarkEnd w:id="426"/>
    <w:bookmarkEnd w:id="427"/>
    <w:bookmarkEnd w:id="428"/>
    <w:p w14:paraId="02963538">
      <w:pPr>
        <w:spacing w:line="360" w:lineRule="auto"/>
        <w:ind w:firstLine="480" w:firstLineChars="200"/>
        <w:rPr>
          <w:rFonts w:hint="eastAsia" w:ascii="宋体" w:hAnsi="宋体" w:cs="宋体"/>
          <w:sz w:val="24"/>
        </w:rPr>
      </w:pPr>
      <w:bookmarkStart w:id="437" w:name="_Toc256519736"/>
      <w:bookmarkStart w:id="438" w:name="_Toc14575"/>
      <w:bookmarkStart w:id="439" w:name="_Toc15932"/>
      <w:bookmarkStart w:id="440" w:name="_Toc19512"/>
      <w:r>
        <w:rPr>
          <w:rFonts w:hint="eastAsia" w:ascii="宋体" w:hAnsi="宋体" w:cs="宋体"/>
          <w:sz w:val="24"/>
        </w:rPr>
        <w:t>2.1.1 形式评审标准：见评标办法前附表。</w:t>
      </w:r>
    </w:p>
    <w:p w14:paraId="57844650">
      <w:pPr>
        <w:spacing w:line="360" w:lineRule="auto"/>
        <w:ind w:firstLine="480" w:firstLineChars="200"/>
        <w:rPr>
          <w:rFonts w:hint="eastAsia" w:ascii="宋体" w:hAnsi="宋体" w:cs="宋体"/>
          <w:sz w:val="24"/>
        </w:rPr>
      </w:pPr>
      <w:r>
        <w:rPr>
          <w:rFonts w:hint="eastAsia" w:ascii="宋体" w:hAnsi="宋体" w:cs="宋体"/>
          <w:sz w:val="24"/>
        </w:rPr>
        <w:t>2.1.2 资格评审标准：见评标办法前附表。</w:t>
      </w:r>
    </w:p>
    <w:p w14:paraId="088A41E9">
      <w:pPr>
        <w:spacing w:line="360" w:lineRule="auto"/>
        <w:ind w:firstLine="480" w:firstLineChars="200"/>
        <w:rPr>
          <w:rFonts w:hint="eastAsia" w:ascii="宋体" w:hAnsi="宋体" w:cs="宋体"/>
          <w:sz w:val="24"/>
        </w:rPr>
      </w:pPr>
      <w:r>
        <w:rPr>
          <w:rFonts w:hint="eastAsia" w:ascii="宋体" w:hAnsi="宋体" w:cs="宋体"/>
          <w:sz w:val="24"/>
        </w:rPr>
        <w:t>2.1.3 响应性评审标准：见评标办法前附表。</w:t>
      </w:r>
    </w:p>
    <w:p w14:paraId="3B0F3FC4">
      <w:pPr>
        <w:pStyle w:val="58"/>
        <w:spacing w:line="360" w:lineRule="auto"/>
        <w:rPr>
          <w:rFonts w:hint="eastAsia" w:ascii="宋体" w:hAnsi="宋体" w:eastAsia="宋体"/>
          <w:szCs w:val="24"/>
        </w:rPr>
      </w:pPr>
      <w:bookmarkStart w:id="441" w:name="_Toc537"/>
      <w:bookmarkStart w:id="442" w:name="_Toc10170"/>
      <w:bookmarkStart w:id="443" w:name="_Toc32643"/>
      <w:bookmarkStart w:id="444" w:name="_Toc152045603"/>
      <w:bookmarkStart w:id="445" w:name="_Toc4306"/>
      <w:bookmarkStart w:id="446" w:name="_Toc144974570"/>
      <w:bookmarkStart w:id="447" w:name="_Toc31502"/>
      <w:bookmarkStart w:id="448" w:name="_Toc152042380"/>
      <w:r>
        <w:rPr>
          <w:rFonts w:hint="eastAsia" w:ascii="宋体" w:hAnsi="宋体" w:eastAsia="宋体"/>
          <w:szCs w:val="24"/>
        </w:rPr>
        <w:t>2.2 分值构成与评分标准</w:t>
      </w:r>
      <w:bookmarkEnd w:id="441"/>
      <w:bookmarkEnd w:id="442"/>
      <w:bookmarkEnd w:id="443"/>
      <w:bookmarkEnd w:id="444"/>
      <w:bookmarkEnd w:id="445"/>
      <w:bookmarkEnd w:id="446"/>
      <w:bookmarkEnd w:id="447"/>
      <w:bookmarkEnd w:id="448"/>
    </w:p>
    <w:bookmarkEnd w:id="437"/>
    <w:bookmarkEnd w:id="438"/>
    <w:bookmarkEnd w:id="439"/>
    <w:bookmarkEnd w:id="440"/>
    <w:p w14:paraId="530E1DEA">
      <w:pPr>
        <w:spacing w:line="360" w:lineRule="auto"/>
        <w:ind w:firstLine="480" w:firstLineChars="200"/>
        <w:rPr>
          <w:rFonts w:hint="eastAsia" w:ascii="宋体" w:hAnsi="宋体" w:cs="宋体"/>
          <w:sz w:val="24"/>
        </w:rPr>
      </w:pPr>
      <w:bookmarkStart w:id="449" w:name="_Toc256519738"/>
      <w:bookmarkStart w:id="450" w:name="_Toc11128"/>
      <w:bookmarkStart w:id="451" w:name="_Toc18548"/>
      <w:bookmarkStart w:id="452" w:name="_Toc346731845"/>
      <w:bookmarkStart w:id="453" w:name="_Toc3164"/>
      <w:bookmarkStart w:id="454" w:name="_Toc254788518"/>
      <w:r>
        <w:rPr>
          <w:rFonts w:hint="eastAsia" w:ascii="宋体" w:hAnsi="宋体" w:cs="宋体"/>
          <w:sz w:val="24"/>
        </w:rPr>
        <w:t>2.2.1 分值构成</w:t>
      </w:r>
    </w:p>
    <w:p w14:paraId="5F9E806F">
      <w:pPr>
        <w:spacing w:line="360" w:lineRule="auto"/>
        <w:ind w:firstLine="480" w:firstLineChars="200"/>
        <w:rPr>
          <w:rFonts w:hint="eastAsia" w:ascii="宋体" w:hAnsi="宋体" w:cs="宋体"/>
          <w:sz w:val="24"/>
        </w:rPr>
      </w:pPr>
      <w:r>
        <w:rPr>
          <w:rFonts w:hint="eastAsia" w:ascii="宋体" w:hAnsi="宋体" w:cs="宋体"/>
          <w:sz w:val="24"/>
        </w:rPr>
        <w:t>（1）报价部分：见评标办法前附表；</w:t>
      </w:r>
    </w:p>
    <w:p w14:paraId="5EB207C7">
      <w:pPr>
        <w:spacing w:line="360" w:lineRule="auto"/>
        <w:ind w:firstLine="480" w:firstLineChars="200"/>
        <w:rPr>
          <w:rFonts w:hint="eastAsia" w:ascii="宋体" w:hAnsi="宋体" w:cs="宋体"/>
          <w:sz w:val="24"/>
        </w:rPr>
      </w:pPr>
      <w:r>
        <w:rPr>
          <w:rFonts w:hint="eastAsia" w:ascii="宋体" w:hAnsi="宋体" w:cs="宋体"/>
          <w:sz w:val="24"/>
        </w:rPr>
        <w:t>（2）技术部分：见评标办法前附表；</w:t>
      </w:r>
    </w:p>
    <w:p w14:paraId="6EE134E2">
      <w:pPr>
        <w:spacing w:line="360" w:lineRule="auto"/>
        <w:ind w:firstLine="480" w:firstLineChars="200"/>
        <w:rPr>
          <w:rFonts w:hint="eastAsia" w:ascii="宋体" w:hAnsi="宋体" w:cs="宋体"/>
          <w:sz w:val="24"/>
        </w:rPr>
      </w:pPr>
      <w:r>
        <w:rPr>
          <w:rFonts w:hint="eastAsia" w:ascii="宋体" w:hAnsi="宋体" w:cs="宋体"/>
          <w:sz w:val="24"/>
        </w:rPr>
        <w:t>（3）综合部分：见评标办法前附表；</w:t>
      </w:r>
    </w:p>
    <w:p w14:paraId="50B6A8E7">
      <w:pPr>
        <w:spacing w:line="360" w:lineRule="auto"/>
        <w:ind w:firstLine="480" w:firstLineChars="200"/>
        <w:rPr>
          <w:rFonts w:hint="eastAsia" w:ascii="宋体" w:hAnsi="宋体" w:cs="宋体"/>
          <w:sz w:val="24"/>
        </w:rPr>
      </w:pPr>
      <w:r>
        <w:rPr>
          <w:rFonts w:hint="eastAsia" w:ascii="宋体" w:hAnsi="宋体" w:cs="宋体"/>
          <w:sz w:val="24"/>
        </w:rPr>
        <w:t>2.2.2 评分标准</w:t>
      </w:r>
    </w:p>
    <w:p w14:paraId="0A7A87DA">
      <w:pPr>
        <w:spacing w:line="360" w:lineRule="auto"/>
        <w:ind w:firstLine="480" w:firstLineChars="200"/>
        <w:rPr>
          <w:rFonts w:hint="eastAsia" w:ascii="宋体" w:hAnsi="宋体" w:cs="宋体"/>
          <w:sz w:val="24"/>
        </w:rPr>
      </w:pPr>
      <w:r>
        <w:rPr>
          <w:rFonts w:hint="eastAsia" w:ascii="宋体" w:hAnsi="宋体" w:cs="宋体"/>
          <w:sz w:val="24"/>
        </w:rPr>
        <w:t>（1）报价部分评分标准：见评标办法前附表；</w:t>
      </w:r>
    </w:p>
    <w:p w14:paraId="19BA792F">
      <w:pPr>
        <w:spacing w:line="360" w:lineRule="auto"/>
        <w:ind w:firstLine="480" w:firstLineChars="200"/>
        <w:rPr>
          <w:rFonts w:hint="eastAsia" w:ascii="宋体" w:hAnsi="宋体" w:cs="宋体"/>
          <w:sz w:val="24"/>
        </w:rPr>
      </w:pPr>
      <w:r>
        <w:rPr>
          <w:rFonts w:hint="eastAsia" w:ascii="宋体" w:hAnsi="宋体" w:cs="宋体"/>
          <w:sz w:val="24"/>
        </w:rPr>
        <w:t>（2）技术部分评分标准：见评标办法前附表；</w:t>
      </w:r>
    </w:p>
    <w:p w14:paraId="21C7C263">
      <w:pPr>
        <w:spacing w:line="360" w:lineRule="auto"/>
        <w:ind w:firstLine="480" w:firstLineChars="200"/>
        <w:rPr>
          <w:rFonts w:hint="eastAsia" w:ascii="宋体" w:hAnsi="宋体" w:cs="宋体"/>
          <w:sz w:val="24"/>
        </w:rPr>
      </w:pPr>
      <w:r>
        <w:rPr>
          <w:rFonts w:hint="eastAsia" w:ascii="宋体" w:hAnsi="宋体" w:cs="宋体"/>
          <w:sz w:val="24"/>
        </w:rPr>
        <w:t>（3）综合部分评分标准：见评标办法前附表；</w:t>
      </w:r>
    </w:p>
    <w:p w14:paraId="0779204B">
      <w:pPr>
        <w:pStyle w:val="27"/>
        <w:adjustRightInd/>
        <w:spacing w:before="0" w:after="0" w:line="360" w:lineRule="auto"/>
        <w:ind w:right="-1031" w:rightChars="-491"/>
        <w:jc w:val="both"/>
        <w:textAlignment w:val="auto"/>
        <w:outlineLvl w:val="9"/>
        <w:rPr>
          <w:rFonts w:hint="eastAsia" w:ascii="宋体" w:hAnsi="宋体" w:cs="宋体"/>
          <w:sz w:val="24"/>
          <w:szCs w:val="24"/>
        </w:rPr>
      </w:pPr>
      <w:r>
        <w:rPr>
          <w:rFonts w:hint="eastAsia" w:ascii="宋体" w:hAnsi="宋体" w:cs="宋体"/>
          <w:sz w:val="24"/>
          <w:szCs w:val="24"/>
        </w:rPr>
        <w:t>3、评标程序</w:t>
      </w:r>
      <w:bookmarkEnd w:id="449"/>
      <w:bookmarkEnd w:id="450"/>
      <w:bookmarkEnd w:id="451"/>
      <w:bookmarkEnd w:id="452"/>
      <w:bookmarkEnd w:id="453"/>
      <w:bookmarkEnd w:id="454"/>
    </w:p>
    <w:p w14:paraId="4CD885EF">
      <w:pPr>
        <w:spacing w:line="360" w:lineRule="auto"/>
        <w:ind w:firstLine="523" w:firstLineChars="218"/>
        <w:rPr>
          <w:rFonts w:hint="eastAsia" w:ascii="宋体" w:hAnsi="宋体" w:cs="宋体"/>
          <w:sz w:val="24"/>
        </w:rPr>
      </w:pPr>
      <w:bookmarkStart w:id="455" w:name="_Toc254788519"/>
      <w:bookmarkStart w:id="456" w:name="_Toc7215"/>
      <w:bookmarkStart w:id="457" w:name="_Toc346731846"/>
      <w:bookmarkStart w:id="458" w:name="_Toc256519739"/>
      <w:bookmarkStart w:id="459" w:name="_Toc23044"/>
      <w:bookmarkStart w:id="460" w:name="_Toc3240"/>
      <w:r>
        <w:rPr>
          <w:rFonts w:hint="eastAsia" w:ascii="宋体" w:hAnsi="宋体" w:cs="宋体"/>
          <w:sz w:val="24"/>
        </w:rPr>
        <w:t>3.1初步评审</w:t>
      </w:r>
      <w:bookmarkEnd w:id="455"/>
      <w:bookmarkEnd w:id="456"/>
      <w:bookmarkEnd w:id="457"/>
      <w:bookmarkEnd w:id="458"/>
      <w:bookmarkEnd w:id="459"/>
      <w:bookmarkEnd w:id="460"/>
    </w:p>
    <w:p w14:paraId="2996ED81">
      <w:pPr>
        <w:spacing w:line="360" w:lineRule="auto"/>
        <w:ind w:firstLine="523" w:firstLineChars="218"/>
        <w:rPr>
          <w:rFonts w:hint="eastAsia" w:ascii="宋体" w:hAnsi="宋体" w:cs="宋体"/>
          <w:sz w:val="24"/>
        </w:rPr>
      </w:pPr>
      <w:bookmarkStart w:id="461" w:name="_Toc256519740"/>
      <w:bookmarkStart w:id="462" w:name="_Toc23705"/>
      <w:bookmarkStart w:id="463" w:name="_Toc24988"/>
      <w:bookmarkStart w:id="464" w:name="_Toc325"/>
      <w:r>
        <w:rPr>
          <w:rFonts w:hint="eastAsia" w:ascii="宋体" w:hAnsi="宋体" w:cs="宋体"/>
          <w:sz w:val="24"/>
        </w:rPr>
        <w:t>3.1.1磋商小组依据本章第2.1款规定的评审标准对响应文件进行初步评审。有一项不符合评审标准的，其投标将被否决。</w:t>
      </w:r>
      <w:bookmarkEnd w:id="461"/>
      <w:bookmarkEnd w:id="462"/>
      <w:bookmarkEnd w:id="463"/>
      <w:bookmarkEnd w:id="464"/>
    </w:p>
    <w:p w14:paraId="1E2232E0">
      <w:pPr>
        <w:spacing w:line="360" w:lineRule="auto"/>
        <w:ind w:firstLine="523" w:firstLineChars="218"/>
        <w:rPr>
          <w:rFonts w:hint="eastAsia" w:ascii="宋体" w:hAnsi="宋体" w:cs="宋体"/>
          <w:sz w:val="24"/>
        </w:rPr>
      </w:pPr>
      <w:bookmarkStart w:id="465" w:name="_Toc256519741"/>
      <w:bookmarkStart w:id="466" w:name="_Toc21573"/>
      <w:bookmarkStart w:id="467" w:name="_Toc14712"/>
      <w:bookmarkStart w:id="468" w:name="_Toc21810"/>
      <w:r>
        <w:rPr>
          <w:rFonts w:hint="eastAsia" w:ascii="宋体" w:hAnsi="宋体" w:cs="宋体"/>
          <w:sz w:val="24"/>
        </w:rPr>
        <w:t>3.1.2供应商有以下情形之一的，其投标将被否决：</w:t>
      </w:r>
      <w:bookmarkEnd w:id="465"/>
      <w:bookmarkEnd w:id="466"/>
      <w:bookmarkEnd w:id="467"/>
      <w:bookmarkEnd w:id="468"/>
    </w:p>
    <w:p w14:paraId="21067A04">
      <w:pPr>
        <w:spacing w:line="360" w:lineRule="auto"/>
        <w:ind w:firstLine="523" w:firstLineChars="218"/>
        <w:rPr>
          <w:rFonts w:hint="eastAsia" w:ascii="宋体" w:hAnsi="宋体" w:cs="宋体"/>
          <w:sz w:val="24"/>
        </w:rPr>
      </w:pPr>
      <w:r>
        <w:rPr>
          <w:rFonts w:hint="eastAsia" w:ascii="宋体" w:hAnsi="宋体" w:cs="宋体"/>
          <w:sz w:val="24"/>
        </w:rPr>
        <w:t>（1）串通投标或弄虚作假或有其他违法行为的；</w:t>
      </w:r>
    </w:p>
    <w:p w14:paraId="1083BF9A">
      <w:pPr>
        <w:spacing w:line="360" w:lineRule="auto"/>
        <w:ind w:firstLine="523" w:firstLineChars="218"/>
        <w:rPr>
          <w:rFonts w:hint="eastAsia" w:ascii="宋体" w:hAnsi="宋体" w:cs="宋体"/>
          <w:sz w:val="24"/>
        </w:rPr>
      </w:pPr>
      <w:r>
        <w:rPr>
          <w:rFonts w:hint="eastAsia" w:ascii="宋体" w:hAnsi="宋体" w:cs="宋体"/>
          <w:sz w:val="24"/>
        </w:rPr>
        <w:t>（2）不按磋商小组要求澄清、说明或补正的。</w:t>
      </w:r>
    </w:p>
    <w:p w14:paraId="295A29C0">
      <w:pPr>
        <w:spacing w:line="360" w:lineRule="auto"/>
        <w:ind w:firstLine="523" w:firstLineChars="218"/>
        <w:rPr>
          <w:rFonts w:hint="eastAsia" w:ascii="宋体" w:hAnsi="宋体" w:cs="宋体"/>
          <w:sz w:val="24"/>
        </w:rPr>
      </w:pPr>
      <w:r>
        <w:rPr>
          <w:rFonts w:hint="eastAsia" w:ascii="宋体" w:hAnsi="宋体" w:cs="宋体"/>
          <w:sz w:val="24"/>
        </w:rPr>
        <w:t>（3）响应文件制作机器码与其他供应商一致的。</w:t>
      </w:r>
    </w:p>
    <w:p w14:paraId="03006413">
      <w:pPr>
        <w:spacing w:line="360" w:lineRule="auto"/>
        <w:ind w:firstLine="523" w:firstLineChars="218"/>
        <w:rPr>
          <w:rFonts w:hint="eastAsia" w:ascii="宋体" w:hAnsi="宋体" w:cs="宋体"/>
          <w:sz w:val="24"/>
        </w:rPr>
      </w:pPr>
      <w:bookmarkStart w:id="469" w:name="_Toc256519742"/>
      <w:bookmarkStart w:id="470" w:name="_Toc21679"/>
      <w:bookmarkStart w:id="471" w:name="_Toc1851"/>
      <w:bookmarkStart w:id="472" w:name="_Toc24006"/>
      <w:r>
        <w:rPr>
          <w:rFonts w:hint="eastAsia" w:ascii="宋体" w:hAnsi="宋体" w:cs="宋体"/>
          <w:sz w:val="24"/>
        </w:rPr>
        <w:t>3.1.3磋商报价有算术错误的，磋商小组按以下原则对磋商报价进行修正，修正的价格经供应商书面确认后具有约束力。供应商不接受修正价格的，其投标将被否决。</w:t>
      </w:r>
      <w:bookmarkEnd w:id="469"/>
      <w:bookmarkEnd w:id="470"/>
      <w:bookmarkEnd w:id="471"/>
      <w:bookmarkEnd w:id="472"/>
    </w:p>
    <w:p w14:paraId="410BDEA8">
      <w:pPr>
        <w:spacing w:line="360" w:lineRule="auto"/>
        <w:ind w:firstLine="523" w:firstLineChars="218"/>
        <w:rPr>
          <w:rFonts w:hint="eastAsia" w:ascii="宋体" w:hAnsi="宋体" w:cs="宋体"/>
          <w:sz w:val="24"/>
        </w:rPr>
      </w:pPr>
      <w:r>
        <w:rPr>
          <w:rFonts w:hint="eastAsia" w:ascii="宋体" w:hAnsi="宋体" w:cs="宋体"/>
          <w:sz w:val="24"/>
        </w:rPr>
        <w:t>（1）响应文件中的大写金额与小写金额不一致的，以大写金额为准；</w:t>
      </w:r>
    </w:p>
    <w:p w14:paraId="7F699DE2">
      <w:pPr>
        <w:spacing w:line="360" w:lineRule="auto"/>
        <w:ind w:firstLine="523" w:firstLineChars="218"/>
        <w:rPr>
          <w:rFonts w:hint="eastAsia" w:ascii="宋体" w:hAnsi="宋体" w:cs="宋体"/>
          <w:sz w:val="24"/>
        </w:rPr>
      </w:pPr>
      <w:r>
        <w:rPr>
          <w:rFonts w:hint="eastAsia" w:ascii="宋体" w:hAnsi="宋体" w:cs="宋体"/>
          <w:sz w:val="24"/>
        </w:rPr>
        <w:t>（2）总价金额与依据单价计算出的结果不一致的，以单价金额为准修正总价，但单价金额小数点有明显错误的除外。</w:t>
      </w:r>
    </w:p>
    <w:p w14:paraId="11DAE98E">
      <w:pPr>
        <w:spacing w:line="360" w:lineRule="auto"/>
        <w:ind w:firstLine="523" w:firstLineChars="218"/>
        <w:rPr>
          <w:rFonts w:hint="eastAsia" w:ascii="宋体" w:hAnsi="宋体" w:cs="宋体"/>
          <w:sz w:val="24"/>
        </w:rPr>
      </w:pPr>
      <w:bookmarkStart w:id="473" w:name="_Toc254788520"/>
      <w:bookmarkStart w:id="474" w:name="_Toc9893"/>
      <w:bookmarkStart w:id="475" w:name="_Toc346731847"/>
      <w:bookmarkStart w:id="476" w:name="_Toc21175"/>
      <w:bookmarkStart w:id="477" w:name="_Toc20863"/>
      <w:bookmarkStart w:id="478" w:name="_Toc256519743"/>
      <w:r>
        <w:rPr>
          <w:rFonts w:hint="eastAsia" w:ascii="宋体" w:hAnsi="宋体" w:cs="宋体"/>
          <w:sz w:val="24"/>
        </w:rPr>
        <w:t>3.2磋商</w:t>
      </w:r>
    </w:p>
    <w:p w14:paraId="163EA935">
      <w:pPr>
        <w:spacing w:line="360" w:lineRule="auto"/>
        <w:ind w:firstLine="523" w:firstLineChars="218"/>
        <w:rPr>
          <w:rFonts w:hint="eastAsia" w:ascii="宋体" w:hAnsi="宋体" w:cs="宋体"/>
          <w:sz w:val="24"/>
        </w:rPr>
      </w:pPr>
      <w:r>
        <w:rPr>
          <w:rFonts w:hint="eastAsia" w:ascii="宋体" w:hAnsi="宋体" w:cs="宋体"/>
          <w:sz w:val="24"/>
        </w:rPr>
        <w:t>3.2.1 磋商小组所有成员应当集中与单一供应商分别进行磋商，并给予所有参加磋商的供应商平等的磋商机会。对已判定为实质性响应的响应文件进行评价和比较。</w:t>
      </w:r>
    </w:p>
    <w:p w14:paraId="7CEE07B4">
      <w:pPr>
        <w:spacing w:line="360" w:lineRule="auto"/>
        <w:ind w:firstLine="523" w:firstLineChars="218"/>
        <w:rPr>
          <w:rFonts w:hint="eastAsia" w:ascii="宋体" w:hAnsi="宋体" w:cs="宋体"/>
          <w:sz w:val="24"/>
        </w:rPr>
      </w:pPr>
      <w:r>
        <w:rPr>
          <w:rFonts w:hint="eastAsia" w:ascii="宋体" w:hAnsi="宋体" w:cs="宋体"/>
          <w:sz w:val="24"/>
        </w:rPr>
        <w:t>3.2.2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供应商应当按照磋商文件的变动情况和磋商小组的要求重新提交响应文件，并由其法定代表人或授权代表签字或者加盖公章。</w:t>
      </w:r>
    </w:p>
    <w:p w14:paraId="52AA8019">
      <w:pPr>
        <w:spacing w:line="360" w:lineRule="auto"/>
        <w:ind w:firstLine="480" w:firstLineChars="200"/>
        <w:rPr>
          <w:rFonts w:hint="eastAsia" w:ascii="宋体" w:hAnsi="宋体" w:cs="宋体"/>
          <w:sz w:val="24"/>
        </w:rPr>
      </w:pPr>
      <w:r>
        <w:rPr>
          <w:rFonts w:hint="eastAsia" w:ascii="宋体" w:hAnsi="宋体" w:cs="宋体"/>
          <w:sz w:val="24"/>
        </w:rPr>
        <w:t>3.3最后报价</w:t>
      </w:r>
    </w:p>
    <w:p w14:paraId="720114B9">
      <w:pPr>
        <w:pStyle w:val="56"/>
        <w:spacing w:before="0" w:line="360" w:lineRule="auto"/>
        <w:ind w:firstLine="480" w:firstLineChars="200"/>
        <w:outlineLvl w:val="0"/>
        <w:rPr>
          <w:rFonts w:hint="eastAsia" w:ascii="宋体" w:hAnsi="宋体"/>
          <w:b/>
          <w:bCs/>
          <w:sz w:val="24"/>
          <w:szCs w:val="24"/>
        </w:rPr>
      </w:pPr>
      <w:r>
        <w:rPr>
          <w:rFonts w:hint="eastAsia" w:ascii="宋体" w:hAnsi="宋体"/>
          <w:sz w:val="24"/>
          <w:szCs w:val="24"/>
        </w:rPr>
        <w:t>3.3.1磋商小组要求所有实质性响应的供应商在规定时间内提交二次磋商报价（最后报价），最后报价是供应商磋商响应文件的有效组成部分。</w:t>
      </w:r>
      <w:r>
        <w:rPr>
          <w:rStyle w:val="72"/>
          <w:rFonts w:hint="eastAsia" w:ascii="宋体" w:hAnsi="宋体"/>
          <w:b w:val="0"/>
          <w:bCs/>
          <w:sz w:val="24"/>
          <w:szCs w:val="24"/>
        </w:rPr>
        <w:t>提交最后报</w:t>
      </w:r>
      <w:r>
        <w:rPr>
          <w:rFonts w:hint="eastAsia" w:ascii="宋体" w:hAnsi="宋体"/>
          <w:sz w:val="24"/>
          <w:szCs w:val="24"/>
        </w:rPr>
        <w:t>价的供应商不得少于3家。</w:t>
      </w:r>
      <w:r>
        <w:rPr>
          <w:rFonts w:hint="eastAsia" w:ascii="宋体" w:hAnsi="宋体"/>
          <w:sz w:val="24"/>
        </w:rPr>
        <w:t>市场竞争不充分的科研项目、需要扶持的科技成果转化项目、政府购买服务项目（含政府和社会资本合作项目）提交最后报价的供应商可以为2家。</w:t>
      </w:r>
      <w:r>
        <w:rPr>
          <w:rFonts w:hint="eastAsia" w:ascii="宋体" w:hAnsi="宋体"/>
          <w:b/>
          <w:bCs/>
          <w:sz w:val="24"/>
          <w:szCs w:val="24"/>
        </w:rPr>
        <w:t>供应商只有通过初步评审后方可进入下一轮报价，竞争性磋商最后报价也将予以远程报价。供应商登录远程开标项目，在收到远程报价通知时，即可远程在线报价。在规定时间内没有提交最后报价的供应商，视同退出磋商，</w:t>
      </w:r>
      <w:r>
        <w:rPr>
          <w:rFonts w:hint="eastAsia" w:ascii="宋体" w:hAnsi="宋体"/>
          <w:b/>
          <w:bCs/>
          <w:kern w:val="0"/>
          <w:sz w:val="24"/>
          <w:szCs w:val="24"/>
        </w:rPr>
        <w:t>其响应文件无效，由此产生的一切后果由响应人自行承担。</w:t>
      </w:r>
    </w:p>
    <w:p w14:paraId="2E84EEA6">
      <w:pPr>
        <w:pStyle w:val="49"/>
        <w:spacing w:line="360" w:lineRule="auto"/>
        <w:ind w:firstLine="450"/>
        <w:rPr>
          <w:rFonts w:hint="eastAsia" w:ascii="宋体" w:hAnsi="宋体" w:cs="宋体"/>
        </w:rPr>
      </w:pPr>
      <w:r>
        <w:rPr>
          <w:rFonts w:hint="eastAsia" w:ascii="宋体" w:hAnsi="宋体" w:cs="宋体"/>
        </w:rPr>
        <w:t>3.3.2开标会议结束之后，请各供应商保持在线状态，等候线上二次磋商报价通知。</w:t>
      </w:r>
    </w:p>
    <w:p w14:paraId="3CC43072">
      <w:pPr>
        <w:spacing w:line="360" w:lineRule="auto"/>
        <w:ind w:firstLine="523" w:firstLineChars="218"/>
        <w:rPr>
          <w:rFonts w:hint="eastAsia" w:ascii="宋体" w:hAnsi="宋体" w:cs="宋体"/>
          <w:sz w:val="24"/>
        </w:rPr>
      </w:pPr>
      <w:bookmarkStart w:id="479" w:name="_Toc25334"/>
      <w:r>
        <w:rPr>
          <w:rFonts w:hint="eastAsia" w:ascii="宋体" w:hAnsi="宋体" w:cs="宋体"/>
          <w:sz w:val="24"/>
        </w:rPr>
        <w:t>3.4异常低价审查程序</w:t>
      </w:r>
    </w:p>
    <w:bookmarkEnd w:id="479"/>
    <w:p w14:paraId="4D834C98">
      <w:pPr>
        <w:spacing w:line="360" w:lineRule="auto"/>
        <w:ind w:firstLine="523" w:firstLineChars="218"/>
        <w:rPr>
          <w:rFonts w:hint="eastAsia" w:ascii="宋体" w:hAnsi="宋体" w:cs="宋体"/>
          <w:sz w:val="24"/>
        </w:rPr>
      </w:pPr>
      <w:r>
        <w:rPr>
          <w:rFonts w:hint="eastAsia" w:ascii="宋体" w:hAnsi="宋体" w:cs="宋体"/>
          <w:sz w:val="24"/>
        </w:rPr>
        <w:t>评审中出现下列情形之一的，评审委员会应当启动异常低价投标（响应）审查程序：</w:t>
      </w:r>
    </w:p>
    <w:p w14:paraId="411E527D">
      <w:pPr>
        <w:spacing w:line="360" w:lineRule="auto"/>
        <w:ind w:firstLine="523" w:firstLineChars="218"/>
        <w:rPr>
          <w:rFonts w:hint="eastAsia" w:ascii="宋体" w:hAnsi="宋体" w:cs="宋体"/>
          <w:sz w:val="24"/>
        </w:rPr>
      </w:pPr>
      <w:r>
        <w:rPr>
          <w:rFonts w:hint="eastAsia" w:ascii="宋体" w:hAnsi="宋体" w:cs="宋体"/>
          <w:sz w:val="24"/>
        </w:rPr>
        <w:t>1.投标（响应）报价低于全部通过符合性审查供应商投标（响应）报价平均值50%的，即投标（响应）报价&lt;全部通过符合性审查供应商投标（响应）报价平均值×50%；</w:t>
      </w:r>
    </w:p>
    <w:p w14:paraId="434F5522">
      <w:pPr>
        <w:spacing w:line="360" w:lineRule="auto"/>
        <w:ind w:firstLine="523" w:firstLineChars="218"/>
        <w:rPr>
          <w:rFonts w:hint="eastAsia" w:ascii="宋体" w:hAnsi="宋体" w:cs="宋体"/>
          <w:sz w:val="24"/>
        </w:rPr>
      </w:pPr>
      <w:r>
        <w:rPr>
          <w:rFonts w:hint="eastAsia" w:ascii="宋体" w:hAnsi="宋体" w:cs="宋体"/>
          <w:sz w:val="24"/>
        </w:rPr>
        <w:t>2.投标（响应）报价低于通过符合性审查的次低报价供应商投标（响应）报价50%的，即投标（响应）报价&lt;通过符合性审查的次低报价供应商投标（响应）报价×50%；</w:t>
      </w:r>
    </w:p>
    <w:p w14:paraId="5581DD61">
      <w:pPr>
        <w:spacing w:line="360" w:lineRule="auto"/>
        <w:ind w:firstLine="523" w:firstLineChars="218"/>
        <w:rPr>
          <w:rFonts w:hint="eastAsia" w:ascii="宋体" w:hAnsi="宋体" w:cs="宋体"/>
          <w:sz w:val="24"/>
        </w:rPr>
      </w:pPr>
      <w:r>
        <w:rPr>
          <w:rFonts w:hint="eastAsia" w:ascii="宋体" w:hAnsi="宋体" w:cs="宋体"/>
          <w:sz w:val="24"/>
        </w:rPr>
        <w:t>3.投标（响应）报价低于采购项目最高限价45%的，即投标（响应）报价&lt;采购项目最高限价×45%；</w:t>
      </w:r>
    </w:p>
    <w:p w14:paraId="7216BEE2">
      <w:pPr>
        <w:spacing w:line="360" w:lineRule="auto"/>
        <w:ind w:firstLine="523" w:firstLineChars="218"/>
        <w:rPr>
          <w:rFonts w:hint="eastAsia" w:ascii="宋体" w:hAnsi="宋体" w:cs="宋体"/>
          <w:sz w:val="24"/>
        </w:rPr>
      </w:pPr>
      <w:r>
        <w:rPr>
          <w:rFonts w:hint="eastAsia" w:ascii="宋体" w:hAnsi="宋体" w:cs="宋体"/>
          <w:sz w:val="24"/>
        </w:rPr>
        <w:t>4.评审委员会基于专业判断，认为供应商报价过低，有可能影响产品质量或者不能诚信履约的其他情形。</w:t>
      </w:r>
    </w:p>
    <w:p w14:paraId="6DA5CC79">
      <w:pPr>
        <w:spacing w:line="360" w:lineRule="auto"/>
        <w:ind w:firstLine="523" w:firstLineChars="218"/>
        <w:rPr>
          <w:rFonts w:hint="eastAsia" w:ascii="宋体" w:hAnsi="宋体" w:cs="宋体"/>
          <w:sz w:val="24"/>
        </w:rPr>
      </w:pPr>
      <w:r>
        <w:rPr>
          <w:rFonts w:hint="eastAsia" w:ascii="宋体" w:hAnsi="宋体" w:cs="宋体"/>
          <w:sz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CA23F36">
      <w:pPr>
        <w:spacing w:line="360" w:lineRule="auto"/>
        <w:ind w:firstLine="523" w:firstLineChars="218"/>
        <w:rPr>
          <w:rFonts w:hint="eastAsia" w:ascii="宋体" w:hAnsi="宋体" w:cs="宋体"/>
          <w:sz w:val="24"/>
        </w:rPr>
      </w:pPr>
      <w:r>
        <w:rPr>
          <w:rFonts w:hint="eastAsia" w:ascii="宋体" w:hAnsi="宋体" w:cs="宋体"/>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75FBAD5">
      <w:pPr>
        <w:spacing w:line="360" w:lineRule="auto"/>
        <w:ind w:firstLine="523" w:firstLineChars="218"/>
        <w:rPr>
          <w:rFonts w:hint="eastAsia" w:ascii="宋体" w:hAnsi="宋体" w:cs="宋体"/>
          <w:sz w:val="24"/>
        </w:rPr>
      </w:pPr>
      <w:r>
        <w:rPr>
          <w:rFonts w:hint="eastAsia" w:ascii="宋体" w:hAnsi="宋体" w:cs="宋体"/>
          <w:sz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E8F4A68">
      <w:pPr>
        <w:spacing w:line="360" w:lineRule="auto"/>
        <w:ind w:firstLine="523" w:firstLineChars="218"/>
      </w:pPr>
      <w:r>
        <w:rPr>
          <w:rFonts w:hint="eastAsia" w:ascii="宋体" w:hAnsi="宋体" w:cs="宋体"/>
          <w:sz w:val="24"/>
        </w:rPr>
        <w:t>异常低价投标（响应）审查的启动原因、审查意见和审查结果应当在评审报告中记录，并随供应商提供的相关书面说明及证明材料，以及评审委员会有关互联网浏览、查询历史一并归档。</w:t>
      </w:r>
    </w:p>
    <w:p w14:paraId="1A264722">
      <w:pPr>
        <w:spacing w:line="360" w:lineRule="auto"/>
        <w:ind w:firstLine="523" w:firstLineChars="218"/>
        <w:rPr>
          <w:rFonts w:hint="eastAsia" w:ascii="宋体" w:hAnsi="宋体" w:cs="宋体"/>
          <w:sz w:val="24"/>
        </w:rPr>
      </w:pPr>
      <w:r>
        <w:rPr>
          <w:rFonts w:hint="eastAsia" w:ascii="宋体" w:hAnsi="宋体" w:cs="宋体"/>
          <w:sz w:val="24"/>
        </w:rPr>
        <w:t>3.5详细评审</w:t>
      </w:r>
      <w:bookmarkEnd w:id="473"/>
      <w:bookmarkEnd w:id="474"/>
      <w:bookmarkEnd w:id="475"/>
      <w:bookmarkEnd w:id="476"/>
      <w:bookmarkEnd w:id="477"/>
      <w:bookmarkEnd w:id="478"/>
    </w:p>
    <w:p w14:paraId="4983A48A">
      <w:pPr>
        <w:spacing w:line="360" w:lineRule="auto"/>
        <w:ind w:firstLine="523" w:firstLineChars="218"/>
        <w:rPr>
          <w:rFonts w:hint="eastAsia" w:ascii="宋体" w:hAnsi="宋体" w:cs="宋体"/>
          <w:sz w:val="24"/>
        </w:rPr>
      </w:pPr>
      <w:bookmarkStart w:id="480" w:name="_Toc24013"/>
      <w:bookmarkStart w:id="481" w:name="_Toc14548"/>
      <w:bookmarkStart w:id="482" w:name="_Toc30200"/>
      <w:bookmarkStart w:id="483" w:name="_Toc256519744"/>
      <w:r>
        <w:rPr>
          <w:rFonts w:hint="eastAsia" w:ascii="宋体" w:hAnsi="宋体" w:cs="宋体"/>
          <w:sz w:val="24"/>
        </w:rPr>
        <w:t>3.5.1磋商小组按本章第2.2款规定的量化因素和分值进行打分，并计算出综合评估得分。</w:t>
      </w:r>
      <w:bookmarkEnd w:id="480"/>
      <w:bookmarkEnd w:id="481"/>
      <w:bookmarkEnd w:id="482"/>
      <w:bookmarkEnd w:id="483"/>
    </w:p>
    <w:p w14:paraId="5A4C1D05">
      <w:pPr>
        <w:spacing w:line="360" w:lineRule="auto"/>
        <w:ind w:firstLine="523" w:firstLineChars="218"/>
        <w:rPr>
          <w:rFonts w:hint="eastAsia" w:ascii="宋体" w:hAnsi="宋体" w:cs="宋体"/>
          <w:sz w:val="24"/>
        </w:rPr>
      </w:pPr>
      <w:r>
        <w:rPr>
          <w:rFonts w:hint="eastAsia" w:ascii="宋体" w:hAnsi="宋体" w:cs="宋体"/>
          <w:sz w:val="24"/>
        </w:rPr>
        <w:t>（1）按本章规定的评审因素和分值对2.2.2（1）报价部分计算出得分A；</w:t>
      </w:r>
    </w:p>
    <w:p w14:paraId="35022F52">
      <w:pPr>
        <w:spacing w:line="360" w:lineRule="auto"/>
        <w:ind w:firstLine="523" w:firstLineChars="218"/>
        <w:rPr>
          <w:rFonts w:hint="eastAsia" w:ascii="宋体" w:hAnsi="宋体" w:cs="宋体"/>
          <w:sz w:val="24"/>
        </w:rPr>
      </w:pPr>
      <w:r>
        <w:rPr>
          <w:rFonts w:hint="eastAsia" w:ascii="宋体" w:hAnsi="宋体" w:cs="宋体"/>
          <w:sz w:val="24"/>
        </w:rPr>
        <w:t>（2）按本章规定的评审因素和分值对2.2.2（2）技术部分计算出得分B；</w:t>
      </w:r>
    </w:p>
    <w:p w14:paraId="2FDE22D9">
      <w:pPr>
        <w:spacing w:line="360" w:lineRule="auto"/>
        <w:ind w:firstLine="523" w:firstLineChars="218"/>
        <w:rPr>
          <w:rFonts w:hint="eastAsia" w:ascii="宋体" w:hAnsi="宋体" w:cs="宋体"/>
          <w:sz w:val="24"/>
        </w:rPr>
      </w:pPr>
      <w:r>
        <w:rPr>
          <w:rFonts w:hint="eastAsia" w:ascii="宋体" w:hAnsi="宋体" w:cs="宋体"/>
          <w:sz w:val="24"/>
        </w:rPr>
        <w:t>（3）按本章规定的评审因素和分值对2.2.2（3）综合部分计算出得分C；</w:t>
      </w:r>
    </w:p>
    <w:p w14:paraId="77EBB24D">
      <w:pPr>
        <w:spacing w:line="360" w:lineRule="auto"/>
        <w:ind w:firstLine="523" w:firstLineChars="218"/>
        <w:rPr>
          <w:rFonts w:hint="eastAsia" w:ascii="宋体" w:hAnsi="宋体" w:cs="宋体"/>
          <w:sz w:val="24"/>
        </w:rPr>
      </w:pPr>
      <w:bookmarkStart w:id="484" w:name="_Toc9474"/>
      <w:bookmarkStart w:id="485" w:name="_Toc256519745"/>
      <w:bookmarkStart w:id="486" w:name="_Toc31995"/>
      <w:bookmarkStart w:id="487" w:name="_Toc25841"/>
      <w:r>
        <w:rPr>
          <w:rFonts w:hint="eastAsia" w:ascii="宋体" w:hAnsi="宋体" w:cs="宋体"/>
          <w:sz w:val="24"/>
        </w:rPr>
        <w:t>3.5.2评分分值计算保留小数点后两位，小数点后第三位“四舍五入”。</w:t>
      </w:r>
      <w:bookmarkEnd w:id="484"/>
      <w:bookmarkEnd w:id="485"/>
      <w:bookmarkEnd w:id="486"/>
      <w:bookmarkEnd w:id="487"/>
    </w:p>
    <w:p w14:paraId="28241B27">
      <w:pPr>
        <w:spacing w:line="360" w:lineRule="auto"/>
        <w:ind w:firstLine="523" w:firstLineChars="218"/>
        <w:rPr>
          <w:rFonts w:hint="eastAsia" w:ascii="宋体" w:hAnsi="宋体" w:cs="宋体"/>
          <w:sz w:val="24"/>
        </w:rPr>
      </w:pPr>
      <w:bookmarkStart w:id="488" w:name="_Toc1912"/>
      <w:bookmarkStart w:id="489" w:name="_Toc9098"/>
      <w:bookmarkStart w:id="490" w:name="_Toc256519746"/>
      <w:bookmarkStart w:id="491" w:name="_Toc4168"/>
      <w:r>
        <w:rPr>
          <w:rFonts w:hint="eastAsia" w:ascii="宋体" w:hAnsi="宋体" w:cs="宋体"/>
          <w:sz w:val="24"/>
        </w:rPr>
        <w:t>3.5.3供应商得分＝A+B+C。供应商的最终得分为各评委所评定分数的算术平均值。</w:t>
      </w:r>
      <w:bookmarkEnd w:id="488"/>
      <w:bookmarkEnd w:id="489"/>
      <w:bookmarkEnd w:id="490"/>
      <w:bookmarkEnd w:id="491"/>
    </w:p>
    <w:p w14:paraId="0C325F4B">
      <w:pPr>
        <w:spacing w:line="360" w:lineRule="auto"/>
        <w:ind w:firstLine="523" w:firstLineChars="218"/>
        <w:rPr>
          <w:rFonts w:hint="eastAsia" w:ascii="宋体" w:hAnsi="宋体" w:cs="宋体"/>
          <w:sz w:val="24"/>
        </w:rPr>
      </w:pPr>
      <w:bookmarkStart w:id="492" w:name="_Toc346731848"/>
      <w:bookmarkStart w:id="493" w:name="_Toc254788521"/>
      <w:bookmarkStart w:id="494" w:name="_Toc8885"/>
      <w:bookmarkStart w:id="495" w:name="_Toc256519748"/>
      <w:bookmarkStart w:id="496" w:name="_Toc19414"/>
      <w:bookmarkStart w:id="497" w:name="_Toc2762"/>
      <w:r>
        <w:rPr>
          <w:rFonts w:hint="eastAsia" w:ascii="宋体" w:hAnsi="宋体" w:cs="宋体"/>
          <w:sz w:val="24"/>
        </w:rPr>
        <w:t>3.6响应文件的澄清和补正</w:t>
      </w:r>
      <w:bookmarkEnd w:id="492"/>
      <w:bookmarkEnd w:id="493"/>
      <w:bookmarkEnd w:id="494"/>
      <w:bookmarkEnd w:id="495"/>
      <w:bookmarkEnd w:id="496"/>
      <w:bookmarkEnd w:id="497"/>
    </w:p>
    <w:p w14:paraId="037E7599">
      <w:pPr>
        <w:spacing w:line="360" w:lineRule="auto"/>
        <w:ind w:firstLine="523" w:firstLineChars="218"/>
        <w:rPr>
          <w:rFonts w:hint="eastAsia" w:ascii="宋体" w:hAnsi="宋体" w:cs="宋体"/>
          <w:sz w:val="24"/>
        </w:rPr>
      </w:pPr>
      <w:bookmarkStart w:id="498" w:name="_Toc687"/>
      <w:bookmarkStart w:id="499" w:name="_Toc15681"/>
      <w:bookmarkStart w:id="500" w:name="_Toc30071"/>
      <w:bookmarkStart w:id="501" w:name="_Toc256519749"/>
      <w:r>
        <w:rPr>
          <w:rFonts w:hint="eastAsia" w:ascii="宋体" w:hAnsi="宋体" w:cs="宋体"/>
          <w:sz w:val="24"/>
        </w:rPr>
        <w:t>3.6.1在磋商过程中，磋商小组可以书面形式要求供应商对所提交响应文件中不明确的内容进行书面澄清或说明，或者对细微偏差进行补正。磋商小组不接受供应商主动提出的澄清、说明或补正。</w:t>
      </w:r>
      <w:bookmarkEnd w:id="498"/>
      <w:bookmarkEnd w:id="499"/>
      <w:bookmarkEnd w:id="500"/>
      <w:bookmarkEnd w:id="501"/>
    </w:p>
    <w:p w14:paraId="25722EA6">
      <w:pPr>
        <w:spacing w:line="360" w:lineRule="auto"/>
        <w:ind w:firstLine="523" w:firstLineChars="218"/>
        <w:rPr>
          <w:rFonts w:hint="eastAsia" w:ascii="宋体" w:hAnsi="宋体" w:cs="宋体"/>
          <w:sz w:val="24"/>
        </w:rPr>
      </w:pPr>
      <w:bookmarkStart w:id="502" w:name="_Toc256519750"/>
      <w:bookmarkStart w:id="503" w:name="_Toc29439"/>
      <w:bookmarkStart w:id="504" w:name="_Toc29040"/>
      <w:bookmarkStart w:id="505" w:name="_Toc21316"/>
      <w:r>
        <w:rPr>
          <w:rFonts w:hint="eastAsia" w:ascii="宋体" w:hAnsi="宋体" w:cs="宋体"/>
          <w:sz w:val="24"/>
        </w:rPr>
        <w:t>3.6.2澄清、说明和补正不得改变响应文件的实质性内容（算术性错误修正的除外）。供应商的书面澄清、说明和补正属于响应文件的组成部分。</w:t>
      </w:r>
      <w:bookmarkEnd w:id="502"/>
      <w:bookmarkEnd w:id="503"/>
      <w:bookmarkEnd w:id="504"/>
      <w:bookmarkEnd w:id="505"/>
    </w:p>
    <w:p w14:paraId="28745565">
      <w:pPr>
        <w:spacing w:line="360" w:lineRule="auto"/>
        <w:ind w:firstLine="523" w:firstLineChars="218"/>
        <w:rPr>
          <w:rFonts w:hint="eastAsia" w:ascii="宋体" w:hAnsi="宋体" w:cs="宋体"/>
          <w:sz w:val="24"/>
        </w:rPr>
      </w:pPr>
      <w:bookmarkStart w:id="506" w:name="_Toc30669"/>
      <w:bookmarkStart w:id="507" w:name="_Toc24506"/>
      <w:bookmarkStart w:id="508" w:name="_Toc1832"/>
      <w:bookmarkStart w:id="509" w:name="_Toc256519751"/>
      <w:r>
        <w:rPr>
          <w:rFonts w:hint="eastAsia" w:ascii="宋体" w:hAnsi="宋体" w:cs="宋体"/>
          <w:sz w:val="24"/>
        </w:rPr>
        <w:t>3.6.3磋商小组对供应商提交的澄清、说明或补正有疑问的，可以要求供应商进一步澄清、说明或补正，直至满足磋商小组的要求。</w:t>
      </w:r>
      <w:bookmarkEnd w:id="506"/>
      <w:bookmarkEnd w:id="507"/>
      <w:bookmarkEnd w:id="508"/>
      <w:bookmarkEnd w:id="509"/>
    </w:p>
    <w:p w14:paraId="11FCDB49">
      <w:pPr>
        <w:spacing w:line="360" w:lineRule="auto"/>
        <w:ind w:firstLine="523" w:firstLineChars="218"/>
        <w:rPr>
          <w:rFonts w:hint="eastAsia" w:ascii="宋体" w:hAnsi="宋体" w:cs="宋体"/>
          <w:sz w:val="24"/>
        </w:rPr>
      </w:pPr>
      <w:bookmarkStart w:id="510" w:name="_Toc346731849"/>
      <w:bookmarkStart w:id="511" w:name="_Toc2765"/>
      <w:bookmarkStart w:id="512" w:name="_Toc21596"/>
      <w:bookmarkStart w:id="513" w:name="_Toc256519752"/>
      <w:bookmarkStart w:id="514" w:name="_Toc254788522"/>
      <w:bookmarkStart w:id="515" w:name="_Toc12487"/>
      <w:r>
        <w:rPr>
          <w:rFonts w:hint="eastAsia" w:ascii="宋体" w:hAnsi="宋体" w:cs="宋体"/>
          <w:sz w:val="24"/>
        </w:rPr>
        <w:t>3.7评标结果</w:t>
      </w:r>
      <w:bookmarkEnd w:id="510"/>
      <w:bookmarkEnd w:id="511"/>
      <w:bookmarkEnd w:id="512"/>
      <w:bookmarkEnd w:id="513"/>
      <w:bookmarkEnd w:id="514"/>
      <w:bookmarkEnd w:id="515"/>
    </w:p>
    <w:p w14:paraId="2C753FF6">
      <w:pPr>
        <w:spacing w:line="360" w:lineRule="auto"/>
        <w:ind w:firstLine="523" w:firstLineChars="218"/>
        <w:rPr>
          <w:rFonts w:hint="eastAsia" w:ascii="宋体" w:hAnsi="宋体" w:cs="宋体"/>
          <w:sz w:val="24"/>
        </w:rPr>
      </w:pPr>
      <w:bookmarkStart w:id="516" w:name="_Toc3304"/>
      <w:bookmarkStart w:id="517" w:name="_Toc5594"/>
      <w:bookmarkStart w:id="518" w:name="_Toc9316"/>
      <w:bookmarkStart w:id="519" w:name="_Toc256519754"/>
      <w:r>
        <w:rPr>
          <w:rFonts w:hint="eastAsia" w:ascii="宋体" w:hAnsi="宋体" w:cs="宋体"/>
          <w:sz w:val="24"/>
        </w:rPr>
        <w:t>3.7.1除第二章“供应商须知”前附表授权直接确定成交人外，磋商小组按照得分由高到低的顺序推荐成交候选人。</w:t>
      </w:r>
      <w:bookmarkEnd w:id="516"/>
      <w:bookmarkEnd w:id="517"/>
      <w:bookmarkEnd w:id="518"/>
    </w:p>
    <w:bookmarkEnd w:id="519"/>
    <w:p w14:paraId="29237BF0">
      <w:pPr>
        <w:spacing w:line="360" w:lineRule="auto"/>
        <w:ind w:firstLine="523" w:firstLineChars="218"/>
        <w:rPr>
          <w:rFonts w:hint="eastAsia" w:ascii="宋体" w:hAnsi="宋体" w:cs="宋体"/>
          <w:szCs w:val="21"/>
        </w:rPr>
      </w:pPr>
      <w:r>
        <w:rPr>
          <w:rFonts w:hint="eastAsia" w:ascii="宋体" w:hAnsi="宋体" w:cs="宋体"/>
          <w:sz w:val="24"/>
        </w:rPr>
        <w:t>3.7.2评审结束后，磋商小组要向采购人提交书面评审报告。</w:t>
      </w:r>
    </w:p>
    <w:p w14:paraId="5156692C">
      <w:pPr>
        <w:spacing w:line="360" w:lineRule="auto"/>
        <w:ind w:firstLine="457" w:firstLineChars="218"/>
        <w:rPr>
          <w:rFonts w:hint="eastAsia" w:ascii="宋体" w:hAnsi="宋体" w:cs="宋体"/>
          <w:szCs w:val="21"/>
        </w:rPr>
      </w:pPr>
    </w:p>
    <w:p w14:paraId="7B0DA5A8">
      <w:pPr>
        <w:rPr>
          <w:rFonts w:hint="eastAsia" w:ascii="宋体" w:hAnsi="宋体" w:cs="宋体"/>
          <w:szCs w:val="21"/>
        </w:rPr>
      </w:pPr>
      <w:r>
        <w:rPr>
          <w:rFonts w:hint="eastAsia" w:ascii="宋体" w:hAnsi="宋体" w:cs="宋体"/>
          <w:szCs w:val="21"/>
        </w:rPr>
        <w:br w:type="page"/>
      </w:r>
    </w:p>
    <w:bookmarkEnd w:id="410"/>
    <w:bookmarkEnd w:id="411"/>
    <w:p w14:paraId="559914B7">
      <w:pPr>
        <w:pStyle w:val="2"/>
        <w:spacing w:before="120" w:after="120" w:line="400" w:lineRule="exact"/>
        <w:jc w:val="center"/>
        <w:rPr>
          <w:rFonts w:hint="eastAsia" w:ascii="宋体" w:hAnsi="宋体" w:cs="宋体"/>
          <w:sz w:val="32"/>
        </w:rPr>
      </w:pPr>
      <w:bookmarkStart w:id="520" w:name="_Toc4045"/>
      <w:bookmarkStart w:id="521" w:name="_Toc12096"/>
      <w:r>
        <w:rPr>
          <w:rFonts w:hint="eastAsia" w:ascii="宋体" w:hAnsi="宋体" w:cs="宋体"/>
          <w:sz w:val="32"/>
        </w:rPr>
        <w:t>第四章  合同主要条款及格式</w:t>
      </w:r>
      <w:bookmarkEnd w:id="520"/>
    </w:p>
    <w:p w14:paraId="6CBCA5E4">
      <w:pPr>
        <w:tabs>
          <w:tab w:val="left" w:pos="2127"/>
        </w:tabs>
        <w:spacing w:before="93" w:after="93"/>
        <w:jc w:val="left"/>
        <w:rPr>
          <w:rFonts w:hint="eastAsia" w:ascii="黑体" w:hAnsi="黑体" w:eastAsia="黑体"/>
          <w:b/>
          <w:bCs/>
          <w:sz w:val="24"/>
        </w:rPr>
      </w:pPr>
    </w:p>
    <w:p w14:paraId="1C350DDF">
      <w:pPr>
        <w:tabs>
          <w:tab w:val="left" w:pos="2127"/>
        </w:tabs>
        <w:spacing w:before="93" w:after="93"/>
        <w:jc w:val="left"/>
        <w:rPr>
          <w:rFonts w:hint="eastAsia" w:ascii="黑体" w:hAnsi="黑体" w:eastAsia="黑体"/>
          <w:b/>
          <w:bCs/>
          <w:sz w:val="24"/>
        </w:rPr>
      </w:pPr>
      <w:r>
        <w:rPr>
          <w:rFonts w:hint="eastAsia" w:ascii="黑体" w:hAnsi="黑体" w:eastAsia="黑体"/>
          <w:b/>
          <w:bCs/>
          <w:sz w:val="24"/>
        </w:rPr>
        <w:t>合同编号：</w:t>
      </w:r>
    </w:p>
    <w:p w14:paraId="3A61E92C">
      <w:pPr>
        <w:tabs>
          <w:tab w:val="left" w:pos="2127"/>
        </w:tabs>
        <w:spacing w:before="93" w:after="93"/>
        <w:jc w:val="left"/>
        <w:rPr>
          <w:rFonts w:hint="eastAsia" w:ascii="黑体" w:hAnsi="黑体" w:eastAsia="黑体"/>
          <w:b/>
          <w:bCs/>
          <w:sz w:val="24"/>
        </w:rPr>
      </w:pPr>
    </w:p>
    <w:p w14:paraId="593B098F">
      <w:pPr>
        <w:spacing w:before="93" w:after="93"/>
        <w:jc w:val="center"/>
        <w:rPr>
          <w:rFonts w:hint="eastAsia" w:ascii="宋体" w:hAnsi="宋体" w:cs="宋体"/>
          <w:b/>
          <w:bCs/>
          <w:sz w:val="32"/>
          <w:szCs w:val="32"/>
        </w:rPr>
      </w:pPr>
      <w:r>
        <w:rPr>
          <w:rFonts w:hint="eastAsia" w:ascii="黑体" w:hAnsi="黑体" w:eastAsia="黑体" w:cs="宋体"/>
          <w:b/>
          <w:bCs/>
          <w:sz w:val="36"/>
          <w:szCs w:val="36"/>
        </w:rPr>
        <w:t>河南工程学院货物（设备）采购合同</w:t>
      </w:r>
    </w:p>
    <w:p w14:paraId="48EAA537">
      <w:pPr>
        <w:spacing w:before="93" w:after="93"/>
        <w:rPr>
          <w:rFonts w:hint="eastAsia" w:ascii="黑体" w:hAnsi="黑体" w:eastAsia="黑体" w:cs="宋体"/>
          <w:b/>
          <w:kern w:val="0"/>
          <w:sz w:val="24"/>
        </w:rPr>
      </w:pPr>
    </w:p>
    <w:p w14:paraId="6CD108E4">
      <w:pPr>
        <w:spacing w:before="93" w:after="93" w:line="360" w:lineRule="auto"/>
        <w:jc w:val="left"/>
        <w:rPr>
          <w:rFonts w:hint="eastAsia" w:ascii="黑体" w:hAnsi="黑体" w:eastAsia="黑体"/>
          <w:sz w:val="24"/>
        </w:rPr>
      </w:pPr>
      <w:r>
        <w:rPr>
          <w:rFonts w:hint="eastAsia" w:ascii="黑体" w:hAnsi="黑体" w:eastAsia="黑体" w:cs="宋体"/>
          <w:b/>
          <w:sz w:val="24"/>
        </w:rPr>
        <w:t xml:space="preserve">甲方全称（买方）：河南工程学院     </w:t>
      </w:r>
      <w:r>
        <w:rPr>
          <w:rFonts w:hint="eastAsia" w:ascii="黑体" w:hAnsi="黑体" w:eastAsia="黑体" w:cs="宋体"/>
          <w:b/>
          <w:kern w:val="0"/>
          <w:sz w:val="24"/>
        </w:rPr>
        <w:t>地址：          法定代表人：</w:t>
      </w:r>
    </w:p>
    <w:p w14:paraId="2A4F11D5">
      <w:pPr>
        <w:spacing w:before="93" w:after="93" w:line="360" w:lineRule="auto"/>
        <w:jc w:val="left"/>
        <w:rPr>
          <w:rFonts w:hint="eastAsia" w:ascii="宋体" w:hAnsi="宋体" w:cs="宋体"/>
          <w:b/>
          <w:kern w:val="0"/>
          <w:sz w:val="24"/>
        </w:rPr>
      </w:pPr>
      <w:r>
        <w:rPr>
          <w:rFonts w:hint="eastAsia" w:ascii="黑体" w:hAnsi="黑体" w:eastAsia="黑体" w:cs="宋体"/>
          <w:b/>
          <w:sz w:val="24"/>
        </w:rPr>
        <w:t xml:space="preserve">乙方全称（卖方）： X X公司         </w:t>
      </w:r>
      <w:r>
        <w:rPr>
          <w:rFonts w:hint="eastAsia" w:ascii="黑体" w:hAnsi="黑体" w:eastAsia="黑体" w:cs="宋体"/>
          <w:b/>
          <w:kern w:val="0"/>
          <w:sz w:val="24"/>
        </w:rPr>
        <w:t>地址：          法定代表人：</w:t>
      </w:r>
    </w:p>
    <w:p w14:paraId="366BEDB9">
      <w:pPr>
        <w:spacing w:before="93" w:after="93" w:line="360" w:lineRule="auto"/>
        <w:jc w:val="left"/>
        <w:rPr>
          <w:rFonts w:hint="eastAsia" w:ascii="黑体" w:hAnsi="黑体" w:eastAsia="黑体" w:cs="宋体"/>
          <w:b/>
          <w:sz w:val="24"/>
        </w:rPr>
      </w:pPr>
      <w:r>
        <w:rPr>
          <w:rFonts w:hint="eastAsia" w:ascii="黑体" w:hAnsi="黑体" w:eastAsia="黑体" w:cs="宋体"/>
          <w:b/>
          <w:sz w:val="24"/>
        </w:rPr>
        <w:t xml:space="preserve">签订时间：    年   月   日               </w:t>
      </w:r>
    </w:p>
    <w:p w14:paraId="658BA7C6">
      <w:pPr>
        <w:spacing w:before="93" w:after="93" w:line="360" w:lineRule="auto"/>
        <w:jc w:val="left"/>
        <w:rPr>
          <w:rFonts w:hint="eastAsia" w:ascii="宋体" w:hAnsi="宋体" w:cs="宋体"/>
          <w:b/>
          <w:kern w:val="0"/>
          <w:sz w:val="24"/>
        </w:rPr>
      </w:pPr>
      <w:r>
        <w:rPr>
          <w:rFonts w:hint="eastAsia" w:ascii="黑体" w:hAnsi="黑体" w:eastAsia="黑体" w:cs="宋体"/>
          <w:b/>
          <w:sz w:val="24"/>
        </w:rPr>
        <w:t>签订地点：</w:t>
      </w:r>
    </w:p>
    <w:p w14:paraId="39B04167">
      <w:pPr>
        <w:spacing w:before="93" w:after="93" w:line="360" w:lineRule="auto"/>
        <w:rPr>
          <w:rFonts w:hint="eastAsia" w:ascii="宋体" w:hAnsi="宋体" w:cs="宋体"/>
          <w:b/>
          <w:kern w:val="0"/>
          <w:sz w:val="24"/>
        </w:rPr>
      </w:pPr>
    </w:p>
    <w:p w14:paraId="39C9EA87">
      <w:pPr>
        <w:spacing w:before="93" w:after="93" w:line="360" w:lineRule="auto"/>
        <w:ind w:firstLine="480" w:firstLineChars="200"/>
        <w:rPr>
          <w:rFonts w:hint="eastAsia" w:ascii="宋体" w:hAnsi="宋体" w:cs="宋体"/>
          <w:sz w:val="24"/>
        </w:rPr>
      </w:pPr>
      <w:r>
        <w:rPr>
          <w:rFonts w:hint="eastAsia" w:ascii="宋体" w:hAnsi="宋体" w:cs="宋体"/>
          <w:sz w:val="24"/>
        </w:rPr>
        <w:t>甲、乙双方就河南工程学院</w:t>
      </w:r>
      <w:r>
        <w:rPr>
          <w:rFonts w:hint="eastAsia" w:ascii="宋体" w:hAnsi="宋体" w:cs="宋体"/>
          <w:b/>
          <w:sz w:val="24"/>
          <w:u w:val="single"/>
        </w:rPr>
        <w:t xml:space="preserve"> 项目名称（采购编号：   ）</w:t>
      </w:r>
      <w:r>
        <w:rPr>
          <w:rFonts w:hint="eastAsia" w:ascii="宋体" w:hAnsi="宋体" w:cs="宋体"/>
          <w:sz w:val="24"/>
        </w:rPr>
        <w:t>采购项目，根据《中华人民共和国民法典》《中华人民共和国政府采购法》及有关法律规定，在充分遵循平等与公平、诚实信用原则的基础上，经双方协商一致，签订本合同。</w:t>
      </w:r>
    </w:p>
    <w:p w14:paraId="12371C48">
      <w:pPr>
        <w:spacing w:before="93" w:after="93" w:line="360" w:lineRule="auto"/>
        <w:ind w:firstLine="482" w:firstLineChars="200"/>
        <w:rPr>
          <w:rFonts w:hint="eastAsia" w:ascii="黑体" w:hAnsi="黑体" w:eastAsia="黑体" w:cs="宋体"/>
          <w:b/>
          <w:sz w:val="24"/>
        </w:rPr>
      </w:pPr>
      <w:r>
        <w:rPr>
          <w:rFonts w:hint="eastAsia" w:ascii="黑体" w:hAnsi="黑体" w:eastAsia="黑体" w:cs="宋体"/>
          <w:b/>
          <w:sz w:val="24"/>
        </w:rPr>
        <w:t>一、合同价款</w:t>
      </w:r>
    </w:p>
    <w:p w14:paraId="6744A476">
      <w:pPr>
        <w:spacing w:before="93" w:after="93" w:line="360" w:lineRule="auto"/>
        <w:ind w:firstLine="480" w:firstLineChars="200"/>
        <w:rPr>
          <w:rFonts w:hint="eastAsia" w:ascii="宋体" w:hAnsi="宋体" w:cs="宋体"/>
          <w:sz w:val="24"/>
        </w:rPr>
      </w:pPr>
      <w:r>
        <w:rPr>
          <w:rFonts w:hint="eastAsia" w:ascii="宋体" w:hAnsi="宋体" w:cs="宋体"/>
          <w:sz w:val="24"/>
        </w:rPr>
        <w:t>本合同的总金额为</w:t>
      </w:r>
      <w:r>
        <w:rPr>
          <w:rFonts w:hint="eastAsia" w:ascii="宋体" w:hAnsi="宋体" w:cs="宋体"/>
          <w:sz w:val="24"/>
          <w:u w:val="single"/>
        </w:rPr>
        <w:t>人民币           元（</w:t>
      </w:r>
      <w:r>
        <w:rPr>
          <w:rFonts w:ascii="Arial" w:hAnsi="Arial" w:cs="Arial"/>
          <w:sz w:val="24"/>
          <w:u w:val="single"/>
        </w:rPr>
        <w:t>¥</w:t>
      </w:r>
      <w:r>
        <w:rPr>
          <w:rFonts w:hint="eastAsia" w:ascii="宋体" w:hAnsi="宋体" w:cs="宋体"/>
          <w:sz w:val="24"/>
          <w:u w:val="single"/>
        </w:rPr>
        <w:t xml:space="preserve">    ）</w:t>
      </w:r>
      <w:r>
        <w:rPr>
          <w:rFonts w:hint="eastAsia" w:ascii="宋体" w:hAnsi="宋体" w:cs="宋体"/>
          <w:sz w:val="24"/>
        </w:rPr>
        <w:t>；该价格已经包含制造生产、安装、调试、保险、培训、运输、装卸、税金、利润、保修及乙方人员差旅费用等全部费用。</w:t>
      </w:r>
    </w:p>
    <w:p w14:paraId="4F662672">
      <w:pPr>
        <w:numPr>
          <w:ilvl w:val="0"/>
          <w:numId w:val="4"/>
        </w:numPr>
        <w:spacing w:line="360" w:lineRule="auto"/>
        <w:ind w:firstLine="482" w:firstLineChars="200"/>
        <w:rPr>
          <w:rFonts w:hint="eastAsia" w:ascii="黑体" w:hAnsi="黑体" w:eastAsia="黑体" w:cs="宋体"/>
          <w:b/>
          <w:sz w:val="24"/>
        </w:rPr>
      </w:pPr>
      <w:r>
        <w:rPr>
          <w:rFonts w:hint="eastAsia" w:ascii="黑体" w:hAnsi="黑体" w:eastAsia="黑体" w:cs="宋体"/>
          <w:b/>
          <w:sz w:val="24"/>
        </w:rPr>
        <w:t>货物名称、品牌、数量、单价一览表</w:t>
      </w:r>
    </w:p>
    <w:tbl>
      <w:tblPr>
        <w:tblStyle w:val="30"/>
        <w:tblpPr w:leftFromText="180" w:rightFromText="180" w:vertAnchor="text" w:horzAnchor="page" w:tblpX="1830" w:tblpY="56"/>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891"/>
        <w:gridCol w:w="1626"/>
        <w:gridCol w:w="669"/>
        <w:gridCol w:w="883"/>
        <w:gridCol w:w="846"/>
        <w:gridCol w:w="697"/>
        <w:gridCol w:w="1088"/>
        <w:gridCol w:w="881"/>
      </w:tblGrid>
      <w:tr w14:paraId="79B65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30" w:type="pct"/>
            <w:tcBorders>
              <w:top w:val="single" w:color="auto" w:sz="4" w:space="0"/>
              <w:left w:val="single" w:color="auto" w:sz="4" w:space="0"/>
              <w:bottom w:val="single" w:color="auto" w:sz="4" w:space="0"/>
              <w:right w:val="single" w:color="auto" w:sz="4" w:space="0"/>
            </w:tcBorders>
            <w:vAlign w:val="center"/>
          </w:tcPr>
          <w:p w14:paraId="1CDDCC9E">
            <w:pPr>
              <w:spacing w:before="93" w:after="93" w:line="370" w:lineRule="exact"/>
              <w:jc w:val="center"/>
              <w:rPr>
                <w:rFonts w:ascii="宋体"/>
                <w:sz w:val="22"/>
              </w:rPr>
            </w:pPr>
            <w:r>
              <w:rPr>
                <w:rFonts w:hint="eastAsia" w:ascii="宋体" w:hAnsi="宋体" w:cs="宋体"/>
                <w:sz w:val="22"/>
              </w:rPr>
              <w:t>序号</w:t>
            </w:r>
          </w:p>
        </w:tc>
        <w:tc>
          <w:tcPr>
            <w:tcW w:w="537" w:type="pct"/>
            <w:tcBorders>
              <w:top w:val="single" w:color="auto" w:sz="4" w:space="0"/>
              <w:left w:val="single" w:color="auto" w:sz="4" w:space="0"/>
              <w:bottom w:val="single" w:color="auto" w:sz="4" w:space="0"/>
              <w:right w:val="single" w:color="auto" w:sz="4" w:space="0"/>
            </w:tcBorders>
            <w:vAlign w:val="center"/>
          </w:tcPr>
          <w:p w14:paraId="03FF7DC7">
            <w:pPr>
              <w:spacing w:before="93" w:after="93" w:line="370" w:lineRule="exact"/>
              <w:ind w:left="-105" w:leftChars="-50" w:right="-105" w:rightChars="-50"/>
              <w:jc w:val="center"/>
              <w:rPr>
                <w:rFonts w:ascii="宋体"/>
                <w:sz w:val="22"/>
              </w:rPr>
            </w:pPr>
            <w:r>
              <w:rPr>
                <w:rFonts w:hint="eastAsia" w:ascii="宋体" w:hAnsi="宋体" w:cs="宋体"/>
                <w:sz w:val="22"/>
              </w:rPr>
              <w:t>货物名称</w:t>
            </w:r>
          </w:p>
        </w:tc>
        <w:tc>
          <w:tcPr>
            <w:tcW w:w="980" w:type="pct"/>
            <w:tcBorders>
              <w:top w:val="single" w:color="auto" w:sz="4" w:space="0"/>
              <w:left w:val="single" w:color="auto" w:sz="4" w:space="0"/>
              <w:bottom w:val="single" w:color="auto" w:sz="4" w:space="0"/>
              <w:right w:val="single" w:color="auto" w:sz="4" w:space="0"/>
            </w:tcBorders>
            <w:vAlign w:val="center"/>
          </w:tcPr>
          <w:p w14:paraId="7B88ED7E">
            <w:pPr>
              <w:spacing w:before="93" w:after="93" w:line="370" w:lineRule="exact"/>
              <w:jc w:val="center"/>
              <w:rPr>
                <w:rFonts w:ascii="宋体"/>
                <w:sz w:val="22"/>
              </w:rPr>
            </w:pPr>
            <w:r>
              <w:rPr>
                <w:rFonts w:hint="eastAsia" w:ascii="宋体" w:hAnsi="宋体" w:cs="宋体"/>
                <w:sz w:val="22"/>
              </w:rPr>
              <w:t>生产厂家/产地</w:t>
            </w:r>
          </w:p>
        </w:tc>
        <w:tc>
          <w:tcPr>
            <w:tcW w:w="403" w:type="pct"/>
            <w:tcBorders>
              <w:top w:val="single" w:color="auto" w:sz="4" w:space="0"/>
              <w:left w:val="single" w:color="auto" w:sz="4" w:space="0"/>
              <w:bottom w:val="single" w:color="auto" w:sz="4" w:space="0"/>
              <w:right w:val="single" w:color="auto" w:sz="4" w:space="0"/>
            </w:tcBorders>
            <w:vAlign w:val="center"/>
          </w:tcPr>
          <w:p w14:paraId="4F0BEF70">
            <w:pPr>
              <w:spacing w:before="93" w:after="93" w:line="370" w:lineRule="exact"/>
              <w:jc w:val="center"/>
              <w:rPr>
                <w:rFonts w:hint="eastAsia" w:ascii="宋体" w:hAnsi="宋体" w:cs="宋体"/>
                <w:sz w:val="22"/>
              </w:rPr>
            </w:pPr>
            <w:r>
              <w:rPr>
                <w:rFonts w:hint="eastAsia" w:ascii="宋体" w:hAnsi="宋体" w:cs="宋体"/>
                <w:sz w:val="22"/>
              </w:rPr>
              <w:t>品牌</w:t>
            </w:r>
          </w:p>
        </w:tc>
        <w:tc>
          <w:tcPr>
            <w:tcW w:w="532" w:type="pct"/>
            <w:tcBorders>
              <w:top w:val="single" w:color="auto" w:sz="4" w:space="0"/>
              <w:left w:val="single" w:color="auto" w:sz="4" w:space="0"/>
              <w:bottom w:val="single" w:color="auto" w:sz="4" w:space="0"/>
              <w:right w:val="single" w:color="auto" w:sz="4" w:space="0"/>
            </w:tcBorders>
            <w:vAlign w:val="center"/>
          </w:tcPr>
          <w:p w14:paraId="17ED6E7C">
            <w:pPr>
              <w:spacing w:before="93" w:after="93" w:line="370" w:lineRule="exact"/>
              <w:jc w:val="center"/>
              <w:rPr>
                <w:rFonts w:ascii="宋体"/>
                <w:sz w:val="22"/>
              </w:rPr>
            </w:pPr>
            <w:r>
              <w:rPr>
                <w:rFonts w:hint="eastAsia" w:ascii="宋体" w:hAnsi="宋体" w:cs="宋体"/>
                <w:sz w:val="22"/>
              </w:rPr>
              <w:t>型号/规格</w:t>
            </w:r>
          </w:p>
        </w:tc>
        <w:tc>
          <w:tcPr>
            <w:tcW w:w="510" w:type="pct"/>
            <w:tcBorders>
              <w:top w:val="single" w:color="auto" w:sz="4" w:space="0"/>
              <w:left w:val="single" w:color="auto" w:sz="4" w:space="0"/>
              <w:bottom w:val="single" w:color="auto" w:sz="4" w:space="0"/>
              <w:right w:val="single" w:color="auto" w:sz="4" w:space="0"/>
            </w:tcBorders>
            <w:vAlign w:val="center"/>
          </w:tcPr>
          <w:p w14:paraId="0AB459E0">
            <w:pPr>
              <w:spacing w:before="93" w:after="93" w:line="370" w:lineRule="exact"/>
              <w:jc w:val="center"/>
              <w:rPr>
                <w:rFonts w:ascii="宋体"/>
                <w:sz w:val="22"/>
              </w:rPr>
            </w:pPr>
            <w:r>
              <w:rPr>
                <w:rFonts w:hint="eastAsia" w:ascii="宋体" w:hAnsi="宋体" w:cs="宋体"/>
                <w:sz w:val="22"/>
              </w:rPr>
              <w:t>数量</w:t>
            </w:r>
          </w:p>
        </w:tc>
        <w:tc>
          <w:tcPr>
            <w:tcW w:w="420" w:type="pct"/>
            <w:tcBorders>
              <w:top w:val="single" w:color="auto" w:sz="4" w:space="0"/>
              <w:left w:val="single" w:color="auto" w:sz="4" w:space="0"/>
              <w:bottom w:val="single" w:color="auto" w:sz="4" w:space="0"/>
              <w:right w:val="single" w:color="auto" w:sz="4" w:space="0"/>
            </w:tcBorders>
            <w:vAlign w:val="center"/>
          </w:tcPr>
          <w:p w14:paraId="43E89D26">
            <w:pPr>
              <w:spacing w:before="93" w:after="93" w:line="370" w:lineRule="exact"/>
              <w:jc w:val="center"/>
              <w:rPr>
                <w:rFonts w:hint="eastAsia" w:ascii="宋体" w:hAnsi="宋体" w:cs="宋体"/>
                <w:sz w:val="22"/>
              </w:rPr>
            </w:pPr>
            <w:r>
              <w:rPr>
                <w:rFonts w:hint="eastAsia" w:ascii="宋体" w:hAnsi="宋体" w:cs="宋体"/>
                <w:sz w:val="22"/>
              </w:rPr>
              <w:t>单位</w:t>
            </w:r>
          </w:p>
        </w:tc>
        <w:tc>
          <w:tcPr>
            <w:tcW w:w="654" w:type="pct"/>
            <w:tcBorders>
              <w:top w:val="single" w:color="auto" w:sz="4" w:space="0"/>
              <w:left w:val="single" w:color="auto" w:sz="4" w:space="0"/>
              <w:bottom w:val="single" w:color="auto" w:sz="4" w:space="0"/>
              <w:right w:val="single" w:color="auto" w:sz="4" w:space="0"/>
            </w:tcBorders>
            <w:vAlign w:val="center"/>
          </w:tcPr>
          <w:p w14:paraId="4DE18C2D">
            <w:pPr>
              <w:spacing w:before="93" w:after="93" w:line="370" w:lineRule="exact"/>
              <w:jc w:val="center"/>
              <w:rPr>
                <w:rFonts w:ascii="宋体"/>
                <w:sz w:val="22"/>
              </w:rPr>
            </w:pPr>
            <w:r>
              <w:rPr>
                <w:rFonts w:hint="eastAsia" w:ascii="宋体" w:hAnsi="宋体" w:cs="宋体"/>
                <w:sz w:val="22"/>
              </w:rPr>
              <w:t>单价（元）</w:t>
            </w:r>
          </w:p>
        </w:tc>
        <w:tc>
          <w:tcPr>
            <w:tcW w:w="531" w:type="pct"/>
            <w:tcBorders>
              <w:top w:val="single" w:color="auto" w:sz="4" w:space="0"/>
              <w:left w:val="single" w:color="auto" w:sz="4" w:space="0"/>
              <w:bottom w:val="single" w:color="auto" w:sz="4" w:space="0"/>
              <w:right w:val="single" w:color="auto" w:sz="4" w:space="0"/>
            </w:tcBorders>
            <w:vAlign w:val="center"/>
          </w:tcPr>
          <w:p w14:paraId="60CB7E3A">
            <w:pPr>
              <w:spacing w:before="93" w:after="93" w:line="370" w:lineRule="exact"/>
              <w:jc w:val="center"/>
              <w:rPr>
                <w:rFonts w:ascii="宋体"/>
                <w:sz w:val="22"/>
              </w:rPr>
            </w:pPr>
            <w:r>
              <w:rPr>
                <w:rFonts w:hint="eastAsia" w:ascii="宋体" w:hAnsi="宋体" w:cs="宋体"/>
                <w:sz w:val="22"/>
              </w:rPr>
              <w:t>总价（元）</w:t>
            </w:r>
          </w:p>
        </w:tc>
      </w:tr>
      <w:tr w14:paraId="00427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single" w:color="auto" w:sz="4" w:space="0"/>
            </w:tcBorders>
            <w:vAlign w:val="center"/>
          </w:tcPr>
          <w:p w14:paraId="6305A3E9">
            <w:pPr>
              <w:spacing w:before="93" w:after="93" w:line="370" w:lineRule="exact"/>
              <w:jc w:val="center"/>
              <w:rPr>
                <w:rFonts w:hint="eastAsia" w:ascii="宋体" w:hAnsi="宋体" w:cs="宋体"/>
                <w:sz w:val="24"/>
              </w:rPr>
            </w:pPr>
            <w:r>
              <w:rPr>
                <w:rFonts w:hint="eastAsia" w:ascii="宋体" w:hAnsi="宋体" w:cs="宋体"/>
                <w:sz w:val="24"/>
              </w:rPr>
              <w:t>1</w:t>
            </w:r>
          </w:p>
        </w:tc>
        <w:tc>
          <w:tcPr>
            <w:tcW w:w="537" w:type="pct"/>
            <w:tcBorders>
              <w:top w:val="single" w:color="auto" w:sz="4" w:space="0"/>
              <w:left w:val="single" w:color="auto" w:sz="4" w:space="0"/>
              <w:bottom w:val="single" w:color="auto" w:sz="4" w:space="0"/>
              <w:right w:val="single" w:color="auto" w:sz="4" w:space="0"/>
            </w:tcBorders>
            <w:vAlign w:val="center"/>
          </w:tcPr>
          <w:p w14:paraId="6A6DFBC8">
            <w:pPr>
              <w:spacing w:before="93" w:after="93" w:line="370" w:lineRule="exact"/>
              <w:jc w:val="center"/>
              <w:rPr>
                <w:rFonts w:hint="eastAsia" w:ascii="宋体" w:hAnsi="宋体" w:cs="宋体"/>
                <w:sz w:val="24"/>
              </w:rPr>
            </w:pPr>
          </w:p>
        </w:tc>
        <w:tc>
          <w:tcPr>
            <w:tcW w:w="980" w:type="pct"/>
            <w:tcBorders>
              <w:top w:val="single" w:color="auto" w:sz="4" w:space="0"/>
              <w:left w:val="single" w:color="auto" w:sz="4" w:space="0"/>
              <w:bottom w:val="single" w:color="auto" w:sz="4" w:space="0"/>
              <w:right w:val="single" w:color="auto" w:sz="4" w:space="0"/>
            </w:tcBorders>
            <w:vAlign w:val="center"/>
          </w:tcPr>
          <w:p w14:paraId="18611534">
            <w:pPr>
              <w:spacing w:before="93" w:after="93" w:line="370" w:lineRule="exact"/>
              <w:jc w:val="center"/>
              <w:rPr>
                <w:rFonts w:hint="eastAsia" w:ascii="宋体" w:hAnsi="宋体" w:cs="宋体"/>
                <w:sz w:val="24"/>
              </w:rPr>
            </w:pPr>
          </w:p>
        </w:tc>
        <w:tc>
          <w:tcPr>
            <w:tcW w:w="403" w:type="pct"/>
            <w:tcBorders>
              <w:top w:val="single" w:color="auto" w:sz="4" w:space="0"/>
              <w:left w:val="single" w:color="auto" w:sz="4" w:space="0"/>
              <w:bottom w:val="single" w:color="auto" w:sz="4" w:space="0"/>
              <w:right w:val="single" w:color="auto" w:sz="4" w:space="0"/>
            </w:tcBorders>
            <w:vAlign w:val="center"/>
          </w:tcPr>
          <w:p w14:paraId="5F7734CB">
            <w:pPr>
              <w:spacing w:before="93" w:after="93" w:line="370" w:lineRule="exact"/>
              <w:jc w:val="center"/>
              <w:rPr>
                <w:rFonts w:hint="eastAsia" w:ascii="宋体" w:hAnsi="宋体" w:cs="宋体"/>
                <w:sz w:val="24"/>
              </w:rPr>
            </w:pPr>
          </w:p>
        </w:tc>
        <w:tc>
          <w:tcPr>
            <w:tcW w:w="532" w:type="pct"/>
            <w:tcBorders>
              <w:top w:val="single" w:color="auto" w:sz="4" w:space="0"/>
              <w:left w:val="single" w:color="auto" w:sz="4" w:space="0"/>
              <w:bottom w:val="single" w:color="auto" w:sz="4" w:space="0"/>
              <w:right w:val="single" w:color="auto" w:sz="4" w:space="0"/>
            </w:tcBorders>
            <w:vAlign w:val="center"/>
          </w:tcPr>
          <w:p w14:paraId="7B3145D4">
            <w:pPr>
              <w:spacing w:before="93" w:after="93" w:line="370" w:lineRule="exact"/>
              <w:jc w:val="center"/>
              <w:rPr>
                <w:rFonts w:hint="eastAsia" w:ascii="宋体" w:hAnsi="宋体" w:cs="宋体"/>
                <w:sz w:val="24"/>
              </w:rPr>
            </w:pPr>
          </w:p>
        </w:tc>
        <w:tc>
          <w:tcPr>
            <w:tcW w:w="510" w:type="pct"/>
            <w:tcBorders>
              <w:top w:val="single" w:color="auto" w:sz="4" w:space="0"/>
              <w:left w:val="single" w:color="auto" w:sz="4" w:space="0"/>
              <w:bottom w:val="single" w:color="auto" w:sz="4" w:space="0"/>
              <w:right w:val="single" w:color="auto" w:sz="4" w:space="0"/>
            </w:tcBorders>
            <w:vAlign w:val="center"/>
          </w:tcPr>
          <w:p w14:paraId="2C50E069">
            <w:pPr>
              <w:spacing w:before="93" w:after="93" w:line="370" w:lineRule="exact"/>
              <w:jc w:val="center"/>
              <w:rPr>
                <w:rFonts w:hint="eastAsia" w:ascii="宋体" w:hAnsi="宋体" w:cs="宋体"/>
                <w:sz w:val="24"/>
              </w:rPr>
            </w:pPr>
          </w:p>
        </w:tc>
        <w:tc>
          <w:tcPr>
            <w:tcW w:w="420" w:type="pct"/>
            <w:tcBorders>
              <w:top w:val="single" w:color="auto" w:sz="4" w:space="0"/>
              <w:left w:val="single" w:color="auto" w:sz="4" w:space="0"/>
              <w:bottom w:val="single" w:color="auto" w:sz="4" w:space="0"/>
              <w:right w:val="single" w:color="auto" w:sz="4" w:space="0"/>
            </w:tcBorders>
            <w:vAlign w:val="center"/>
          </w:tcPr>
          <w:p w14:paraId="35BDE281">
            <w:pPr>
              <w:spacing w:before="93" w:after="93" w:line="370" w:lineRule="exact"/>
              <w:jc w:val="center"/>
              <w:rPr>
                <w:rFonts w:hint="eastAsia" w:ascii="宋体" w:hAnsi="宋体" w:cs="宋体"/>
                <w:sz w:val="24"/>
              </w:rPr>
            </w:pPr>
          </w:p>
        </w:tc>
        <w:tc>
          <w:tcPr>
            <w:tcW w:w="654" w:type="pct"/>
            <w:tcBorders>
              <w:top w:val="single" w:color="auto" w:sz="4" w:space="0"/>
              <w:left w:val="single" w:color="auto" w:sz="4" w:space="0"/>
              <w:bottom w:val="single" w:color="auto" w:sz="4" w:space="0"/>
              <w:right w:val="single" w:color="auto" w:sz="4" w:space="0"/>
            </w:tcBorders>
            <w:vAlign w:val="center"/>
          </w:tcPr>
          <w:p w14:paraId="50A737D8">
            <w:pPr>
              <w:spacing w:before="93" w:after="93" w:line="370" w:lineRule="exact"/>
              <w:jc w:val="center"/>
              <w:rPr>
                <w:rFonts w:hint="eastAsia" w:ascii="宋体" w:hAnsi="宋体" w:cs="宋体"/>
                <w:sz w:val="24"/>
              </w:rPr>
            </w:pPr>
          </w:p>
        </w:tc>
        <w:tc>
          <w:tcPr>
            <w:tcW w:w="531" w:type="pct"/>
            <w:tcBorders>
              <w:top w:val="single" w:color="auto" w:sz="4" w:space="0"/>
              <w:left w:val="single" w:color="auto" w:sz="4" w:space="0"/>
              <w:bottom w:val="single" w:color="auto" w:sz="4" w:space="0"/>
              <w:right w:val="single" w:color="auto" w:sz="4" w:space="0"/>
            </w:tcBorders>
            <w:vAlign w:val="center"/>
          </w:tcPr>
          <w:p w14:paraId="3A163029">
            <w:pPr>
              <w:spacing w:before="93" w:after="93" w:line="370" w:lineRule="exact"/>
              <w:jc w:val="center"/>
              <w:rPr>
                <w:rFonts w:hint="eastAsia" w:ascii="宋体" w:hAnsi="宋体" w:cs="宋体"/>
                <w:sz w:val="24"/>
              </w:rPr>
            </w:pPr>
          </w:p>
        </w:tc>
      </w:tr>
      <w:tr w14:paraId="0242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430" w:type="pct"/>
            <w:tcBorders>
              <w:top w:val="single" w:color="auto" w:sz="4" w:space="0"/>
              <w:left w:val="single" w:color="auto" w:sz="4" w:space="0"/>
              <w:bottom w:val="single" w:color="auto" w:sz="4" w:space="0"/>
              <w:right w:val="single" w:color="auto" w:sz="4" w:space="0"/>
            </w:tcBorders>
            <w:vAlign w:val="center"/>
          </w:tcPr>
          <w:p w14:paraId="1087C97F">
            <w:pPr>
              <w:spacing w:before="93" w:after="93" w:line="370" w:lineRule="exact"/>
              <w:jc w:val="center"/>
              <w:rPr>
                <w:rFonts w:hint="eastAsia" w:ascii="宋体" w:hAnsi="宋体" w:cs="宋体"/>
                <w:sz w:val="24"/>
              </w:rPr>
            </w:pPr>
            <w:r>
              <w:rPr>
                <w:rFonts w:hint="eastAsia" w:ascii="宋体" w:hAnsi="宋体" w:cs="宋体"/>
                <w:sz w:val="24"/>
              </w:rPr>
              <w:t>2</w:t>
            </w:r>
          </w:p>
        </w:tc>
        <w:tc>
          <w:tcPr>
            <w:tcW w:w="537" w:type="pct"/>
            <w:tcBorders>
              <w:top w:val="single" w:color="auto" w:sz="4" w:space="0"/>
              <w:left w:val="single" w:color="auto" w:sz="4" w:space="0"/>
              <w:bottom w:val="single" w:color="auto" w:sz="4" w:space="0"/>
              <w:right w:val="single" w:color="auto" w:sz="4" w:space="0"/>
            </w:tcBorders>
            <w:vAlign w:val="center"/>
          </w:tcPr>
          <w:p w14:paraId="4449CBA1">
            <w:pPr>
              <w:spacing w:before="93" w:after="93" w:line="370" w:lineRule="exact"/>
              <w:jc w:val="center"/>
              <w:rPr>
                <w:rFonts w:hint="eastAsia" w:ascii="宋体" w:hAnsi="宋体" w:cs="宋体"/>
                <w:sz w:val="24"/>
              </w:rPr>
            </w:pPr>
          </w:p>
        </w:tc>
        <w:tc>
          <w:tcPr>
            <w:tcW w:w="980" w:type="pct"/>
            <w:tcBorders>
              <w:top w:val="single" w:color="auto" w:sz="4" w:space="0"/>
              <w:left w:val="single" w:color="auto" w:sz="4" w:space="0"/>
              <w:bottom w:val="single" w:color="auto" w:sz="4" w:space="0"/>
              <w:right w:val="single" w:color="auto" w:sz="4" w:space="0"/>
            </w:tcBorders>
            <w:vAlign w:val="center"/>
          </w:tcPr>
          <w:p w14:paraId="5E15B410">
            <w:pPr>
              <w:spacing w:before="93" w:after="93" w:line="370" w:lineRule="exact"/>
              <w:jc w:val="center"/>
              <w:rPr>
                <w:rFonts w:hint="eastAsia" w:ascii="宋体" w:hAnsi="宋体" w:cs="宋体"/>
                <w:sz w:val="24"/>
              </w:rPr>
            </w:pPr>
          </w:p>
        </w:tc>
        <w:tc>
          <w:tcPr>
            <w:tcW w:w="403" w:type="pct"/>
            <w:tcBorders>
              <w:top w:val="single" w:color="auto" w:sz="4" w:space="0"/>
              <w:left w:val="single" w:color="auto" w:sz="4" w:space="0"/>
              <w:bottom w:val="single" w:color="auto" w:sz="4" w:space="0"/>
              <w:right w:val="single" w:color="auto" w:sz="4" w:space="0"/>
            </w:tcBorders>
            <w:vAlign w:val="center"/>
          </w:tcPr>
          <w:p w14:paraId="01A9AE4C">
            <w:pPr>
              <w:spacing w:before="93" w:after="93" w:line="370" w:lineRule="exact"/>
              <w:jc w:val="center"/>
              <w:rPr>
                <w:rFonts w:hint="eastAsia" w:ascii="宋体" w:hAnsi="宋体" w:cs="宋体"/>
                <w:sz w:val="24"/>
              </w:rPr>
            </w:pPr>
          </w:p>
        </w:tc>
        <w:tc>
          <w:tcPr>
            <w:tcW w:w="532" w:type="pct"/>
            <w:tcBorders>
              <w:top w:val="single" w:color="auto" w:sz="4" w:space="0"/>
              <w:left w:val="single" w:color="auto" w:sz="4" w:space="0"/>
              <w:bottom w:val="single" w:color="auto" w:sz="4" w:space="0"/>
              <w:right w:val="single" w:color="auto" w:sz="4" w:space="0"/>
            </w:tcBorders>
            <w:vAlign w:val="center"/>
          </w:tcPr>
          <w:p w14:paraId="65903CF9">
            <w:pPr>
              <w:spacing w:before="93" w:after="93" w:line="370" w:lineRule="exact"/>
              <w:jc w:val="center"/>
              <w:rPr>
                <w:rFonts w:hint="eastAsia" w:ascii="宋体" w:hAnsi="宋体" w:cs="宋体"/>
                <w:sz w:val="24"/>
              </w:rPr>
            </w:pPr>
          </w:p>
        </w:tc>
        <w:tc>
          <w:tcPr>
            <w:tcW w:w="510" w:type="pct"/>
            <w:tcBorders>
              <w:top w:val="single" w:color="auto" w:sz="4" w:space="0"/>
              <w:left w:val="single" w:color="auto" w:sz="4" w:space="0"/>
              <w:bottom w:val="single" w:color="auto" w:sz="4" w:space="0"/>
              <w:right w:val="single" w:color="auto" w:sz="4" w:space="0"/>
            </w:tcBorders>
            <w:vAlign w:val="center"/>
          </w:tcPr>
          <w:p w14:paraId="69801278">
            <w:pPr>
              <w:spacing w:before="93" w:after="93" w:line="370" w:lineRule="exact"/>
              <w:jc w:val="center"/>
              <w:rPr>
                <w:rFonts w:hint="eastAsia" w:ascii="宋体" w:hAnsi="宋体" w:cs="宋体"/>
                <w:sz w:val="24"/>
              </w:rPr>
            </w:pPr>
          </w:p>
        </w:tc>
        <w:tc>
          <w:tcPr>
            <w:tcW w:w="420" w:type="pct"/>
            <w:tcBorders>
              <w:top w:val="single" w:color="auto" w:sz="4" w:space="0"/>
              <w:left w:val="single" w:color="auto" w:sz="4" w:space="0"/>
              <w:bottom w:val="single" w:color="auto" w:sz="4" w:space="0"/>
              <w:right w:val="single" w:color="auto" w:sz="4" w:space="0"/>
            </w:tcBorders>
            <w:vAlign w:val="center"/>
          </w:tcPr>
          <w:p w14:paraId="71516E1E">
            <w:pPr>
              <w:spacing w:before="93" w:after="93" w:line="370" w:lineRule="exact"/>
              <w:jc w:val="center"/>
              <w:rPr>
                <w:rFonts w:hint="eastAsia" w:ascii="宋体" w:hAnsi="宋体" w:cs="宋体"/>
                <w:sz w:val="24"/>
              </w:rPr>
            </w:pPr>
          </w:p>
        </w:tc>
        <w:tc>
          <w:tcPr>
            <w:tcW w:w="654" w:type="pct"/>
            <w:tcBorders>
              <w:top w:val="single" w:color="auto" w:sz="4" w:space="0"/>
              <w:left w:val="single" w:color="auto" w:sz="4" w:space="0"/>
              <w:bottom w:val="single" w:color="auto" w:sz="4" w:space="0"/>
              <w:right w:val="single" w:color="auto" w:sz="4" w:space="0"/>
            </w:tcBorders>
            <w:vAlign w:val="center"/>
          </w:tcPr>
          <w:p w14:paraId="5BFA5DA6">
            <w:pPr>
              <w:spacing w:before="93" w:after="93" w:line="370" w:lineRule="exact"/>
              <w:jc w:val="center"/>
              <w:rPr>
                <w:rFonts w:hint="eastAsia" w:ascii="宋体" w:hAnsi="宋体" w:cs="宋体"/>
                <w:sz w:val="24"/>
              </w:rPr>
            </w:pPr>
          </w:p>
        </w:tc>
        <w:tc>
          <w:tcPr>
            <w:tcW w:w="531" w:type="pct"/>
            <w:tcBorders>
              <w:top w:val="single" w:color="auto" w:sz="4" w:space="0"/>
              <w:left w:val="single" w:color="auto" w:sz="4" w:space="0"/>
              <w:bottom w:val="single" w:color="auto" w:sz="4" w:space="0"/>
              <w:right w:val="single" w:color="auto" w:sz="4" w:space="0"/>
            </w:tcBorders>
            <w:vAlign w:val="center"/>
          </w:tcPr>
          <w:p w14:paraId="2EE780BF">
            <w:pPr>
              <w:spacing w:before="93" w:after="93" w:line="370" w:lineRule="exact"/>
              <w:jc w:val="center"/>
              <w:rPr>
                <w:rFonts w:hint="eastAsia" w:ascii="宋体" w:hAnsi="宋体" w:cs="宋体"/>
                <w:sz w:val="24"/>
              </w:rPr>
            </w:pPr>
          </w:p>
        </w:tc>
      </w:tr>
      <w:tr w14:paraId="534E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430" w:type="pct"/>
            <w:tcBorders>
              <w:top w:val="single" w:color="auto" w:sz="4" w:space="0"/>
              <w:left w:val="single" w:color="auto" w:sz="4" w:space="0"/>
              <w:bottom w:val="single" w:color="auto" w:sz="4" w:space="0"/>
              <w:right w:val="single" w:color="auto" w:sz="4" w:space="0"/>
            </w:tcBorders>
            <w:vAlign w:val="center"/>
          </w:tcPr>
          <w:p w14:paraId="5E3A996C">
            <w:pPr>
              <w:spacing w:before="93" w:after="93" w:line="370" w:lineRule="exact"/>
              <w:jc w:val="center"/>
              <w:rPr>
                <w:rFonts w:hint="eastAsia" w:ascii="宋体" w:hAnsi="宋体" w:cs="宋体"/>
                <w:sz w:val="24"/>
              </w:rPr>
            </w:pPr>
            <w:r>
              <w:rPr>
                <w:rFonts w:hint="eastAsia" w:ascii="宋体" w:hAnsi="宋体" w:cs="宋体"/>
                <w:sz w:val="24"/>
              </w:rPr>
              <w:t>3</w:t>
            </w:r>
          </w:p>
        </w:tc>
        <w:tc>
          <w:tcPr>
            <w:tcW w:w="537" w:type="pct"/>
            <w:tcBorders>
              <w:top w:val="single" w:color="auto" w:sz="4" w:space="0"/>
              <w:left w:val="single" w:color="auto" w:sz="4" w:space="0"/>
              <w:bottom w:val="single" w:color="auto" w:sz="4" w:space="0"/>
              <w:right w:val="single" w:color="auto" w:sz="4" w:space="0"/>
            </w:tcBorders>
            <w:vAlign w:val="center"/>
          </w:tcPr>
          <w:p w14:paraId="091CACD7">
            <w:pPr>
              <w:spacing w:before="93" w:after="93" w:line="370" w:lineRule="exact"/>
              <w:jc w:val="center"/>
              <w:rPr>
                <w:rFonts w:hint="eastAsia" w:ascii="宋体" w:hAnsi="宋体" w:cs="宋体"/>
                <w:sz w:val="24"/>
              </w:rPr>
            </w:pPr>
          </w:p>
        </w:tc>
        <w:tc>
          <w:tcPr>
            <w:tcW w:w="980" w:type="pct"/>
            <w:tcBorders>
              <w:top w:val="single" w:color="auto" w:sz="4" w:space="0"/>
              <w:left w:val="single" w:color="auto" w:sz="4" w:space="0"/>
              <w:bottom w:val="single" w:color="auto" w:sz="4" w:space="0"/>
              <w:right w:val="single" w:color="auto" w:sz="4" w:space="0"/>
            </w:tcBorders>
            <w:vAlign w:val="center"/>
          </w:tcPr>
          <w:p w14:paraId="2C1F6E1A">
            <w:pPr>
              <w:spacing w:before="93" w:after="93" w:line="370" w:lineRule="exact"/>
              <w:jc w:val="center"/>
              <w:rPr>
                <w:rFonts w:hint="eastAsia" w:ascii="宋体" w:hAnsi="宋体" w:cs="宋体"/>
                <w:sz w:val="24"/>
              </w:rPr>
            </w:pPr>
          </w:p>
        </w:tc>
        <w:tc>
          <w:tcPr>
            <w:tcW w:w="403" w:type="pct"/>
            <w:tcBorders>
              <w:top w:val="single" w:color="auto" w:sz="4" w:space="0"/>
              <w:left w:val="single" w:color="auto" w:sz="4" w:space="0"/>
              <w:bottom w:val="single" w:color="auto" w:sz="4" w:space="0"/>
              <w:right w:val="single" w:color="auto" w:sz="4" w:space="0"/>
            </w:tcBorders>
            <w:vAlign w:val="center"/>
          </w:tcPr>
          <w:p w14:paraId="4CCFA58D">
            <w:pPr>
              <w:spacing w:before="93" w:after="93" w:line="370" w:lineRule="exact"/>
              <w:jc w:val="center"/>
              <w:rPr>
                <w:rFonts w:hint="eastAsia" w:ascii="宋体" w:hAnsi="宋体" w:cs="宋体"/>
                <w:sz w:val="24"/>
              </w:rPr>
            </w:pPr>
          </w:p>
        </w:tc>
        <w:tc>
          <w:tcPr>
            <w:tcW w:w="532" w:type="pct"/>
            <w:tcBorders>
              <w:top w:val="single" w:color="auto" w:sz="4" w:space="0"/>
              <w:left w:val="single" w:color="auto" w:sz="4" w:space="0"/>
              <w:bottom w:val="single" w:color="auto" w:sz="4" w:space="0"/>
              <w:right w:val="single" w:color="auto" w:sz="4" w:space="0"/>
            </w:tcBorders>
            <w:vAlign w:val="center"/>
          </w:tcPr>
          <w:p w14:paraId="550EDE59">
            <w:pPr>
              <w:spacing w:before="93" w:after="93" w:line="370" w:lineRule="exact"/>
              <w:jc w:val="center"/>
              <w:rPr>
                <w:rFonts w:hint="eastAsia" w:ascii="宋体" w:hAnsi="宋体" w:cs="宋体"/>
                <w:sz w:val="24"/>
              </w:rPr>
            </w:pPr>
          </w:p>
        </w:tc>
        <w:tc>
          <w:tcPr>
            <w:tcW w:w="510" w:type="pct"/>
            <w:tcBorders>
              <w:top w:val="single" w:color="auto" w:sz="4" w:space="0"/>
              <w:left w:val="single" w:color="auto" w:sz="4" w:space="0"/>
              <w:bottom w:val="single" w:color="auto" w:sz="4" w:space="0"/>
              <w:right w:val="single" w:color="auto" w:sz="4" w:space="0"/>
            </w:tcBorders>
            <w:vAlign w:val="center"/>
          </w:tcPr>
          <w:p w14:paraId="3674EB27">
            <w:pPr>
              <w:spacing w:before="93" w:after="93" w:line="370" w:lineRule="exact"/>
              <w:jc w:val="center"/>
              <w:rPr>
                <w:rFonts w:hint="eastAsia" w:ascii="宋体" w:hAnsi="宋体" w:cs="宋体"/>
                <w:sz w:val="24"/>
              </w:rPr>
            </w:pPr>
          </w:p>
        </w:tc>
        <w:tc>
          <w:tcPr>
            <w:tcW w:w="420" w:type="pct"/>
            <w:tcBorders>
              <w:top w:val="single" w:color="auto" w:sz="4" w:space="0"/>
              <w:left w:val="single" w:color="auto" w:sz="4" w:space="0"/>
              <w:bottom w:val="single" w:color="auto" w:sz="4" w:space="0"/>
              <w:right w:val="single" w:color="auto" w:sz="4" w:space="0"/>
            </w:tcBorders>
            <w:vAlign w:val="center"/>
          </w:tcPr>
          <w:p w14:paraId="3E6E0372">
            <w:pPr>
              <w:spacing w:before="93" w:after="93" w:line="370" w:lineRule="exact"/>
              <w:jc w:val="center"/>
              <w:rPr>
                <w:rFonts w:hint="eastAsia" w:ascii="宋体" w:hAnsi="宋体" w:cs="宋体"/>
                <w:sz w:val="24"/>
              </w:rPr>
            </w:pPr>
          </w:p>
        </w:tc>
        <w:tc>
          <w:tcPr>
            <w:tcW w:w="654" w:type="pct"/>
            <w:tcBorders>
              <w:top w:val="single" w:color="auto" w:sz="4" w:space="0"/>
              <w:left w:val="single" w:color="auto" w:sz="4" w:space="0"/>
              <w:bottom w:val="single" w:color="auto" w:sz="4" w:space="0"/>
              <w:right w:val="single" w:color="auto" w:sz="4" w:space="0"/>
            </w:tcBorders>
            <w:vAlign w:val="center"/>
          </w:tcPr>
          <w:p w14:paraId="1D8702CF">
            <w:pPr>
              <w:spacing w:before="93" w:after="93" w:line="370" w:lineRule="exact"/>
              <w:jc w:val="center"/>
              <w:rPr>
                <w:rFonts w:hint="eastAsia" w:ascii="宋体" w:hAnsi="宋体" w:cs="宋体"/>
                <w:sz w:val="24"/>
              </w:rPr>
            </w:pPr>
          </w:p>
        </w:tc>
        <w:tc>
          <w:tcPr>
            <w:tcW w:w="531" w:type="pct"/>
            <w:tcBorders>
              <w:top w:val="single" w:color="auto" w:sz="4" w:space="0"/>
              <w:left w:val="single" w:color="auto" w:sz="4" w:space="0"/>
              <w:bottom w:val="single" w:color="auto" w:sz="4" w:space="0"/>
              <w:right w:val="single" w:color="auto" w:sz="4" w:space="0"/>
            </w:tcBorders>
            <w:vAlign w:val="center"/>
          </w:tcPr>
          <w:p w14:paraId="5F83833C">
            <w:pPr>
              <w:spacing w:before="93" w:after="93" w:line="370" w:lineRule="exact"/>
              <w:jc w:val="center"/>
              <w:rPr>
                <w:rFonts w:hint="eastAsia" w:ascii="宋体" w:hAnsi="宋体" w:cs="宋体"/>
                <w:sz w:val="24"/>
              </w:rPr>
            </w:pPr>
          </w:p>
        </w:tc>
      </w:tr>
      <w:tr w14:paraId="1AC2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4468" w:type="pct"/>
            <w:gridSpan w:val="8"/>
            <w:tcBorders>
              <w:top w:val="single" w:color="auto" w:sz="4" w:space="0"/>
              <w:left w:val="single" w:color="auto" w:sz="4" w:space="0"/>
              <w:bottom w:val="single" w:color="auto" w:sz="4" w:space="0"/>
              <w:right w:val="single" w:color="auto" w:sz="4" w:space="0"/>
            </w:tcBorders>
            <w:vAlign w:val="center"/>
          </w:tcPr>
          <w:p w14:paraId="028FB98C">
            <w:pPr>
              <w:spacing w:before="93" w:after="93" w:line="370" w:lineRule="exact"/>
              <w:rPr>
                <w:rFonts w:hint="eastAsia" w:ascii="宋体" w:hAnsi="宋体" w:cs="宋体"/>
                <w:sz w:val="24"/>
              </w:rPr>
            </w:pPr>
            <w:r>
              <w:rPr>
                <w:rFonts w:hint="eastAsia" w:ascii="宋体" w:hAnsi="宋体" w:cs="宋体"/>
                <w:sz w:val="24"/>
              </w:rPr>
              <w:t>总金额：人民币（大写）×万×仟×佰×拾×元整（¥</w:t>
            </w:r>
            <w:r>
              <w:rPr>
                <w:rFonts w:hint="eastAsia" w:ascii="宋体" w:cs="宋体"/>
                <w:sz w:val="24"/>
              </w:rPr>
              <w:t>00000.00</w:t>
            </w:r>
            <w:r>
              <w:rPr>
                <w:rFonts w:hint="eastAsia" w:ascii="宋体" w:hAnsi="宋体" w:cs="宋体"/>
                <w:sz w:val="24"/>
              </w:rPr>
              <w:t>）</w:t>
            </w:r>
          </w:p>
        </w:tc>
        <w:tc>
          <w:tcPr>
            <w:tcW w:w="531" w:type="pct"/>
            <w:tcBorders>
              <w:top w:val="single" w:color="auto" w:sz="4" w:space="0"/>
              <w:left w:val="single" w:color="auto" w:sz="4" w:space="0"/>
              <w:bottom w:val="single" w:color="auto" w:sz="4" w:space="0"/>
              <w:right w:val="single" w:color="auto" w:sz="4" w:space="0"/>
            </w:tcBorders>
            <w:vAlign w:val="center"/>
          </w:tcPr>
          <w:p w14:paraId="5ECDDDCA">
            <w:pPr>
              <w:spacing w:before="93" w:after="93" w:line="370" w:lineRule="exact"/>
              <w:rPr>
                <w:rFonts w:hint="eastAsia" w:ascii="宋体" w:hAnsi="宋体" w:cs="宋体"/>
                <w:sz w:val="24"/>
              </w:rPr>
            </w:pPr>
          </w:p>
        </w:tc>
      </w:tr>
      <w:tr w14:paraId="5695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4468" w:type="pct"/>
            <w:gridSpan w:val="8"/>
            <w:tcBorders>
              <w:top w:val="single" w:color="auto" w:sz="4" w:space="0"/>
              <w:left w:val="single" w:color="auto" w:sz="4" w:space="0"/>
              <w:bottom w:val="single" w:color="auto" w:sz="4" w:space="0"/>
              <w:right w:val="single" w:color="auto" w:sz="4" w:space="0"/>
            </w:tcBorders>
            <w:vAlign w:val="center"/>
          </w:tcPr>
          <w:p w14:paraId="3122047E">
            <w:pPr>
              <w:spacing w:before="93" w:after="93" w:line="370" w:lineRule="exact"/>
              <w:rPr>
                <w:rFonts w:hint="eastAsia" w:ascii="宋体" w:hAnsi="宋体" w:cs="宋体"/>
                <w:sz w:val="24"/>
              </w:rPr>
            </w:pPr>
            <w:r>
              <w:rPr>
                <w:rFonts w:hint="eastAsia" w:ascii="宋体" w:hAnsi="宋体" w:cs="宋体"/>
                <w:sz w:val="24"/>
              </w:rPr>
              <w:t>设备质保期：年</w:t>
            </w:r>
          </w:p>
        </w:tc>
        <w:tc>
          <w:tcPr>
            <w:tcW w:w="531" w:type="pct"/>
            <w:tcBorders>
              <w:top w:val="single" w:color="auto" w:sz="4" w:space="0"/>
              <w:left w:val="single" w:color="auto" w:sz="4" w:space="0"/>
              <w:bottom w:val="single" w:color="auto" w:sz="4" w:space="0"/>
              <w:right w:val="single" w:color="auto" w:sz="4" w:space="0"/>
            </w:tcBorders>
            <w:vAlign w:val="center"/>
          </w:tcPr>
          <w:p w14:paraId="01132594">
            <w:pPr>
              <w:spacing w:before="93" w:after="93" w:line="370" w:lineRule="exact"/>
              <w:rPr>
                <w:rFonts w:hint="eastAsia" w:ascii="宋体" w:hAnsi="宋体" w:cs="宋体"/>
                <w:sz w:val="24"/>
              </w:rPr>
            </w:pPr>
          </w:p>
        </w:tc>
      </w:tr>
    </w:tbl>
    <w:p w14:paraId="36536ACC">
      <w:pPr>
        <w:spacing w:before="93" w:after="93" w:line="360" w:lineRule="auto"/>
        <w:ind w:firstLine="482" w:firstLineChars="200"/>
        <w:rPr>
          <w:rFonts w:hint="eastAsia" w:ascii="黑体" w:hAnsi="黑体" w:eastAsia="黑体" w:cs="宋体"/>
          <w:b/>
          <w:sz w:val="24"/>
        </w:rPr>
      </w:pPr>
      <w:r>
        <w:rPr>
          <w:rFonts w:hint="eastAsia" w:ascii="黑体" w:hAnsi="黑体" w:eastAsia="黑体" w:cs="宋体"/>
          <w:b/>
          <w:sz w:val="24"/>
        </w:rPr>
        <w:t>三、货物质量要求及明细</w:t>
      </w:r>
    </w:p>
    <w:p w14:paraId="3934E1F6">
      <w:pPr>
        <w:spacing w:before="93" w:after="93" w:line="360" w:lineRule="auto"/>
        <w:ind w:firstLine="480" w:firstLineChars="200"/>
        <w:rPr>
          <w:rFonts w:hint="eastAsia" w:ascii="宋体" w:hAnsi="宋体" w:cs="宋体"/>
          <w:sz w:val="24"/>
        </w:rPr>
      </w:pPr>
      <w:r>
        <w:rPr>
          <w:rFonts w:hint="eastAsia" w:ascii="宋体" w:hAnsi="宋体" w:cs="宋体"/>
          <w:sz w:val="24"/>
        </w:rPr>
        <w:t>1、乙方交付的货物必须符合本合同约定的标准，合同未约定的，必须符合国家相关部门制定的生产（制造）标准、检测标准以及该货物的出厂标准。</w:t>
      </w:r>
    </w:p>
    <w:p w14:paraId="3CCD69A4">
      <w:pPr>
        <w:spacing w:before="93" w:after="93" w:line="360" w:lineRule="auto"/>
        <w:ind w:firstLine="480" w:firstLineChars="200"/>
        <w:rPr>
          <w:rFonts w:hint="eastAsia" w:ascii="宋体" w:hAnsi="宋体" w:cs="宋体"/>
          <w:sz w:val="24"/>
        </w:rPr>
      </w:pPr>
      <w:r>
        <w:rPr>
          <w:rFonts w:hint="eastAsia" w:ascii="宋体" w:hAnsi="宋体" w:cs="宋体"/>
          <w:sz w:val="24"/>
        </w:rPr>
        <w:t>2、乙方须按合同要求提供全新货物（包括零部件、附件、备品备件等），货物的质量标准、规格型号、具体配置、数量等应符合合同要求，其产品为原厂生产，且应达到乙方投标文件及澄清文件中承诺的技术标准。</w:t>
      </w:r>
    </w:p>
    <w:p w14:paraId="2F5A9929">
      <w:pPr>
        <w:spacing w:before="93" w:after="93" w:line="360" w:lineRule="auto"/>
        <w:ind w:firstLine="480" w:firstLineChars="200"/>
        <w:rPr>
          <w:rFonts w:hint="eastAsia" w:ascii="黑体" w:hAnsi="黑体" w:eastAsia="黑体" w:cs="宋体"/>
          <w:b/>
          <w:sz w:val="24"/>
        </w:rPr>
      </w:pPr>
      <w:r>
        <w:rPr>
          <w:rFonts w:hint="eastAsia" w:ascii="宋体" w:hAnsi="宋体" w:cs="宋体"/>
          <w:sz w:val="24"/>
        </w:rPr>
        <w:t>3、货物技术参数与配置清单表（附件1）。</w:t>
      </w:r>
    </w:p>
    <w:p w14:paraId="41B298E7">
      <w:pPr>
        <w:spacing w:before="93" w:after="93" w:line="360" w:lineRule="auto"/>
        <w:ind w:firstLine="480" w:firstLineChars="200"/>
        <w:rPr>
          <w:rFonts w:hint="eastAsia" w:ascii="宋体" w:hAnsi="宋体" w:cs="宋体"/>
          <w:sz w:val="24"/>
        </w:rPr>
      </w:pPr>
      <w:r>
        <w:rPr>
          <w:rFonts w:hint="eastAsia" w:ascii="宋体" w:hAnsi="宋体" w:cs="宋体"/>
          <w:sz w:val="24"/>
        </w:rPr>
        <w:t>本合同所指货物包括原材料、燃料、设备、产品、硬件、软件、安装材料、备件及专用器具、文件资料等。</w:t>
      </w:r>
    </w:p>
    <w:p w14:paraId="7BA0BC0B">
      <w:pPr>
        <w:spacing w:before="93" w:after="93" w:line="360" w:lineRule="auto"/>
        <w:ind w:firstLine="482" w:firstLineChars="200"/>
        <w:rPr>
          <w:rFonts w:hint="eastAsia" w:ascii="黑体" w:hAnsi="黑体" w:eastAsia="黑体" w:cs="宋体"/>
          <w:b/>
          <w:sz w:val="24"/>
        </w:rPr>
      </w:pPr>
      <w:r>
        <w:rPr>
          <w:rFonts w:hint="eastAsia" w:ascii="黑体" w:hAnsi="黑体" w:eastAsia="黑体" w:cs="宋体"/>
          <w:b/>
          <w:sz w:val="24"/>
        </w:rPr>
        <w:t>四、货物的交付、安装及调试</w:t>
      </w:r>
    </w:p>
    <w:p w14:paraId="605AE1F0">
      <w:pPr>
        <w:spacing w:before="93" w:after="93" w:line="360" w:lineRule="auto"/>
        <w:ind w:firstLine="480" w:firstLineChars="200"/>
        <w:rPr>
          <w:rFonts w:hint="eastAsia" w:ascii="宋体" w:hAnsi="宋体" w:cs="宋体"/>
          <w:sz w:val="24"/>
        </w:rPr>
      </w:pPr>
      <w:r>
        <w:rPr>
          <w:rFonts w:hint="eastAsia" w:ascii="宋体"/>
          <w:sz w:val="24"/>
        </w:rPr>
        <w:t>1、交付地点：河南工程学院</w:t>
      </w:r>
      <w:r>
        <w:rPr>
          <w:rFonts w:hint="eastAsia" w:ascii="宋体"/>
          <w:b/>
          <w:sz w:val="24"/>
          <w:u w:val="single"/>
        </w:rPr>
        <w:t>XX（</w:t>
      </w:r>
      <w:r>
        <w:rPr>
          <w:rFonts w:hint="eastAsia" w:ascii="宋体"/>
          <w:b/>
          <w:sz w:val="24"/>
        </w:rPr>
        <w:t>部门/学院）</w:t>
      </w:r>
    </w:p>
    <w:p w14:paraId="199A9C6A">
      <w:pPr>
        <w:spacing w:before="93" w:after="93" w:line="360" w:lineRule="auto"/>
        <w:ind w:firstLine="480" w:firstLineChars="200"/>
        <w:rPr>
          <w:rFonts w:ascii="宋体"/>
          <w:sz w:val="24"/>
        </w:rPr>
      </w:pPr>
      <w:r>
        <w:rPr>
          <w:rFonts w:hint="eastAsia" w:ascii="宋体"/>
          <w:sz w:val="24"/>
        </w:rPr>
        <w:t>2、交付日期：自合同签订之日起</w:t>
      </w:r>
      <w:r>
        <w:rPr>
          <w:rFonts w:hint="eastAsia" w:ascii="宋体"/>
          <w:b/>
          <w:sz w:val="24"/>
          <w:u w:val="single"/>
        </w:rPr>
        <w:t>XX日历日（投标承诺时间）</w:t>
      </w:r>
      <w:r>
        <w:rPr>
          <w:rFonts w:hint="eastAsia" w:ascii="宋体"/>
          <w:sz w:val="24"/>
        </w:rPr>
        <w:t>内运送达指定地点，并安装调试到位，运输费用由乙方承担。</w:t>
      </w:r>
    </w:p>
    <w:p w14:paraId="5B6F5B62">
      <w:pPr>
        <w:spacing w:before="93" w:after="93" w:line="360" w:lineRule="auto"/>
        <w:ind w:firstLine="480" w:firstLineChars="200"/>
        <w:rPr>
          <w:rFonts w:hint="eastAsia" w:asciiTheme="minorEastAsia" w:hAnsiTheme="minorEastAsia" w:eastAsiaTheme="minorEastAsia"/>
          <w:b/>
          <w:sz w:val="24"/>
          <w:szCs w:val="21"/>
        </w:rPr>
      </w:pPr>
      <w:r>
        <w:rPr>
          <w:rFonts w:hint="eastAsia" w:ascii="宋体"/>
          <w:sz w:val="24"/>
        </w:rPr>
        <w:t>3、联系人及电话：</w:t>
      </w:r>
      <w:r>
        <w:rPr>
          <w:rFonts w:hint="eastAsia" w:asciiTheme="minorEastAsia" w:hAnsiTheme="minorEastAsia" w:eastAsiaTheme="minorEastAsia"/>
          <w:sz w:val="24"/>
          <w:szCs w:val="21"/>
        </w:rPr>
        <w:t xml:space="preserve">甲方 </w:t>
      </w:r>
      <w:r>
        <w:rPr>
          <w:rFonts w:hint="eastAsia" w:asciiTheme="minorEastAsia" w:hAnsiTheme="minorEastAsia" w:eastAsiaTheme="minorEastAsia"/>
          <w:b/>
          <w:sz w:val="24"/>
          <w:szCs w:val="21"/>
          <w:u w:val="single"/>
        </w:rPr>
        <w:t>姓名、联系电话</w:t>
      </w:r>
      <w:r>
        <w:rPr>
          <w:rFonts w:hint="eastAsia" w:asciiTheme="minorEastAsia" w:hAnsiTheme="minorEastAsia" w:eastAsiaTheme="minorEastAsia"/>
          <w:sz w:val="24"/>
          <w:szCs w:val="21"/>
        </w:rPr>
        <w:t>； 乙方</w:t>
      </w:r>
      <w:r>
        <w:rPr>
          <w:rFonts w:hint="eastAsia" w:asciiTheme="minorEastAsia" w:hAnsiTheme="minorEastAsia" w:eastAsiaTheme="minorEastAsia"/>
          <w:b/>
          <w:sz w:val="24"/>
          <w:szCs w:val="21"/>
          <w:u w:val="single"/>
        </w:rPr>
        <w:t>姓名、联系电话</w:t>
      </w:r>
      <w:r>
        <w:rPr>
          <w:rFonts w:hint="eastAsia" w:asciiTheme="minorEastAsia" w:hAnsiTheme="minorEastAsia" w:eastAsiaTheme="minorEastAsia"/>
          <w:b/>
          <w:sz w:val="24"/>
          <w:szCs w:val="21"/>
        </w:rPr>
        <w:t>。</w:t>
      </w:r>
    </w:p>
    <w:p w14:paraId="5A11A660">
      <w:pPr>
        <w:spacing w:before="93" w:after="93" w:line="360" w:lineRule="auto"/>
        <w:ind w:firstLine="480" w:firstLineChars="200"/>
        <w:rPr>
          <w:rFonts w:ascii="宋体"/>
          <w:sz w:val="24"/>
        </w:rPr>
      </w:pPr>
      <w:r>
        <w:rPr>
          <w:rFonts w:hint="eastAsia" w:ascii="宋体"/>
          <w:sz w:val="24"/>
        </w:rPr>
        <w:t>4、乙方应在货物运输前</w:t>
      </w:r>
      <w:r>
        <w:rPr>
          <w:rFonts w:hint="eastAsia" w:ascii="宋体"/>
          <w:b/>
          <w:sz w:val="24"/>
          <w:u w:val="single"/>
        </w:rPr>
        <w:t>XX</w:t>
      </w:r>
      <w:r>
        <w:rPr>
          <w:rFonts w:hint="eastAsia" w:ascii="宋体"/>
          <w:sz w:val="24"/>
        </w:rPr>
        <w:t>日内书面通知甲方预计到货日期，并保证货物的包装方式符合运输的要求。货物交付使用前发生的所有与货物相关的运输、安装及安全保障事项等均由乙方负责；货物包装应符合抗震、防潮、防冻、防锈以及长途运输等要求，对由于包装不当或防护措施不力而导致的货物损坏、损失、腐蚀等损失均由乙方承担；在货物备交付使用前所发生的所有与货物相关的经济纠纷及法律责任均与甲方无关。</w:t>
      </w:r>
    </w:p>
    <w:p w14:paraId="7228A0AA">
      <w:pPr>
        <w:spacing w:before="93" w:after="93" w:line="360" w:lineRule="auto"/>
        <w:ind w:firstLine="480" w:firstLineChars="200"/>
        <w:rPr>
          <w:sz w:val="28"/>
          <w:szCs w:val="28"/>
        </w:rPr>
      </w:pPr>
      <w:r>
        <w:rPr>
          <w:rFonts w:hint="eastAsia" w:ascii="宋体"/>
          <w:sz w:val="24"/>
        </w:rPr>
        <w:t>5、乙方应在交货时提供</w:t>
      </w:r>
      <w:r>
        <w:rPr>
          <w:rFonts w:hint="eastAsia" w:ascii="宋体"/>
          <w:sz w:val="24"/>
          <w:u w:val="single"/>
        </w:rPr>
        <w:t>货物交接单（附件3），</w:t>
      </w:r>
      <w:r>
        <w:rPr>
          <w:rFonts w:hint="eastAsia" w:ascii="宋体"/>
          <w:sz w:val="24"/>
        </w:rPr>
        <w:t>同时乙方需向甲方提供货物（设备）生产制造标准、使用说明书、检验合格证明及相关的随机备品备件、配件、工具、软件等资料，甲方核对后签字并办理接收手续。</w:t>
      </w:r>
    </w:p>
    <w:p w14:paraId="1BA89A43">
      <w:pPr>
        <w:spacing w:before="93" w:after="93" w:line="360" w:lineRule="auto"/>
        <w:ind w:firstLine="480" w:firstLineChars="200"/>
        <w:rPr>
          <w:rFonts w:ascii="宋体"/>
          <w:sz w:val="24"/>
        </w:rPr>
      </w:pPr>
      <w:r>
        <w:rPr>
          <w:rFonts w:hint="eastAsia" w:ascii="宋体"/>
          <w:sz w:val="24"/>
        </w:rPr>
        <w:t>6、合同货物（设备）验收前的货物毁损、灭失的风险由乙方承担，验收合格后的货物灭失的风险由甲方承担。如合同商品参加保险，保险赔偿款由风险承担者享有。</w:t>
      </w:r>
    </w:p>
    <w:p w14:paraId="2E32C399">
      <w:pPr>
        <w:spacing w:before="93" w:after="93" w:line="360" w:lineRule="auto"/>
        <w:ind w:firstLine="482" w:firstLineChars="200"/>
        <w:rPr>
          <w:rFonts w:hint="eastAsia" w:ascii="黑体" w:hAnsi="黑体" w:eastAsia="黑体" w:cs="宋体"/>
          <w:b/>
          <w:sz w:val="24"/>
        </w:rPr>
      </w:pPr>
      <w:r>
        <w:rPr>
          <w:rFonts w:hint="eastAsia" w:ascii="黑体" w:hAnsi="黑体" w:eastAsia="黑体" w:cs="宋体"/>
          <w:b/>
          <w:sz w:val="24"/>
        </w:rPr>
        <w:t>五、人员培训</w:t>
      </w:r>
    </w:p>
    <w:p w14:paraId="6C869474">
      <w:pPr>
        <w:spacing w:before="93" w:after="93" w:line="360" w:lineRule="auto"/>
        <w:ind w:firstLine="480" w:firstLineChars="200"/>
        <w:rPr>
          <w:rFonts w:hint="eastAsia" w:ascii="宋体" w:hAnsi="宋体" w:cs="宋体"/>
          <w:sz w:val="24"/>
        </w:rPr>
      </w:pPr>
      <w:r>
        <w:rPr>
          <w:rFonts w:hint="eastAsia" w:ascii="宋体" w:hAnsi="宋体" w:cs="宋体"/>
          <w:sz w:val="24"/>
        </w:rPr>
        <w:t>乙方应当安排技术人员免费为甲方人员进行技术培训和现场指导，使购买的货物（设备）符合国家规定运行标准和使用要求。</w:t>
      </w:r>
    </w:p>
    <w:p w14:paraId="01FA181C">
      <w:pPr>
        <w:spacing w:before="93" w:after="93" w:line="360" w:lineRule="auto"/>
        <w:ind w:firstLine="482" w:firstLineChars="200"/>
        <w:rPr>
          <w:rFonts w:hint="eastAsia" w:ascii="黑体" w:hAnsi="黑体" w:eastAsia="黑体" w:cs="宋体"/>
          <w:b/>
          <w:sz w:val="24"/>
        </w:rPr>
      </w:pPr>
      <w:r>
        <w:rPr>
          <w:rFonts w:hint="eastAsia" w:ascii="黑体" w:hAnsi="黑体" w:eastAsia="黑体" w:cs="宋体"/>
          <w:b/>
          <w:sz w:val="24"/>
        </w:rPr>
        <w:t>六、货物的验收</w:t>
      </w:r>
    </w:p>
    <w:p w14:paraId="727BA849">
      <w:pPr>
        <w:spacing w:before="93" w:after="93" w:line="360" w:lineRule="auto"/>
        <w:ind w:firstLine="480" w:firstLineChars="200"/>
        <w:rPr>
          <w:rFonts w:ascii="宋体"/>
          <w:sz w:val="24"/>
        </w:rPr>
      </w:pPr>
      <w:r>
        <w:rPr>
          <w:rFonts w:hint="eastAsia" w:ascii="宋体" w:hAnsi="宋体" w:cs="宋体"/>
          <w:sz w:val="24"/>
        </w:rPr>
        <w:t>1、根据货物特征，验收可分为两次。第一次</w:t>
      </w:r>
      <w:r>
        <w:rPr>
          <w:rFonts w:hint="eastAsia" w:ascii="宋体"/>
          <w:sz w:val="24"/>
        </w:rPr>
        <w:t>验收接受范围包括但不限于：（1）品牌型号规格、数量、外观；（2）出厂合格证；（3）货物组件及所附书面技术资料；（4）货物说明书及标注的功能、性能等参数指标。</w:t>
      </w:r>
    </w:p>
    <w:p w14:paraId="0CF3E89E">
      <w:pPr>
        <w:spacing w:before="93" w:after="93" w:line="360" w:lineRule="auto"/>
        <w:ind w:firstLine="480" w:firstLineChars="200"/>
        <w:rPr>
          <w:rFonts w:hint="eastAsia" w:ascii="宋体" w:hAnsi="宋体" w:cs="宋体"/>
          <w:sz w:val="24"/>
        </w:rPr>
      </w:pPr>
      <w:r>
        <w:rPr>
          <w:rFonts w:hint="eastAsia" w:ascii="宋体" w:hAnsi="宋体" w:cs="宋体"/>
          <w:sz w:val="24"/>
        </w:rPr>
        <w:t>2、货物（设备）使用单位应在货物（设备）交付后，根据初验结果以及安装、调试、培训等情况正常运行一段时间后向甲方提出货物（设备）验收申请。</w:t>
      </w:r>
    </w:p>
    <w:p w14:paraId="042FB5C4">
      <w:pPr>
        <w:spacing w:before="93" w:after="93" w:line="360" w:lineRule="auto"/>
        <w:ind w:firstLine="480" w:firstLineChars="200"/>
        <w:rPr>
          <w:rFonts w:ascii="宋体"/>
          <w:sz w:val="24"/>
        </w:rPr>
      </w:pPr>
      <w:r>
        <w:rPr>
          <w:rFonts w:hint="eastAsia" w:ascii="宋体"/>
          <w:sz w:val="24"/>
        </w:rPr>
        <w:t>3、根据验收申请，甲方组织相关人员进行正式验收（第二次验收），本项目由学校委托第三方验收公司验收，验收费用为中标金额的XX%。</w:t>
      </w:r>
    </w:p>
    <w:p w14:paraId="355CD4CE">
      <w:pPr>
        <w:spacing w:before="93" w:after="93" w:line="360" w:lineRule="auto"/>
        <w:ind w:firstLine="480" w:firstLineChars="200"/>
        <w:rPr>
          <w:rFonts w:ascii="宋体"/>
          <w:sz w:val="24"/>
        </w:rPr>
      </w:pPr>
      <w:r>
        <w:rPr>
          <w:rFonts w:hint="eastAsia" w:ascii="宋体"/>
          <w:sz w:val="24"/>
        </w:rPr>
        <w:t>4、经甲方书面确认全部货物通过验收，视为验收合格。</w:t>
      </w:r>
    </w:p>
    <w:p w14:paraId="455CA9F1">
      <w:pPr>
        <w:spacing w:before="93" w:after="93" w:line="360" w:lineRule="auto"/>
        <w:ind w:firstLine="480" w:firstLineChars="200"/>
        <w:rPr>
          <w:rFonts w:ascii="宋体"/>
          <w:sz w:val="24"/>
        </w:rPr>
      </w:pPr>
      <w:r>
        <w:rPr>
          <w:rFonts w:hint="eastAsia" w:ascii="宋体"/>
          <w:sz w:val="24"/>
        </w:rPr>
        <w:t>5、验收不合格的处理方式：</w:t>
      </w:r>
    </w:p>
    <w:p w14:paraId="0EF06ADB">
      <w:pPr>
        <w:spacing w:before="93" w:after="93" w:line="360" w:lineRule="auto"/>
        <w:ind w:firstLine="480" w:firstLineChars="200"/>
        <w:rPr>
          <w:rFonts w:ascii="宋体"/>
          <w:sz w:val="24"/>
        </w:rPr>
      </w:pPr>
      <w:r>
        <w:rPr>
          <w:rFonts w:hint="eastAsia" w:ascii="宋体"/>
          <w:sz w:val="24"/>
        </w:rPr>
        <w:t>（1）甲方对乙方提供货物的数量、规格型号、外观等存在与合同不符的异议，甲方有权要求补齐、更换、退货，乙方应在收到异议后2日内负责处理，由此产生的一切费用由乙方负责。乙方收到异议后未在规定时间内处理，造成交货逾期的，每延误一天，乙方应按照合同总金额的1‰向甲方支付违约金；乙方逾期15天不作处理或乙方处理结果仍不符合合同约定的，甲方有权解除合同，乙方按合同总金额的10%承担违约责任。</w:t>
      </w:r>
    </w:p>
    <w:p w14:paraId="3840010A">
      <w:pPr>
        <w:spacing w:before="93" w:after="93" w:line="360" w:lineRule="auto"/>
        <w:ind w:firstLine="480" w:firstLineChars="200"/>
        <w:rPr>
          <w:rFonts w:ascii="宋体"/>
          <w:sz w:val="24"/>
        </w:rPr>
      </w:pPr>
      <w:r>
        <w:rPr>
          <w:rFonts w:hint="eastAsia" w:ascii="宋体"/>
          <w:sz w:val="24"/>
        </w:rPr>
        <w:t>（2）甲方对货物质量存在异议的，乙方应在收到异议后3日内负责处理解决，所产生的一切费用由乙方负责。乙方收到异议后未在规定时间内处理，造成交货逾期的，每延误一天，乙方应按照合同总金额的1‰向甲方支付违约金；乙方逾期15天不作处理或乙方处理结果仍不符合合同约定的，甲方有权解除合同，乙方按合同总金额的10%承担违约责任。</w:t>
      </w:r>
    </w:p>
    <w:p w14:paraId="0A74C04B">
      <w:pPr>
        <w:spacing w:before="93" w:after="93" w:line="360" w:lineRule="auto"/>
        <w:ind w:firstLine="480" w:firstLineChars="200"/>
        <w:rPr>
          <w:rFonts w:ascii="宋体"/>
          <w:sz w:val="24"/>
        </w:rPr>
      </w:pPr>
      <w:r>
        <w:rPr>
          <w:rFonts w:hint="eastAsia" w:ascii="宋体"/>
          <w:sz w:val="24"/>
        </w:rPr>
        <w:t>（3）双方对质量问题存在争议的，双方可共同委托具有检验资格的机构进行检验。检验结果证明货物存在质量问题的，检验费用由乙方承担；不存在质量问题的，检验费用由甲方承担。乙方不同意检验或不委托检验的，视为甲方的质量异议成立，乙方应按合同总额的10%承担违约责任。</w:t>
      </w:r>
    </w:p>
    <w:p w14:paraId="3C01A0B0">
      <w:pPr>
        <w:spacing w:before="93" w:after="93" w:line="360" w:lineRule="auto"/>
        <w:ind w:firstLine="480" w:firstLineChars="200"/>
        <w:rPr>
          <w:rFonts w:ascii="宋体"/>
          <w:sz w:val="24"/>
        </w:rPr>
      </w:pPr>
      <w:r>
        <w:rPr>
          <w:rFonts w:hint="eastAsia" w:ascii="宋体"/>
          <w:sz w:val="24"/>
        </w:rPr>
        <w:t>(4)甲方严格按合同内容进行验收，乙方不得变更合同中的货物品牌、型号、规格等。如因特殊原因需要变更，则必须向甲方递交书面变更申请，并经同意后方可更换，乙方应承担因更换而支付的一切费用。未经甲方同意而进行变更，甲方有权不予验收，并视为违约行为，同时要求乙方按原合同执行。因更换而造成逾期交货，仍按逾期交货处理。</w:t>
      </w:r>
    </w:p>
    <w:p w14:paraId="257E568E">
      <w:pPr>
        <w:spacing w:before="93" w:after="93" w:line="360" w:lineRule="auto"/>
        <w:ind w:firstLine="482" w:firstLineChars="200"/>
        <w:rPr>
          <w:rFonts w:hint="eastAsia" w:ascii="黑体" w:hAnsi="黑体" w:eastAsia="黑体"/>
          <w:b/>
          <w:sz w:val="24"/>
        </w:rPr>
      </w:pPr>
      <w:r>
        <w:rPr>
          <w:rFonts w:hint="eastAsia" w:ascii="黑体" w:hAnsi="黑体" w:eastAsia="黑体" w:cs="宋体"/>
          <w:b/>
          <w:sz w:val="24"/>
        </w:rPr>
        <w:t>七、价款支付</w:t>
      </w:r>
    </w:p>
    <w:p w14:paraId="7ACB5E86">
      <w:pPr>
        <w:spacing w:before="93" w:after="93" w:line="360" w:lineRule="auto"/>
        <w:ind w:firstLine="480" w:firstLineChars="200"/>
        <w:rPr>
          <w:rFonts w:hint="eastAsia" w:ascii="宋体" w:hAnsi="宋体" w:cs="宋体"/>
          <w:sz w:val="24"/>
        </w:rPr>
      </w:pPr>
      <w:r>
        <w:rPr>
          <w:rFonts w:hint="eastAsia" w:ascii="宋体" w:hAnsi="宋体" w:cs="宋体"/>
          <w:sz w:val="24"/>
        </w:rPr>
        <w:t>1、本合同甲、乙双方之间的一切费用均以人民币结算及支付。</w:t>
      </w:r>
    </w:p>
    <w:p w14:paraId="66F62BD2">
      <w:pPr>
        <w:spacing w:before="93" w:after="93" w:line="360" w:lineRule="auto"/>
        <w:ind w:firstLine="480" w:firstLineChars="200"/>
        <w:rPr>
          <w:rFonts w:hint="eastAsia" w:ascii="宋体" w:hAnsi="宋体" w:cs="宋体"/>
          <w:sz w:val="24"/>
        </w:rPr>
      </w:pPr>
      <w:r>
        <w:rPr>
          <w:rFonts w:hint="eastAsia" w:ascii="宋体" w:hAnsi="宋体" w:cs="宋体"/>
          <w:sz w:val="24"/>
        </w:rPr>
        <w:t>2、货物（设备）验收合格后，</w:t>
      </w:r>
      <w:r>
        <w:rPr>
          <w:rFonts w:hint="eastAsia" w:ascii="宋体" w:hAnsi="宋体" w:cs="宋体"/>
          <w:sz w:val="24"/>
          <w:u w:val="single"/>
        </w:rPr>
        <w:t xml:space="preserve">        </w:t>
      </w:r>
      <w:r>
        <w:rPr>
          <w:rFonts w:hint="eastAsia" w:ascii="宋体" w:hAnsi="宋体" w:cs="宋体"/>
          <w:sz w:val="24"/>
        </w:rPr>
        <w:t>向乙方支付总合同金额的</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w:t>
      </w:r>
    </w:p>
    <w:p w14:paraId="0CFBFBEC">
      <w:pPr>
        <w:spacing w:before="93" w:after="93" w:line="360" w:lineRule="auto"/>
        <w:ind w:firstLine="480" w:firstLineChars="200"/>
        <w:rPr>
          <w:rFonts w:ascii="宋体"/>
          <w:sz w:val="24"/>
        </w:rPr>
      </w:pPr>
      <w:r>
        <w:rPr>
          <w:rFonts w:hint="eastAsia" w:ascii="宋体"/>
          <w:sz w:val="24"/>
        </w:rPr>
        <w:t>3、乙方需按付款金额开具符合国家规定的发票，甲方收到发票并通过真伪验证后按付款流程支付合同价款。</w:t>
      </w:r>
    </w:p>
    <w:p w14:paraId="39FC3E0A">
      <w:pPr>
        <w:spacing w:before="93" w:after="93" w:line="360" w:lineRule="auto"/>
        <w:ind w:firstLine="480"/>
        <w:rPr>
          <w:rFonts w:ascii="宋体"/>
          <w:sz w:val="24"/>
        </w:rPr>
      </w:pPr>
      <w:r>
        <w:rPr>
          <w:rFonts w:hint="eastAsia" w:ascii="宋体"/>
          <w:sz w:val="24"/>
        </w:rPr>
        <w:t>乙方向我校开具增值税专用发票的信息：</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6"/>
        <w:gridCol w:w="6260"/>
      </w:tblGrid>
      <w:tr w14:paraId="1F21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Borders>
              <w:top w:val="single" w:color="auto" w:sz="4" w:space="0"/>
              <w:left w:val="single" w:color="auto" w:sz="4" w:space="0"/>
              <w:bottom w:val="single" w:color="auto" w:sz="4" w:space="0"/>
              <w:right w:val="single" w:color="auto" w:sz="4" w:space="0"/>
            </w:tcBorders>
          </w:tcPr>
          <w:p w14:paraId="1CE4CD0B">
            <w:pPr>
              <w:spacing w:before="93" w:after="93" w:line="360" w:lineRule="auto"/>
              <w:ind w:firstLine="480" w:firstLineChars="200"/>
              <w:rPr>
                <w:rFonts w:hint="eastAsia" w:ascii="宋体" w:hAnsi="宋体" w:cs="宋体"/>
                <w:sz w:val="24"/>
              </w:rPr>
            </w:pPr>
            <w:r>
              <w:rPr>
                <w:rFonts w:hint="eastAsia" w:ascii="宋体" w:hAnsi="宋体" w:cs="宋体"/>
                <w:sz w:val="24"/>
              </w:rPr>
              <w:t>名    称</w:t>
            </w:r>
          </w:p>
        </w:tc>
        <w:tc>
          <w:tcPr>
            <w:tcW w:w="6429" w:type="dxa"/>
            <w:tcBorders>
              <w:top w:val="single" w:color="auto" w:sz="4" w:space="0"/>
              <w:left w:val="single" w:color="auto" w:sz="4" w:space="0"/>
              <w:bottom w:val="single" w:color="auto" w:sz="4" w:space="0"/>
              <w:right w:val="single" w:color="auto" w:sz="4" w:space="0"/>
            </w:tcBorders>
          </w:tcPr>
          <w:p w14:paraId="109AD672">
            <w:pPr>
              <w:spacing w:before="93" w:after="93" w:line="360" w:lineRule="auto"/>
              <w:ind w:firstLine="480" w:firstLineChars="200"/>
              <w:rPr>
                <w:rFonts w:hint="eastAsia" w:ascii="宋体" w:hAnsi="宋体" w:cs="宋体"/>
                <w:sz w:val="24"/>
              </w:rPr>
            </w:pPr>
            <w:r>
              <w:rPr>
                <w:rFonts w:hint="eastAsia" w:ascii="宋体" w:hAnsi="宋体" w:cs="宋体"/>
                <w:sz w:val="24"/>
              </w:rPr>
              <w:t>河南工程学院</w:t>
            </w:r>
          </w:p>
        </w:tc>
      </w:tr>
      <w:tr w14:paraId="3C55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Borders>
              <w:top w:val="single" w:color="auto" w:sz="4" w:space="0"/>
              <w:left w:val="single" w:color="auto" w:sz="4" w:space="0"/>
              <w:bottom w:val="single" w:color="auto" w:sz="4" w:space="0"/>
              <w:right w:val="single" w:color="auto" w:sz="4" w:space="0"/>
            </w:tcBorders>
          </w:tcPr>
          <w:p w14:paraId="66A20F15">
            <w:pPr>
              <w:spacing w:before="93" w:after="93" w:line="360" w:lineRule="auto"/>
              <w:rPr>
                <w:rFonts w:hint="eastAsia" w:ascii="宋体" w:hAnsi="宋体" w:cs="宋体"/>
                <w:sz w:val="24"/>
              </w:rPr>
            </w:pPr>
            <w:r>
              <w:rPr>
                <w:rFonts w:hint="eastAsia" w:ascii="宋体" w:hAnsi="宋体" w:cs="宋体"/>
                <w:sz w:val="24"/>
              </w:rPr>
              <w:t>税务登记证号码</w:t>
            </w:r>
          </w:p>
        </w:tc>
        <w:tc>
          <w:tcPr>
            <w:tcW w:w="6429" w:type="dxa"/>
            <w:tcBorders>
              <w:top w:val="single" w:color="auto" w:sz="4" w:space="0"/>
              <w:left w:val="single" w:color="auto" w:sz="4" w:space="0"/>
              <w:bottom w:val="single" w:color="auto" w:sz="4" w:space="0"/>
              <w:right w:val="single" w:color="auto" w:sz="4" w:space="0"/>
            </w:tcBorders>
          </w:tcPr>
          <w:p w14:paraId="72297AB5">
            <w:pPr>
              <w:spacing w:before="93" w:after="93" w:line="360" w:lineRule="auto"/>
              <w:ind w:firstLine="480" w:firstLineChars="200"/>
              <w:rPr>
                <w:rFonts w:hint="eastAsia" w:ascii="宋体" w:hAnsi="宋体" w:cs="宋体"/>
                <w:sz w:val="24"/>
              </w:rPr>
            </w:pPr>
            <w:r>
              <w:rPr>
                <w:rFonts w:hint="eastAsia" w:ascii="宋体" w:hAnsi="宋体" w:cs="宋体"/>
                <w:sz w:val="24"/>
              </w:rPr>
              <w:t>12410000415801096X</w:t>
            </w:r>
          </w:p>
        </w:tc>
      </w:tr>
      <w:tr w14:paraId="2555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Borders>
              <w:top w:val="single" w:color="auto" w:sz="4" w:space="0"/>
              <w:left w:val="single" w:color="auto" w:sz="4" w:space="0"/>
              <w:bottom w:val="single" w:color="auto" w:sz="4" w:space="0"/>
              <w:right w:val="single" w:color="auto" w:sz="4" w:space="0"/>
            </w:tcBorders>
          </w:tcPr>
          <w:p w14:paraId="33AB8511">
            <w:pPr>
              <w:spacing w:before="93" w:after="93" w:line="360" w:lineRule="auto"/>
              <w:ind w:firstLine="480" w:firstLineChars="200"/>
              <w:rPr>
                <w:rFonts w:hint="eastAsia" w:ascii="宋体" w:hAnsi="宋体" w:cs="宋体"/>
                <w:sz w:val="24"/>
              </w:rPr>
            </w:pPr>
            <w:r>
              <w:rPr>
                <w:rFonts w:hint="eastAsia" w:ascii="宋体" w:hAnsi="宋体" w:cs="宋体"/>
                <w:sz w:val="24"/>
              </w:rPr>
              <w:t>单位地址</w:t>
            </w:r>
          </w:p>
        </w:tc>
        <w:tc>
          <w:tcPr>
            <w:tcW w:w="6429" w:type="dxa"/>
            <w:tcBorders>
              <w:top w:val="single" w:color="auto" w:sz="4" w:space="0"/>
              <w:left w:val="single" w:color="auto" w:sz="4" w:space="0"/>
              <w:bottom w:val="single" w:color="auto" w:sz="4" w:space="0"/>
              <w:right w:val="single" w:color="auto" w:sz="4" w:space="0"/>
            </w:tcBorders>
          </w:tcPr>
          <w:p w14:paraId="561CAE3F">
            <w:pPr>
              <w:spacing w:before="93" w:after="93" w:line="360" w:lineRule="auto"/>
              <w:ind w:firstLine="480" w:firstLineChars="200"/>
              <w:rPr>
                <w:rFonts w:hint="eastAsia" w:ascii="宋体" w:hAnsi="宋体" w:cs="宋体"/>
                <w:sz w:val="24"/>
              </w:rPr>
            </w:pPr>
            <w:r>
              <w:rPr>
                <w:rFonts w:hint="eastAsia" w:ascii="宋体" w:hAnsi="宋体" w:cs="宋体"/>
                <w:sz w:val="24"/>
              </w:rPr>
              <w:t>河南省郑州市新郑龙湖祥和路1号河南工程学院</w:t>
            </w:r>
          </w:p>
        </w:tc>
      </w:tr>
      <w:tr w14:paraId="3665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Borders>
              <w:top w:val="single" w:color="auto" w:sz="4" w:space="0"/>
              <w:left w:val="single" w:color="auto" w:sz="4" w:space="0"/>
              <w:bottom w:val="single" w:color="auto" w:sz="4" w:space="0"/>
              <w:right w:val="single" w:color="auto" w:sz="4" w:space="0"/>
            </w:tcBorders>
          </w:tcPr>
          <w:p w14:paraId="5F4BCDCE">
            <w:pPr>
              <w:spacing w:before="93" w:after="93" w:line="360" w:lineRule="auto"/>
              <w:ind w:firstLine="480" w:firstLineChars="200"/>
              <w:rPr>
                <w:rFonts w:hint="eastAsia" w:ascii="宋体" w:hAnsi="宋体" w:cs="宋体"/>
                <w:sz w:val="24"/>
              </w:rPr>
            </w:pPr>
            <w:r>
              <w:rPr>
                <w:rFonts w:hint="eastAsia" w:ascii="宋体" w:hAnsi="宋体" w:cs="宋体"/>
                <w:sz w:val="24"/>
              </w:rPr>
              <w:t>电话号码</w:t>
            </w:r>
          </w:p>
        </w:tc>
        <w:tc>
          <w:tcPr>
            <w:tcW w:w="6429" w:type="dxa"/>
            <w:tcBorders>
              <w:top w:val="single" w:color="auto" w:sz="4" w:space="0"/>
              <w:left w:val="single" w:color="auto" w:sz="4" w:space="0"/>
              <w:bottom w:val="single" w:color="auto" w:sz="4" w:space="0"/>
              <w:right w:val="single" w:color="auto" w:sz="4" w:space="0"/>
            </w:tcBorders>
          </w:tcPr>
          <w:p w14:paraId="7A2346F4">
            <w:pPr>
              <w:spacing w:before="93" w:after="93" w:line="360" w:lineRule="auto"/>
              <w:ind w:firstLine="480" w:firstLineChars="200"/>
              <w:rPr>
                <w:rFonts w:hint="eastAsia" w:ascii="宋体" w:hAnsi="宋体" w:cs="宋体"/>
                <w:sz w:val="24"/>
              </w:rPr>
            </w:pPr>
            <w:r>
              <w:rPr>
                <w:rFonts w:hint="eastAsia" w:ascii="宋体" w:hAnsi="宋体" w:cs="宋体"/>
                <w:sz w:val="24"/>
              </w:rPr>
              <w:t>0371-62509972</w:t>
            </w:r>
          </w:p>
        </w:tc>
      </w:tr>
      <w:tr w14:paraId="7B28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Borders>
              <w:top w:val="single" w:color="auto" w:sz="4" w:space="0"/>
              <w:left w:val="single" w:color="auto" w:sz="4" w:space="0"/>
              <w:bottom w:val="single" w:color="auto" w:sz="4" w:space="0"/>
              <w:right w:val="single" w:color="auto" w:sz="4" w:space="0"/>
            </w:tcBorders>
          </w:tcPr>
          <w:p w14:paraId="7E53BFCD">
            <w:pPr>
              <w:spacing w:before="93" w:after="93" w:line="360" w:lineRule="auto"/>
              <w:ind w:firstLine="480" w:firstLineChars="200"/>
              <w:rPr>
                <w:rFonts w:hint="eastAsia" w:ascii="宋体" w:hAnsi="宋体" w:cs="宋体"/>
                <w:sz w:val="24"/>
              </w:rPr>
            </w:pPr>
            <w:r>
              <w:rPr>
                <w:rFonts w:hint="eastAsia" w:ascii="宋体" w:hAnsi="宋体" w:cs="宋体"/>
                <w:sz w:val="24"/>
              </w:rPr>
              <w:t>开户行</w:t>
            </w:r>
          </w:p>
        </w:tc>
        <w:tc>
          <w:tcPr>
            <w:tcW w:w="6429" w:type="dxa"/>
            <w:tcBorders>
              <w:top w:val="single" w:color="auto" w:sz="4" w:space="0"/>
              <w:left w:val="single" w:color="auto" w:sz="4" w:space="0"/>
              <w:bottom w:val="single" w:color="auto" w:sz="4" w:space="0"/>
              <w:right w:val="single" w:color="auto" w:sz="4" w:space="0"/>
            </w:tcBorders>
          </w:tcPr>
          <w:p w14:paraId="6DF2154E">
            <w:pPr>
              <w:spacing w:before="93" w:after="93" w:line="360" w:lineRule="auto"/>
              <w:ind w:firstLine="480" w:firstLineChars="200"/>
              <w:rPr>
                <w:rFonts w:hint="eastAsia" w:ascii="宋体" w:hAnsi="宋体" w:cs="宋体"/>
                <w:sz w:val="24"/>
              </w:rPr>
            </w:pPr>
            <w:r>
              <w:rPr>
                <w:rFonts w:hint="eastAsia" w:ascii="宋体" w:hAnsi="宋体" w:cs="宋体"/>
                <w:sz w:val="24"/>
              </w:rPr>
              <w:t>中国建设银行郑州陇海路支行</w:t>
            </w:r>
          </w:p>
        </w:tc>
      </w:tr>
      <w:tr w14:paraId="11B9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Borders>
              <w:top w:val="single" w:color="auto" w:sz="4" w:space="0"/>
              <w:left w:val="single" w:color="auto" w:sz="4" w:space="0"/>
              <w:bottom w:val="single" w:color="auto" w:sz="4" w:space="0"/>
              <w:right w:val="single" w:color="auto" w:sz="4" w:space="0"/>
            </w:tcBorders>
          </w:tcPr>
          <w:p w14:paraId="511297D1">
            <w:pPr>
              <w:spacing w:before="93" w:after="93" w:line="360" w:lineRule="auto"/>
              <w:ind w:firstLine="480" w:firstLineChars="200"/>
              <w:rPr>
                <w:rFonts w:hint="eastAsia" w:ascii="宋体" w:hAnsi="宋体" w:cs="宋体"/>
                <w:sz w:val="24"/>
              </w:rPr>
            </w:pPr>
            <w:r>
              <w:rPr>
                <w:rFonts w:hint="eastAsia" w:ascii="宋体" w:hAnsi="宋体" w:cs="宋体"/>
                <w:sz w:val="24"/>
              </w:rPr>
              <w:t>账    号</w:t>
            </w:r>
          </w:p>
        </w:tc>
        <w:tc>
          <w:tcPr>
            <w:tcW w:w="6429" w:type="dxa"/>
            <w:tcBorders>
              <w:top w:val="single" w:color="auto" w:sz="4" w:space="0"/>
              <w:left w:val="single" w:color="auto" w:sz="4" w:space="0"/>
              <w:bottom w:val="single" w:color="auto" w:sz="4" w:space="0"/>
              <w:right w:val="single" w:color="auto" w:sz="4" w:space="0"/>
            </w:tcBorders>
          </w:tcPr>
          <w:p w14:paraId="51570078">
            <w:pPr>
              <w:spacing w:before="93" w:after="93" w:line="360" w:lineRule="auto"/>
              <w:ind w:firstLine="480" w:firstLineChars="200"/>
              <w:rPr>
                <w:rFonts w:hint="eastAsia" w:ascii="宋体" w:hAnsi="宋体" w:cs="宋体"/>
                <w:sz w:val="24"/>
              </w:rPr>
            </w:pPr>
            <w:r>
              <w:rPr>
                <w:rFonts w:hint="eastAsia" w:ascii="宋体" w:hAnsi="宋体" w:cs="宋体"/>
                <w:sz w:val="24"/>
              </w:rPr>
              <w:t>4100 15300 10059 000016</w:t>
            </w:r>
          </w:p>
        </w:tc>
      </w:tr>
    </w:tbl>
    <w:p w14:paraId="2448D1F3">
      <w:pPr>
        <w:spacing w:before="93" w:after="93" w:line="360" w:lineRule="auto"/>
        <w:ind w:firstLine="482" w:firstLineChars="200"/>
        <w:rPr>
          <w:rFonts w:hint="eastAsia" w:ascii="黑体" w:hAnsi="黑体" w:eastAsia="黑体" w:cs="宋体"/>
          <w:b/>
          <w:sz w:val="24"/>
        </w:rPr>
      </w:pPr>
      <w:r>
        <w:rPr>
          <w:rFonts w:hint="eastAsia" w:ascii="黑体" w:hAnsi="黑体" w:eastAsia="黑体" w:cs="宋体"/>
          <w:b/>
          <w:sz w:val="24"/>
        </w:rPr>
        <w:t>八、售后服务及质量保证</w:t>
      </w:r>
    </w:p>
    <w:p w14:paraId="18AB2C66">
      <w:pPr>
        <w:spacing w:before="93" w:after="93" w:line="360" w:lineRule="auto"/>
        <w:ind w:firstLine="480" w:firstLineChars="200"/>
        <w:rPr>
          <w:rFonts w:ascii="宋体"/>
          <w:sz w:val="24"/>
        </w:rPr>
      </w:pPr>
      <w:r>
        <w:rPr>
          <w:rFonts w:hint="eastAsia" w:ascii="宋体"/>
          <w:sz w:val="24"/>
        </w:rPr>
        <w:t>1、本合同货物的质保期为</w:t>
      </w:r>
      <w:r>
        <w:rPr>
          <w:rFonts w:hint="eastAsia" w:ascii="宋体" w:hAnsi="宋体" w:cs="宋体"/>
          <w:b/>
          <w:sz w:val="24"/>
          <w:u w:val="single"/>
        </w:rPr>
        <w:t>XX</w:t>
      </w:r>
      <w:r>
        <w:rPr>
          <w:rFonts w:hint="eastAsia" w:ascii="宋体"/>
          <w:sz w:val="24"/>
        </w:rPr>
        <w:t>年，自甲方确认验收合格之日起算。如某些产品的免费保修期限有不一致的，需在附件1中说明。</w:t>
      </w:r>
    </w:p>
    <w:p w14:paraId="79D305B7">
      <w:pPr>
        <w:spacing w:before="93" w:after="93" w:line="360" w:lineRule="auto"/>
        <w:ind w:firstLine="480" w:firstLineChars="200"/>
        <w:rPr>
          <w:rFonts w:ascii="宋体"/>
          <w:sz w:val="24"/>
        </w:rPr>
      </w:pPr>
      <w:r>
        <w:rPr>
          <w:rFonts w:hint="eastAsia" w:ascii="宋体"/>
          <w:sz w:val="24"/>
        </w:rPr>
        <w:t>2、在质保期内，因产品质量造成的问题，乙方免费提供配件并现场维修，且所提供的任何零配件必须是其原设备厂家生产的或经其认可的零配件。产品存在质量问题，甲方有权要求乙方换货。</w:t>
      </w:r>
    </w:p>
    <w:p w14:paraId="2F8F3451">
      <w:pPr>
        <w:spacing w:before="93" w:after="93" w:line="360" w:lineRule="auto"/>
        <w:ind w:firstLine="480" w:firstLineChars="200"/>
        <w:rPr>
          <w:rFonts w:hint="eastAsia" w:ascii="宋体" w:hAnsi="宋体" w:cs="宋体"/>
          <w:sz w:val="24"/>
        </w:rPr>
      </w:pPr>
      <w:r>
        <w:rPr>
          <w:rFonts w:hint="eastAsia" w:ascii="宋体" w:hAnsi="宋体" w:cs="宋体"/>
          <w:sz w:val="24"/>
        </w:rPr>
        <w:t>3、乙方承诺凡设备出现故障，自接到用户口头或书面报修通知时起算，负责在</w:t>
      </w:r>
      <w:r>
        <w:rPr>
          <w:rFonts w:hint="eastAsia" w:ascii="宋体" w:hAnsi="宋体" w:cs="宋体"/>
          <w:b/>
          <w:sz w:val="24"/>
          <w:u w:val="single"/>
        </w:rPr>
        <w:t>XX</w:t>
      </w:r>
      <w:r>
        <w:rPr>
          <w:rFonts w:hint="eastAsia" w:ascii="宋体" w:hAnsi="宋体" w:cs="宋体"/>
          <w:sz w:val="24"/>
        </w:rPr>
        <w:t>小时内（市内）、</w:t>
      </w:r>
      <w:r>
        <w:rPr>
          <w:rFonts w:hint="eastAsia" w:ascii="宋体" w:hAnsi="宋体" w:cs="宋体"/>
          <w:b/>
          <w:sz w:val="24"/>
          <w:u w:val="single"/>
        </w:rPr>
        <w:t>XX</w:t>
      </w:r>
      <w:r>
        <w:rPr>
          <w:rFonts w:hint="eastAsia" w:ascii="宋体" w:hAnsi="宋体" w:cs="宋体"/>
          <w:sz w:val="24"/>
        </w:rPr>
        <w:t>小时内（市外）派相关技术人员到现场查找和排除故障，免费修理、更换、补齐有缺陷的货物或部件。</w:t>
      </w:r>
    </w:p>
    <w:p w14:paraId="23D6E490">
      <w:pPr>
        <w:spacing w:before="93" w:after="93" w:line="360" w:lineRule="auto"/>
        <w:ind w:firstLine="480" w:firstLineChars="200"/>
        <w:rPr>
          <w:rFonts w:hint="eastAsia" w:ascii="宋体" w:hAnsi="宋体" w:cs="宋体"/>
          <w:b/>
          <w:sz w:val="24"/>
          <w:u w:val="single"/>
        </w:rPr>
      </w:pPr>
      <w:r>
        <w:rPr>
          <w:rFonts w:hint="eastAsia" w:ascii="宋体"/>
          <w:sz w:val="24"/>
        </w:rPr>
        <w:t>售后服务联系电话：</w:t>
      </w:r>
      <w:r>
        <w:rPr>
          <w:rFonts w:hint="eastAsia" w:ascii="宋体" w:hAnsi="宋体" w:cs="宋体"/>
          <w:b/>
          <w:sz w:val="24"/>
          <w:u w:val="single"/>
        </w:rPr>
        <w:t>XX</w:t>
      </w:r>
      <w:r>
        <w:rPr>
          <w:rFonts w:hint="eastAsia" w:ascii="宋体"/>
          <w:sz w:val="24"/>
        </w:rPr>
        <w:t xml:space="preserve"> 联系人：</w:t>
      </w:r>
      <w:r>
        <w:rPr>
          <w:rFonts w:hint="eastAsia" w:ascii="宋体" w:hAnsi="宋体" w:cs="宋体"/>
          <w:b/>
          <w:sz w:val="24"/>
          <w:u w:val="single"/>
        </w:rPr>
        <w:t>XX</w:t>
      </w:r>
    </w:p>
    <w:p w14:paraId="060B39B0">
      <w:pPr>
        <w:spacing w:before="93" w:after="93" w:line="360" w:lineRule="auto"/>
        <w:ind w:firstLine="480" w:firstLineChars="200"/>
        <w:rPr>
          <w:rFonts w:hint="eastAsia" w:ascii="宋体" w:hAnsi="宋体" w:cs="宋体"/>
          <w:sz w:val="24"/>
        </w:rPr>
      </w:pPr>
      <w:r>
        <w:rPr>
          <w:rFonts w:hint="eastAsia" w:ascii="宋体"/>
          <w:sz w:val="24"/>
        </w:rPr>
        <w:t>4、</w:t>
      </w:r>
      <w:r>
        <w:rPr>
          <w:rFonts w:hint="eastAsia" w:ascii="宋体" w:hAnsi="宋体" w:cs="宋体"/>
          <w:sz w:val="24"/>
        </w:rPr>
        <w:t>本合同项下货物质保期依检修期期限而延长。</w:t>
      </w:r>
    </w:p>
    <w:p w14:paraId="77B0D273">
      <w:pPr>
        <w:spacing w:before="93" w:after="93" w:line="360" w:lineRule="auto"/>
        <w:ind w:firstLine="480" w:firstLineChars="200"/>
        <w:rPr>
          <w:rFonts w:ascii="宋体"/>
          <w:sz w:val="24"/>
        </w:rPr>
      </w:pPr>
      <w:r>
        <w:rPr>
          <w:rFonts w:hint="eastAsia" w:ascii="宋体"/>
          <w:sz w:val="24"/>
        </w:rPr>
        <w:t>5、质保期届满后，如甲方需要乙方继续提供维护服务，由甲乙双方另行协商。</w:t>
      </w:r>
    </w:p>
    <w:p w14:paraId="55868AD9">
      <w:pPr>
        <w:spacing w:before="93" w:after="93" w:line="360" w:lineRule="auto"/>
        <w:ind w:firstLine="482" w:firstLineChars="200"/>
        <w:rPr>
          <w:rFonts w:hint="eastAsia" w:ascii="黑体" w:hAnsi="黑体" w:eastAsia="黑体" w:cs="宋体"/>
          <w:b/>
          <w:sz w:val="24"/>
        </w:rPr>
      </w:pPr>
      <w:r>
        <w:rPr>
          <w:rFonts w:hint="eastAsia" w:ascii="黑体" w:hAnsi="黑体" w:eastAsia="黑体" w:cs="宋体"/>
          <w:b/>
          <w:sz w:val="24"/>
        </w:rPr>
        <w:t>九、违约责任</w:t>
      </w:r>
    </w:p>
    <w:p w14:paraId="25899774">
      <w:pPr>
        <w:spacing w:before="93" w:after="93" w:line="360" w:lineRule="auto"/>
        <w:ind w:firstLine="480" w:firstLineChars="200"/>
        <w:rPr>
          <w:rFonts w:hint="eastAsia" w:ascii="宋体" w:hAnsi="宋体" w:cs="宋体"/>
          <w:sz w:val="24"/>
        </w:rPr>
      </w:pPr>
      <w:r>
        <w:rPr>
          <w:rFonts w:hint="eastAsia" w:ascii="宋体" w:hAnsi="宋体" w:cs="宋体"/>
          <w:sz w:val="24"/>
        </w:rPr>
        <w:t>1、乙方未按合同约定交付货物及安装调试的，每延迟1日，乙方应当按本合同总金额的1‰向甲方支付违约金；乙方逾期15天交货，甲方有权单方解除与乙方的合同，要求乙方支付合同金额10%的违约金。同时，乙方应赔偿由于逾期供货给甲方造成的全部损失；如违约金不足以赔偿甲方损失的，乙方应当赔偿全部损失。</w:t>
      </w:r>
    </w:p>
    <w:p w14:paraId="2A83F0D8">
      <w:pPr>
        <w:spacing w:before="93" w:after="93" w:line="360" w:lineRule="auto"/>
        <w:ind w:firstLine="480" w:firstLineChars="200"/>
        <w:rPr>
          <w:rFonts w:hint="eastAsia" w:ascii="宋体" w:hAnsi="宋体" w:cs="宋体"/>
          <w:sz w:val="24"/>
        </w:rPr>
      </w:pPr>
      <w:r>
        <w:rPr>
          <w:rFonts w:hint="eastAsia" w:ascii="宋体" w:hAnsi="宋体" w:cs="宋体"/>
          <w:sz w:val="24"/>
        </w:rPr>
        <w:t>2、乙方所提供的设备品种、型号、规格、质量不符合国家规定及本合同规定标准的，甲方有权拒收设备，并有权单方解除合同，乙方应向甲方支付设备款总值30%的违约金。</w:t>
      </w:r>
    </w:p>
    <w:p w14:paraId="22BB4EAF">
      <w:pPr>
        <w:spacing w:before="93" w:after="93" w:line="360" w:lineRule="auto"/>
        <w:ind w:firstLine="480" w:firstLineChars="200"/>
        <w:rPr>
          <w:rFonts w:hint="eastAsia" w:ascii="宋体" w:hAnsi="宋体" w:cs="宋体"/>
          <w:sz w:val="24"/>
        </w:rPr>
      </w:pPr>
      <w:r>
        <w:rPr>
          <w:rFonts w:hint="eastAsia" w:ascii="宋体" w:hAnsi="宋体" w:cs="宋体"/>
          <w:sz w:val="24"/>
        </w:rPr>
        <w:t>如甲方不解除合同的，除乙方按前述约定支付违约金外，乙方应在本合同约定的期限内换货、补货，超出本合同第三条约定期限的，乙方应按第八条第一款的约定承担违约责任，换货、补货的费用由乙方承担。</w:t>
      </w:r>
    </w:p>
    <w:p w14:paraId="06C65C9B">
      <w:pPr>
        <w:spacing w:before="93" w:after="93" w:line="360" w:lineRule="auto"/>
        <w:ind w:firstLine="480" w:firstLineChars="200"/>
        <w:rPr>
          <w:rFonts w:hint="eastAsia" w:ascii="宋体" w:hAnsi="宋体" w:cs="宋体"/>
          <w:sz w:val="24"/>
        </w:rPr>
      </w:pPr>
      <w:r>
        <w:rPr>
          <w:rFonts w:hint="eastAsia" w:ascii="宋体" w:hAnsi="宋体" w:cs="宋体"/>
          <w:sz w:val="24"/>
        </w:rPr>
        <w:t>如根据合同标的和履行的情况不具备更换条件的，乙方应向甲方支付不超过设备（货物）合同款总值30%的违约金，并按二种商品之间差价的二倍金额赔偿甲方的损失。</w:t>
      </w:r>
    </w:p>
    <w:p w14:paraId="02DB4F4C">
      <w:pPr>
        <w:spacing w:before="93" w:after="93" w:line="360" w:lineRule="auto"/>
        <w:ind w:firstLine="480" w:firstLineChars="200"/>
        <w:rPr>
          <w:rFonts w:hint="eastAsia" w:ascii="宋体" w:hAnsi="宋体" w:cs="宋体"/>
          <w:sz w:val="24"/>
        </w:rPr>
      </w:pPr>
      <w:r>
        <w:rPr>
          <w:rFonts w:hint="eastAsia" w:ascii="宋体" w:hAnsi="宋体" w:cs="宋体"/>
          <w:sz w:val="24"/>
        </w:rPr>
        <w:t>3、乙方提供的货物（设备）由于在装卸、运输或包装造成的产品破损，乙方应负责补足合格产品数量并承担相应费用。</w:t>
      </w:r>
    </w:p>
    <w:p w14:paraId="327DD7CC">
      <w:pPr>
        <w:spacing w:before="93" w:after="93" w:line="360" w:lineRule="auto"/>
        <w:ind w:firstLine="480" w:firstLineChars="200"/>
        <w:rPr>
          <w:rFonts w:hint="eastAsia" w:ascii="宋体" w:hAnsi="宋体" w:cs="宋体"/>
          <w:sz w:val="24"/>
        </w:rPr>
      </w:pPr>
      <w:r>
        <w:rPr>
          <w:rFonts w:hint="eastAsia" w:ascii="宋体" w:hAnsi="宋体" w:cs="宋体"/>
          <w:sz w:val="24"/>
        </w:rPr>
        <w:t>4、乙方应对提供的货物（设备）在使用过程中给甲方或任何第三方造成的人身伤害或财产损失应当承担全部责任</w:t>
      </w:r>
      <w:bookmarkStart w:id="522" w:name="_Hlt503692969"/>
      <w:bookmarkEnd w:id="522"/>
      <w:bookmarkStart w:id="523" w:name="_Hlt503692967"/>
      <w:bookmarkEnd w:id="523"/>
      <w:r>
        <w:rPr>
          <w:rFonts w:hint="eastAsia" w:ascii="宋体" w:hAnsi="宋体" w:cs="宋体"/>
          <w:sz w:val="24"/>
        </w:rPr>
        <w:t>。</w:t>
      </w:r>
    </w:p>
    <w:p w14:paraId="20CC8801">
      <w:pPr>
        <w:spacing w:before="93" w:after="93" w:line="360" w:lineRule="auto"/>
        <w:ind w:firstLine="480" w:firstLineChars="200"/>
        <w:rPr>
          <w:rFonts w:ascii="宋体"/>
          <w:sz w:val="24"/>
        </w:rPr>
      </w:pPr>
      <w:r>
        <w:rPr>
          <w:rFonts w:hint="eastAsia" w:ascii="宋体"/>
          <w:sz w:val="24"/>
        </w:rPr>
        <w:t>5、如乙方违反售后服务约定未及时履行保修义务的，每发生一次，乙方应向甲方支付违约金500元。甲方因乙方违约而委托第三方进行维修所产生的相应维修费用，乙方无条件同意并承担由此产生的所有费用和责任。</w:t>
      </w:r>
    </w:p>
    <w:p w14:paraId="618A3F24">
      <w:pPr>
        <w:spacing w:before="93" w:after="93" w:line="360" w:lineRule="auto"/>
        <w:ind w:firstLine="480" w:firstLineChars="200"/>
        <w:rPr>
          <w:rFonts w:hint="eastAsia" w:ascii="宋体" w:hAnsi="宋体" w:cs="宋体"/>
          <w:sz w:val="24"/>
        </w:rPr>
      </w:pPr>
      <w:r>
        <w:rPr>
          <w:rFonts w:hint="eastAsia" w:ascii="宋体" w:hAnsi="宋体" w:cs="宋体"/>
          <w:sz w:val="24"/>
        </w:rPr>
        <w:t>6、合同签订后，甲方发现乙方投标时提供的投标文件、相关材料等证明文件不真实的，甲方有权解除合同，并按合同总金额的30%追究乙方违约责任。如因此造成甲方损失的，乙方应承担赔偿责任。</w:t>
      </w:r>
    </w:p>
    <w:p w14:paraId="0FA52B70">
      <w:pPr>
        <w:spacing w:before="93" w:after="93" w:line="360" w:lineRule="auto"/>
        <w:ind w:firstLine="480" w:firstLineChars="200"/>
        <w:rPr>
          <w:rFonts w:hint="eastAsia" w:ascii="宋体" w:hAnsi="宋体" w:cs="宋体"/>
          <w:sz w:val="24"/>
        </w:rPr>
      </w:pPr>
      <w:r>
        <w:rPr>
          <w:rFonts w:hint="eastAsia" w:ascii="宋体" w:hAnsi="宋体" w:cs="宋体"/>
          <w:sz w:val="24"/>
        </w:rPr>
        <w:t>7、甲方有权将根据违约严重程度将乙方列入甲方的不良诚信记录名单，并向政府有关部门报送不良诚信记录。</w:t>
      </w:r>
    </w:p>
    <w:p w14:paraId="4E80159E">
      <w:pPr>
        <w:spacing w:before="93" w:after="93" w:line="360" w:lineRule="auto"/>
        <w:ind w:firstLine="482" w:firstLineChars="200"/>
        <w:rPr>
          <w:rFonts w:hint="eastAsia" w:ascii="黑体" w:hAnsi="黑体" w:eastAsia="黑体"/>
          <w:b/>
          <w:bCs/>
          <w:sz w:val="24"/>
          <w:lang w:val="zh-CN"/>
        </w:rPr>
      </w:pPr>
      <w:r>
        <w:rPr>
          <w:rFonts w:hint="eastAsia" w:ascii="黑体" w:hAnsi="黑体" w:eastAsia="黑体"/>
          <w:b/>
          <w:bCs/>
          <w:sz w:val="24"/>
        </w:rPr>
        <w:t>十、其他约定</w:t>
      </w:r>
    </w:p>
    <w:p w14:paraId="22CA3580">
      <w:pPr>
        <w:spacing w:before="93" w:after="93" w:line="360" w:lineRule="auto"/>
        <w:ind w:firstLine="480" w:firstLineChars="200"/>
        <w:rPr>
          <w:rFonts w:hint="eastAsia" w:ascii="宋体" w:hAnsi="宋体" w:cs="宋体"/>
          <w:sz w:val="24"/>
        </w:rPr>
      </w:pPr>
      <w:r>
        <w:rPr>
          <w:rFonts w:hint="eastAsia" w:ascii="宋体" w:hAnsi="宋体" w:cs="宋体"/>
          <w:sz w:val="24"/>
        </w:rPr>
        <w:t>1、采购文件及其修改、投标文件及其修改、澄清以及本合同书的附件均为本合同的组成部分。其效力顺序为：首先，本合同书及其附件，其次，采购文件及其修改，再次，投标文件及其修改、澄清。</w:t>
      </w:r>
    </w:p>
    <w:p w14:paraId="427346F1">
      <w:pPr>
        <w:spacing w:before="93" w:after="93" w:line="360" w:lineRule="auto"/>
        <w:ind w:firstLine="480" w:firstLineChars="200"/>
        <w:rPr>
          <w:rFonts w:ascii="宋体"/>
          <w:bCs/>
          <w:sz w:val="24"/>
        </w:rPr>
      </w:pPr>
      <w:r>
        <w:rPr>
          <w:rFonts w:hint="eastAsia" w:ascii="宋体"/>
          <w:bCs/>
          <w:sz w:val="24"/>
        </w:rPr>
        <w:t>2、甲乙双方因本合同引起的法律争议，由双方协商解决，也可由有关部门调解；协商或调解不成的，由甲方所在地人民法院管辖该纠纷。</w:t>
      </w:r>
    </w:p>
    <w:p w14:paraId="5B75646A">
      <w:pPr>
        <w:spacing w:before="93" w:after="93" w:line="360" w:lineRule="auto"/>
        <w:ind w:firstLine="480" w:firstLineChars="200"/>
        <w:rPr>
          <w:rFonts w:ascii="宋体"/>
          <w:bCs/>
          <w:sz w:val="24"/>
        </w:rPr>
      </w:pPr>
      <w:r>
        <w:rPr>
          <w:rFonts w:hint="eastAsia" w:ascii="宋体" w:hAnsi="宋体" w:cs="宋体"/>
          <w:sz w:val="24"/>
        </w:rPr>
        <w:t>3、</w:t>
      </w:r>
      <w:r>
        <w:rPr>
          <w:rFonts w:hint="eastAsia" w:ascii="宋体"/>
          <w:bCs/>
          <w:sz w:val="24"/>
        </w:rPr>
        <w:t>在不侵害乙方正当权益和商业秘密情况下，乙方应配合甲方纪检监察部门调查。若乙方拒绝配合，甲方有权采取中止合同或取消乙方参与甲方学校项目的资格。</w:t>
      </w:r>
    </w:p>
    <w:p w14:paraId="419A20AE">
      <w:pPr>
        <w:spacing w:before="93" w:after="93" w:line="360" w:lineRule="auto"/>
        <w:ind w:firstLine="480" w:firstLineChars="200"/>
        <w:rPr>
          <w:rFonts w:ascii="宋体"/>
          <w:bCs/>
          <w:sz w:val="24"/>
        </w:rPr>
      </w:pPr>
      <w:r>
        <w:rPr>
          <w:rFonts w:hint="eastAsia" w:ascii="宋体"/>
          <w:bCs/>
          <w:sz w:val="24"/>
        </w:rPr>
        <w:t>4、本合同自合同双方盖章之日起生效。</w:t>
      </w:r>
    </w:p>
    <w:p w14:paraId="50E49BCF">
      <w:pPr>
        <w:spacing w:before="93" w:after="93" w:line="360" w:lineRule="auto"/>
        <w:ind w:firstLine="480" w:firstLineChars="200"/>
        <w:rPr>
          <w:rFonts w:ascii="宋体"/>
          <w:bCs/>
          <w:sz w:val="24"/>
        </w:rPr>
      </w:pPr>
      <w:r>
        <w:rPr>
          <w:rFonts w:hint="eastAsia" w:ascii="宋体"/>
          <w:bCs/>
          <w:sz w:val="24"/>
        </w:rPr>
        <w:t>5、本合同正本一式份，甲方份、乙方份，均具有同等法律效力。</w:t>
      </w:r>
    </w:p>
    <w:p w14:paraId="6D3A43EA">
      <w:pPr>
        <w:spacing w:before="93" w:after="93" w:line="360" w:lineRule="auto"/>
        <w:ind w:firstLine="480" w:firstLineChars="200"/>
        <w:rPr>
          <w:rFonts w:ascii="宋体"/>
          <w:bCs/>
          <w:sz w:val="24"/>
        </w:rPr>
      </w:pPr>
      <w:r>
        <w:rPr>
          <w:rFonts w:hint="eastAsia" w:ascii="宋体"/>
          <w:bCs/>
          <w:sz w:val="24"/>
        </w:rPr>
        <w:t>6、本合同未尽事宜，可另行签订书面补充合同约定。</w:t>
      </w:r>
    </w:p>
    <w:p w14:paraId="6F4C618A">
      <w:pPr>
        <w:pStyle w:val="3"/>
      </w:pPr>
    </w:p>
    <w:tbl>
      <w:tblPr>
        <w:tblStyle w:val="31"/>
        <w:tblW w:w="99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96"/>
        <w:gridCol w:w="5063"/>
      </w:tblGrid>
      <w:tr w14:paraId="579F4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4896" w:type="dxa"/>
            <w:vAlign w:val="center"/>
          </w:tcPr>
          <w:p w14:paraId="6046DCF2">
            <w:pPr>
              <w:spacing w:before="93" w:after="93" w:line="360" w:lineRule="exact"/>
              <w:rPr>
                <w:rFonts w:ascii="宋体"/>
                <w:kern w:val="0"/>
                <w:sz w:val="24"/>
              </w:rPr>
            </w:pPr>
            <w:r>
              <w:rPr>
                <w:rFonts w:hint="eastAsia" w:ascii="宋体" w:hAnsi="宋体" w:cs="宋体"/>
                <w:kern w:val="0"/>
                <w:sz w:val="24"/>
              </w:rPr>
              <w:t>甲方：河南工程学院（盖章）</w:t>
            </w:r>
          </w:p>
        </w:tc>
        <w:tc>
          <w:tcPr>
            <w:tcW w:w="5063" w:type="dxa"/>
            <w:vAlign w:val="center"/>
          </w:tcPr>
          <w:p w14:paraId="19972CD2">
            <w:pPr>
              <w:spacing w:before="93" w:after="93" w:line="360" w:lineRule="exact"/>
              <w:rPr>
                <w:rFonts w:ascii="宋体"/>
                <w:kern w:val="0"/>
                <w:sz w:val="24"/>
              </w:rPr>
            </w:pPr>
            <w:r>
              <w:rPr>
                <w:rFonts w:hint="eastAsia" w:ascii="宋体" w:hAnsi="宋体" w:cs="宋体"/>
                <w:kern w:val="0"/>
                <w:sz w:val="24"/>
              </w:rPr>
              <w:t>乙方：</w:t>
            </w:r>
            <w:r>
              <w:rPr>
                <w:rFonts w:hint="eastAsia" w:ascii="宋体" w:hAnsi="宋体" w:cs="宋体"/>
                <w:b/>
                <w:kern w:val="0"/>
                <w:sz w:val="24"/>
              </w:rPr>
              <w:t>XX</w:t>
            </w:r>
            <w:r>
              <w:rPr>
                <w:rFonts w:hint="eastAsia" w:ascii="宋体" w:hAnsi="宋体" w:cs="宋体"/>
                <w:kern w:val="0"/>
                <w:sz w:val="24"/>
              </w:rPr>
              <w:t>公司（盖章）</w:t>
            </w:r>
          </w:p>
        </w:tc>
      </w:tr>
      <w:tr w14:paraId="1839A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4896" w:type="dxa"/>
            <w:vAlign w:val="center"/>
          </w:tcPr>
          <w:p w14:paraId="1457473E">
            <w:pPr>
              <w:spacing w:before="93" w:after="93" w:line="360" w:lineRule="exact"/>
              <w:rPr>
                <w:rFonts w:ascii="宋体"/>
                <w:kern w:val="0"/>
                <w:sz w:val="24"/>
              </w:rPr>
            </w:pPr>
            <w:r>
              <w:rPr>
                <w:rFonts w:hint="eastAsia" w:ascii="宋体" w:hAnsi="宋体" w:cs="宋体"/>
                <w:kern w:val="0"/>
                <w:sz w:val="24"/>
              </w:rPr>
              <w:t>法定代表人或</w:t>
            </w:r>
            <w:r>
              <w:rPr>
                <w:rFonts w:hint="eastAsia" w:ascii="宋体"/>
                <w:kern w:val="0"/>
                <w:sz w:val="24"/>
              </w:rPr>
              <w:t>委托代理人：</w:t>
            </w:r>
          </w:p>
        </w:tc>
        <w:tc>
          <w:tcPr>
            <w:tcW w:w="5063" w:type="dxa"/>
            <w:vAlign w:val="center"/>
          </w:tcPr>
          <w:p w14:paraId="7354D343">
            <w:pPr>
              <w:spacing w:before="93" w:after="93" w:line="360" w:lineRule="exact"/>
              <w:rPr>
                <w:rFonts w:ascii="宋体"/>
                <w:kern w:val="0"/>
                <w:sz w:val="24"/>
              </w:rPr>
            </w:pPr>
            <w:r>
              <w:rPr>
                <w:rFonts w:hint="eastAsia" w:ascii="宋体" w:hAnsi="宋体" w:cs="宋体"/>
                <w:kern w:val="0"/>
                <w:sz w:val="24"/>
              </w:rPr>
              <w:t>法定代表人或委托代理人：</w:t>
            </w:r>
          </w:p>
        </w:tc>
      </w:tr>
      <w:tr w14:paraId="7FC51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4896" w:type="dxa"/>
            <w:vAlign w:val="center"/>
          </w:tcPr>
          <w:p w14:paraId="767A08F7">
            <w:pPr>
              <w:spacing w:before="93" w:after="93" w:line="440" w:lineRule="exact"/>
              <w:rPr>
                <w:rFonts w:hint="eastAsia" w:ascii="宋体" w:hAnsi="宋体" w:cs="宋体"/>
                <w:kern w:val="0"/>
                <w:sz w:val="24"/>
              </w:rPr>
            </w:pPr>
            <w:r>
              <w:rPr>
                <w:rFonts w:hint="eastAsia" w:ascii="宋体" w:hAnsi="宋体" w:cs="宋体"/>
                <w:kern w:val="0"/>
                <w:sz w:val="24"/>
              </w:rPr>
              <w:t>联系电话：</w:t>
            </w:r>
          </w:p>
        </w:tc>
        <w:tc>
          <w:tcPr>
            <w:tcW w:w="5063" w:type="dxa"/>
            <w:vAlign w:val="center"/>
          </w:tcPr>
          <w:p w14:paraId="42B6F440">
            <w:pPr>
              <w:spacing w:before="93" w:after="93" w:line="360" w:lineRule="exact"/>
              <w:rPr>
                <w:rFonts w:ascii="宋体"/>
                <w:kern w:val="0"/>
                <w:sz w:val="24"/>
              </w:rPr>
            </w:pPr>
            <w:r>
              <w:rPr>
                <w:rFonts w:hint="eastAsia" w:ascii="宋体" w:hAnsi="宋体" w:cs="宋体"/>
                <w:kern w:val="0"/>
                <w:sz w:val="24"/>
              </w:rPr>
              <w:t>联系电话：</w:t>
            </w:r>
          </w:p>
        </w:tc>
      </w:tr>
      <w:tr w14:paraId="7453D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9" w:hRule="atLeast"/>
          <w:jc w:val="center"/>
        </w:trPr>
        <w:tc>
          <w:tcPr>
            <w:tcW w:w="4896" w:type="dxa"/>
            <w:vAlign w:val="center"/>
          </w:tcPr>
          <w:p w14:paraId="4681E822">
            <w:pPr>
              <w:spacing w:before="93" w:after="93" w:line="360" w:lineRule="exact"/>
              <w:rPr>
                <w:rFonts w:ascii="宋体"/>
                <w:kern w:val="0"/>
                <w:sz w:val="24"/>
              </w:rPr>
            </w:pPr>
            <w:r>
              <w:rPr>
                <w:rFonts w:hint="eastAsia" w:ascii="宋体" w:hAnsi="宋体" w:cs="宋体"/>
                <w:kern w:val="0"/>
                <w:sz w:val="24"/>
              </w:rPr>
              <w:t>地址：河南省郑州市新郑龙湖祥和路1号河南工程学院</w:t>
            </w:r>
          </w:p>
        </w:tc>
        <w:tc>
          <w:tcPr>
            <w:tcW w:w="5063" w:type="dxa"/>
            <w:vAlign w:val="center"/>
          </w:tcPr>
          <w:p w14:paraId="00B329B6">
            <w:pPr>
              <w:spacing w:before="93" w:after="93" w:line="360" w:lineRule="exact"/>
              <w:rPr>
                <w:rFonts w:ascii="宋体"/>
                <w:kern w:val="0"/>
                <w:sz w:val="24"/>
              </w:rPr>
            </w:pPr>
            <w:r>
              <w:rPr>
                <w:rFonts w:hint="eastAsia" w:ascii="宋体" w:hAnsi="宋体" w:cs="宋体"/>
                <w:kern w:val="0"/>
                <w:sz w:val="24"/>
              </w:rPr>
              <w:t>地址：</w:t>
            </w:r>
          </w:p>
        </w:tc>
      </w:tr>
      <w:tr w14:paraId="1534F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jc w:val="center"/>
        </w:trPr>
        <w:tc>
          <w:tcPr>
            <w:tcW w:w="4896" w:type="dxa"/>
            <w:vAlign w:val="center"/>
          </w:tcPr>
          <w:p w14:paraId="4F8F6A67">
            <w:pPr>
              <w:spacing w:before="93" w:after="93" w:line="360" w:lineRule="exact"/>
              <w:rPr>
                <w:rFonts w:ascii="宋体"/>
                <w:kern w:val="0"/>
                <w:sz w:val="24"/>
              </w:rPr>
            </w:pPr>
            <w:r>
              <w:rPr>
                <w:rFonts w:hint="eastAsia" w:ascii="宋体" w:hAnsi="宋体" w:cs="宋体"/>
                <w:kern w:val="0"/>
                <w:sz w:val="24"/>
              </w:rPr>
              <w:t>邮编：451191</w:t>
            </w:r>
          </w:p>
        </w:tc>
        <w:tc>
          <w:tcPr>
            <w:tcW w:w="5063" w:type="dxa"/>
            <w:vAlign w:val="center"/>
          </w:tcPr>
          <w:p w14:paraId="4BF1C590">
            <w:pPr>
              <w:spacing w:before="93" w:after="93" w:line="360" w:lineRule="exact"/>
              <w:rPr>
                <w:rFonts w:ascii="宋体"/>
                <w:kern w:val="0"/>
                <w:sz w:val="24"/>
              </w:rPr>
            </w:pPr>
            <w:r>
              <w:rPr>
                <w:rFonts w:hint="eastAsia" w:ascii="宋体" w:hAnsi="宋体" w:cs="宋体"/>
                <w:kern w:val="0"/>
                <w:sz w:val="24"/>
              </w:rPr>
              <w:t>邮编：</w:t>
            </w:r>
          </w:p>
        </w:tc>
      </w:tr>
      <w:tr w14:paraId="2B02D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jc w:val="center"/>
        </w:trPr>
        <w:tc>
          <w:tcPr>
            <w:tcW w:w="4896" w:type="dxa"/>
            <w:vAlign w:val="center"/>
          </w:tcPr>
          <w:p w14:paraId="2D136E01">
            <w:pPr>
              <w:spacing w:before="93" w:after="93" w:line="360" w:lineRule="exact"/>
              <w:rPr>
                <w:rFonts w:ascii="宋体"/>
                <w:kern w:val="0"/>
                <w:sz w:val="24"/>
              </w:rPr>
            </w:pPr>
            <w:r>
              <w:rPr>
                <w:rFonts w:hint="eastAsia" w:ascii="宋体" w:hAnsi="宋体" w:cs="宋体"/>
                <w:kern w:val="0"/>
                <w:sz w:val="24"/>
              </w:rPr>
              <w:t>签订日期： 年 月日</w:t>
            </w:r>
          </w:p>
        </w:tc>
        <w:tc>
          <w:tcPr>
            <w:tcW w:w="5063" w:type="dxa"/>
            <w:vAlign w:val="center"/>
          </w:tcPr>
          <w:p w14:paraId="5D6FF47A">
            <w:pPr>
              <w:spacing w:before="93" w:after="93" w:line="360" w:lineRule="exact"/>
              <w:rPr>
                <w:rFonts w:ascii="宋体"/>
                <w:kern w:val="0"/>
                <w:sz w:val="24"/>
              </w:rPr>
            </w:pPr>
            <w:r>
              <w:rPr>
                <w:rFonts w:hint="eastAsia" w:ascii="宋体" w:hAnsi="宋体" w:cs="宋体"/>
                <w:kern w:val="0"/>
                <w:sz w:val="24"/>
              </w:rPr>
              <w:t>签订日期：  年 月 日</w:t>
            </w:r>
          </w:p>
        </w:tc>
      </w:tr>
    </w:tbl>
    <w:p w14:paraId="27F9BC38">
      <w:pPr>
        <w:spacing w:line="360" w:lineRule="auto"/>
        <w:ind w:left="5040" w:hanging="5040" w:hangingChars="2400"/>
        <w:jc w:val="left"/>
        <w:rPr>
          <w:rFonts w:hint="eastAsia" w:ascii="宋体" w:hAnsi="宋体" w:cs="宋体"/>
          <w:szCs w:val="21"/>
        </w:rPr>
        <w:sectPr>
          <w:headerReference r:id="rId10" w:type="default"/>
          <w:footerReference r:id="rId11" w:type="default"/>
          <w:pgSz w:w="11906" w:h="16838"/>
          <w:pgMar w:top="1440" w:right="1800" w:bottom="1440" w:left="1800" w:header="851" w:footer="992" w:gutter="0"/>
          <w:cols w:space="720" w:num="1"/>
          <w:docGrid w:type="lines" w:linePitch="312" w:charSpace="0"/>
        </w:sectPr>
      </w:pPr>
    </w:p>
    <w:p w14:paraId="32B675F4">
      <w:pPr>
        <w:pStyle w:val="2"/>
        <w:snapToGrid w:val="0"/>
        <w:spacing w:before="0" w:after="0" w:line="360" w:lineRule="auto"/>
        <w:jc w:val="center"/>
        <w:rPr>
          <w:rFonts w:hint="eastAsia" w:ascii="宋体" w:hAnsi="宋体" w:cs="宋体"/>
          <w:kern w:val="2"/>
          <w:sz w:val="32"/>
          <w:szCs w:val="32"/>
          <w:lang w:val="zh-CN"/>
        </w:rPr>
      </w:pPr>
      <w:bookmarkStart w:id="524" w:name="_Toc19885"/>
      <w:bookmarkStart w:id="525" w:name="_Toc144974854"/>
      <w:bookmarkStart w:id="526" w:name="_Toc152045785"/>
      <w:bookmarkStart w:id="527" w:name="_Toc21206"/>
      <w:bookmarkStart w:id="528" w:name="_Toc152042574"/>
      <w:bookmarkStart w:id="529" w:name="_Toc12437"/>
      <w:r>
        <w:rPr>
          <w:rFonts w:hint="eastAsia" w:ascii="宋体" w:hAnsi="宋体" w:cs="宋体"/>
          <w:kern w:val="2"/>
          <w:sz w:val="32"/>
          <w:szCs w:val="32"/>
          <w:lang w:val="zh-CN"/>
        </w:rPr>
        <w:t>第</w:t>
      </w:r>
      <w:r>
        <w:rPr>
          <w:rFonts w:hint="eastAsia" w:ascii="宋体" w:hAnsi="宋体" w:cs="宋体"/>
          <w:kern w:val="2"/>
          <w:sz w:val="32"/>
          <w:szCs w:val="32"/>
        </w:rPr>
        <w:t>五</w:t>
      </w:r>
      <w:r>
        <w:rPr>
          <w:rFonts w:hint="eastAsia" w:ascii="宋体" w:hAnsi="宋体" w:cs="宋体"/>
          <w:kern w:val="2"/>
          <w:sz w:val="32"/>
          <w:szCs w:val="32"/>
          <w:lang w:val="zh-CN"/>
        </w:rPr>
        <w:t xml:space="preserve">章  </w:t>
      </w:r>
      <w:bookmarkEnd w:id="524"/>
      <w:bookmarkEnd w:id="525"/>
      <w:bookmarkEnd w:id="526"/>
      <w:bookmarkEnd w:id="527"/>
      <w:bookmarkEnd w:id="528"/>
      <w:r>
        <w:rPr>
          <w:rFonts w:hint="eastAsia" w:ascii="宋体" w:hAnsi="宋体" w:cs="宋体"/>
          <w:kern w:val="2"/>
          <w:sz w:val="32"/>
          <w:szCs w:val="32"/>
          <w:lang w:val="zh-CN"/>
        </w:rPr>
        <w:t>采购需求</w:t>
      </w:r>
      <w:bookmarkEnd w:id="529"/>
    </w:p>
    <w:p w14:paraId="20F9104D">
      <w:pPr>
        <w:jc w:val="center"/>
        <w:rPr>
          <w:sz w:val="30"/>
          <w:szCs w:val="30"/>
          <w:u w:val="single"/>
        </w:rPr>
      </w:pPr>
      <w:r>
        <w:rPr>
          <w:b/>
          <w:sz w:val="30"/>
          <w:szCs w:val="30"/>
        </w:rPr>
        <w:t>设备技术指标参数表</w:t>
      </w:r>
    </w:p>
    <w:tbl>
      <w:tblPr>
        <w:tblStyle w:val="30"/>
        <w:tblW w:w="0" w:type="auto"/>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817"/>
        <w:gridCol w:w="851"/>
        <w:gridCol w:w="10532"/>
        <w:gridCol w:w="850"/>
        <w:gridCol w:w="850"/>
      </w:tblGrid>
      <w:tr w14:paraId="60CBF69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630" w:hRule="atLeast"/>
          <w:jc w:val="center"/>
        </w:trPr>
        <w:tc>
          <w:tcPr>
            <w:tcW w:w="817" w:type="dxa"/>
            <w:vAlign w:val="center"/>
          </w:tcPr>
          <w:p w14:paraId="0DF30FC6">
            <w:pPr>
              <w:spacing w:line="360" w:lineRule="auto"/>
              <w:jc w:val="center"/>
              <w:rPr>
                <w:rFonts w:hint="eastAsia" w:ascii="宋体" w:hAnsi="宋体" w:cs="宋体"/>
                <w:sz w:val="24"/>
              </w:rPr>
            </w:pPr>
            <w:bookmarkStart w:id="530" w:name="OLE_LINK1"/>
            <w:r>
              <w:rPr>
                <w:rFonts w:hint="eastAsia" w:ascii="宋体" w:hAnsi="宋体" w:cs="宋体"/>
                <w:sz w:val="24"/>
              </w:rPr>
              <w:t>采购内容</w:t>
            </w:r>
          </w:p>
          <w:p w14:paraId="2155A9E3">
            <w:pPr>
              <w:pStyle w:val="3"/>
              <w:spacing w:before="0" w:after="0" w:line="360" w:lineRule="auto"/>
              <w:rPr>
                <w:rFonts w:eastAsia="宋体"/>
              </w:rPr>
            </w:pPr>
            <w:r>
              <w:rPr>
                <w:rFonts w:hint="eastAsia" w:ascii="宋体" w:hAnsi="宋体" w:eastAsia="宋体" w:cs="宋体"/>
                <w:b w:val="0"/>
                <w:bCs w:val="0"/>
                <w:sz w:val="24"/>
                <w:szCs w:val="24"/>
              </w:rPr>
              <w:t>(设备名称)</w:t>
            </w:r>
          </w:p>
        </w:tc>
        <w:tc>
          <w:tcPr>
            <w:tcW w:w="851" w:type="dxa"/>
            <w:vAlign w:val="center"/>
          </w:tcPr>
          <w:p w14:paraId="40B0E271">
            <w:pPr>
              <w:spacing w:line="360" w:lineRule="auto"/>
              <w:jc w:val="center"/>
              <w:rPr>
                <w:rFonts w:hint="eastAsia" w:ascii="宋体" w:hAnsi="宋体" w:cs="宋体"/>
                <w:sz w:val="24"/>
              </w:rPr>
            </w:pPr>
            <w:r>
              <w:rPr>
                <w:rFonts w:hint="eastAsia" w:ascii="宋体" w:hAnsi="宋体" w:cs="宋体"/>
                <w:sz w:val="24"/>
              </w:rPr>
              <w:t>是否接受进口产品</w:t>
            </w:r>
          </w:p>
        </w:tc>
        <w:tc>
          <w:tcPr>
            <w:tcW w:w="10532" w:type="dxa"/>
            <w:vAlign w:val="center"/>
          </w:tcPr>
          <w:p w14:paraId="5CEBD5C7">
            <w:pPr>
              <w:spacing w:line="360" w:lineRule="auto"/>
              <w:jc w:val="center"/>
              <w:rPr>
                <w:rFonts w:hint="eastAsia" w:ascii="宋体" w:hAnsi="宋体" w:cs="宋体"/>
                <w:sz w:val="24"/>
              </w:rPr>
            </w:pPr>
            <w:r>
              <w:rPr>
                <w:rFonts w:hint="eastAsia" w:ascii="宋体" w:hAnsi="宋体" w:cs="宋体"/>
                <w:sz w:val="24"/>
              </w:rPr>
              <w:t>技术指标参数</w:t>
            </w:r>
          </w:p>
        </w:tc>
        <w:tc>
          <w:tcPr>
            <w:tcW w:w="850" w:type="dxa"/>
            <w:vAlign w:val="center"/>
          </w:tcPr>
          <w:p w14:paraId="5E750D21">
            <w:pPr>
              <w:spacing w:line="360" w:lineRule="auto"/>
              <w:jc w:val="center"/>
              <w:rPr>
                <w:rFonts w:hint="eastAsia" w:ascii="宋体" w:hAnsi="宋体" w:cs="宋体"/>
                <w:sz w:val="24"/>
              </w:rPr>
            </w:pPr>
            <w:r>
              <w:rPr>
                <w:rFonts w:hint="eastAsia" w:ascii="宋体" w:hAnsi="宋体" w:cs="宋体"/>
                <w:sz w:val="24"/>
              </w:rPr>
              <w:t>单位</w:t>
            </w:r>
          </w:p>
        </w:tc>
        <w:tc>
          <w:tcPr>
            <w:tcW w:w="850" w:type="dxa"/>
            <w:vAlign w:val="center"/>
          </w:tcPr>
          <w:p w14:paraId="4B85A306">
            <w:pPr>
              <w:spacing w:line="360" w:lineRule="auto"/>
              <w:jc w:val="center"/>
              <w:rPr>
                <w:rFonts w:hint="eastAsia" w:ascii="宋体" w:hAnsi="宋体" w:cs="宋体"/>
                <w:sz w:val="24"/>
              </w:rPr>
            </w:pPr>
            <w:r>
              <w:rPr>
                <w:rFonts w:hint="eastAsia" w:ascii="宋体" w:hAnsi="宋体" w:cs="宋体"/>
                <w:sz w:val="24"/>
              </w:rPr>
              <w:t>数量</w:t>
            </w:r>
          </w:p>
        </w:tc>
      </w:tr>
      <w:tr w14:paraId="47B97C9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630" w:hRule="atLeast"/>
          <w:jc w:val="center"/>
        </w:trPr>
        <w:tc>
          <w:tcPr>
            <w:tcW w:w="817" w:type="dxa"/>
            <w:vAlign w:val="center"/>
          </w:tcPr>
          <w:p w14:paraId="0BBF0D45">
            <w:pPr>
              <w:spacing w:line="360" w:lineRule="auto"/>
              <w:jc w:val="center"/>
              <w:rPr>
                <w:rFonts w:hint="eastAsia" w:ascii="宋体" w:hAnsi="宋体" w:cs="宋体"/>
                <w:sz w:val="24"/>
              </w:rPr>
            </w:pPr>
            <w:r>
              <w:rPr>
                <w:rFonts w:hint="eastAsia" w:ascii="宋体" w:hAnsi="宋体" w:cs="宋体"/>
                <w:sz w:val="24"/>
              </w:rPr>
              <w:t>彩色喷墨阵列式数码复合机</w:t>
            </w:r>
          </w:p>
        </w:tc>
        <w:tc>
          <w:tcPr>
            <w:tcW w:w="851" w:type="dxa"/>
            <w:vAlign w:val="center"/>
          </w:tcPr>
          <w:p w14:paraId="3B6CB575">
            <w:pPr>
              <w:spacing w:line="360" w:lineRule="auto"/>
              <w:jc w:val="center"/>
              <w:rPr>
                <w:rFonts w:hint="eastAsia" w:ascii="宋体" w:hAnsi="宋体" w:cs="宋体"/>
                <w:sz w:val="24"/>
              </w:rPr>
            </w:pPr>
            <w:r>
              <w:rPr>
                <w:rFonts w:hint="eastAsia" w:ascii="宋体" w:hAnsi="宋体" w:cs="宋体"/>
                <w:sz w:val="24"/>
              </w:rPr>
              <w:t>否</w:t>
            </w:r>
          </w:p>
        </w:tc>
        <w:tc>
          <w:tcPr>
            <w:tcW w:w="10532" w:type="dxa"/>
            <w:vAlign w:val="center"/>
          </w:tcPr>
          <w:p w14:paraId="547A157B">
            <w:pPr>
              <w:spacing w:line="360" w:lineRule="auto"/>
              <w:jc w:val="left"/>
              <w:rPr>
                <w:rFonts w:hint="eastAsia" w:ascii="宋体" w:hAnsi="宋体" w:cs="宋体"/>
                <w:b/>
                <w:bCs/>
                <w:sz w:val="24"/>
              </w:rPr>
            </w:pPr>
            <w:r>
              <w:rPr>
                <w:rFonts w:hint="eastAsia" w:ascii="宋体" w:hAnsi="宋体" w:cs="宋体"/>
                <w:b/>
                <w:bCs/>
                <w:sz w:val="24"/>
              </w:rPr>
              <w:t>1彩色喷墨阵列式数码复合机</w:t>
            </w:r>
          </w:p>
          <w:p w14:paraId="6A96F090">
            <w:pPr>
              <w:spacing w:line="360" w:lineRule="auto"/>
              <w:jc w:val="left"/>
              <w:rPr>
                <w:rFonts w:hint="eastAsia" w:ascii="宋体" w:hAnsi="宋体" w:cs="宋体"/>
                <w:sz w:val="24"/>
              </w:rPr>
            </w:pPr>
            <w:r>
              <w:rPr>
                <w:rFonts w:hint="eastAsia" w:ascii="宋体" w:hAnsi="宋体" w:cs="宋体"/>
                <w:sz w:val="24"/>
              </w:rPr>
              <w:t>1.1功能要求：彩色复印、彩色打印、网络扫描（彩色）、成套输出、装订功能（边钉、角钉、骑马订）、自动进纸器，逐页逐份输出，逐份交错输出。</w:t>
            </w:r>
          </w:p>
          <w:p w14:paraId="3B97BF32">
            <w:pPr>
              <w:spacing w:line="360" w:lineRule="auto"/>
              <w:jc w:val="left"/>
              <w:rPr>
                <w:rFonts w:hint="eastAsia" w:ascii="宋体" w:hAnsi="宋体" w:cs="宋体"/>
                <w:sz w:val="24"/>
              </w:rPr>
            </w:pPr>
            <w:r>
              <w:rPr>
                <w:rFonts w:hint="eastAsia" w:ascii="宋体" w:hAnsi="宋体" w:cs="宋体"/>
                <w:sz w:val="24"/>
              </w:rPr>
              <w:t>*1.2彩色打印、复印速度：≥100页每分钟。工作方式：喷墨，采用按需喷墨方式工作。纸张尺寸60*130mm-330*1200mm，使用纸张范围：普通纸、胶版纸、再生纸，65-300g宽范围用纸，可打印信封等。标准打印分辨率：不低于600*1200dpi，最大不低于600×2400dpi。提供相关证明材料并加盖公章包括但不仅限于：实物照片或官网截图或产品彩页或检测报告或功能截图等。</w:t>
            </w:r>
          </w:p>
          <w:p w14:paraId="478EB6CF">
            <w:pPr>
              <w:spacing w:line="360" w:lineRule="auto"/>
              <w:jc w:val="left"/>
              <w:rPr>
                <w:rFonts w:hint="eastAsia" w:ascii="宋体" w:hAnsi="宋体" w:cs="宋体"/>
                <w:sz w:val="24"/>
              </w:rPr>
            </w:pPr>
            <w:r>
              <w:rPr>
                <w:rFonts w:hint="eastAsia" w:ascii="宋体" w:hAnsi="宋体" w:cs="宋体"/>
                <w:sz w:val="24"/>
              </w:rPr>
              <w:t>1.3双面功能：标配自动双面打印、复印。标配双面打印单元、双面输稿器。标配进纸容量：4个纸盒合计不低于2200张A3，大容量进纸单元容量不低于2500张A4。</w:t>
            </w:r>
          </w:p>
          <w:p w14:paraId="4907EE47">
            <w:pPr>
              <w:spacing w:line="360" w:lineRule="auto"/>
              <w:jc w:val="left"/>
              <w:rPr>
                <w:rFonts w:hint="eastAsia" w:ascii="宋体" w:hAnsi="宋体" w:cs="宋体"/>
                <w:sz w:val="24"/>
              </w:rPr>
            </w:pPr>
            <w:r>
              <w:rPr>
                <w:rFonts w:hint="eastAsia" w:ascii="宋体" w:hAnsi="宋体" w:cs="宋体"/>
                <w:sz w:val="24"/>
              </w:rPr>
              <w:t>1.4硬盘容量不低于250G。启动时间≤60秒。待机状态下，黑白、彩色首页输出时间不大于20秒。设备包含读卡模块，支持刷卡漫游打印服务。</w:t>
            </w:r>
          </w:p>
          <w:p w14:paraId="504CF3C8">
            <w:pPr>
              <w:spacing w:line="360" w:lineRule="auto"/>
              <w:jc w:val="left"/>
              <w:rPr>
                <w:rFonts w:hint="eastAsia" w:ascii="宋体" w:hAnsi="宋体" w:cs="宋体"/>
                <w:sz w:val="24"/>
              </w:rPr>
            </w:pPr>
            <w:r>
              <w:rPr>
                <w:rFonts w:hint="eastAsia" w:ascii="宋体" w:hAnsi="宋体" w:cs="宋体"/>
                <w:sz w:val="24"/>
              </w:rPr>
              <w:t>1.5扫描功能：扫描到电子邮件、SMB、FTP、存储器、U盘等。扫描速度：不低于60页/分钟、双面110页/分钟（A4，300dpi）。设备包含两个及以上出纸口。</w:t>
            </w:r>
          </w:p>
          <w:p w14:paraId="33311F44">
            <w:pPr>
              <w:spacing w:line="360" w:lineRule="auto"/>
              <w:jc w:val="left"/>
              <w:rPr>
                <w:rFonts w:hint="eastAsia" w:ascii="宋体" w:hAnsi="宋体" w:cs="宋体"/>
                <w:sz w:val="24"/>
              </w:rPr>
            </w:pPr>
            <w:r>
              <w:rPr>
                <w:rFonts w:hint="eastAsia" w:ascii="宋体" w:hAnsi="宋体" w:cs="宋体"/>
                <w:sz w:val="24"/>
              </w:rPr>
              <w:t>*1.6标配耗材容量：黑色≥10万张，黑色单支≥5万张，彩色≥5万张。耗材要求：防水、耐久保存，提供第三方检测机构的检测报告。</w:t>
            </w:r>
          </w:p>
          <w:p w14:paraId="7E8944D9">
            <w:pPr>
              <w:spacing w:line="360" w:lineRule="auto"/>
              <w:jc w:val="left"/>
              <w:rPr>
                <w:rFonts w:hint="eastAsia" w:ascii="宋体" w:hAnsi="宋体" w:cs="宋体"/>
                <w:sz w:val="24"/>
              </w:rPr>
            </w:pPr>
            <w:r>
              <w:rPr>
                <w:rFonts w:hint="eastAsia" w:ascii="宋体" w:hAnsi="宋体" w:cs="宋体"/>
                <w:sz w:val="24"/>
              </w:rPr>
              <w:t>1.7打印接口：USB3.0兼容2.0，有线10/100/1000M-Base网络打印。操作面板：≥9.0英寸液晶触摸面板，可自定义操作面板，可将常用操作定义成快捷键放在主界面上。</w:t>
            </w:r>
          </w:p>
          <w:p w14:paraId="73232E2B">
            <w:pPr>
              <w:spacing w:line="360" w:lineRule="auto"/>
              <w:jc w:val="left"/>
              <w:rPr>
                <w:rFonts w:hint="eastAsia" w:ascii="宋体" w:hAnsi="宋体" w:cs="宋体"/>
                <w:sz w:val="24"/>
              </w:rPr>
            </w:pPr>
            <w:r>
              <w:rPr>
                <w:rFonts w:hint="eastAsia" w:ascii="宋体" w:hAnsi="宋体" w:cs="宋体"/>
                <w:sz w:val="24"/>
              </w:rPr>
              <w:t>1.8为保证办公环境：设备打印过程要求无粉尘、无臭氧排放。</w:t>
            </w:r>
          </w:p>
          <w:p w14:paraId="27AF12D8">
            <w:pPr>
              <w:spacing w:line="360" w:lineRule="auto"/>
              <w:jc w:val="left"/>
              <w:rPr>
                <w:rFonts w:hint="eastAsia" w:ascii="宋体" w:hAnsi="宋体" w:cs="宋体"/>
                <w:sz w:val="24"/>
              </w:rPr>
            </w:pPr>
            <w:r>
              <w:rPr>
                <w:rFonts w:hint="eastAsia" w:ascii="宋体" w:hAnsi="宋体" w:cs="宋体"/>
                <w:sz w:val="24"/>
              </w:rPr>
              <w:t>1.9提供打印管控平台，具备刷卡认证，密码打印，安全打印等功能，管理员可设置用户使用打印/复印/扫描权限。能在保障数据安全性的同时充分实现按需打印，控制打印成本，帮助企业获得成本节约和效率提升。能提供打印安全技术，能保护文件不泄露，保护文件的隐私，以帮助用户保护设备，数据和文档的安全性。管理员可针对某些账户限制设备使用，收集打印计数，提高运行效率，能使单位对员工使用复合机的情况进行有效监控，提供软件信息截图。提供设备远程管理功能，提供针对本项目的远程设备监控软件账号一套，授权远程监控设备运行状态，维护人员及时获取设备耗材、配件、故障信息等，提供监控软件关于显示信息截图。</w:t>
            </w:r>
          </w:p>
          <w:p w14:paraId="0272BF9D">
            <w:pPr>
              <w:spacing w:line="360" w:lineRule="auto"/>
              <w:jc w:val="left"/>
              <w:rPr>
                <w:rFonts w:hint="eastAsia" w:ascii="宋体" w:hAnsi="宋体" w:cs="宋体"/>
                <w:sz w:val="24"/>
              </w:rPr>
            </w:pPr>
            <w:r>
              <w:rPr>
                <w:rFonts w:hint="eastAsia" w:ascii="宋体" w:hAnsi="宋体" w:cs="宋体"/>
                <w:sz w:val="24"/>
              </w:rPr>
              <w:t>1.10设备要求支持边钉、角钉、A3骑马订（可装订A4页码不低于100个页码）。耗材配置：除随机标配耗材外，需要再配置2套耗材，用于日常使用。</w:t>
            </w:r>
          </w:p>
          <w:p w14:paraId="072DA708">
            <w:pPr>
              <w:spacing w:line="360" w:lineRule="auto"/>
              <w:jc w:val="left"/>
              <w:rPr>
                <w:rFonts w:hint="eastAsia" w:ascii="宋体" w:hAnsi="宋体" w:cs="宋体"/>
                <w:b/>
                <w:bCs/>
                <w:sz w:val="24"/>
              </w:rPr>
            </w:pPr>
            <w:r>
              <w:rPr>
                <w:rFonts w:hint="eastAsia" w:ascii="宋体" w:hAnsi="宋体" w:cs="宋体"/>
                <w:b/>
                <w:bCs/>
                <w:sz w:val="24"/>
              </w:rPr>
              <w:t>2仪器配套控制系统</w:t>
            </w:r>
          </w:p>
          <w:p w14:paraId="7D6D8BD6">
            <w:pPr>
              <w:spacing w:line="360" w:lineRule="auto"/>
              <w:jc w:val="left"/>
              <w:rPr>
                <w:rFonts w:hint="eastAsia" w:ascii="宋体" w:hAnsi="宋体" w:cs="宋体"/>
                <w:sz w:val="24"/>
              </w:rPr>
            </w:pPr>
            <w:r>
              <w:rPr>
                <w:rFonts w:hint="eastAsia" w:ascii="宋体" w:hAnsi="宋体" w:cs="宋体"/>
                <w:sz w:val="24"/>
              </w:rPr>
              <w:t>2.1主板：不低于700系列芯片组；CPU：16核24线程（8个性能核+8个能效核），性能核基础频率≥2.1GHz，最高睿频≥5.2GHz；内存：≥32G DDR4 3200MHz或DDR5 4800MHz，双内存通道，内存插槽≥2个，最大可扩展容量≥64G。</w:t>
            </w:r>
          </w:p>
          <w:p w14:paraId="6E9A8ED6">
            <w:pPr>
              <w:spacing w:line="360" w:lineRule="auto"/>
              <w:jc w:val="left"/>
              <w:rPr>
                <w:rFonts w:hint="eastAsia" w:ascii="宋体" w:hAnsi="宋体" w:cs="宋体"/>
                <w:sz w:val="24"/>
              </w:rPr>
            </w:pPr>
            <w:r>
              <w:rPr>
                <w:rFonts w:hint="eastAsia" w:ascii="宋体" w:hAnsi="宋体" w:cs="宋体"/>
                <w:sz w:val="24"/>
              </w:rPr>
              <w:t>2.2硬盘：≥1TB M.2 PCIe NVMe固态硬盘；系统：兼容正版win11及以上；</w:t>
            </w:r>
            <w:r>
              <w:rPr>
                <w:rFonts w:hint="eastAsia" w:ascii="宋体" w:hAnsi="宋体" w:cs="宋体"/>
                <w:kern w:val="0"/>
                <w:sz w:val="24"/>
              </w:rPr>
              <w:t>显示器：≥27英寸液晶显示器。</w:t>
            </w:r>
          </w:p>
          <w:p w14:paraId="3A668D45">
            <w:pPr>
              <w:spacing w:line="360" w:lineRule="auto"/>
              <w:jc w:val="left"/>
              <w:rPr>
                <w:rFonts w:hint="eastAsia" w:ascii="宋体" w:hAnsi="宋体" w:cs="宋体"/>
                <w:b/>
                <w:bCs/>
                <w:sz w:val="24"/>
              </w:rPr>
            </w:pPr>
            <w:r>
              <w:rPr>
                <w:rFonts w:hint="eastAsia" w:ascii="宋体" w:hAnsi="宋体" w:cs="宋体"/>
                <w:b/>
                <w:bCs/>
                <w:sz w:val="24"/>
              </w:rPr>
              <w:t>3 印前编辑工具</w:t>
            </w:r>
          </w:p>
          <w:p w14:paraId="0B466EB4">
            <w:pPr>
              <w:spacing w:line="360" w:lineRule="auto"/>
              <w:jc w:val="left"/>
              <w:rPr>
                <w:rFonts w:hint="eastAsia" w:ascii="宋体" w:hAnsi="宋体" w:cs="宋体"/>
                <w:sz w:val="24"/>
              </w:rPr>
            </w:pPr>
            <w:r>
              <w:rPr>
                <w:rFonts w:hint="eastAsia" w:ascii="宋体" w:hAnsi="宋体" w:cs="宋体"/>
                <w:sz w:val="24"/>
              </w:rPr>
              <w:t>3.1 支持桌面自动化功能：根据印前工艺模版修改、录制动作记录或自定义生成桌面自动化列表，并可分步骤执行；进度条显示：所有的操作都需要进度条显示，支持删除进度条，保持当前操作进度；文件兼容性：支持.ic3文件格式，查看3d效果；支持导入/导出ai、pdf文件；自动对比：可以打开多个/多页文件，软件自动比对质量检测，并且高亮显示文件之间的差异；支持自动对比单模和大版文件的差异，并生成自动对比报告单。</w:t>
            </w:r>
          </w:p>
          <w:p w14:paraId="2811B2AE">
            <w:pPr>
              <w:spacing w:line="360" w:lineRule="auto"/>
              <w:jc w:val="left"/>
              <w:rPr>
                <w:rFonts w:hint="eastAsia" w:ascii="宋体" w:hAnsi="宋体" w:cs="宋体"/>
                <w:sz w:val="24"/>
              </w:rPr>
            </w:pPr>
            <w:r>
              <w:rPr>
                <w:rFonts w:hint="eastAsia" w:ascii="宋体" w:hAnsi="宋体" w:cs="宋体"/>
                <w:sz w:val="24"/>
              </w:rPr>
              <w:t>3.2色彩转换：支持导入标准的icc设备链接文件，设置UCR、GCR的颜色转换，并且可以在视图查看器中加载icc，预转换颜色文件；设置曲线：支持曲线功能，可以在文件中应用曲线，自动修改文件的颜色层次，并且修复文件中的脏点，支持矢量和图像文件；操作系统：支持64位MAC、windows系统，支持多GPU，可同时处理多个文件；预飞检查：自动预飞检查，可以设置最小距离参数，检查刀线/折线周围是否有图案；检查叠印、透明度、线条粗细等。</w:t>
            </w:r>
          </w:p>
          <w:p w14:paraId="4A007508">
            <w:pPr>
              <w:spacing w:line="360" w:lineRule="auto"/>
              <w:jc w:val="left"/>
              <w:rPr>
                <w:rFonts w:hint="eastAsia" w:ascii="宋体" w:hAnsi="宋体" w:cs="宋体"/>
                <w:sz w:val="24"/>
              </w:rPr>
            </w:pPr>
            <w:r>
              <w:rPr>
                <w:rFonts w:hint="eastAsia" w:ascii="宋体" w:hAnsi="宋体" w:cs="宋体"/>
                <w:sz w:val="24"/>
              </w:rPr>
              <w:t>3.3 完稿处理：需要根据笔画自动修复文件中的宋体字，需要根据颜色深浅以及轮廓完整性自动陷印，自动生成工艺版分色图层：包括但不限于底白、烫金、激凸工艺，自动做富黑，支持颜色通道映射功能；自动拼版：根据文件数量自动拼版，包括根据文件数量要求以及拼板尺寸自动拼版，并且加载印刷标记模板文件；系统开放性：可以集成第三方系统导出的xml文件，自动处理工单中的印前处理包含但不限于自动生成工艺报告单、以及印前工单数据对接自动化等。</w:t>
            </w:r>
          </w:p>
          <w:p w14:paraId="0E969A1D">
            <w:pPr>
              <w:spacing w:line="360" w:lineRule="auto"/>
              <w:jc w:val="left"/>
              <w:rPr>
                <w:rFonts w:hint="eastAsia" w:ascii="宋体" w:hAnsi="宋体" w:cs="宋体"/>
                <w:b/>
                <w:bCs/>
                <w:sz w:val="24"/>
              </w:rPr>
            </w:pPr>
            <w:r>
              <w:rPr>
                <w:rFonts w:hint="eastAsia" w:ascii="宋体" w:hAnsi="宋体" w:cs="宋体"/>
                <w:b/>
                <w:bCs/>
                <w:sz w:val="24"/>
              </w:rPr>
              <w:t>4 标准灯箱</w:t>
            </w:r>
          </w:p>
          <w:p w14:paraId="42A2F4B8">
            <w:pPr>
              <w:spacing w:line="360" w:lineRule="auto"/>
              <w:jc w:val="left"/>
              <w:rPr>
                <w:rFonts w:hint="eastAsia" w:ascii="宋体" w:hAnsi="宋体" w:cs="宋体"/>
                <w:sz w:val="24"/>
              </w:rPr>
            </w:pPr>
            <w:r>
              <w:rPr>
                <w:rFonts w:hint="eastAsia" w:ascii="宋体" w:hAnsi="宋体" w:cs="宋体"/>
                <w:sz w:val="24"/>
              </w:rPr>
              <w:t>4.1 光源配置：支持 7种国际标准光源，包括 D65、A、CWF、D50、TL84、U30、UV（紫外线）等，满足全球主流对色需求；显色指数（Ra）：≥95（D65光源下），确保色彩还原高度真实。</w:t>
            </w:r>
          </w:p>
          <w:p w14:paraId="00931ACD">
            <w:pPr>
              <w:spacing w:line="360" w:lineRule="auto"/>
              <w:jc w:val="left"/>
              <w:rPr>
                <w:rFonts w:hint="eastAsia" w:ascii="宋体" w:hAnsi="宋体" w:cs="宋体"/>
                <w:sz w:val="24"/>
              </w:rPr>
            </w:pPr>
            <w:r>
              <w:rPr>
                <w:rFonts w:hint="eastAsia" w:ascii="宋体" w:hAnsi="宋体" w:cs="宋体"/>
                <w:sz w:val="24"/>
              </w:rPr>
              <w:t>4.2 照度调节：具备可调光功能；均匀性：照明面光照均匀度&gt;90%；使用寿命：LED光源寿命长达 25,000小时以上；箱体材质：金属结构设计，抗干扰、防变形。</w:t>
            </w:r>
          </w:p>
          <w:p w14:paraId="2677E9CA">
            <w:pPr>
              <w:spacing w:line="360" w:lineRule="auto"/>
              <w:jc w:val="left"/>
              <w:rPr>
                <w:rFonts w:hint="eastAsia" w:ascii="宋体" w:hAnsi="宋体" w:cs="宋体"/>
                <w:sz w:val="24"/>
              </w:rPr>
            </w:pPr>
            <w:r>
              <w:rPr>
                <w:rFonts w:hint="eastAsia" w:ascii="宋体" w:hAnsi="宋体" w:cs="宋体"/>
                <w:sz w:val="24"/>
              </w:rPr>
              <w:t>4.3 同色异谱检测功能：支持不同光源间快速切换；光源照度：所有光源D65、TL84、D50、U30、U35、A≥600lx；光源色温要求：D65: 6500±300K；TL84：4000±300K；D50：5000±300K；U30：3000±300K；U35：3500±300K；A光源：2856±300K。</w:t>
            </w:r>
          </w:p>
          <w:p w14:paraId="6150B084">
            <w:pPr>
              <w:spacing w:line="360" w:lineRule="auto"/>
              <w:jc w:val="left"/>
              <w:rPr>
                <w:rFonts w:hint="eastAsia" w:ascii="宋体" w:hAnsi="宋体" w:cs="宋体"/>
                <w:b/>
                <w:bCs/>
                <w:sz w:val="24"/>
              </w:rPr>
            </w:pPr>
            <w:r>
              <w:rPr>
                <w:rFonts w:hint="eastAsia" w:ascii="宋体" w:hAnsi="宋体" w:cs="宋体"/>
                <w:b/>
                <w:bCs/>
                <w:sz w:val="24"/>
              </w:rPr>
              <w:t>5 分光光度仪</w:t>
            </w:r>
          </w:p>
          <w:p w14:paraId="6F909DE4">
            <w:pPr>
              <w:spacing w:line="360" w:lineRule="auto"/>
              <w:jc w:val="left"/>
              <w:rPr>
                <w:rFonts w:hint="eastAsia" w:ascii="宋体" w:hAnsi="宋体" w:cs="宋体"/>
                <w:sz w:val="24"/>
              </w:rPr>
            </w:pPr>
            <w:r>
              <w:rPr>
                <w:rFonts w:hint="eastAsia" w:ascii="宋体" w:hAnsi="宋体" w:cs="宋体"/>
                <w:sz w:val="24"/>
              </w:rPr>
              <w:t>5.1 孔径：测量孔径：≤4.5 mm (0.18”)；通信接口：USB 1.1；连接：通电的USB端口；光斑尺寸：≤3 mm (0.12”)；测量模式：M0 - 包含UV - ISO 13655:2017；M1 - D50 - ISO 13655:2017 ；M2 - 不包含UV滤镜 - ISO 13655:2017。</w:t>
            </w:r>
          </w:p>
          <w:p w14:paraId="1A062592">
            <w:pPr>
              <w:spacing w:line="360" w:lineRule="auto"/>
              <w:jc w:val="left"/>
              <w:rPr>
                <w:rFonts w:hint="eastAsia" w:ascii="宋体" w:hAnsi="宋体" w:cs="宋体"/>
                <w:sz w:val="24"/>
              </w:rPr>
            </w:pPr>
            <w:r>
              <w:rPr>
                <w:rFonts w:hint="eastAsia" w:ascii="宋体" w:hAnsi="宋体" w:cs="宋体"/>
                <w:sz w:val="24"/>
              </w:rPr>
              <w:t>5.2 扫描模式下的测量频率：每秒不少于400次测量；测量几何结构：45°:0° 环形照明光学元件；小媒介厚度：不小于1mm；色块尺寸：扫描模式下小色块尺寸：带传感器标尺时为7 x 7 mm (0.28” x 0.28”)（宽 x 高），无传感器标尺时为10 x 7 mm (0.40” x 0.28”)（宽 x 高）。</w:t>
            </w:r>
          </w:p>
          <w:p w14:paraId="78DC21AF">
            <w:pPr>
              <w:spacing w:line="360" w:lineRule="auto"/>
              <w:jc w:val="left"/>
              <w:rPr>
                <w:rFonts w:hint="eastAsia" w:ascii="宋体" w:hAnsi="宋体" w:cs="宋体"/>
                <w:sz w:val="24"/>
              </w:rPr>
            </w:pPr>
            <w:r>
              <w:rPr>
                <w:rFonts w:hint="eastAsia" w:ascii="宋体" w:hAnsi="宋体" w:cs="宋体"/>
                <w:sz w:val="24"/>
              </w:rPr>
              <w:t>5.3 光度测定范围：≤10nm; 取样间隔≤3.5nm；扫描长度：不低于260mm (10.24")；短期可重复性 - 白色：0.05 dE00 on white (D50,2°，每隔3秒测量一次白色，取10次的平均值)；光谱分析器：带内置波长校准；全息衍射光栅，采用128像素二极管阵列；光谱范围：不低于380 - 730 nm；光谱报告：不低于380 ...730 nm ，步进10 nm。</w:t>
            </w:r>
          </w:p>
          <w:p w14:paraId="30053A00">
            <w:pPr>
              <w:spacing w:line="360" w:lineRule="auto"/>
              <w:jc w:val="left"/>
              <w:rPr>
                <w:rFonts w:hint="eastAsia" w:ascii="宋体" w:hAnsi="宋体" w:cs="宋体"/>
                <w:b/>
                <w:bCs/>
                <w:sz w:val="24"/>
              </w:rPr>
            </w:pPr>
            <w:r>
              <w:rPr>
                <w:rFonts w:hint="eastAsia" w:ascii="宋体" w:hAnsi="宋体" w:cs="宋体"/>
                <w:sz w:val="24"/>
              </w:rPr>
              <w:t xml:space="preserve">6 </w:t>
            </w:r>
            <w:r>
              <w:rPr>
                <w:rFonts w:hint="eastAsia" w:ascii="宋体" w:hAnsi="宋体" w:cs="宋体"/>
                <w:b/>
                <w:bCs/>
                <w:sz w:val="24"/>
              </w:rPr>
              <w:t>全自动智能柜式胶装机</w:t>
            </w:r>
          </w:p>
          <w:p w14:paraId="538EDC8E">
            <w:pPr>
              <w:spacing w:line="360" w:lineRule="auto"/>
              <w:jc w:val="left"/>
              <w:rPr>
                <w:rFonts w:hint="eastAsia" w:ascii="宋体" w:hAnsi="宋体" w:cs="宋体"/>
                <w:sz w:val="24"/>
              </w:rPr>
            </w:pPr>
            <w:r>
              <w:rPr>
                <w:rFonts w:hint="eastAsia" w:ascii="宋体" w:hAnsi="宋体" w:cs="宋体"/>
                <w:sz w:val="24"/>
              </w:rPr>
              <w:t>6.1 内页加紧方式：气动加紧；电机：伺服电机；变频器：双变频；封皮定位：封皮自动进纸定位。</w:t>
            </w:r>
          </w:p>
          <w:p w14:paraId="2AB00329">
            <w:pPr>
              <w:spacing w:line="360" w:lineRule="auto"/>
              <w:jc w:val="left"/>
              <w:rPr>
                <w:rFonts w:hint="eastAsia" w:ascii="宋体" w:hAnsi="宋体" w:cs="宋体"/>
                <w:sz w:val="24"/>
              </w:rPr>
            </w:pPr>
            <w:r>
              <w:rPr>
                <w:rFonts w:hint="eastAsia" w:ascii="宋体" w:hAnsi="宋体" w:cs="宋体"/>
                <w:sz w:val="24"/>
              </w:rPr>
              <w:t>6.2 上胶方式：背胶＋侧胶；铣刀：≤32刃太阳刀＋2个小铣刀，锋利能将书帖铣透、平整；操作方式：彩色液晶触摸屏；胶装规格：不小于310*220mm。</w:t>
            </w:r>
          </w:p>
          <w:p w14:paraId="3D7611FD">
            <w:pPr>
              <w:spacing w:line="360" w:lineRule="auto"/>
              <w:jc w:val="left"/>
              <w:rPr>
                <w:rFonts w:hint="eastAsia" w:ascii="宋体" w:hAnsi="宋体" w:cs="宋体"/>
                <w:sz w:val="24"/>
              </w:rPr>
            </w:pPr>
            <w:r>
              <w:rPr>
                <w:rFonts w:hint="eastAsia" w:ascii="宋体" w:hAnsi="宋体" w:cs="宋体"/>
                <w:sz w:val="24"/>
              </w:rPr>
              <w:t>6.3 封面厚度调节：独立旋钮调节自动进纸厚度；封面规格：不小于330*480mm；封面长度调节：独立旋钮调节自动进纸定位长度；胶装厚度：不低于2-50mm；方圆调节：独立单个整体转盘调节；自动进纸安全保护：安全防护罩；铣刀热熔胶安全保护：安全防护外罩；预热时间：不超过40/min；胶装速度：不低于360本／h。</w:t>
            </w:r>
          </w:p>
          <w:p w14:paraId="759CE56F">
            <w:pPr>
              <w:spacing w:line="360" w:lineRule="auto"/>
              <w:jc w:val="left"/>
              <w:rPr>
                <w:rFonts w:hint="eastAsia" w:ascii="宋体" w:hAnsi="宋体" w:cs="宋体"/>
                <w:b/>
                <w:bCs/>
                <w:sz w:val="24"/>
              </w:rPr>
            </w:pPr>
            <w:r>
              <w:rPr>
                <w:rFonts w:hint="eastAsia" w:ascii="宋体" w:hAnsi="宋体" w:cs="宋体"/>
                <w:b/>
                <w:bCs/>
                <w:sz w:val="24"/>
              </w:rPr>
              <w:t>7主要配置</w:t>
            </w:r>
          </w:p>
          <w:p w14:paraId="1F1ABAF4">
            <w:pPr>
              <w:spacing w:line="360" w:lineRule="auto"/>
              <w:jc w:val="left"/>
              <w:rPr>
                <w:rFonts w:hint="eastAsia" w:ascii="宋体" w:hAnsi="宋体" w:cs="宋体"/>
                <w:sz w:val="24"/>
              </w:rPr>
            </w:pPr>
            <w:r>
              <w:rPr>
                <w:rFonts w:hint="eastAsia" w:ascii="宋体" w:hAnsi="宋体" w:cs="宋体"/>
                <w:sz w:val="24"/>
              </w:rPr>
              <w:t>1台彩色喷墨阵列式数码复合机，1套仪器配套控制系统，1套印前编辑工具，1台标准灯箱，2套分光光度仪，1台全自动智能柜式胶装机。</w:t>
            </w:r>
          </w:p>
        </w:tc>
        <w:tc>
          <w:tcPr>
            <w:tcW w:w="850" w:type="dxa"/>
            <w:vAlign w:val="center"/>
          </w:tcPr>
          <w:p w14:paraId="5F82DE35">
            <w:pPr>
              <w:spacing w:line="360" w:lineRule="auto"/>
              <w:jc w:val="center"/>
              <w:rPr>
                <w:rFonts w:hint="eastAsia" w:ascii="宋体" w:hAnsi="宋体" w:cs="宋体"/>
                <w:sz w:val="24"/>
              </w:rPr>
            </w:pPr>
            <w:r>
              <w:rPr>
                <w:rFonts w:hint="eastAsia" w:ascii="宋体" w:hAnsi="宋体" w:cs="宋体"/>
                <w:sz w:val="24"/>
              </w:rPr>
              <w:t>套</w:t>
            </w:r>
          </w:p>
        </w:tc>
        <w:tc>
          <w:tcPr>
            <w:tcW w:w="850" w:type="dxa"/>
            <w:vAlign w:val="center"/>
          </w:tcPr>
          <w:p w14:paraId="3A93809B">
            <w:pPr>
              <w:spacing w:line="360" w:lineRule="auto"/>
              <w:jc w:val="center"/>
              <w:rPr>
                <w:rFonts w:hint="eastAsia" w:ascii="宋体" w:hAnsi="宋体" w:cs="宋体"/>
                <w:sz w:val="24"/>
              </w:rPr>
            </w:pPr>
            <w:r>
              <w:rPr>
                <w:rFonts w:hint="eastAsia" w:ascii="宋体" w:hAnsi="宋体" w:cs="宋体"/>
                <w:sz w:val="24"/>
              </w:rPr>
              <w:t>1</w:t>
            </w:r>
          </w:p>
        </w:tc>
      </w:tr>
      <w:tr w14:paraId="79B568F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630" w:hRule="atLeast"/>
          <w:jc w:val="center"/>
        </w:trPr>
        <w:tc>
          <w:tcPr>
            <w:tcW w:w="817" w:type="dxa"/>
            <w:vAlign w:val="center"/>
          </w:tcPr>
          <w:p w14:paraId="31EEB016">
            <w:pPr>
              <w:spacing w:line="360" w:lineRule="auto"/>
              <w:jc w:val="center"/>
              <w:rPr>
                <w:rFonts w:hint="eastAsia" w:ascii="宋体" w:hAnsi="宋体" w:cs="宋体"/>
                <w:sz w:val="24"/>
              </w:rPr>
            </w:pPr>
            <w:r>
              <w:rPr>
                <w:rFonts w:hint="eastAsia" w:ascii="宋体" w:hAnsi="宋体" w:cs="宋体"/>
                <w:sz w:val="24"/>
              </w:rPr>
              <w:t>单张纸彩色生产型数字印刷系统</w:t>
            </w:r>
          </w:p>
        </w:tc>
        <w:tc>
          <w:tcPr>
            <w:tcW w:w="851" w:type="dxa"/>
            <w:vAlign w:val="center"/>
          </w:tcPr>
          <w:p w14:paraId="2CE60B0B">
            <w:pPr>
              <w:spacing w:line="360" w:lineRule="auto"/>
              <w:jc w:val="center"/>
              <w:rPr>
                <w:rFonts w:hint="eastAsia" w:ascii="宋体" w:hAnsi="宋体" w:cs="宋体"/>
                <w:sz w:val="24"/>
              </w:rPr>
            </w:pPr>
            <w:r>
              <w:rPr>
                <w:rFonts w:hint="eastAsia" w:ascii="宋体" w:hAnsi="宋体" w:cs="宋体"/>
                <w:sz w:val="24"/>
              </w:rPr>
              <w:t>否</w:t>
            </w:r>
          </w:p>
        </w:tc>
        <w:tc>
          <w:tcPr>
            <w:tcW w:w="10532" w:type="dxa"/>
            <w:vAlign w:val="center"/>
          </w:tcPr>
          <w:p w14:paraId="104270AD">
            <w:pPr>
              <w:spacing w:line="360" w:lineRule="auto"/>
              <w:rPr>
                <w:rFonts w:hint="eastAsia" w:ascii="宋体" w:hAnsi="宋体" w:cs="宋体"/>
                <w:b/>
                <w:bCs/>
                <w:sz w:val="24"/>
              </w:rPr>
            </w:pPr>
            <w:r>
              <w:rPr>
                <w:rFonts w:hint="eastAsia" w:ascii="宋体" w:hAnsi="宋体" w:cs="宋体"/>
                <w:b/>
                <w:bCs/>
                <w:sz w:val="24"/>
              </w:rPr>
              <w:t>1单张纸彩色生产型数字印刷系统</w:t>
            </w:r>
          </w:p>
          <w:p w14:paraId="5FE961DB">
            <w:pPr>
              <w:spacing w:line="360" w:lineRule="auto"/>
              <w:rPr>
                <w:rFonts w:hint="eastAsia" w:ascii="宋体" w:hAnsi="宋体" w:cs="宋体"/>
                <w:sz w:val="24"/>
              </w:rPr>
            </w:pPr>
            <w:r>
              <w:rPr>
                <w:rFonts w:hint="eastAsia" w:ascii="宋体" w:hAnsi="宋体" w:cs="宋体"/>
                <w:sz w:val="24"/>
              </w:rPr>
              <w:t>1.1 类型：落地式。定影方式：无油带式定影。</w:t>
            </w:r>
          </w:p>
          <w:p w14:paraId="175BF391">
            <w:pPr>
              <w:spacing w:line="360" w:lineRule="auto"/>
              <w:rPr>
                <w:rFonts w:hint="eastAsia" w:ascii="宋体" w:hAnsi="宋体" w:cs="宋体"/>
                <w:sz w:val="24"/>
              </w:rPr>
            </w:pPr>
            <w:r>
              <w:rPr>
                <w:rFonts w:hint="eastAsia" w:ascii="宋体" w:hAnsi="宋体" w:cs="宋体"/>
                <w:sz w:val="24"/>
              </w:rPr>
              <w:t>1.2打印速度：不小于85 页/ 分钟（A4）/49 页/ 分钟（A3）。</w:t>
            </w:r>
          </w:p>
          <w:p w14:paraId="3D9BAF75">
            <w:pPr>
              <w:spacing w:line="360" w:lineRule="auto"/>
              <w:rPr>
                <w:rFonts w:hint="eastAsia" w:ascii="宋体" w:hAnsi="宋体" w:cs="宋体"/>
                <w:sz w:val="24"/>
              </w:rPr>
            </w:pPr>
            <w:r>
              <w:rPr>
                <w:rFonts w:hint="eastAsia" w:ascii="宋体" w:hAnsi="宋体" w:cs="宋体"/>
                <w:sz w:val="24"/>
              </w:rPr>
              <w:t>*1.3支持纸张克重：最重不小于470g/㎡，提供相关证明材料并加盖公章包括但不仅限于：实物照片或官网截图或产品彩页或检测报告或功能截图等。</w:t>
            </w:r>
          </w:p>
          <w:p w14:paraId="18A6F4AC">
            <w:pPr>
              <w:spacing w:line="360" w:lineRule="auto"/>
              <w:rPr>
                <w:rFonts w:hint="eastAsia" w:ascii="宋体" w:hAnsi="宋体" w:cs="宋体"/>
                <w:sz w:val="24"/>
              </w:rPr>
            </w:pPr>
            <w:r>
              <w:rPr>
                <w:rFonts w:hint="eastAsia" w:ascii="宋体" w:hAnsi="宋体" w:cs="宋体"/>
                <w:sz w:val="24"/>
              </w:rPr>
              <w:t>*1.4输出分辨率：不小于2400dpi x 4800dpi，提供相关证明材料并加盖公章包括但不仅限于：实物照片或官网截图或产品彩页或检测报告或功能截图等。</w:t>
            </w:r>
          </w:p>
          <w:p w14:paraId="580523CE">
            <w:pPr>
              <w:spacing w:line="360" w:lineRule="auto"/>
              <w:rPr>
                <w:rFonts w:hint="eastAsia" w:ascii="宋体" w:hAnsi="宋体" w:cs="宋体"/>
                <w:sz w:val="24"/>
              </w:rPr>
            </w:pPr>
            <w:r>
              <w:rPr>
                <w:rFonts w:hint="eastAsia" w:ascii="宋体" w:hAnsi="宋体" w:cs="宋体"/>
                <w:sz w:val="24"/>
              </w:rPr>
              <w:t>1.5标准纸张尺寸：210x420mm– 330x487mm；颜色配置：4色：CMYK（另外可扩展不少于4个专色）。</w:t>
            </w:r>
          </w:p>
          <w:p w14:paraId="583B6DF3">
            <w:pPr>
              <w:spacing w:line="360" w:lineRule="auto"/>
              <w:rPr>
                <w:rFonts w:hint="eastAsia" w:ascii="宋体" w:hAnsi="宋体" w:cs="宋体"/>
                <w:sz w:val="24"/>
              </w:rPr>
            </w:pPr>
            <w:r>
              <w:rPr>
                <w:rFonts w:hint="eastAsia" w:ascii="宋体" w:hAnsi="宋体" w:cs="宋体"/>
                <w:sz w:val="24"/>
              </w:rPr>
              <w:t>*1.6最大长纸尺寸：≤330x 1260mm（单面），≤330x 1030mm（双面），提供相关证明材料并加盖公章包括但不仅限于：实物照片或官网截图或产品彩页或检测报告或功能截图等。</w:t>
            </w:r>
          </w:p>
          <w:p w14:paraId="7AF5F47E">
            <w:pPr>
              <w:spacing w:line="360" w:lineRule="auto"/>
              <w:rPr>
                <w:rFonts w:hint="eastAsia" w:ascii="宋体" w:hAnsi="宋体" w:cs="宋体"/>
                <w:sz w:val="24"/>
              </w:rPr>
            </w:pPr>
            <w:r>
              <w:rPr>
                <w:rFonts w:hint="eastAsia" w:ascii="宋体" w:hAnsi="宋体" w:cs="宋体"/>
                <w:sz w:val="24"/>
              </w:rPr>
              <w:t>1.7 加长送纸单元：最长不低于1260mm。</w:t>
            </w:r>
          </w:p>
          <w:p w14:paraId="48B17138">
            <w:pPr>
              <w:spacing w:line="360" w:lineRule="auto"/>
              <w:rPr>
                <w:rFonts w:hint="eastAsia" w:ascii="宋体" w:hAnsi="宋体" w:cs="宋体"/>
                <w:sz w:val="24"/>
              </w:rPr>
            </w:pPr>
            <w:r>
              <w:rPr>
                <w:rFonts w:hint="eastAsia" w:ascii="宋体" w:hAnsi="宋体" w:cs="宋体"/>
                <w:sz w:val="24"/>
              </w:rPr>
              <w:t>1.8CPU不低于16核24线程（8个性能核+8个能效核，3.0 GHz, 4.1 GHz 睿频）；HDD：不低于256GB SSD SATA + 1TB HD SATA。</w:t>
            </w:r>
          </w:p>
          <w:p w14:paraId="5A515D77">
            <w:pPr>
              <w:spacing w:line="360" w:lineRule="auto"/>
              <w:rPr>
                <w:rFonts w:hint="eastAsia" w:ascii="宋体" w:hAnsi="宋体" w:cs="宋体"/>
                <w:sz w:val="24"/>
              </w:rPr>
            </w:pPr>
            <w:r>
              <w:rPr>
                <w:rFonts w:hint="eastAsia" w:ascii="宋体" w:hAnsi="宋体" w:cs="宋体"/>
                <w:sz w:val="24"/>
              </w:rPr>
              <w:t>1.9支持数据格式：不低于PS, PDF, EPS, TIFF, PCL, PDF/VT, PPML, VPS。</w:t>
            </w:r>
          </w:p>
          <w:p w14:paraId="7E7B7C30">
            <w:pPr>
              <w:spacing w:line="360" w:lineRule="auto"/>
              <w:rPr>
                <w:rFonts w:hint="eastAsia" w:ascii="宋体" w:hAnsi="宋体" w:cs="宋体"/>
                <w:sz w:val="24"/>
              </w:rPr>
            </w:pPr>
            <w:r>
              <w:rPr>
                <w:rFonts w:hint="eastAsia" w:ascii="宋体" w:hAnsi="宋体" w:cs="宋体"/>
                <w:sz w:val="24"/>
              </w:rPr>
              <w:t>1.10包含原装1套墨盒。</w:t>
            </w:r>
          </w:p>
          <w:p w14:paraId="62583519">
            <w:pPr>
              <w:spacing w:line="360" w:lineRule="auto"/>
              <w:jc w:val="left"/>
              <w:rPr>
                <w:rFonts w:hint="eastAsia" w:ascii="宋体" w:hAnsi="宋体" w:cs="宋体"/>
                <w:b/>
                <w:bCs/>
                <w:sz w:val="24"/>
              </w:rPr>
            </w:pPr>
            <w:r>
              <w:rPr>
                <w:rFonts w:hint="eastAsia" w:ascii="宋体" w:hAnsi="宋体" w:cs="宋体"/>
                <w:b/>
                <w:bCs/>
                <w:sz w:val="24"/>
              </w:rPr>
              <w:t>2 仪器配套控制系统</w:t>
            </w:r>
          </w:p>
          <w:p w14:paraId="6CF9DD11">
            <w:pPr>
              <w:spacing w:line="360" w:lineRule="auto"/>
              <w:jc w:val="left"/>
              <w:rPr>
                <w:rFonts w:hint="eastAsia" w:ascii="宋体" w:hAnsi="宋体" w:cs="宋体"/>
                <w:sz w:val="24"/>
              </w:rPr>
            </w:pPr>
            <w:r>
              <w:rPr>
                <w:rFonts w:hint="eastAsia" w:ascii="宋体" w:hAnsi="宋体" w:cs="宋体"/>
                <w:sz w:val="24"/>
              </w:rPr>
              <w:t>2.1主板：不低于700系列芯片组；CPU：16核24线程（8个性能核+8个能效核），性能核基础频率≥2.1GHz，最高睿频≥5.2GHz；内存：≥32G DDR4 3200MHz或DDR5 4800MHz，双内存通道，内存插槽≥2个，最大可扩展容量≥64G。</w:t>
            </w:r>
          </w:p>
          <w:p w14:paraId="48A2BEF9">
            <w:pPr>
              <w:spacing w:line="360" w:lineRule="auto"/>
              <w:jc w:val="left"/>
              <w:rPr>
                <w:rFonts w:hint="eastAsia" w:ascii="宋体" w:hAnsi="宋体" w:cs="宋体"/>
                <w:sz w:val="24"/>
              </w:rPr>
            </w:pPr>
            <w:r>
              <w:rPr>
                <w:rFonts w:hint="eastAsia" w:ascii="宋体" w:hAnsi="宋体" w:cs="宋体"/>
                <w:sz w:val="24"/>
              </w:rPr>
              <w:t>2.2硬盘：≥1TB M.2 PCIe NVMe固态硬盘；系统：兼容正版win11及以上；</w:t>
            </w:r>
            <w:r>
              <w:rPr>
                <w:rFonts w:hint="eastAsia" w:ascii="宋体" w:hAnsi="宋体" w:cs="宋体"/>
                <w:kern w:val="0"/>
                <w:sz w:val="24"/>
              </w:rPr>
              <w:t>显示器：≥27英寸液晶显示器。</w:t>
            </w:r>
          </w:p>
          <w:p w14:paraId="26854295">
            <w:pPr>
              <w:spacing w:line="360" w:lineRule="auto"/>
              <w:rPr>
                <w:rFonts w:hint="eastAsia" w:ascii="宋体" w:hAnsi="宋体" w:cs="宋体"/>
                <w:b/>
                <w:bCs/>
                <w:sz w:val="24"/>
              </w:rPr>
            </w:pPr>
            <w:r>
              <w:rPr>
                <w:rFonts w:hint="eastAsia" w:ascii="宋体" w:hAnsi="宋体" w:cs="宋体"/>
                <w:b/>
                <w:bCs/>
                <w:sz w:val="24"/>
              </w:rPr>
              <w:t>3 扫描式分光仪</w:t>
            </w:r>
          </w:p>
          <w:p w14:paraId="615805B9">
            <w:pPr>
              <w:spacing w:line="360" w:lineRule="auto"/>
              <w:rPr>
                <w:rFonts w:hint="eastAsia" w:ascii="宋体" w:hAnsi="宋体" w:cs="宋体"/>
                <w:sz w:val="24"/>
              </w:rPr>
            </w:pPr>
            <w:r>
              <w:rPr>
                <w:rFonts w:hint="eastAsia" w:ascii="宋体" w:hAnsi="宋体" w:cs="宋体"/>
                <w:sz w:val="24"/>
              </w:rPr>
              <w:t>3.1 校色：根据内置校准参考自动进行；通信接口：USB 1.1；连接：通电的USB端口；尺寸（长×宽×高）：不超过510 × 460 × 170 mm，20 × 18.1 × 6.7（宽 × 深 × 高）。</w:t>
            </w:r>
          </w:p>
          <w:p w14:paraId="08E081DF">
            <w:pPr>
              <w:spacing w:line="360" w:lineRule="auto"/>
              <w:rPr>
                <w:rFonts w:hint="eastAsia" w:ascii="宋体" w:hAnsi="宋体" w:cs="宋体"/>
                <w:b/>
                <w:bCs/>
                <w:sz w:val="24"/>
              </w:rPr>
            </w:pPr>
            <w:r>
              <w:rPr>
                <w:rFonts w:hint="eastAsia" w:ascii="宋体" w:hAnsi="宋体" w:cs="宋体"/>
                <w:sz w:val="24"/>
              </w:rPr>
              <w:t>3.2 经验水平：中级到高级；测量背景：白色；小媒介厚度：不小于10mm；色块尺寸：扫描模式下小色块尺寸：≤16 × 16 mm（0.63”× 0.63”）；扫描区域：定位区域：≤32 × 23 cm，12.6”× 9”（宽×高）；扫描功能：是；单次扫描：是；软件模式：基本和高级；设备颜色：黑色/银色；用户体验：可选“基本”的向导导向型界面或“高级”的用户导向型界面，获得专业级结果。</w:t>
            </w:r>
          </w:p>
          <w:p w14:paraId="27E2FE90">
            <w:pPr>
              <w:spacing w:line="360" w:lineRule="auto"/>
              <w:jc w:val="left"/>
              <w:rPr>
                <w:rFonts w:hint="eastAsia" w:ascii="宋体" w:hAnsi="宋体" w:cs="宋体"/>
                <w:b/>
                <w:bCs/>
                <w:sz w:val="24"/>
              </w:rPr>
            </w:pPr>
            <w:r>
              <w:rPr>
                <w:rFonts w:hint="eastAsia" w:ascii="宋体" w:hAnsi="宋体" w:cs="宋体"/>
                <w:b/>
                <w:bCs/>
                <w:sz w:val="24"/>
              </w:rPr>
              <w:t>4 主要配置</w:t>
            </w:r>
          </w:p>
          <w:p w14:paraId="4A4C96C8">
            <w:pPr>
              <w:spacing w:line="360" w:lineRule="auto"/>
              <w:rPr>
                <w:rFonts w:hint="eastAsia" w:ascii="宋体" w:hAnsi="宋体" w:cs="宋体"/>
                <w:sz w:val="24"/>
              </w:rPr>
            </w:pPr>
            <w:r>
              <w:rPr>
                <w:rFonts w:hint="eastAsia" w:ascii="宋体" w:hAnsi="宋体" w:cs="宋体"/>
                <w:sz w:val="24"/>
              </w:rPr>
              <w:t>1套单张纸彩色生产型数字印刷系统，1套仪器配套控制系统，2台扫描式分光仪。</w:t>
            </w:r>
          </w:p>
        </w:tc>
        <w:tc>
          <w:tcPr>
            <w:tcW w:w="850" w:type="dxa"/>
            <w:vAlign w:val="center"/>
          </w:tcPr>
          <w:p w14:paraId="77414088">
            <w:pPr>
              <w:spacing w:line="360" w:lineRule="auto"/>
              <w:jc w:val="center"/>
              <w:rPr>
                <w:rFonts w:hint="eastAsia" w:ascii="宋体" w:hAnsi="宋体" w:cs="宋体"/>
                <w:sz w:val="24"/>
              </w:rPr>
            </w:pPr>
            <w:r>
              <w:rPr>
                <w:rFonts w:hint="eastAsia" w:ascii="宋体" w:hAnsi="宋体" w:cs="宋体"/>
                <w:sz w:val="24"/>
              </w:rPr>
              <w:t>套</w:t>
            </w:r>
          </w:p>
        </w:tc>
        <w:tc>
          <w:tcPr>
            <w:tcW w:w="850" w:type="dxa"/>
            <w:vAlign w:val="center"/>
          </w:tcPr>
          <w:p w14:paraId="1D55A55B">
            <w:pPr>
              <w:spacing w:line="360" w:lineRule="auto"/>
              <w:jc w:val="center"/>
              <w:rPr>
                <w:rFonts w:hint="eastAsia" w:ascii="宋体" w:hAnsi="宋体" w:cs="宋体"/>
                <w:sz w:val="24"/>
              </w:rPr>
            </w:pPr>
            <w:r>
              <w:rPr>
                <w:rFonts w:hint="eastAsia" w:ascii="宋体" w:hAnsi="宋体" w:cs="宋体"/>
                <w:sz w:val="24"/>
              </w:rPr>
              <w:t>1</w:t>
            </w:r>
          </w:p>
        </w:tc>
      </w:tr>
      <w:tr w14:paraId="44D3B97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630" w:hRule="atLeast"/>
          <w:jc w:val="center"/>
        </w:trPr>
        <w:tc>
          <w:tcPr>
            <w:tcW w:w="817" w:type="dxa"/>
            <w:vAlign w:val="center"/>
          </w:tcPr>
          <w:p w14:paraId="3F882AC3">
            <w:pPr>
              <w:spacing w:line="360" w:lineRule="auto"/>
              <w:jc w:val="center"/>
              <w:rPr>
                <w:rFonts w:hint="eastAsia" w:ascii="宋体" w:hAnsi="宋体" w:cs="宋体"/>
                <w:sz w:val="24"/>
              </w:rPr>
            </w:pPr>
            <w:r>
              <w:rPr>
                <w:rFonts w:hint="eastAsia" w:ascii="宋体" w:hAnsi="宋体" w:cs="宋体"/>
                <w:sz w:val="24"/>
              </w:rPr>
              <w:t>图像分光测色仪</w:t>
            </w:r>
          </w:p>
        </w:tc>
        <w:tc>
          <w:tcPr>
            <w:tcW w:w="851" w:type="dxa"/>
            <w:vAlign w:val="center"/>
          </w:tcPr>
          <w:p w14:paraId="65DD57AD">
            <w:pPr>
              <w:spacing w:line="360" w:lineRule="auto"/>
              <w:jc w:val="center"/>
              <w:rPr>
                <w:rFonts w:hint="eastAsia" w:ascii="宋体" w:hAnsi="宋体" w:cs="宋体"/>
                <w:sz w:val="24"/>
              </w:rPr>
            </w:pPr>
            <w:r>
              <w:rPr>
                <w:rFonts w:hint="eastAsia" w:ascii="宋体" w:hAnsi="宋体" w:cs="宋体"/>
                <w:sz w:val="24"/>
              </w:rPr>
              <w:t>否</w:t>
            </w:r>
          </w:p>
        </w:tc>
        <w:tc>
          <w:tcPr>
            <w:tcW w:w="10532" w:type="dxa"/>
            <w:vAlign w:val="center"/>
          </w:tcPr>
          <w:p w14:paraId="777963B5">
            <w:pPr>
              <w:spacing w:line="360" w:lineRule="auto"/>
              <w:rPr>
                <w:rFonts w:hint="eastAsia" w:ascii="宋体" w:hAnsi="宋体" w:cs="宋体"/>
                <w:b/>
                <w:bCs/>
                <w:sz w:val="24"/>
              </w:rPr>
            </w:pPr>
            <w:r>
              <w:rPr>
                <w:rFonts w:hint="eastAsia" w:ascii="宋体" w:hAnsi="宋体" w:cs="宋体"/>
                <w:b/>
                <w:bCs/>
                <w:sz w:val="24"/>
              </w:rPr>
              <w:t>1图像分光测色仪</w:t>
            </w:r>
          </w:p>
          <w:p w14:paraId="06F30B1F">
            <w:pPr>
              <w:spacing w:line="360" w:lineRule="auto"/>
              <w:rPr>
                <w:rFonts w:hint="eastAsia" w:ascii="宋体" w:hAnsi="宋体" w:cs="宋体"/>
                <w:sz w:val="24"/>
              </w:rPr>
            </w:pPr>
            <w:r>
              <w:rPr>
                <w:rFonts w:hint="eastAsia" w:ascii="宋体" w:hAnsi="宋体" w:cs="宋体"/>
                <w:sz w:val="24"/>
              </w:rPr>
              <w:t>1.1 照明/测量条件：反射：d/8，透射：d/0。</w:t>
            </w:r>
          </w:p>
          <w:p w14:paraId="34FE5B2F">
            <w:pPr>
              <w:spacing w:line="360" w:lineRule="auto"/>
              <w:rPr>
                <w:rFonts w:hint="eastAsia" w:ascii="宋体" w:hAnsi="宋体" w:cs="宋体"/>
                <w:sz w:val="24"/>
              </w:rPr>
            </w:pPr>
            <w:r>
              <w:rPr>
                <w:rFonts w:hint="eastAsia" w:ascii="宋体" w:hAnsi="宋体" w:cs="宋体"/>
                <w:sz w:val="24"/>
              </w:rPr>
              <w:t>*1.2传感器：差分光谱引擎，提供相关证明材料并加盖公章包括但不仅限于：实物照片或官网截图或产品彩页或检测报告或功能截图等。</w:t>
            </w:r>
          </w:p>
          <w:p w14:paraId="1CFCF963">
            <w:pPr>
              <w:spacing w:line="360" w:lineRule="auto"/>
              <w:rPr>
                <w:rFonts w:hint="eastAsia" w:ascii="宋体" w:hAnsi="宋体" w:cs="宋体"/>
                <w:sz w:val="24"/>
              </w:rPr>
            </w:pPr>
            <w:r>
              <w:rPr>
                <w:rFonts w:hint="eastAsia" w:ascii="宋体" w:hAnsi="宋体" w:cs="宋体"/>
                <w:sz w:val="24"/>
              </w:rPr>
              <w:t>1.3波长范围：不低于360nm-780nm。波长间隔：≤10nm。反射率范围：0-200%，分辨率≤0.01%，透射：Φ17mm/Φ25mm。</w:t>
            </w:r>
          </w:p>
          <w:p w14:paraId="2FF8003D">
            <w:pPr>
              <w:spacing w:line="360" w:lineRule="auto"/>
              <w:rPr>
                <w:rFonts w:hint="eastAsia" w:ascii="宋体" w:hAnsi="宋体" w:cs="宋体"/>
                <w:sz w:val="24"/>
              </w:rPr>
            </w:pPr>
            <w:r>
              <w:rPr>
                <w:rFonts w:hint="eastAsia" w:ascii="宋体" w:hAnsi="宋体" w:cs="宋体"/>
                <w:sz w:val="24"/>
              </w:rPr>
              <w:t>*1.4重复性：双光路设计重复性精度ΔE*ab≤0.005，出具第三方检测机构检测报告。</w:t>
            </w:r>
          </w:p>
          <w:p w14:paraId="582E039E">
            <w:pPr>
              <w:spacing w:line="360" w:lineRule="auto"/>
              <w:rPr>
                <w:rFonts w:hint="eastAsia" w:ascii="宋体" w:hAnsi="宋体" w:cs="宋体"/>
                <w:sz w:val="24"/>
              </w:rPr>
            </w:pPr>
            <w:r>
              <w:rPr>
                <w:rFonts w:hint="eastAsia" w:ascii="宋体" w:hAnsi="宋体" w:cs="宋体"/>
                <w:sz w:val="24"/>
              </w:rPr>
              <w:t>*1.5台间差：XLAV ΔE*ab 0.08。口径：XLAV Φ25.4mm/Φ30mm；LAVΦ15mm/Φ18mm；MAVΦ8mm/Φ11mm；SAVΦ3mm/Φ6mm，用户可以自定义口径，口径切换自动识别，提供相关证明材料并加盖公章包括但不仅限于：实物照片或官网截图或产品彩页或检测报告或功能截图等。</w:t>
            </w:r>
          </w:p>
          <w:p w14:paraId="784DADF8">
            <w:pPr>
              <w:spacing w:line="360" w:lineRule="auto"/>
              <w:rPr>
                <w:rFonts w:hint="eastAsia" w:ascii="宋体" w:hAnsi="宋体" w:cs="宋体"/>
                <w:sz w:val="24"/>
              </w:rPr>
            </w:pPr>
            <w:r>
              <w:rPr>
                <w:rFonts w:hint="eastAsia" w:ascii="宋体" w:hAnsi="宋体" w:cs="宋体"/>
                <w:sz w:val="24"/>
              </w:rPr>
              <w:t>1.6标准观察者；2°或10°。光源：照明光源LED灯和脉冲氙灯，测量光源是：A,B,C,D50,D55,D65,D75等多种光源。颜色空间：CIE LAB,CIE LUV,LCh,HunterLab,Yxy,XYZ,Musell,RGB,βxy。</w:t>
            </w:r>
          </w:p>
          <w:p w14:paraId="571800AC">
            <w:pPr>
              <w:spacing w:line="360" w:lineRule="auto"/>
              <w:rPr>
                <w:rFonts w:hint="eastAsia" w:ascii="宋体" w:hAnsi="宋体" w:cs="宋体"/>
                <w:sz w:val="24"/>
              </w:rPr>
            </w:pPr>
            <w:r>
              <w:rPr>
                <w:rFonts w:hint="eastAsia" w:ascii="宋体" w:hAnsi="宋体" w:cs="宋体"/>
                <w:sz w:val="24"/>
              </w:rPr>
              <w:t>1.7色度指标：WI,YI,同色异谱指数Milm,沾色牢度,变色牢度,ISO亮度,R457,A密度,T密度,E密度,M密度,APHA/Hazen/Pt-Co(铂钴指数),Gardner(加德纳指数),Saybolt(塞伯特指数),Astm color透过率，雾度，力份，强度。</w:t>
            </w:r>
          </w:p>
          <w:p w14:paraId="4EDEB0CF">
            <w:pPr>
              <w:spacing w:line="360" w:lineRule="auto"/>
              <w:rPr>
                <w:rFonts w:hint="eastAsia" w:ascii="宋体" w:hAnsi="宋体" w:cs="宋体"/>
                <w:sz w:val="24"/>
              </w:rPr>
            </w:pPr>
            <w:r>
              <w:rPr>
                <w:rFonts w:hint="eastAsia" w:ascii="宋体" w:hAnsi="宋体" w:cs="宋体"/>
                <w:sz w:val="24"/>
              </w:rPr>
              <w:t>1.8存储空间：10万条以上或≥8GB内存。摄像头取景定位：超清摄像头(≤1400dpi)，物品显示更加清晰。</w:t>
            </w:r>
          </w:p>
          <w:p w14:paraId="5031C55F">
            <w:pPr>
              <w:spacing w:line="360" w:lineRule="auto"/>
              <w:rPr>
                <w:rFonts w:hint="eastAsia" w:ascii="宋体" w:hAnsi="宋体" w:cs="宋体"/>
                <w:sz w:val="24"/>
              </w:rPr>
            </w:pPr>
            <w:r>
              <w:rPr>
                <w:rFonts w:hint="eastAsia" w:ascii="宋体" w:hAnsi="宋体" w:cs="宋体"/>
                <w:sz w:val="24"/>
              </w:rPr>
              <w:t>1.9校准功能：自动校准，自动口径识别。荧光校准：有荧光校准，自动调节UV强度，测荧光材料保证仪器数值与基准级数值高度一致。亮度校准：有（通过亮度校准算法，真实还原超深色样品颜色）。</w:t>
            </w:r>
          </w:p>
          <w:p w14:paraId="206DB4FD">
            <w:pPr>
              <w:spacing w:line="360" w:lineRule="auto"/>
              <w:jc w:val="left"/>
              <w:rPr>
                <w:rFonts w:hint="eastAsia" w:ascii="宋体" w:hAnsi="宋体" w:cs="宋体"/>
                <w:sz w:val="24"/>
              </w:rPr>
            </w:pPr>
            <w:r>
              <w:rPr>
                <w:rFonts w:hint="eastAsia" w:ascii="宋体" w:hAnsi="宋体" w:cs="宋体"/>
                <w:sz w:val="24"/>
              </w:rPr>
              <w:t>1.10接口：不少于RS-232、USB、USB-B、蓝牙。</w:t>
            </w:r>
          </w:p>
          <w:p w14:paraId="2BC521D5">
            <w:pPr>
              <w:spacing w:line="360" w:lineRule="auto"/>
              <w:jc w:val="left"/>
              <w:rPr>
                <w:rFonts w:hint="eastAsia" w:ascii="宋体" w:hAnsi="宋体" w:cs="宋体"/>
                <w:b/>
                <w:bCs/>
                <w:sz w:val="24"/>
              </w:rPr>
            </w:pPr>
            <w:r>
              <w:rPr>
                <w:rFonts w:hint="eastAsia" w:ascii="宋体" w:hAnsi="宋体" w:cs="宋体"/>
                <w:b/>
                <w:bCs/>
                <w:sz w:val="24"/>
              </w:rPr>
              <w:t>2仪器配套控制系统</w:t>
            </w:r>
          </w:p>
          <w:p w14:paraId="44AFACA3">
            <w:pPr>
              <w:spacing w:line="360" w:lineRule="auto"/>
              <w:jc w:val="left"/>
              <w:rPr>
                <w:rFonts w:hint="eastAsia" w:ascii="宋体" w:hAnsi="宋体" w:cs="宋体"/>
                <w:sz w:val="24"/>
              </w:rPr>
            </w:pPr>
            <w:r>
              <w:rPr>
                <w:rFonts w:hint="eastAsia" w:ascii="宋体" w:hAnsi="宋体" w:cs="宋体"/>
                <w:sz w:val="24"/>
              </w:rPr>
              <w:t>2.1主板：不低于700系列芯片组；CPU：16核24线程（8个性能核+8个能效核），性能核基础频率≥2.1GHz，最高睿频≥5.2GHz；内存：≥32G DDR4 3200MHz或DDR5 4800MHz，双内存通道，内存插槽≥2个，最大可扩展容量≥64G。</w:t>
            </w:r>
          </w:p>
          <w:p w14:paraId="227ED543">
            <w:pPr>
              <w:spacing w:line="360" w:lineRule="auto"/>
              <w:jc w:val="left"/>
              <w:rPr>
                <w:rFonts w:hint="eastAsia" w:ascii="宋体" w:hAnsi="宋体" w:cs="宋体"/>
                <w:sz w:val="24"/>
              </w:rPr>
            </w:pPr>
            <w:r>
              <w:rPr>
                <w:rFonts w:hint="eastAsia" w:ascii="宋体" w:hAnsi="宋体" w:cs="宋体"/>
                <w:sz w:val="24"/>
              </w:rPr>
              <w:t>2.2硬盘：≥1TB M.2 PCIe NVMe固态硬盘；系统：兼容正版win11及以上；</w:t>
            </w:r>
            <w:r>
              <w:rPr>
                <w:rFonts w:hint="eastAsia" w:ascii="宋体" w:hAnsi="宋体" w:cs="宋体"/>
                <w:kern w:val="0"/>
                <w:sz w:val="24"/>
              </w:rPr>
              <w:t>显示器：≥27英寸液晶显示器。</w:t>
            </w:r>
          </w:p>
          <w:p w14:paraId="76C84254">
            <w:pPr>
              <w:spacing w:line="360" w:lineRule="auto"/>
              <w:rPr>
                <w:rFonts w:hint="eastAsia" w:ascii="宋体" w:hAnsi="宋体" w:cs="宋体"/>
                <w:b/>
                <w:bCs/>
                <w:sz w:val="24"/>
              </w:rPr>
            </w:pPr>
            <w:r>
              <w:rPr>
                <w:rFonts w:hint="eastAsia" w:ascii="宋体" w:hAnsi="宋体" w:cs="宋体"/>
                <w:b/>
                <w:bCs/>
                <w:sz w:val="24"/>
              </w:rPr>
              <w:t>3 近红外短波红外高光谱相机</w:t>
            </w:r>
          </w:p>
          <w:p w14:paraId="7BA58C4B">
            <w:pPr>
              <w:spacing w:line="360" w:lineRule="auto"/>
              <w:rPr>
                <w:rFonts w:hint="eastAsia" w:ascii="宋体" w:hAnsi="宋体" w:cs="宋体"/>
                <w:b/>
                <w:bCs/>
                <w:sz w:val="24"/>
              </w:rPr>
            </w:pPr>
            <w:r>
              <w:rPr>
                <w:rFonts w:hint="eastAsia" w:ascii="宋体" w:hAnsi="宋体" w:cs="宋体"/>
                <w:b/>
                <w:bCs/>
                <w:sz w:val="24"/>
              </w:rPr>
              <w:t>3.1便携式光谱成像仪</w:t>
            </w:r>
          </w:p>
          <w:p w14:paraId="19041C26">
            <w:pPr>
              <w:spacing w:line="360" w:lineRule="auto"/>
              <w:rPr>
                <w:rFonts w:hint="eastAsia" w:ascii="宋体" w:hAnsi="宋体" w:cs="宋体"/>
                <w:sz w:val="24"/>
              </w:rPr>
            </w:pPr>
            <w:r>
              <w:rPr>
                <w:rFonts w:hint="eastAsia" w:ascii="宋体" w:hAnsi="宋体" w:cs="宋体"/>
                <w:sz w:val="24"/>
              </w:rPr>
              <w:t>光谱范围：≥400-1000nm；光谱通道数：≥1200；照明方式：被动照明（不含光源）；探测器：CMOS；光谱分辨率：≤2.5nm；供电方式：USB供电；素大小：≥5.86µm x5.86µm；数字输出：≥12 bits；狭缝宽度：≥25µm；信噪比：600/1；空间像素数：≥1920；成像速度：全波段128fps，开启ROI后最高可达3300fps；相机接口：C口；相机输出：USB3.0；相机ROI：多个区域；透射效率：≥60%；杂散光：≤0.5%。</w:t>
            </w:r>
          </w:p>
          <w:p w14:paraId="4DB89DDE">
            <w:pPr>
              <w:spacing w:line="360" w:lineRule="auto"/>
              <w:rPr>
                <w:rFonts w:hint="eastAsia" w:ascii="宋体" w:hAnsi="宋体" w:cs="宋体"/>
                <w:b/>
                <w:bCs/>
                <w:sz w:val="24"/>
              </w:rPr>
            </w:pPr>
            <w:r>
              <w:rPr>
                <w:rFonts w:hint="eastAsia" w:ascii="宋体" w:hAnsi="宋体" w:cs="宋体"/>
                <w:b/>
                <w:bCs/>
                <w:sz w:val="24"/>
              </w:rPr>
              <w:t>3.2高光谱数据处理软件</w:t>
            </w:r>
          </w:p>
          <w:p w14:paraId="3E8D331A">
            <w:pPr>
              <w:spacing w:line="360" w:lineRule="auto"/>
              <w:rPr>
                <w:rFonts w:hint="eastAsia" w:ascii="宋体" w:hAnsi="宋体" w:cs="宋体"/>
                <w:sz w:val="24"/>
              </w:rPr>
            </w:pPr>
            <w:r>
              <w:rPr>
                <w:rFonts w:hint="eastAsia" w:ascii="宋体" w:hAnsi="宋体" w:cs="宋体"/>
                <w:sz w:val="24"/>
              </w:rPr>
              <w:t>快速完成大立方体高光谱数据拼接，包含自动拼接功能，支持单航次和多航次数据拼接；</w:t>
            </w:r>
          </w:p>
          <w:p w14:paraId="49EE4409">
            <w:pPr>
              <w:spacing w:line="360" w:lineRule="auto"/>
              <w:rPr>
                <w:rFonts w:hint="eastAsia" w:ascii="宋体" w:hAnsi="宋体" w:cs="宋体"/>
                <w:sz w:val="24"/>
              </w:rPr>
            </w:pPr>
            <w:r>
              <w:rPr>
                <w:rFonts w:hint="eastAsia" w:ascii="宋体" w:hAnsi="宋体" w:cs="宋体"/>
                <w:sz w:val="24"/>
              </w:rPr>
              <w:t>可根据电脑性能和电脑使用需求，定制化设置软件参数；</w:t>
            </w:r>
          </w:p>
          <w:p w14:paraId="54B4F412">
            <w:pPr>
              <w:spacing w:line="360" w:lineRule="auto"/>
              <w:rPr>
                <w:rFonts w:hint="eastAsia" w:ascii="宋体" w:hAnsi="宋体" w:cs="宋体"/>
                <w:sz w:val="24"/>
              </w:rPr>
            </w:pPr>
            <w:r>
              <w:rPr>
                <w:rFonts w:hint="eastAsia" w:ascii="宋体" w:hAnsi="宋体" w:cs="宋体"/>
                <w:sz w:val="24"/>
              </w:rPr>
              <w:t>可生成SPE格式高光谱数据及图像立方体，适用于ENVI等绝大多数光谱图像数据分析软件；</w:t>
            </w:r>
          </w:p>
          <w:p w14:paraId="3D043879">
            <w:pPr>
              <w:spacing w:line="360" w:lineRule="auto"/>
              <w:rPr>
                <w:rFonts w:hint="eastAsia" w:ascii="宋体" w:hAnsi="宋体" w:cs="宋体"/>
                <w:sz w:val="24"/>
              </w:rPr>
            </w:pPr>
            <w:r>
              <w:rPr>
                <w:rFonts w:hint="eastAsia" w:ascii="宋体" w:hAnsi="宋体" w:cs="宋体"/>
                <w:sz w:val="24"/>
              </w:rPr>
              <w:t>具有高光谱数据采集分析与处理软件，支持高光谱数据的采集、展示、保存以及打开，并可与PLANTEYE、FIGSPEC、SCICHROMA、ENVi等任意一个软件进行数据通信；</w:t>
            </w:r>
          </w:p>
          <w:p w14:paraId="65F73CF1">
            <w:pPr>
              <w:spacing w:line="360" w:lineRule="auto"/>
              <w:rPr>
                <w:rFonts w:hint="eastAsia" w:ascii="宋体" w:hAnsi="宋体" w:cs="宋体"/>
                <w:sz w:val="24"/>
              </w:rPr>
            </w:pPr>
            <w:r>
              <w:rPr>
                <w:rFonts w:hint="eastAsia" w:ascii="宋体" w:hAnsi="宋体" w:cs="宋体"/>
                <w:sz w:val="24"/>
              </w:rPr>
              <w:t>可对采集图像任意一点的光谱数据进行显示，也可以选取多区域显示光谱；</w:t>
            </w:r>
          </w:p>
          <w:p w14:paraId="58E9D239">
            <w:pPr>
              <w:spacing w:line="360" w:lineRule="auto"/>
              <w:rPr>
                <w:rFonts w:hint="eastAsia" w:ascii="宋体" w:hAnsi="宋体" w:cs="宋体"/>
                <w:sz w:val="24"/>
              </w:rPr>
            </w:pPr>
            <w:r>
              <w:rPr>
                <w:rFonts w:hint="eastAsia" w:ascii="宋体" w:hAnsi="宋体" w:cs="宋体"/>
                <w:sz w:val="24"/>
              </w:rPr>
              <w:t>支持ROI功能，可显示任意光谱通道的图片；</w:t>
            </w:r>
          </w:p>
          <w:p w14:paraId="1D32CB65">
            <w:pPr>
              <w:spacing w:line="360" w:lineRule="auto"/>
              <w:rPr>
                <w:rFonts w:hint="eastAsia" w:ascii="宋体" w:hAnsi="宋体" w:cs="宋体"/>
                <w:sz w:val="24"/>
              </w:rPr>
            </w:pPr>
            <w:r>
              <w:rPr>
                <w:rFonts w:hint="eastAsia" w:ascii="宋体" w:hAnsi="宋体" w:cs="宋体"/>
                <w:sz w:val="24"/>
              </w:rPr>
              <w:t>无需第三方软件即可实现光谱及图像数据查看、反射率计算、滤波、暗背景扣除、光谱降噪、空间降噪、掩膜导出、高光谱图像的裁切、旋转、翻转等；</w:t>
            </w:r>
          </w:p>
          <w:p w14:paraId="40B1B0BE">
            <w:pPr>
              <w:spacing w:line="360" w:lineRule="auto"/>
              <w:rPr>
                <w:rFonts w:hint="eastAsia" w:ascii="宋体" w:hAnsi="宋体" w:cs="宋体"/>
                <w:sz w:val="24"/>
              </w:rPr>
            </w:pPr>
            <w:r>
              <w:rPr>
                <w:rFonts w:hint="eastAsia" w:ascii="宋体" w:hAnsi="宋体" w:cs="宋体"/>
                <w:sz w:val="24"/>
              </w:rPr>
              <w:t>常用植被指数计算功能：无需第三方软件即可计算：归一化植被指数(NDVI)、比值植被指数(RVI)、增强植被指数(EVI)、大气阻抗植被指数(ARVI)等等；</w:t>
            </w:r>
          </w:p>
          <w:p w14:paraId="7BD634B3">
            <w:pPr>
              <w:spacing w:line="360" w:lineRule="auto"/>
              <w:rPr>
                <w:rFonts w:hint="eastAsia" w:ascii="宋体" w:hAnsi="宋体" w:cs="宋体"/>
                <w:sz w:val="24"/>
              </w:rPr>
            </w:pPr>
            <w:r>
              <w:rPr>
                <w:rFonts w:hint="eastAsia" w:ascii="宋体" w:hAnsi="宋体" w:cs="宋体"/>
                <w:sz w:val="24"/>
              </w:rPr>
              <w:t>分析软件包含水质分析模型和分水分析模型定标模块。</w:t>
            </w:r>
          </w:p>
          <w:p w14:paraId="63B0A266">
            <w:pPr>
              <w:spacing w:line="360" w:lineRule="auto"/>
              <w:rPr>
                <w:rFonts w:hint="eastAsia" w:ascii="宋体" w:hAnsi="宋体" w:cs="宋体"/>
                <w:b/>
                <w:bCs/>
                <w:sz w:val="24"/>
              </w:rPr>
            </w:pPr>
            <w:r>
              <w:rPr>
                <w:rFonts w:hint="eastAsia" w:ascii="宋体" w:hAnsi="宋体" w:cs="宋体"/>
                <w:b/>
                <w:bCs/>
                <w:sz w:val="24"/>
              </w:rPr>
              <w:t>3.3高光谱定制平移台</w:t>
            </w:r>
          </w:p>
          <w:p w14:paraId="0A530823">
            <w:pPr>
              <w:spacing w:line="360" w:lineRule="auto"/>
              <w:rPr>
                <w:rFonts w:hint="eastAsia" w:ascii="宋体" w:hAnsi="宋体" w:cs="宋体"/>
                <w:sz w:val="24"/>
              </w:rPr>
            </w:pPr>
            <w:r>
              <w:rPr>
                <w:rFonts w:hint="eastAsia" w:ascii="宋体" w:hAnsi="宋体" w:cs="宋体"/>
                <w:sz w:val="24"/>
              </w:rPr>
              <w:t>驱动电机：57一体化闭环步进电机；闭环控制：包含(内置编码器闭环控制) 照明光谱范围 400-2500nm；最小速度：≥0.25mm/s；最大速度：≥30mm/s；细分设置：1，1/2,1/4,1/8,1/16；加速度：减速度设置支持（0-2000setp/s² 可调）；运行模式：位置模式、速度模式；分辨率（无细分）：≤25um；重复精度：≤20um；绝对精度：≤20um；行程：≥200mm；通信接口：USB（内部转RS485，modbus协议）；供电电源：交流110V-220V；光源类型：卤素灯；照明光谱范围：400-2500nm；扩展支持：提供sdk，支持二次开发。</w:t>
            </w:r>
          </w:p>
          <w:p w14:paraId="2E6BDB77">
            <w:pPr>
              <w:spacing w:line="360" w:lineRule="auto"/>
              <w:rPr>
                <w:rFonts w:hint="eastAsia" w:ascii="宋体" w:hAnsi="宋体" w:cs="宋体"/>
                <w:b/>
                <w:bCs/>
                <w:kern w:val="0"/>
                <w:sz w:val="24"/>
              </w:rPr>
            </w:pPr>
            <w:r>
              <w:rPr>
                <w:rFonts w:hint="eastAsia" w:ascii="宋体" w:hAnsi="宋体" w:cs="宋体"/>
                <w:b/>
                <w:bCs/>
                <w:kern w:val="0"/>
                <w:sz w:val="24"/>
              </w:rPr>
              <w:t>4 全自动进样气相色谱仪</w:t>
            </w:r>
          </w:p>
          <w:p w14:paraId="7ACF3945">
            <w:pPr>
              <w:spacing w:line="360" w:lineRule="auto"/>
              <w:rPr>
                <w:rFonts w:hint="eastAsia" w:ascii="宋体" w:hAnsi="宋体" w:cs="宋体"/>
                <w:sz w:val="24"/>
              </w:rPr>
            </w:pPr>
            <w:r>
              <w:rPr>
                <w:rFonts w:hint="eastAsia" w:ascii="宋体" w:hAnsi="宋体" w:cs="宋体"/>
                <w:sz w:val="24"/>
              </w:rPr>
              <w:t>4.1工作条件</w:t>
            </w:r>
          </w:p>
          <w:p w14:paraId="7AD5127C">
            <w:pPr>
              <w:spacing w:line="360" w:lineRule="auto"/>
              <w:rPr>
                <w:rFonts w:hint="eastAsia" w:ascii="宋体" w:hAnsi="宋体" w:cs="宋体"/>
                <w:sz w:val="24"/>
              </w:rPr>
            </w:pPr>
            <w:r>
              <w:rPr>
                <w:rFonts w:hint="eastAsia" w:ascii="宋体" w:hAnsi="宋体" w:cs="宋体"/>
                <w:sz w:val="24"/>
              </w:rPr>
              <w:t>工作环境温度： 5℃—35℃；工作环境湿度； 25%RH—80%RH；工作电源： 220V±10%,50Hz。</w:t>
            </w:r>
          </w:p>
          <w:p w14:paraId="5B331A27">
            <w:pPr>
              <w:spacing w:line="360" w:lineRule="auto"/>
              <w:rPr>
                <w:rFonts w:hint="eastAsia" w:ascii="宋体" w:hAnsi="宋体" w:cs="宋体"/>
                <w:sz w:val="24"/>
              </w:rPr>
            </w:pPr>
            <w:r>
              <w:rPr>
                <w:rFonts w:hint="eastAsia" w:ascii="宋体" w:hAnsi="宋体" w:cs="宋体"/>
                <w:sz w:val="24"/>
              </w:rPr>
              <w:t>4.2 气相色谱主机</w:t>
            </w:r>
          </w:p>
          <w:p w14:paraId="527F34CA">
            <w:pPr>
              <w:spacing w:line="360" w:lineRule="auto"/>
              <w:rPr>
                <w:rFonts w:hint="eastAsia" w:ascii="宋体" w:hAnsi="宋体" w:cs="宋体"/>
                <w:sz w:val="24"/>
              </w:rPr>
            </w:pPr>
            <w:r>
              <w:rPr>
                <w:rFonts w:hint="eastAsia" w:ascii="宋体" w:hAnsi="宋体" w:cs="宋体"/>
                <w:sz w:val="24"/>
              </w:rPr>
              <w:t>保留时间重复性≤0.1%；峰面积重复性≤2%；2.3 电子流量控制（AFC/EPC）:载气采用电子流量气路控制；压力控制精度：≤0.01psi；可以同时安装≤三个进样口；可以同时安装≤三个检测器，包括FID、TCD、FPD、ECD、NPD等，且可依据需求进行组合，实现一机多用，简单分析；除柱温箱外，可提供≤8路独立48V交流加热单元；触摸屏具备智能维护跟踪与提醒，可以提示进样垫、衬管等更换时间（提供屏幕证明文件）；具备数字化泄漏检测；色谱前后通道可实现同步或异步独立控制、操作；主机具有电容式触摸屏，屏幕≥7英寸，可访问控制仪器，实时显示仪器状态及各项参数，具有分析启动、停止、预运行物理按键（提供证明图片）；最多实现3通道同时运行，可以直接在显示屏快捷选择通道（提供证明图片）。</w:t>
            </w:r>
          </w:p>
          <w:p w14:paraId="7519156D">
            <w:pPr>
              <w:spacing w:line="360" w:lineRule="auto"/>
              <w:rPr>
                <w:rFonts w:hint="eastAsia" w:ascii="宋体" w:hAnsi="宋体" w:cs="宋体"/>
                <w:sz w:val="24"/>
              </w:rPr>
            </w:pPr>
            <w:r>
              <w:rPr>
                <w:rFonts w:hint="eastAsia" w:ascii="宋体" w:hAnsi="宋体" w:cs="宋体"/>
                <w:sz w:val="24"/>
              </w:rPr>
              <w:t>4.3柱温箱</w:t>
            </w:r>
          </w:p>
          <w:p w14:paraId="5E57F3F3">
            <w:pPr>
              <w:spacing w:line="360" w:lineRule="auto"/>
              <w:rPr>
                <w:rFonts w:hint="eastAsia" w:ascii="宋体" w:hAnsi="宋体" w:cs="宋体"/>
                <w:sz w:val="24"/>
              </w:rPr>
            </w:pPr>
            <w:r>
              <w:rPr>
                <w:rFonts w:hint="eastAsia" w:ascii="宋体" w:hAnsi="宋体" w:cs="宋体"/>
                <w:sz w:val="24"/>
              </w:rPr>
              <w:t>柱箱尺寸：≤260×250×150[mm]（长×宽×高）；温度范围：室温+6℃~400℃；温度设定增量：≤0.1℃；温度控制精度: ±0.1℃；程序升温：≤30阶31平台，可程序降温；最大单阶运行时间：≤9999min；可设最高升温速率：≤120℃/min；柱温箱冷却降温（室温 21℃）：从350 ℃降至50℃时间不大于7min；环境敏感度：环境温度变化1℃，柱箱温度变化＜0.01℃，快速响应环境温度0.1℃变化；安全防护：提供双路温控/监测保护机制，确保色谱使用安全性。</w:t>
            </w:r>
          </w:p>
          <w:p w14:paraId="6F36AD22">
            <w:pPr>
              <w:spacing w:line="360" w:lineRule="auto"/>
              <w:rPr>
                <w:rFonts w:hint="eastAsia" w:ascii="宋体" w:hAnsi="宋体" w:cs="宋体"/>
                <w:sz w:val="24"/>
              </w:rPr>
            </w:pPr>
            <w:r>
              <w:rPr>
                <w:rFonts w:hint="eastAsia" w:ascii="宋体" w:hAnsi="宋体" w:cs="宋体"/>
                <w:sz w:val="24"/>
              </w:rPr>
              <w:t>4.4进样系统</w:t>
            </w:r>
          </w:p>
          <w:p w14:paraId="1F9CD4DC">
            <w:pPr>
              <w:spacing w:line="360" w:lineRule="auto"/>
              <w:rPr>
                <w:rFonts w:hint="eastAsia" w:ascii="宋体" w:hAnsi="宋体" w:cs="宋体"/>
                <w:sz w:val="24"/>
              </w:rPr>
            </w:pPr>
            <w:r>
              <w:rPr>
                <w:rFonts w:hint="eastAsia" w:ascii="宋体" w:hAnsi="宋体" w:cs="宋体"/>
                <w:sz w:val="24"/>
              </w:rPr>
              <w:t>最高使用温度：≤400℃；具备独立的分流冷阱和隔垫吹扫捕集阱；载气控制模式：恒压力、恒流量、恒线速度、程序压力、程序流量、程序线速度；程序压力/流量/线速度：≤最大 8阶；压力控制精度：≤0.01psi；压力控制范围：≤100psi；最大分流比：≤4500:1；流量设定范围：≤450mL/min；具有载气节省模式；采用快拆式设计，更换衬管无需使用工具即可拆卸；检测系统。</w:t>
            </w:r>
          </w:p>
          <w:p w14:paraId="5E9EB7CA">
            <w:pPr>
              <w:spacing w:line="360" w:lineRule="auto"/>
              <w:rPr>
                <w:rFonts w:hint="eastAsia" w:ascii="宋体" w:hAnsi="宋体" w:cs="宋体"/>
                <w:sz w:val="24"/>
              </w:rPr>
            </w:pPr>
            <w:r>
              <w:rPr>
                <w:rFonts w:hint="eastAsia" w:ascii="宋体" w:hAnsi="宋体" w:cs="宋体"/>
                <w:sz w:val="24"/>
              </w:rPr>
              <w:t>4.5检测系统</w:t>
            </w:r>
          </w:p>
          <w:p w14:paraId="09FD9F3F">
            <w:pPr>
              <w:spacing w:line="360" w:lineRule="auto"/>
              <w:rPr>
                <w:rFonts w:hint="eastAsia" w:ascii="宋体" w:hAnsi="宋体" w:cs="宋体"/>
                <w:sz w:val="24"/>
              </w:rPr>
            </w:pPr>
            <w:r>
              <w:rPr>
                <w:rFonts w:hint="eastAsia" w:ascii="宋体" w:hAnsi="宋体" w:cs="宋体"/>
                <w:sz w:val="24"/>
              </w:rPr>
              <w:t>氢火焰检测器（FID）：宽量程数字化输出，提升线性范围；最高使用温度：≤400℃；最低检测限：≤2pg C/s（正十六烷）；动态线性范围：≥107；</w:t>
            </w:r>
          </w:p>
          <w:p w14:paraId="61D2E5B6">
            <w:pPr>
              <w:spacing w:line="360" w:lineRule="auto"/>
              <w:rPr>
                <w:rFonts w:hint="eastAsia" w:ascii="宋体" w:hAnsi="宋体" w:cs="宋体"/>
                <w:sz w:val="24"/>
              </w:rPr>
            </w:pPr>
            <w:r>
              <w:rPr>
                <w:rFonts w:hint="eastAsia" w:ascii="宋体" w:hAnsi="宋体" w:cs="宋体"/>
                <w:sz w:val="24"/>
              </w:rPr>
              <w:t>热导检测器（TCD）：最高使用温度：≤400℃；灵敏度：≥8000mV.mL/mg（苯-甲苯）；动态线性范围：≥104；配套设备。</w:t>
            </w:r>
          </w:p>
          <w:p w14:paraId="72C36F4D">
            <w:pPr>
              <w:spacing w:line="360" w:lineRule="auto"/>
              <w:rPr>
                <w:rFonts w:hint="eastAsia" w:ascii="宋体" w:hAnsi="宋体" w:cs="宋体"/>
                <w:sz w:val="24"/>
              </w:rPr>
            </w:pPr>
            <w:r>
              <w:rPr>
                <w:rFonts w:hint="eastAsia" w:ascii="宋体" w:hAnsi="宋体" w:cs="宋体"/>
                <w:sz w:val="24"/>
              </w:rPr>
              <w:t>4.6 配套设备</w:t>
            </w:r>
          </w:p>
          <w:p w14:paraId="4E91C44C">
            <w:pPr>
              <w:spacing w:line="360" w:lineRule="auto"/>
              <w:rPr>
                <w:rFonts w:hint="eastAsia" w:ascii="宋体" w:hAnsi="宋体" w:cs="宋体"/>
                <w:sz w:val="24"/>
              </w:rPr>
            </w:pPr>
            <w:r>
              <w:rPr>
                <w:rFonts w:hint="eastAsia" w:ascii="宋体" w:hAnsi="宋体" w:cs="宋体"/>
                <w:sz w:val="24"/>
              </w:rPr>
              <w:t>气体净化器：含≤四根铝合金净化管，三路开关阀，可独立开关，含底座；</w:t>
            </w:r>
          </w:p>
          <w:p w14:paraId="49248408">
            <w:pPr>
              <w:spacing w:line="360" w:lineRule="auto"/>
              <w:rPr>
                <w:rFonts w:hint="eastAsia" w:ascii="宋体" w:hAnsi="宋体" w:cs="宋体"/>
                <w:sz w:val="24"/>
              </w:rPr>
            </w:pPr>
            <w:r>
              <w:rPr>
                <w:rFonts w:hint="eastAsia" w:ascii="宋体" w:hAnsi="宋体" w:cs="宋体"/>
                <w:sz w:val="24"/>
              </w:rPr>
              <w:t>气源（和色谱为同一生产厂家，方便后期售后维护）：纯水型氢气发生器流量：≤360ml/min三级净化过滤、两级稳压；输出气体纯度：≥99.999﹪；空气发生器流量：≤3L/min两级净化过滤、两级稳压；输出气体纯度：≥99.99﹪。自动进样器（和色谱仪为同一生产厂家，保证售后的统一）：支持单塔、双塔和大盘位自动进样器；自动进样器位数≤19位；支持前后通道同步或异步进样模式（提供软件截图）；残留/交叉污染＜1/100000；进样周期≤100ms</w:t>
            </w:r>
          </w:p>
          <w:p w14:paraId="18E9FA61">
            <w:pPr>
              <w:spacing w:line="360" w:lineRule="auto"/>
              <w:rPr>
                <w:rFonts w:hint="eastAsia" w:ascii="宋体" w:hAnsi="宋体" w:cs="宋体"/>
                <w:sz w:val="24"/>
              </w:rPr>
            </w:pPr>
            <w:r>
              <w:rPr>
                <w:rFonts w:hint="eastAsia" w:ascii="宋体" w:hAnsi="宋体" w:cs="宋体"/>
                <w:sz w:val="24"/>
              </w:rPr>
              <w:t>可选配搅拌/加热/条码扫描/全盘冷却或加热功能；色谱软件可以反控自动进样器；可通过工作站设置进样序列并调用已存储的色谱条件；仅一根电缆连接，即可提供信号传输和供电；可自行在≤10s内变换前后进样口位置，快速为前后进样口进样，无需定位校准；无显示屏设计，可以直接通过工作站反控自动进样器。</w:t>
            </w:r>
          </w:p>
          <w:p w14:paraId="63371C0D">
            <w:pPr>
              <w:spacing w:line="360" w:lineRule="auto"/>
              <w:rPr>
                <w:rFonts w:hint="eastAsia" w:ascii="宋体" w:hAnsi="宋体" w:cs="宋体"/>
                <w:sz w:val="24"/>
              </w:rPr>
            </w:pPr>
            <w:r>
              <w:rPr>
                <w:rFonts w:hint="eastAsia" w:ascii="宋体" w:hAnsi="宋体" w:cs="宋体"/>
                <w:sz w:val="24"/>
              </w:rPr>
              <w:t>4.7 色谱工作站</w:t>
            </w:r>
          </w:p>
          <w:p w14:paraId="543BFD22">
            <w:pPr>
              <w:spacing w:line="360" w:lineRule="auto"/>
              <w:rPr>
                <w:rFonts w:hint="eastAsia" w:ascii="宋体" w:hAnsi="宋体" w:cs="宋体"/>
                <w:sz w:val="24"/>
              </w:rPr>
            </w:pPr>
            <w:r>
              <w:rPr>
                <w:rFonts w:hint="eastAsia" w:ascii="宋体" w:hAnsi="宋体" w:cs="宋体"/>
                <w:sz w:val="24"/>
              </w:rPr>
              <w:t>中英文可选，包括但不限于WindowsXP 、Windows 7、 Windows10、Windows11操作环境运行；</w:t>
            </w:r>
          </w:p>
          <w:p w14:paraId="1C6AD619">
            <w:pPr>
              <w:spacing w:line="360" w:lineRule="auto"/>
              <w:rPr>
                <w:rFonts w:hint="eastAsia" w:ascii="宋体" w:hAnsi="宋体" w:cs="宋体"/>
                <w:sz w:val="24"/>
              </w:rPr>
            </w:pPr>
            <w:r>
              <w:rPr>
                <w:rFonts w:hint="eastAsia" w:ascii="宋体" w:hAnsi="宋体" w:cs="宋体"/>
                <w:sz w:val="24"/>
              </w:rPr>
              <w:t>支持多个检测器同时采集：工作站支持≤3个检测器信号的同时采集；</w:t>
            </w:r>
          </w:p>
          <w:p w14:paraId="49A44144">
            <w:pPr>
              <w:spacing w:line="360" w:lineRule="auto"/>
              <w:rPr>
                <w:rFonts w:hint="eastAsia" w:ascii="宋体" w:hAnsi="宋体" w:cs="宋体"/>
                <w:sz w:val="24"/>
              </w:rPr>
            </w:pPr>
            <w:r>
              <w:rPr>
                <w:rFonts w:hint="eastAsia" w:ascii="宋体" w:hAnsi="宋体" w:cs="宋体"/>
                <w:sz w:val="24"/>
              </w:rPr>
              <w:t>信号采集：网络端口连接；</w:t>
            </w:r>
          </w:p>
          <w:p w14:paraId="3D68B2C8">
            <w:pPr>
              <w:spacing w:line="360" w:lineRule="auto"/>
              <w:jc w:val="left"/>
              <w:rPr>
                <w:rFonts w:hint="eastAsia" w:ascii="宋体" w:hAnsi="宋体" w:cs="宋体"/>
                <w:sz w:val="24"/>
              </w:rPr>
            </w:pPr>
            <w:r>
              <w:rPr>
                <w:rFonts w:hint="eastAsia" w:ascii="宋体" w:hAnsi="宋体" w:cs="宋体"/>
                <w:sz w:val="24"/>
              </w:rPr>
              <w:t>自诊断系统、在线反控功能、支持多内标分析、在线分析预览功能、一键恢复功能、支持模拟进样、在线噪声及漂移自动计算、多项式计算功能、峰锁定功能、支持分组计算功能、项目分组功能。</w:t>
            </w:r>
          </w:p>
          <w:p w14:paraId="749F7DC4">
            <w:pPr>
              <w:spacing w:line="360" w:lineRule="auto"/>
              <w:jc w:val="left"/>
              <w:rPr>
                <w:rFonts w:hint="eastAsia" w:ascii="宋体" w:hAnsi="宋体" w:cs="宋体"/>
                <w:b/>
                <w:bCs/>
                <w:sz w:val="24"/>
              </w:rPr>
            </w:pPr>
            <w:r>
              <w:rPr>
                <w:rFonts w:hint="eastAsia" w:ascii="宋体" w:hAnsi="宋体" w:cs="宋体"/>
                <w:b/>
                <w:bCs/>
                <w:kern w:val="0"/>
                <w:sz w:val="24"/>
              </w:rPr>
              <w:t>5 大型液压重型覆膜机</w:t>
            </w:r>
          </w:p>
          <w:p w14:paraId="25A8C39D">
            <w:pPr>
              <w:spacing w:line="360" w:lineRule="auto"/>
              <w:rPr>
                <w:rFonts w:hint="eastAsia" w:ascii="宋体" w:hAnsi="宋体" w:cs="宋体"/>
                <w:sz w:val="24"/>
              </w:rPr>
            </w:pPr>
            <w:r>
              <w:rPr>
                <w:rFonts w:hint="eastAsia" w:ascii="宋体" w:hAnsi="宋体" w:cs="宋体"/>
                <w:sz w:val="24"/>
              </w:rPr>
              <w:t>5.1升降台自动吸风送纸，覆膜宽度不小于380mm，最大装纸高度包括但不限于300mm；配备上吸风自动进纸、防卷曲、自动断张分页、双挂膜（亮膜哑膜分挂）功能，覆膜完成纸张自动断开，省去人工裁切；</w:t>
            </w:r>
          </w:p>
          <w:p w14:paraId="566517CE">
            <w:pPr>
              <w:spacing w:line="360" w:lineRule="auto"/>
              <w:rPr>
                <w:rFonts w:hint="eastAsia" w:ascii="宋体" w:hAnsi="宋体" w:cs="宋体"/>
                <w:sz w:val="24"/>
              </w:rPr>
            </w:pPr>
            <w:r>
              <w:rPr>
                <w:rFonts w:hint="eastAsia" w:ascii="宋体" w:hAnsi="宋体" w:cs="宋体"/>
                <w:sz w:val="24"/>
              </w:rPr>
              <w:t>5.2适用纸张宽度：不低于250-380mm；适用纸张长度：不低于340-470mm；最快覆膜速度：不低于0-5000mm/min；最高覆膜温度：≤140℃；最大装膜直径：不低于260mm；适用纸张克重：128-250g；显示器：LED；驱动电机：交流电机；最大装纸厚度：不低于300mm；钢棍直径：不低于120mm；</w:t>
            </w:r>
          </w:p>
          <w:p w14:paraId="7F4F1565">
            <w:pPr>
              <w:spacing w:line="360" w:lineRule="auto"/>
              <w:rPr>
                <w:rFonts w:hint="eastAsia" w:ascii="宋体" w:hAnsi="宋体" w:cs="宋体"/>
                <w:sz w:val="24"/>
              </w:rPr>
            </w:pPr>
            <w:r>
              <w:rPr>
                <w:rFonts w:hint="eastAsia" w:ascii="宋体" w:hAnsi="宋体" w:cs="宋体"/>
                <w:sz w:val="24"/>
              </w:rPr>
              <w:t>5.3压力方式：电动液压；膜芯规格：不低于3英寸；电源：220V/50HZ；加热/电机功率：不大于1500W/250W；防卷曲结构，覆膜成品平整。</w:t>
            </w:r>
          </w:p>
          <w:p w14:paraId="17F4C28C">
            <w:pPr>
              <w:spacing w:line="360" w:lineRule="auto"/>
              <w:rPr>
                <w:rFonts w:hint="eastAsia" w:ascii="宋体" w:hAnsi="宋体" w:cs="宋体"/>
                <w:b/>
                <w:bCs/>
                <w:sz w:val="24"/>
              </w:rPr>
            </w:pPr>
            <w:r>
              <w:rPr>
                <w:rFonts w:hint="eastAsia" w:ascii="宋体" w:hAnsi="宋体" w:cs="宋体"/>
                <w:b/>
                <w:bCs/>
                <w:sz w:val="24"/>
              </w:rPr>
              <w:t>6 十万分之一电子天平</w:t>
            </w:r>
          </w:p>
          <w:p w14:paraId="52778F67">
            <w:pPr>
              <w:spacing w:line="360" w:lineRule="auto"/>
              <w:rPr>
                <w:rFonts w:hint="eastAsia" w:ascii="宋体" w:hAnsi="宋体" w:cs="宋体"/>
                <w:sz w:val="24"/>
              </w:rPr>
            </w:pPr>
            <w:r>
              <w:rPr>
                <w:rFonts w:hint="eastAsia" w:ascii="宋体" w:hAnsi="宋体" w:cs="宋体"/>
                <w:sz w:val="24"/>
              </w:rPr>
              <w:t>最大称量值：≥50g；可读性：≤0.01mg；典型值重复性：≤0.015mg；典型值偏载误差：≤0.03mg；典型值线性偏差: ≤0.03mg；典型值灵敏度偏移（标称加载下）: 0.25mg；灵敏度温度漂移：≤0.0002%/°C。金属底座和具有耐化学及酸碱腐蚀性的PBT外壳材料，内置 9 种应用程序；密码保护可防止未经授权更改；电磁力补偿 (EMFC) 称重传感器避免环境的影响和干扰；内部校正功能，一键触发的内置砝码校正功能。</w:t>
            </w:r>
          </w:p>
          <w:p w14:paraId="398CDA84">
            <w:pPr>
              <w:spacing w:line="360" w:lineRule="auto"/>
              <w:rPr>
                <w:rFonts w:hint="eastAsia" w:ascii="宋体" w:hAnsi="宋体" w:cs="宋体"/>
                <w:b/>
                <w:bCs/>
                <w:sz w:val="24"/>
              </w:rPr>
            </w:pPr>
            <w:r>
              <w:rPr>
                <w:rFonts w:hint="eastAsia" w:ascii="宋体" w:hAnsi="宋体" w:cs="宋体"/>
                <w:b/>
                <w:bCs/>
                <w:sz w:val="24"/>
              </w:rPr>
              <w:t>7 主要配置</w:t>
            </w:r>
          </w:p>
          <w:p w14:paraId="6BA7BD50">
            <w:pPr>
              <w:spacing w:line="360" w:lineRule="auto"/>
              <w:rPr>
                <w:rFonts w:hint="eastAsia" w:ascii="宋体" w:hAnsi="宋体" w:cs="宋体"/>
                <w:sz w:val="24"/>
              </w:rPr>
            </w:pPr>
            <w:r>
              <w:rPr>
                <w:rFonts w:hint="eastAsia" w:ascii="宋体" w:hAnsi="宋体" w:cs="宋体"/>
                <w:sz w:val="24"/>
              </w:rPr>
              <w:t>1套图像分光测色仪，1套仪器配套控制系统，1套近红外短波红外高光谱相机，1台</w:t>
            </w:r>
            <w:r>
              <w:rPr>
                <w:rFonts w:hint="eastAsia" w:ascii="宋体" w:hAnsi="宋体" w:cs="宋体"/>
                <w:kern w:val="0"/>
                <w:sz w:val="24"/>
              </w:rPr>
              <w:t>全自动进样气相色谱仪，</w:t>
            </w:r>
            <w:r>
              <w:rPr>
                <w:rFonts w:hint="eastAsia" w:ascii="宋体" w:hAnsi="宋体" w:cs="宋体"/>
                <w:sz w:val="24"/>
              </w:rPr>
              <w:t>1台</w:t>
            </w:r>
            <w:r>
              <w:rPr>
                <w:rFonts w:hint="eastAsia" w:ascii="宋体" w:hAnsi="宋体" w:cs="宋体"/>
                <w:kern w:val="0"/>
                <w:sz w:val="24"/>
              </w:rPr>
              <w:t>大型液压重型覆膜机，</w:t>
            </w:r>
            <w:r>
              <w:rPr>
                <w:rFonts w:hint="eastAsia" w:ascii="宋体" w:hAnsi="宋体" w:cs="宋体"/>
                <w:sz w:val="24"/>
              </w:rPr>
              <w:t>1台十万分之一电子天平。</w:t>
            </w:r>
          </w:p>
        </w:tc>
        <w:tc>
          <w:tcPr>
            <w:tcW w:w="850" w:type="dxa"/>
            <w:vAlign w:val="center"/>
          </w:tcPr>
          <w:p w14:paraId="1D168B38">
            <w:pPr>
              <w:spacing w:line="360" w:lineRule="auto"/>
              <w:jc w:val="center"/>
              <w:rPr>
                <w:rFonts w:hint="eastAsia" w:ascii="宋体" w:hAnsi="宋体" w:cs="宋体"/>
                <w:sz w:val="24"/>
              </w:rPr>
            </w:pPr>
            <w:r>
              <w:rPr>
                <w:rFonts w:hint="eastAsia" w:ascii="宋体" w:hAnsi="宋体" w:cs="宋体"/>
                <w:sz w:val="24"/>
              </w:rPr>
              <w:t>套</w:t>
            </w:r>
          </w:p>
        </w:tc>
        <w:tc>
          <w:tcPr>
            <w:tcW w:w="850" w:type="dxa"/>
            <w:vAlign w:val="center"/>
          </w:tcPr>
          <w:p w14:paraId="04E79F37">
            <w:pPr>
              <w:spacing w:line="360" w:lineRule="auto"/>
              <w:jc w:val="center"/>
              <w:rPr>
                <w:rFonts w:hint="eastAsia" w:ascii="宋体" w:hAnsi="宋体" w:cs="宋体"/>
                <w:sz w:val="24"/>
              </w:rPr>
            </w:pPr>
            <w:r>
              <w:rPr>
                <w:rFonts w:hint="eastAsia" w:ascii="宋体" w:hAnsi="宋体" w:cs="宋体"/>
                <w:sz w:val="24"/>
              </w:rPr>
              <w:t>1</w:t>
            </w:r>
          </w:p>
        </w:tc>
      </w:tr>
      <w:tr w14:paraId="657D723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630" w:hRule="atLeast"/>
          <w:jc w:val="center"/>
        </w:trPr>
        <w:tc>
          <w:tcPr>
            <w:tcW w:w="817" w:type="dxa"/>
            <w:vAlign w:val="center"/>
          </w:tcPr>
          <w:p w14:paraId="097F5584">
            <w:pPr>
              <w:spacing w:line="360" w:lineRule="auto"/>
              <w:jc w:val="center"/>
              <w:rPr>
                <w:rFonts w:hint="eastAsia" w:ascii="宋体" w:hAnsi="宋体" w:cs="宋体"/>
                <w:sz w:val="24"/>
              </w:rPr>
            </w:pPr>
            <w:r>
              <w:rPr>
                <w:rFonts w:hint="eastAsia" w:ascii="宋体" w:hAnsi="宋体" w:cs="宋体"/>
                <w:sz w:val="24"/>
              </w:rPr>
              <w:t>彩色数字印刷机</w:t>
            </w:r>
          </w:p>
        </w:tc>
        <w:tc>
          <w:tcPr>
            <w:tcW w:w="851" w:type="dxa"/>
            <w:vAlign w:val="center"/>
          </w:tcPr>
          <w:p w14:paraId="75005469">
            <w:pPr>
              <w:spacing w:line="360" w:lineRule="auto"/>
              <w:jc w:val="center"/>
              <w:rPr>
                <w:rFonts w:hint="eastAsia" w:ascii="宋体" w:hAnsi="宋体" w:cs="宋体"/>
                <w:sz w:val="24"/>
              </w:rPr>
            </w:pPr>
            <w:r>
              <w:rPr>
                <w:rFonts w:hint="eastAsia" w:ascii="宋体" w:hAnsi="宋体" w:cs="宋体"/>
                <w:sz w:val="24"/>
              </w:rPr>
              <w:t>否</w:t>
            </w:r>
          </w:p>
        </w:tc>
        <w:tc>
          <w:tcPr>
            <w:tcW w:w="10532" w:type="dxa"/>
            <w:vAlign w:val="center"/>
          </w:tcPr>
          <w:p w14:paraId="28B32779">
            <w:pPr>
              <w:spacing w:line="360" w:lineRule="auto"/>
              <w:rPr>
                <w:rFonts w:hint="eastAsia" w:ascii="宋体" w:hAnsi="宋体" w:cs="宋体"/>
                <w:b/>
                <w:bCs/>
                <w:sz w:val="24"/>
              </w:rPr>
            </w:pPr>
            <w:r>
              <w:rPr>
                <w:rFonts w:hint="eastAsia" w:ascii="宋体" w:hAnsi="宋体" w:cs="宋体"/>
                <w:b/>
                <w:bCs/>
                <w:sz w:val="24"/>
              </w:rPr>
              <w:t>1彩色数字印刷机</w:t>
            </w:r>
          </w:p>
          <w:p w14:paraId="7BFE1303">
            <w:pPr>
              <w:spacing w:line="360" w:lineRule="auto"/>
              <w:rPr>
                <w:rFonts w:hint="eastAsia" w:ascii="宋体" w:hAnsi="宋体" w:cs="宋体"/>
                <w:sz w:val="24"/>
              </w:rPr>
            </w:pPr>
            <w:r>
              <w:rPr>
                <w:rFonts w:hint="eastAsia" w:ascii="宋体" w:hAnsi="宋体" w:cs="宋体"/>
                <w:sz w:val="24"/>
              </w:rPr>
              <w:t>*1.1配置要求：A3彩色激光数码复印机（主机+双面同步扫描进纸器+双面器+小册子装订处理器（可实现平订，角订，骑马钉装订），提供相关证明材料并加盖公章包括但不仅限于：实物照片或官网截图或产品彩页或检测报告或功能截图等。</w:t>
            </w:r>
          </w:p>
          <w:p w14:paraId="5D2C53EC">
            <w:pPr>
              <w:spacing w:line="360" w:lineRule="auto"/>
              <w:rPr>
                <w:rFonts w:hint="eastAsia" w:ascii="宋体" w:hAnsi="宋体" w:cs="宋体"/>
                <w:sz w:val="24"/>
              </w:rPr>
            </w:pPr>
            <w:r>
              <w:rPr>
                <w:rFonts w:hint="eastAsia" w:ascii="宋体" w:hAnsi="宋体" w:cs="宋体"/>
                <w:sz w:val="24"/>
              </w:rPr>
              <w:t>*1.2复印打印速度：黑白≥80页/分钟、彩色≥80页/分钟（A4横向），提供相关证明材料并加盖公章包括但不仅限于：实物照片或官网截图或产品彩页或检测报告或功能截图等。</w:t>
            </w:r>
          </w:p>
          <w:p w14:paraId="089C6C10">
            <w:pPr>
              <w:spacing w:line="360" w:lineRule="auto"/>
              <w:rPr>
                <w:rFonts w:hint="eastAsia" w:ascii="宋体" w:hAnsi="宋体" w:cs="宋体"/>
                <w:sz w:val="24"/>
              </w:rPr>
            </w:pPr>
            <w:r>
              <w:rPr>
                <w:rFonts w:hint="eastAsia" w:ascii="宋体" w:hAnsi="宋体" w:cs="宋体"/>
                <w:sz w:val="24"/>
              </w:rPr>
              <w:t>*1.3图像处理能力：扫描软件实现图像手动补白、手动擦除、手动旋转、支持导入本地图片，进行图像处理。标配OCR文字识别功能，并输出可编辑文本，一键生成双层OFD文件，双层PDF文件，提供相关证明材料并加盖公章包括但不仅限于：实物照片或官网截图或产品彩页或检测报告或功能截图等。</w:t>
            </w:r>
          </w:p>
          <w:p w14:paraId="73EA67CB">
            <w:pPr>
              <w:spacing w:line="360" w:lineRule="auto"/>
              <w:rPr>
                <w:rFonts w:hint="eastAsia" w:ascii="宋体" w:hAnsi="宋体" w:cs="宋体"/>
                <w:sz w:val="24"/>
              </w:rPr>
            </w:pPr>
            <w:r>
              <w:rPr>
                <w:rFonts w:hint="eastAsia" w:ascii="宋体" w:hAnsi="宋体" w:cs="宋体"/>
                <w:sz w:val="24"/>
              </w:rPr>
              <w:t>*1.4随机配备字库，提供相关证明材料并加盖公章包括但不仅限于：实物照片或官网截图或产品彩页或检测报告或功能截图等。</w:t>
            </w:r>
          </w:p>
          <w:p w14:paraId="029CC99E">
            <w:pPr>
              <w:spacing w:line="360" w:lineRule="auto"/>
              <w:rPr>
                <w:rFonts w:hint="eastAsia" w:ascii="宋体" w:hAnsi="宋体" w:cs="宋体"/>
                <w:sz w:val="24"/>
              </w:rPr>
            </w:pPr>
            <w:r>
              <w:rPr>
                <w:rFonts w:hint="eastAsia" w:ascii="宋体" w:hAnsi="宋体" w:cs="宋体"/>
                <w:sz w:val="24"/>
              </w:rPr>
              <w:t>1.5标配220页双面同步进纸器，单面扫描速度≥120页/分钟，双面扫描速度≥240页/分钟。</w:t>
            </w:r>
          </w:p>
          <w:p w14:paraId="53EF510B">
            <w:pPr>
              <w:spacing w:line="360" w:lineRule="auto"/>
              <w:rPr>
                <w:rFonts w:hint="eastAsia" w:ascii="宋体" w:hAnsi="宋体" w:cs="宋体"/>
                <w:sz w:val="24"/>
              </w:rPr>
            </w:pPr>
            <w:r>
              <w:rPr>
                <w:rFonts w:hint="eastAsia" w:ascii="宋体" w:hAnsi="宋体" w:cs="宋体"/>
                <w:sz w:val="24"/>
              </w:rPr>
              <w:t>1.6打印分辨率≥1200dpi x 4800 dpi。</w:t>
            </w:r>
          </w:p>
          <w:p w14:paraId="1F04F801">
            <w:pPr>
              <w:spacing w:line="360" w:lineRule="auto"/>
              <w:rPr>
                <w:rFonts w:hint="eastAsia" w:ascii="宋体" w:hAnsi="宋体" w:cs="宋体"/>
                <w:sz w:val="24"/>
              </w:rPr>
            </w:pPr>
            <w:r>
              <w:rPr>
                <w:rFonts w:hint="eastAsia" w:ascii="宋体" w:hAnsi="宋体" w:cs="宋体"/>
                <w:sz w:val="24"/>
              </w:rPr>
              <w:t>1.7可实现≤1260mm 长纸打印，具备≤3边无边距打印。</w:t>
            </w:r>
          </w:p>
          <w:p w14:paraId="1CAB0326">
            <w:pPr>
              <w:spacing w:line="360" w:lineRule="auto"/>
              <w:rPr>
                <w:rFonts w:hint="eastAsia" w:ascii="宋体" w:hAnsi="宋体" w:cs="宋体"/>
                <w:sz w:val="24"/>
              </w:rPr>
            </w:pPr>
            <w:r>
              <w:rPr>
                <w:rFonts w:hint="eastAsia" w:ascii="宋体" w:hAnsi="宋体" w:cs="宋体"/>
                <w:sz w:val="24"/>
              </w:rPr>
              <w:t>1.8不含无线、蓝牙传输功能及硬件模块。</w:t>
            </w:r>
          </w:p>
          <w:p w14:paraId="67A498E7">
            <w:pPr>
              <w:spacing w:line="360" w:lineRule="auto"/>
              <w:jc w:val="left"/>
              <w:rPr>
                <w:rFonts w:hint="eastAsia" w:ascii="宋体" w:hAnsi="宋体" w:cs="宋体"/>
                <w:sz w:val="24"/>
              </w:rPr>
            </w:pPr>
            <w:r>
              <w:rPr>
                <w:rFonts w:hint="eastAsia" w:ascii="宋体" w:hAnsi="宋体" w:cs="宋体"/>
                <w:sz w:val="24"/>
              </w:rPr>
              <w:t>1.9支持红头专色打印，印章过滤功能，支持防复印水印输出功能，具有 HDD 复写删除功能和加密功能，内存自动清零等安全功能。随机原装正品耗材一套（黑色一支，彩色三支）。</w:t>
            </w:r>
          </w:p>
          <w:p w14:paraId="308AB66D">
            <w:pPr>
              <w:spacing w:line="360" w:lineRule="auto"/>
              <w:jc w:val="left"/>
              <w:rPr>
                <w:rFonts w:hint="eastAsia" w:ascii="宋体" w:hAnsi="宋体" w:cs="宋体"/>
                <w:sz w:val="24"/>
              </w:rPr>
            </w:pPr>
            <w:r>
              <w:rPr>
                <w:rFonts w:hint="eastAsia" w:ascii="宋体" w:hAnsi="宋体" w:cs="宋体"/>
                <w:sz w:val="24"/>
              </w:rPr>
              <w:t>*1.10 国产化要求：必须提供《安可替代工程核心产品名录》或《安可替代工程适配产品清单》的外设产品品牌证明材料。</w:t>
            </w:r>
          </w:p>
          <w:p w14:paraId="54854BA3">
            <w:pPr>
              <w:spacing w:line="360" w:lineRule="auto"/>
              <w:jc w:val="left"/>
              <w:rPr>
                <w:rFonts w:hint="eastAsia" w:ascii="宋体" w:hAnsi="宋体" w:cs="宋体"/>
                <w:b/>
                <w:bCs/>
                <w:sz w:val="24"/>
              </w:rPr>
            </w:pPr>
            <w:r>
              <w:rPr>
                <w:rFonts w:hint="eastAsia" w:ascii="宋体" w:hAnsi="宋体" w:cs="宋体"/>
                <w:b/>
                <w:bCs/>
                <w:sz w:val="24"/>
              </w:rPr>
              <w:t>2仪器配套控制系统</w:t>
            </w:r>
          </w:p>
          <w:p w14:paraId="18B39677">
            <w:pPr>
              <w:spacing w:line="360" w:lineRule="auto"/>
              <w:jc w:val="left"/>
              <w:rPr>
                <w:rFonts w:hint="eastAsia" w:ascii="宋体" w:hAnsi="宋体" w:cs="宋体"/>
                <w:sz w:val="24"/>
              </w:rPr>
            </w:pPr>
            <w:r>
              <w:rPr>
                <w:rFonts w:hint="eastAsia" w:ascii="宋体" w:hAnsi="宋体" w:cs="宋体"/>
                <w:sz w:val="24"/>
              </w:rPr>
              <w:t>2.1主板：不低于700系列芯片组；CPU：16核24线程（8个性能核+8个能效核），性能核基础频率≥2.1GHz，最高睿频≥5.2GHz；内存：≥32G DDR4 3200MHz或DDR5 4800MHz，双内存通道，内存插槽≥2个，最大可扩展容量≥64G。</w:t>
            </w:r>
          </w:p>
          <w:p w14:paraId="3CA01C70">
            <w:pPr>
              <w:spacing w:line="360" w:lineRule="auto"/>
              <w:jc w:val="left"/>
              <w:rPr>
                <w:rFonts w:hint="eastAsia" w:ascii="宋体" w:hAnsi="宋体" w:cs="宋体"/>
                <w:sz w:val="24"/>
              </w:rPr>
            </w:pPr>
            <w:r>
              <w:rPr>
                <w:rFonts w:hint="eastAsia" w:ascii="宋体" w:hAnsi="宋体" w:cs="宋体"/>
                <w:sz w:val="24"/>
              </w:rPr>
              <w:t>2.2硬盘：≥1TB M.2 PCIe NVMe固态硬盘；系统：兼容正版win11及以上；</w:t>
            </w:r>
            <w:r>
              <w:rPr>
                <w:rFonts w:hint="eastAsia" w:ascii="宋体" w:hAnsi="宋体" w:cs="宋体"/>
                <w:kern w:val="0"/>
                <w:sz w:val="24"/>
              </w:rPr>
              <w:t>显示器：≥27英寸液晶显示器。</w:t>
            </w:r>
          </w:p>
          <w:p w14:paraId="656FB9EB">
            <w:pPr>
              <w:spacing w:line="360" w:lineRule="auto"/>
              <w:jc w:val="left"/>
              <w:rPr>
                <w:rFonts w:hint="eastAsia" w:ascii="宋体" w:hAnsi="宋体" w:cs="宋体"/>
                <w:b/>
                <w:bCs/>
                <w:sz w:val="24"/>
              </w:rPr>
            </w:pPr>
            <w:r>
              <w:rPr>
                <w:rFonts w:hint="eastAsia" w:ascii="宋体" w:hAnsi="宋体" w:cs="宋体"/>
                <w:b/>
                <w:bCs/>
                <w:sz w:val="24"/>
              </w:rPr>
              <w:t>3全自动数码模切机</w:t>
            </w:r>
          </w:p>
          <w:p w14:paraId="0A3C6648">
            <w:pPr>
              <w:spacing w:line="360" w:lineRule="auto"/>
              <w:rPr>
                <w:rFonts w:hint="eastAsia" w:ascii="宋体" w:hAnsi="宋体" w:cs="宋体"/>
                <w:sz w:val="24"/>
              </w:rPr>
            </w:pPr>
            <w:r>
              <w:rPr>
                <w:rFonts w:hint="eastAsia" w:ascii="宋体" w:hAnsi="宋体" w:cs="宋体"/>
                <w:sz w:val="24"/>
              </w:rPr>
              <w:t>3.1切割面积（长*宽）：不小于600mm x 400mm；刀具：尖刀、压痕刀、半切刀；切割厚度：不低于2mm；送料系统：真空吸盘；最大切割速度：不低于1000mm/s；重复精度：±0.1mm；文件格式：不少于PLT、DXF、HPGL、PDF、EPS；占地面积：不大于2350mm x 900mm x 1150mm。</w:t>
            </w:r>
          </w:p>
          <w:p w14:paraId="4A2C9FF0">
            <w:pPr>
              <w:spacing w:line="360" w:lineRule="auto"/>
              <w:rPr>
                <w:rFonts w:hint="eastAsia" w:ascii="宋体" w:hAnsi="宋体" w:cs="宋体"/>
                <w:sz w:val="24"/>
              </w:rPr>
            </w:pPr>
            <w:r>
              <w:rPr>
                <w:rFonts w:hint="eastAsia" w:ascii="宋体" w:hAnsi="宋体" w:cs="宋体"/>
                <w:sz w:val="24"/>
              </w:rPr>
              <w:t>3.2 切割材料：不干胶，车贴，pp纸，白卡纸；自动片料：将材料放置设备料仓，通过自动片料系统可以实现材料自动上料，自动裁切，自动下料功能，减少人工操作，提高工作效率；电机/导轨：伺服电机/高精度导轨；路径调取：CCD视觉系统带识别二维码功能，通过扫取画面上的二维码信息，系统可以自动到指定文件夹调取相对路径，实现快速匹配路径快速裁切；切割台面：高强度高摩擦系数毛毡。</w:t>
            </w:r>
          </w:p>
          <w:p w14:paraId="2D00947A">
            <w:pPr>
              <w:spacing w:line="360" w:lineRule="auto"/>
              <w:rPr>
                <w:rFonts w:hint="eastAsia" w:ascii="宋体" w:hAnsi="宋体" w:cs="宋体"/>
                <w:sz w:val="24"/>
              </w:rPr>
            </w:pPr>
            <w:r>
              <w:rPr>
                <w:rFonts w:hint="eastAsia" w:ascii="宋体" w:hAnsi="宋体" w:cs="宋体"/>
                <w:sz w:val="24"/>
              </w:rPr>
              <w:t>3.3 材料固定方式：真空吸附；吸附平台：航空铝材；定位方式：马克点，通过4点定位实现精准套切；误差补偿：通过4点或者多点定位算出图案与路径的差值，软件自动等比缩放路径可以将路径精准套切到画面；误差校准：设备在长期使用过程中如果出现误差偏移，可以通过CCD视觉系统来实现偏差校准，来达到精准套切。</w:t>
            </w:r>
          </w:p>
          <w:p w14:paraId="0A4CE171">
            <w:pPr>
              <w:spacing w:line="360" w:lineRule="auto"/>
              <w:rPr>
                <w:rFonts w:hint="eastAsia" w:ascii="宋体" w:hAnsi="宋体" w:cs="宋体"/>
                <w:b/>
                <w:bCs/>
                <w:sz w:val="24"/>
              </w:rPr>
            </w:pPr>
            <w:r>
              <w:rPr>
                <w:rFonts w:hint="eastAsia" w:ascii="宋体" w:hAnsi="宋体" w:cs="宋体"/>
                <w:b/>
                <w:bCs/>
                <w:sz w:val="24"/>
              </w:rPr>
              <w:t>4 数显纸张白度测试仪</w:t>
            </w:r>
          </w:p>
          <w:p w14:paraId="42716CB7">
            <w:pPr>
              <w:spacing w:line="360" w:lineRule="auto"/>
              <w:rPr>
                <w:rFonts w:hint="eastAsia" w:ascii="宋体" w:hAnsi="宋体" w:cs="宋体"/>
                <w:kern w:val="0"/>
                <w:sz w:val="24"/>
              </w:rPr>
            </w:pPr>
            <w:r>
              <w:rPr>
                <w:rFonts w:hint="eastAsia" w:ascii="宋体" w:hAnsi="宋体" w:cs="宋体"/>
                <w:kern w:val="0"/>
                <w:sz w:val="24"/>
              </w:rPr>
              <w:t>4.1 测定蓝光漫反射因数（R457），即“ISO白度”或“蓝光白度”；分析试样是否含有荧光增白剂，并可定量测定其产生的荧光白度（增白度）；测定亮度刺激值Y10（绿色光漫反射因数Ry），反映材料视觉亮感；可扩展测定不透明度、透明度、光散射系数、光吸收系数及油墨吸收值，满足纸张综合品控需求。</w:t>
            </w:r>
          </w:p>
          <w:p w14:paraId="146478F5">
            <w:pPr>
              <w:spacing w:line="360" w:lineRule="auto"/>
              <w:rPr>
                <w:rFonts w:hint="eastAsia" w:ascii="宋体" w:hAnsi="宋体" w:cs="宋体"/>
                <w:kern w:val="0"/>
                <w:sz w:val="24"/>
              </w:rPr>
            </w:pPr>
            <w:r>
              <w:rPr>
                <w:rFonts w:hint="eastAsia" w:ascii="宋体" w:hAnsi="宋体" w:cs="宋体"/>
                <w:kern w:val="0"/>
                <w:sz w:val="24"/>
              </w:rPr>
              <w:t>4.2 光学系统：符合GB/T 3978标准，采用d/o照明观测条件，模拟D65光源；测量精度：重复性误差≤0.2，示值误差≤0.5，零点漂移≤0.2/10min，确保数据稳定可靠；操作与显示特性：配备</w:t>
            </w:r>
            <w:r>
              <w:rPr>
                <w:rFonts w:hint="eastAsia" w:ascii="宋体" w:hAnsi="宋体" w:cs="宋体"/>
                <w:sz w:val="24"/>
              </w:rPr>
              <w:t>≤</w:t>
            </w:r>
            <w:r>
              <w:rPr>
                <w:rFonts w:hint="eastAsia" w:ascii="宋体" w:hAnsi="宋体" w:cs="宋体"/>
                <w:kern w:val="0"/>
                <w:sz w:val="24"/>
              </w:rPr>
              <w:t>128×32点阵液晶屏，实时显示白度、增白度、不透明度等多参数；支持断电保护功能，校准数据自动保存，防止意外丢失；可选配RS232接口，支持连接打印机或电脑进行数据导出与记录管理；工作环境适应性强：温度0–40℃，湿度≤85%RH，适合实验室与产线质检场景。</w:t>
            </w:r>
          </w:p>
          <w:p w14:paraId="6D8105A0">
            <w:pPr>
              <w:spacing w:line="360" w:lineRule="auto"/>
              <w:rPr>
                <w:rFonts w:hint="eastAsia" w:ascii="宋体" w:hAnsi="宋体" w:cs="宋体"/>
                <w:b/>
                <w:bCs/>
                <w:sz w:val="24"/>
              </w:rPr>
            </w:pPr>
            <w:r>
              <w:rPr>
                <w:rFonts w:hint="eastAsia" w:ascii="宋体" w:hAnsi="宋体" w:cs="宋体"/>
                <w:b/>
                <w:bCs/>
                <w:kern w:val="0"/>
                <w:sz w:val="24"/>
              </w:rPr>
              <w:t>5 数显旋转粘度计触屏式</w:t>
            </w:r>
          </w:p>
          <w:p w14:paraId="09C1B4ED">
            <w:pPr>
              <w:spacing w:line="360" w:lineRule="auto"/>
              <w:rPr>
                <w:rFonts w:hint="eastAsia" w:ascii="宋体" w:hAnsi="宋体" w:cs="宋体"/>
                <w:sz w:val="24"/>
              </w:rPr>
            </w:pPr>
            <w:r>
              <w:rPr>
                <w:rFonts w:hint="eastAsia" w:ascii="宋体" w:hAnsi="宋体" w:cs="宋体"/>
                <w:sz w:val="24"/>
              </w:rPr>
              <w:t>5.1 采用≤4.3寸触摸屏设计，显示内容丰富，同时能显示温度、百分比、粘度、剪切率、剪切力、定时等功能，满足不同用户的测量需求；高强度全新小轴；仪器前置式水平仪在水平调节时直观方便，无需站立；定时功能，针对触变性非牛顿流体；附有RS232接口；中英文可以自由切换；仪器采用同轴圆筒结构。</w:t>
            </w:r>
          </w:p>
          <w:p w14:paraId="6746ADDB">
            <w:pPr>
              <w:spacing w:line="360" w:lineRule="auto"/>
              <w:rPr>
                <w:rFonts w:hint="eastAsia" w:ascii="宋体" w:hAnsi="宋体" w:cs="宋体"/>
                <w:sz w:val="24"/>
              </w:rPr>
            </w:pPr>
            <w:r>
              <w:rPr>
                <w:rFonts w:hint="eastAsia" w:ascii="宋体" w:hAnsi="宋体" w:cs="宋体"/>
                <w:sz w:val="24"/>
              </w:rPr>
              <w:t>5.2测量范围：不小于10~200 万 mPa・S；转速档位：不低于0.3、0.6、1.5、3、6、12、30、60 r/min；配置转子：标配 1#~4# 转子；测量精度：±1%；单次所需样品量：≤400ml。</w:t>
            </w:r>
          </w:p>
          <w:p w14:paraId="1D888885">
            <w:pPr>
              <w:spacing w:line="360" w:lineRule="auto"/>
              <w:rPr>
                <w:rFonts w:hint="eastAsia" w:ascii="宋体" w:hAnsi="宋体" w:cs="宋体"/>
                <w:b/>
                <w:bCs/>
                <w:sz w:val="24"/>
              </w:rPr>
            </w:pPr>
            <w:r>
              <w:rPr>
                <w:rFonts w:hint="eastAsia" w:ascii="宋体" w:hAnsi="宋体" w:cs="宋体"/>
                <w:b/>
                <w:bCs/>
                <w:sz w:val="24"/>
              </w:rPr>
              <w:t>6 纸张耐折度测定仪</w:t>
            </w:r>
          </w:p>
          <w:p w14:paraId="19EA279E">
            <w:pPr>
              <w:spacing w:line="360" w:lineRule="auto"/>
              <w:rPr>
                <w:rFonts w:hint="eastAsia" w:ascii="宋体" w:hAnsi="宋体" w:cs="宋体"/>
                <w:kern w:val="0"/>
                <w:sz w:val="24"/>
              </w:rPr>
            </w:pPr>
            <w:r>
              <w:rPr>
                <w:rFonts w:hint="eastAsia" w:ascii="宋体" w:hAnsi="宋体" w:cs="宋体"/>
                <w:kern w:val="0"/>
                <w:sz w:val="24"/>
              </w:rPr>
              <w:t>测量范围：不低于0~99999次；</w:t>
            </w:r>
          </w:p>
          <w:p w14:paraId="46FE8EF2">
            <w:pPr>
              <w:spacing w:line="360" w:lineRule="auto"/>
              <w:rPr>
                <w:rFonts w:hint="eastAsia" w:ascii="宋体" w:hAnsi="宋体" w:cs="宋体"/>
                <w:kern w:val="0"/>
                <w:sz w:val="24"/>
              </w:rPr>
            </w:pPr>
            <w:r>
              <w:rPr>
                <w:rFonts w:hint="eastAsia" w:ascii="宋体" w:hAnsi="宋体" w:cs="宋体"/>
                <w:kern w:val="0"/>
                <w:sz w:val="24"/>
              </w:rPr>
              <w:t>折叠角度:不低于135±2°；</w:t>
            </w:r>
          </w:p>
          <w:p w14:paraId="2EBEBCBF">
            <w:pPr>
              <w:spacing w:line="360" w:lineRule="auto"/>
              <w:rPr>
                <w:rFonts w:hint="eastAsia" w:ascii="宋体" w:hAnsi="宋体" w:cs="宋体"/>
                <w:kern w:val="0"/>
                <w:sz w:val="24"/>
              </w:rPr>
            </w:pPr>
            <w:r>
              <w:rPr>
                <w:rFonts w:hint="eastAsia" w:ascii="宋体" w:hAnsi="宋体" w:cs="宋体"/>
                <w:kern w:val="0"/>
                <w:sz w:val="24"/>
              </w:rPr>
              <w:t>折叠速度:不低于175±10次/min ；</w:t>
            </w:r>
          </w:p>
          <w:p w14:paraId="665BB544">
            <w:pPr>
              <w:spacing w:line="360" w:lineRule="auto"/>
              <w:rPr>
                <w:rFonts w:hint="eastAsia" w:ascii="宋体" w:hAnsi="宋体" w:cs="宋体"/>
                <w:kern w:val="0"/>
                <w:sz w:val="24"/>
              </w:rPr>
            </w:pPr>
            <w:r>
              <w:rPr>
                <w:rFonts w:hint="eastAsia" w:ascii="宋体" w:hAnsi="宋体" w:cs="宋体"/>
                <w:kern w:val="0"/>
                <w:sz w:val="24"/>
              </w:rPr>
              <w:t>弹簧张力：不低于4.91-14.72N ；</w:t>
            </w:r>
          </w:p>
          <w:p w14:paraId="6745CF49">
            <w:pPr>
              <w:spacing w:line="360" w:lineRule="auto"/>
              <w:rPr>
                <w:rFonts w:hint="eastAsia" w:ascii="宋体" w:hAnsi="宋体" w:cs="宋体"/>
                <w:kern w:val="0"/>
                <w:sz w:val="24"/>
              </w:rPr>
            </w:pPr>
            <w:r>
              <w:rPr>
                <w:rFonts w:hint="eastAsia" w:ascii="宋体" w:hAnsi="宋体" w:cs="宋体"/>
                <w:kern w:val="0"/>
                <w:sz w:val="24"/>
              </w:rPr>
              <w:t>夹具距离：不少于0.25mm/0.5mm/0.75mm/1.0mm ；</w:t>
            </w:r>
          </w:p>
          <w:p w14:paraId="7C2E1EB3">
            <w:pPr>
              <w:spacing w:line="360" w:lineRule="auto"/>
              <w:rPr>
                <w:rFonts w:hint="eastAsia" w:ascii="宋体" w:hAnsi="宋体" w:cs="宋体"/>
                <w:kern w:val="0"/>
                <w:sz w:val="24"/>
              </w:rPr>
            </w:pPr>
            <w:r>
              <w:rPr>
                <w:rFonts w:hint="eastAsia" w:ascii="宋体" w:hAnsi="宋体" w:cs="宋体"/>
                <w:kern w:val="0"/>
                <w:sz w:val="24"/>
              </w:rPr>
              <w:t>打印输出：模块式一体热敏打印机；</w:t>
            </w:r>
          </w:p>
          <w:p w14:paraId="105CAA8C">
            <w:pPr>
              <w:spacing w:line="360" w:lineRule="auto"/>
              <w:rPr>
                <w:rFonts w:hint="eastAsia" w:ascii="宋体" w:hAnsi="宋体" w:cs="宋体"/>
                <w:kern w:val="0"/>
                <w:sz w:val="24"/>
              </w:rPr>
            </w:pPr>
            <w:r>
              <w:rPr>
                <w:rFonts w:hint="eastAsia" w:ascii="宋体" w:hAnsi="宋体" w:cs="宋体"/>
                <w:kern w:val="0"/>
                <w:sz w:val="24"/>
              </w:rPr>
              <w:t>工作环境：温度（0~35 ）°C ,湿度＜ 85%；</w:t>
            </w:r>
          </w:p>
          <w:p w14:paraId="4E077787">
            <w:pPr>
              <w:spacing w:line="360" w:lineRule="auto"/>
              <w:rPr>
                <w:rFonts w:hint="eastAsia" w:ascii="宋体" w:hAnsi="宋体" w:cs="宋体"/>
                <w:kern w:val="0"/>
                <w:sz w:val="24"/>
              </w:rPr>
            </w:pPr>
            <w:r>
              <w:rPr>
                <w:rFonts w:hint="eastAsia" w:ascii="宋体" w:hAnsi="宋体" w:cs="宋体"/>
                <w:kern w:val="0"/>
                <w:sz w:val="24"/>
              </w:rPr>
              <w:t>外形尺寸：不低于300*350*450mm。</w:t>
            </w:r>
          </w:p>
          <w:p w14:paraId="0F815881">
            <w:pPr>
              <w:spacing w:line="360" w:lineRule="auto"/>
              <w:rPr>
                <w:rFonts w:hint="eastAsia" w:ascii="宋体" w:hAnsi="宋体" w:cs="宋体"/>
                <w:b/>
                <w:bCs/>
                <w:kern w:val="0"/>
                <w:sz w:val="24"/>
              </w:rPr>
            </w:pPr>
            <w:r>
              <w:rPr>
                <w:rFonts w:hint="eastAsia" w:ascii="宋体" w:hAnsi="宋体" w:cs="宋体"/>
                <w:b/>
                <w:bCs/>
                <w:kern w:val="0"/>
                <w:sz w:val="24"/>
              </w:rPr>
              <w:t>7 耐破试验机纸张耐破度测定仪</w:t>
            </w:r>
          </w:p>
          <w:p w14:paraId="702CF3E6">
            <w:pPr>
              <w:spacing w:line="360" w:lineRule="auto"/>
              <w:rPr>
                <w:rFonts w:hint="eastAsia" w:ascii="宋体" w:hAnsi="宋体" w:cs="宋体"/>
                <w:kern w:val="0"/>
                <w:sz w:val="24"/>
              </w:rPr>
            </w:pPr>
            <w:r>
              <w:rPr>
                <w:rFonts w:hint="eastAsia" w:ascii="宋体" w:hAnsi="宋体" w:cs="宋体"/>
                <w:kern w:val="0"/>
                <w:sz w:val="24"/>
              </w:rPr>
              <w:t>测量范围:纸板250~5600kpa，最高测试可以达到6000kpa；</w:t>
            </w:r>
          </w:p>
          <w:p w14:paraId="0795B0C0">
            <w:pPr>
              <w:spacing w:line="360" w:lineRule="auto"/>
              <w:rPr>
                <w:rFonts w:hint="eastAsia" w:ascii="宋体" w:hAnsi="宋体" w:cs="宋体"/>
                <w:kern w:val="0"/>
                <w:sz w:val="24"/>
              </w:rPr>
            </w:pPr>
            <w:r>
              <w:rPr>
                <w:rFonts w:hint="eastAsia" w:ascii="宋体" w:hAnsi="宋体" w:cs="宋体"/>
                <w:kern w:val="0"/>
                <w:sz w:val="24"/>
              </w:rPr>
              <w:t>纸张20-1600kpa，最高测试可以达到2000kpa准确度:≤士0.5%；</w:t>
            </w:r>
          </w:p>
          <w:p w14:paraId="14AA6256">
            <w:pPr>
              <w:spacing w:line="360" w:lineRule="auto"/>
              <w:rPr>
                <w:rFonts w:hint="eastAsia" w:ascii="宋体" w:hAnsi="宋体" w:cs="宋体"/>
                <w:kern w:val="0"/>
                <w:sz w:val="24"/>
              </w:rPr>
            </w:pPr>
            <w:r>
              <w:rPr>
                <w:rFonts w:hint="eastAsia" w:ascii="宋体" w:hAnsi="宋体" w:cs="宋体"/>
                <w:kern w:val="0"/>
                <w:sz w:val="24"/>
              </w:rPr>
              <w:t>分辨率:</w:t>
            </w:r>
            <w:r>
              <w:rPr>
                <w:rFonts w:hint="eastAsia" w:ascii="宋体" w:hAnsi="宋体" w:cs="宋体"/>
                <w:sz w:val="24"/>
              </w:rPr>
              <w:t>≤</w:t>
            </w:r>
            <w:r>
              <w:rPr>
                <w:rFonts w:hint="eastAsia" w:ascii="宋体" w:hAnsi="宋体" w:cs="宋体"/>
                <w:kern w:val="0"/>
                <w:sz w:val="24"/>
              </w:rPr>
              <w:t>0.01kpa；</w:t>
            </w:r>
          </w:p>
          <w:p w14:paraId="678B33A3">
            <w:pPr>
              <w:spacing w:line="360" w:lineRule="auto"/>
              <w:rPr>
                <w:rFonts w:hint="eastAsia" w:ascii="宋体" w:hAnsi="宋体" w:cs="宋体"/>
                <w:kern w:val="0"/>
                <w:sz w:val="24"/>
              </w:rPr>
            </w:pPr>
            <w:r>
              <w:rPr>
                <w:rFonts w:hint="eastAsia" w:ascii="宋体" w:hAnsi="宋体" w:cs="宋体"/>
                <w:kern w:val="0"/>
                <w:sz w:val="24"/>
              </w:rPr>
              <w:t>变形量误差:≤lm；</w:t>
            </w:r>
          </w:p>
          <w:p w14:paraId="6248EF78">
            <w:pPr>
              <w:spacing w:line="360" w:lineRule="auto"/>
              <w:rPr>
                <w:rFonts w:hint="eastAsia" w:ascii="宋体" w:hAnsi="宋体" w:cs="宋体"/>
                <w:kern w:val="0"/>
                <w:sz w:val="24"/>
              </w:rPr>
            </w:pPr>
            <w:r>
              <w:rPr>
                <w:rFonts w:hint="eastAsia" w:ascii="宋体" w:hAnsi="宋体" w:cs="宋体"/>
                <w:kern w:val="0"/>
                <w:sz w:val="24"/>
              </w:rPr>
              <w:t>上下盘同心度:≤0.25mm</w:t>
            </w:r>
          </w:p>
          <w:p w14:paraId="2317C715">
            <w:pPr>
              <w:spacing w:line="360" w:lineRule="auto"/>
              <w:rPr>
                <w:rFonts w:hint="eastAsia" w:ascii="宋体" w:hAnsi="宋体" w:cs="宋体"/>
                <w:kern w:val="0"/>
                <w:sz w:val="24"/>
              </w:rPr>
            </w:pPr>
            <w:r>
              <w:rPr>
                <w:rFonts w:hint="eastAsia" w:ascii="宋体" w:hAnsi="宋体" w:cs="宋体"/>
                <w:kern w:val="0"/>
                <w:sz w:val="24"/>
              </w:rPr>
              <w:t>胶膜凸盘压强:10mm 时，(170~220)kPa、18mm 时，(250~350)kPa；</w:t>
            </w:r>
          </w:p>
          <w:p w14:paraId="623D271A">
            <w:pPr>
              <w:spacing w:line="360" w:lineRule="auto"/>
              <w:rPr>
                <w:rFonts w:hint="eastAsia" w:ascii="宋体" w:hAnsi="宋体" w:cs="宋体"/>
                <w:kern w:val="0"/>
                <w:sz w:val="24"/>
              </w:rPr>
            </w:pPr>
            <w:r>
              <w:rPr>
                <w:rFonts w:hint="eastAsia" w:ascii="宋体" w:hAnsi="宋体" w:cs="宋体"/>
                <w:kern w:val="0"/>
                <w:sz w:val="24"/>
              </w:rPr>
              <w:t>送油速度:175士5ml/min；</w:t>
            </w:r>
          </w:p>
          <w:p w14:paraId="5F11EC4E">
            <w:pPr>
              <w:spacing w:line="360" w:lineRule="auto"/>
              <w:rPr>
                <w:rFonts w:hint="eastAsia" w:ascii="宋体" w:hAnsi="宋体" w:cs="宋体"/>
                <w:kern w:val="0"/>
                <w:sz w:val="24"/>
              </w:rPr>
            </w:pPr>
            <w:r>
              <w:rPr>
                <w:rFonts w:hint="eastAsia" w:ascii="宋体" w:hAnsi="宋体" w:cs="宋体"/>
                <w:kern w:val="0"/>
                <w:sz w:val="24"/>
              </w:rPr>
              <w:t>压盘直径:上盘直径:31.5±0.5mm、下盘直径:31.5±0.5mm人机界面:7.0in液晶显示，显示曲线分析图；</w:t>
            </w:r>
          </w:p>
          <w:p w14:paraId="4DA360B3">
            <w:pPr>
              <w:spacing w:line="360" w:lineRule="auto"/>
              <w:rPr>
                <w:rFonts w:hint="eastAsia" w:ascii="宋体" w:hAnsi="宋体" w:cs="宋体"/>
                <w:kern w:val="0"/>
                <w:sz w:val="24"/>
              </w:rPr>
            </w:pPr>
            <w:r>
              <w:rPr>
                <w:rFonts w:hint="eastAsia" w:ascii="宋体" w:hAnsi="宋体" w:cs="宋体"/>
                <w:kern w:val="0"/>
                <w:sz w:val="24"/>
              </w:rPr>
              <w:t>夹持力:大于690kpa(可调)；</w:t>
            </w:r>
          </w:p>
          <w:p w14:paraId="0FC1903E">
            <w:pPr>
              <w:spacing w:line="360" w:lineRule="auto"/>
              <w:rPr>
                <w:rFonts w:hint="eastAsia" w:ascii="宋体" w:hAnsi="宋体" w:cs="宋体"/>
                <w:kern w:val="0"/>
                <w:sz w:val="24"/>
              </w:rPr>
            </w:pPr>
            <w:r>
              <w:rPr>
                <w:rFonts w:hint="eastAsia" w:ascii="宋体" w:hAnsi="宋体" w:cs="宋体"/>
                <w:kern w:val="0"/>
                <w:sz w:val="24"/>
              </w:rPr>
              <w:t>单位转换:Kg/cm2、kpa、lbf/in2；</w:t>
            </w:r>
          </w:p>
          <w:p w14:paraId="0FC74C81">
            <w:pPr>
              <w:spacing w:line="360" w:lineRule="auto"/>
              <w:rPr>
                <w:rFonts w:hint="eastAsia" w:ascii="宋体" w:hAnsi="宋体" w:cs="宋体"/>
                <w:kern w:val="0"/>
                <w:sz w:val="24"/>
              </w:rPr>
            </w:pPr>
            <w:r>
              <w:rPr>
                <w:rFonts w:hint="eastAsia" w:ascii="宋体" w:hAnsi="宋体" w:cs="宋体"/>
                <w:kern w:val="0"/>
                <w:sz w:val="24"/>
              </w:rPr>
              <w:t>打印输出:模块式一体热敏打印机；</w:t>
            </w:r>
          </w:p>
          <w:p w14:paraId="6BCEAA42">
            <w:pPr>
              <w:spacing w:line="360" w:lineRule="auto"/>
              <w:rPr>
                <w:rFonts w:hint="eastAsia" w:ascii="宋体" w:hAnsi="宋体" w:cs="宋体"/>
                <w:kern w:val="0"/>
                <w:sz w:val="24"/>
              </w:rPr>
            </w:pPr>
            <w:r>
              <w:rPr>
                <w:rFonts w:hint="eastAsia" w:ascii="宋体" w:hAnsi="宋体" w:cs="宋体"/>
                <w:kern w:val="0"/>
                <w:sz w:val="24"/>
              </w:rPr>
              <w:t>工作环境:温度(20士10)°C，湿度&lt;85%；</w:t>
            </w:r>
          </w:p>
          <w:p w14:paraId="7266850F">
            <w:pPr>
              <w:spacing w:line="360" w:lineRule="auto"/>
              <w:rPr>
                <w:rFonts w:hint="eastAsia" w:ascii="宋体" w:hAnsi="宋体" w:cs="宋体"/>
                <w:kern w:val="0"/>
                <w:sz w:val="24"/>
              </w:rPr>
            </w:pPr>
            <w:r>
              <w:rPr>
                <w:rFonts w:hint="eastAsia" w:ascii="宋体" w:hAnsi="宋体" w:cs="宋体"/>
                <w:kern w:val="0"/>
                <w:sz w:val="24"/>
              </w:rPr>
              <w:t>尺寸:不小于360*420*510mm。</w:t>
            </w:r>
          </w:p>
          <w:p w14:paraId="620B7D9E">
            <w:pPr>
              <w:spacing w:line="360" w:lineRule="auto"/>
              <w:rPr>
                <w:rFonts w:hint="eastAsia" w:ascii="宋体" w:hAnsi="宋体" w:cs="宋体"/>
                <w:b/>
                <w:bCs/>
                <w:sz w:val="24"/>
              </w:rPr>
            </w:pPr>
            <w:r>
              <w:rPr>
                <w:rFonts w:hint="eastAsia" w:ascii="宋体" w:hAnsi="宋体" w:cs="宋体"/>
                <w:b/>
                <w:bCs/>
                <w:sz w:val="24"/>
              </w:rPr>
              <w:t>8纸张光泽度仪</w:t>
            </w:r>
          </w:p>
          <w:p w14:paraId="6DDF0943">
            <w:pPr>
              <w:spacing w:line="360" w:lineRule="auto"/>
              <w:rPr>
                <w:rFonts w:hint="eastAsia" w:ascii="宋体" w:hAnsi="宋体" w:cs="宋体"/>
                <w:kern w:val="0"/>
                <w:sz w:val="24"/>
              </w:rPr>
            </w:pPr>
            <w:r>
              <w:rPr>
                <w:rFonts w:hint="eastAsia" w:ascii="宋体" w:hAnsi="宋体" w:cs="宋体"/>
                <w:kern w:val="0"/>
                <w:sz w:val="24"/>
              </w:rPr>
              <w:t>测量角度：不低于20°、60°、85°三角度测量，满足不同标准与材料需求；</w:t>
            </w:r>
            <w:r>
              <w:rPr>
                <w:rFonts w:hint="eastAsia" w:ascii="宋体" w:hAnsi="宋体" w:cs="宋体"/>
                <w:kern w:val="0"/>
                <w:sz w:val="24"/>
              </w:rPr>
              <w:br w:type="textWrapping" w:clear="all"/>
            </w:r>
            <w:r>
              <w:rPr>
                <w:rFonts w:hint="eastAsia" w:ascii="宋体" w:hAnsi="宋体" w:cs="宋体"/>
                <w:kern w:val="0"/>
                <w:sz w:val="24"/>
              </w:rPr>
              <w:t>85°：适用于涂布纸、未涂布纸及低印刷光泽度印样；</w:t>
            </w:r>
            <w:r>
              <w:rPr>
                <w:rFonts w:hint="eastAsia" w:ascii="宋体" w:hAnsi="宋体" w:cs="宋体"/>
                <w:kern w:val="0"/>
                <w:sz w:val="24"/>
              </w:rPr>
              <w:br w:type="textWrapping" w:clear="all"/>
            </w:r>
            <w:r>
              <w:rPr>
                <w:rFonts w:hint="eastAsia" w:ascii="宋体" w:hAnsi="宋体" w:cs="宋体"/>
                <w:kern w:val="0"/>
                <w:sz w:val="24"/>
              </w:rPr>
              <w:t>20°：适用于高光泽纸（如铸涂纸、蜡光纸）及高光泽油墨；</w:t>
            </w:r>
            <w:r>
              <w:rPr>
                <w:rFonts w:hint="eastAsia" w:ascii="宋体" w:hAnsi="宋体" w:cs="宋体"/>
                <w:kern w:val="0"/>
                <w:sz w:val="24"/>
              </w:rPr>
              <w:br w:type="textWrapping" w:clear="all"/>
            </w:r>
            <w:r>
              <w:rPr>
                <w:rFonts w:hint="eastAsia" w:ascii="宋体" w:hAnsi="宋体" w:cs="宋体"/>
                <w:kern w:val="0"/>
                <w:sz w:val="24"/>
              </w:rPr>
              <w:t>60°：通用角度，适用于多种纸张、涂料、塑料等材料；</w:t>
            </w:r>
          </w:p>
          <w:p w14:paraId="20733AA4">
            <w:pPr>
              <w:spacing w:line="360" w:lineRule="auto"/>
              <w:rPr>
                <w:rFonts w:hint="eastAsia" w:ascii="宋体" w:hAnsi="宋体" w:cs="宋体"/>
                <w:kern w:val="0"/>
                <w:sz w:val="24"/>
              </w:rPr>
            </w:pPr>
            <w:r>
              <w:rPr>
                <w:rFonts w:hint="eastAsia" w:ascii="宋体" w:hAnsi="宋体" w:cs="宋体"/>
                <w:kern w:val="0"/>
                <w:sz w:val="24"/>
              </w:rPr>
              <w:t>测量范围：</w:t>
            </w:r>
            <w:r>
              <w:rPr>
                <w:rFonts w:hint="eastAsia" w:ascii="宋体" w:hAnsi="宋体" w:cs="宋体"/>
                <w:kern w:val="0"/>
                <w:sz w:val="24"/>
              </w:rPr>
              <w:br w:type="textWrapping" w:clear="all"/>
            </w:r>
            <w:r>
              <w:rPr>
                <w:rFonts w:hint="eastAsia" w:ascii="宋体" w:hAnsi="宋体" w:cs="宋体"/>
                <w:kern w:val="0"/>
                <w:sz w:val="24"/>
              </w:rPr>
              <w:t>85°角：1~160 GU (光泽度单位)；</w:t>
            </w:r>
          </w:p>
          <w:p w14:paraId="7F9D5D3F">
            <w:pPr>
              <w:spacing w:line="360" w:lineRule="auto"/>
              <w:rPr>
                <w:rFonts w:hint="eastAsia" w:ascii="宋体" w:hAnsi="宋体" w:cs="宋体"/>
                <w:kern w:val="0"/>
                <w:sz w:val="24"/>
              </w:rPr>
            </w:pPr>
            <w:r>
              <w:rPr>
                <w:rFonts w:hint="eastAsia" w:ascii="宋体" w:hAnsi="宋体" w:cs="宋体"/>
                <w:kern w:val="0"/>
                <w:sz w:val="24"/>
              </w:rPr>
              <w:t>20°角：1~2000 GU；</w:t>
            </w:r>
          </w:p>
          <w:p w14:paraId="530F3884">
            <w:pPr>
              <w:spacing w:line="360" w:lineRule="auto"/>
              <w:rPr>
                <w:rFonts w:hint="eastAsia" w:ascii="宋体" w:hAnsi="宋体" w:cs="宋体"/>
                <w:kern w:val="0"/>
                <w:sz w:val="24"/>
              </w:rPr>
            </w:pPr>
            <w:r>
              <w:rPr>
                <w:rFonts w:hint="eastAsia" w:ascii="宋体" w:hAnsi="宋体" w:cs="宋体"/>
                <w:kern w:val="0"/>
                <w:sz w:val="24"/>
              </w:rPr>
              <w:t>分辨率：不低于0.1 GU；</w:t>
            </w:r>
          </w:p>
          <w:p w14:paraId="09F7F8E6">
            <w:pPr>
              <w:spacing w:line="360" w:lineRule="auto"/>
              <w:rPr>
                <w:rFonts w:hint="eastAsia" w:ascii="宋体" w:hAnsi="宋体" w:cs="宋体"/>
                <w:kern w:val="0"/>
                <w:sz w:val="24"/>
              </w:rPr>
            </w:pPr>
            <w:r>
              <w:rPr>
                <w:rFonts w:hint="eastAsia" w:ascii="宋体" w:hAnsi="宋体" w:cs="宋体"/>
                <w:kern w:val="0"/>
                <w:sz w:val="24"/>
              </w:rPr>
              <w:t>测量重复精度：不低于0~100 GU:0.2 GU；100~2000 GU：0.2% GU；</w:t>
            </w:r>
          </w:p>
          <w:p w14:paraId="091433F9">
            <w:pPr>
              <w:spacing w:line="360" w:lineRule="auto"/>
              <w:jc w:val="left"/>
              <w:rPr>
                <w:rFonts w:hint="eastAsia" w:ascii="宋体" w:hAnsi="宋体" w:cs="宋体"/>
                <w:kern w:val="0"/>
                <w:sz w:val="24"/>
              </w:rPr>
            </w:pPr>
            <w:r>
              <w:rPr>
                <w:rFonts w:hint="eastAsia" w:ascii="宋体" w:hAnsi="宋体" w:cs="宋体"/>
                <w:kern w:val="0"/>
                <w:sz w:val="24"/>
              </w:rPr>
              <w:t>测量时间：≤1s。</w:t>
            </w:r>
          </w:p>
          <w:p w14:paraId="671A9592">
            <w:pPr>
              <w:spacing w:line="360" w:lineRule="auto"/>
              <w:jc w:val="left"/>
              <w:rPr>
                <w:rFonts w:hint="eastAsia" w:ascii="宋体" w:hAnsi="宋体" w:cs="宋体"/>
                <w:b/>
                <w:bCs/>
                <w:sz w:val="24"/>
              </w:rPr>
            </w:pPr>
            <w:r>
              <w:rPr>
                <w:rFonts w:hint="eastAsia" w:ascii="宋体" w:hAnsi="宋体" w:cs="宋体"/>
                <w:b/>
                <w:bCs/>
                <w:sz w:val="24"/>
              </w:rPr>
              <w:t>9 主要配置</w:t>
            </w:r>
          </w:p>
          <w:p w14:paraId="01E8F223">
            <w:pPr>
              <w:spacing w:line="360" w:lineRule="auto"/>
              <w:rPr>
                <w:rFonts w:hint="eastAsia" w:ascii="宋体" w:hAnsi="宋体" w:cs="宋体"/>
                <w:sz w:val="24"/>
              </w:rPr>
            </w:pPr>
            <w:r>
              <w:rPr>
                <w:rFonts w:hint="eastAsia" w:ascii="宋体" w:hAnsi="宋体" w:cs="宋体"/>
                <w:sz w:val="24"/>
              </w:rPr>
              <w:t>1台彩色数字印刷机，1套仪器配套控制系统，1台全自动数码模切机，1台数显纸张白度测试仪，</w:t>
            </w:r>
            <w:r>
              <w:rPr>
                <w:rFonts w:hint="eastAsia" w:ascii="宋体" w:hAnsi="宋体" w:cs="宋体"/>
                <w:kern w:val="0"/>
                <w:sz w:val="24"/>
              </w:rPr>
              <w:t>1台数显旋转粘度计触屏式，</w:t>
            </w:r>
            <w:r>
              <w:rPr>
                <w:rFonts w:hint="eastAsia" w:ascii="宋体" w:hAnsi="宋体" w:cs="宋体"/>
                <w:sz w:val="24"/>
              </w:rPr>
              <w:t>1台纸张耐折度测定仪，</w:t>
            </w:r>
            <w:r>
              <w:rPr>
                <w:rFonts w:hint="eastAsia" w:ascii="宋体" w:hAnsi="宋体" w:cs="宋体"/>
                <w:kern w:val="0"/>
                <w:sz w:val="24"/>
              </w:rPr>
              <w:t>1台耐破试验机纸张耐破度测定仪，</w:t>
            </w:r>
            <w:r>
              <w:rPr>
                <w:rFonts w:hint="eastAsia" w:ascii="宋体" w:hAnsi="宋体" w:cs="宋体"/>
                <w:sz w:val="24"/>
              </w:rPr>
              <w:t>1台纸张光泽度仪。</w:t>
            </w:r>
          </w:p>
        </w:tc>
        <w:tc>
          <w:tcPr>
            <w:tcW w:w="850" w:type="dxa"/>
            <w:vAlign w:val="center"/>
          </w:tcPr>
          <w:p w14:paraId="609DD200">
            <w:pPr>
              <w:spacing w:line="360" w:lineRule="auto"/>
              <w:jc w:val="center"/>
              <w:rPr>
                <w:rFonts w:hint="eastAsia" w:ascii="宋体" w:hAnsi="宋体" w:cs="宋体"/>
                <w:sz w:val="24"/>
              </w:rPr>
            </w:pPr>
            <w:r>
              <w:rPr>
                <w:rFonts w:hint="eastAsia" w:ascii="宋体" w:hAnsi="宋体" w:cs="宋体"/>
                <w:sz w:val="24"/>
              </w:rPr>
              <w:t>套</w:t>
            </w:r>
          </w:p>
        </w:tc>
        <w:tc>
          <w:tcPr>
            <w:tcW w:w="850" w:type="dxa"/>
            <w:vAlign w:val="center"/>
          </w:tcPr>
          <w:p w14:paraId="218E2711">
            <w:pPr>
              <w:spacing w:line="360" w:lineRule="auto"/>
              <w:jc w:val="center"/>
              <w:rPr>
                <w:rFonts w:hint="eastAsia" w:ascii="宋体" w:hAnsi="宋体" w:cs="宋体"/>
                <w:sz w:val="24"/>
              </w:rPr>
            </w:pPr>
            <w:r>
              <w:rPr>
                <w:rFonts w:hint="eastAsia" w:ascii="宋体" w:hAnsi="宋体" w:cs="宋体"/>
                <w:sz w:val="24"/>
              </w:rPr>
              <w:t>1</w:t>
            </w:r>
          </w:p>
        </w:tc>
      </w:tr>
      <w:tr w14:paraId="2AE3437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630" w:hRule="atLeast"/>
          <w:jc w:val="center"/>
        </w:trPr>
        <w:tc>
          <w:tcPr>
            <w:tcW w:w="817" w:type="dxa"/>
            <w:vAlign w:val="center"/>
          </w:tcPr>
          <w:p w14:paraId="1893AD48">
            <w:pPr>
              <w:spacing w:line="360" w:lineRule="auto"/>
              <w:jc w:val="center"/>
              <w:rPr>
                <w:rFonts w:hint="eastAsia" w:ascii="宋体" w:hAnsi="宋体" w:cs="宋体"/>
                <w:sz w:val="24"/>
              </w:rPr>
            </w:pPr>
            <w:r>
              <w:rPr>
                <w:rFonts w:hint="eastAsia" w:ascii="宋体" w:hAnsi="宋体" w:cs="宋体"/>
                <w:sz w:val="24"/>
              </w:rPr>
              <w:t>原位傅里叶变换红外光谱仪及其配套系统</w:t>
            </w:r>
          </w:p>
        </w:tc>
        <w:tc>
          <w:tcPr>
            <w:tcW w:w="851" w:type="dxa"/>
            <w:vAlign w:val="center"/>
          </w:tcPr>
          <w:p w14:paraId="746B5BF3">
            <w:pPr>
              <w:spacing w:line="360" w:lineRule="auto"/>
              <w:jc w:val="center"/>
              <w:rPr>
                <w:rFonts w:hint="eastAsia" w:ascii="宋体" w:hAnsi="宋体" w:cs="宋体"/>
                <w:sz w:val="24"/>
              </w:rPr>
            </w:pPr>
            <w:r>
              <w:rPr>
                <w:rFonts w:hint="eastAsia" w:ascii="宋体" w:hAnsi="宋体" w:cs="宋体"/>
                <w:sz w:val="24"/>
              </w:rPr>
              <w:t>否</w:t>
            </w:r>
          </w:p>
        </w:tc>
        <w:tc>
          <w:tcPr>
            <w:tcW w:w="10532" w:type="dxa"/>
            <w:vAlign w:val="center"/>
          </w:tcPr>
          <w:p w14:paraId="55B36D57">
            <w:pPr>
              <w:spacing w:line="360" w:lineRule="auto"/>
              <w:rPr>
                <w:rFonts w:hint="eastAsia" w:ascii="宋体" w:hAnsi="宋体" w:cs="宋体"/>
                <w:b/>
                <w:bCs/>
                <w:sz w:val="24"/>
              </w:rPr>
            </w:pPr>
            <w:r>
              <w:rPr>
                <w:rFonts w:hint="eastAsia" w:ascii="宋体" w:hAnsi="宋体" w:cs="宋体"/>
                <w:b/>
                <w:bCs/>
                <w:sz w:val="24"/>
              </w:rPr>
              <w:t>1 原位傅里叶变换红外光谱仪</w:t>
            </w:r>
          </w:p>
          <w:p w14:paraId="7A676746">
            <w:pPr>
              <w:spacing w:line="360" w:lineRule="auto"/>
              <w:rPr>
                <w:rFonts w:hint="eastAsia" w:ascii="宋体" w:hAnsi="宋体" w:cs="宋体"/>
                <w:sz w:val="24"/>
              </w:rPr>
            </w:pPr>
            <w:r>
              <w:rPr>
                <w:rFonts w:hint="eastAsia" w:ascii="宋体" w:hAnsi="宋体" w:cs="宋体"/>
                <w:sz w:val="24"/>
              </w:rPr>
              <w:t>1.1光谱范围：≥7800 - 400 cm</w:t>
            </w:r>
            <w:r>
              <w:rPr>
                <w:rFonts w:hint="eastAsia" w:ascii="宋体" w:hAnsi="宋体" w:cs="宋体"/>
                <w:sz w:val="24"/>
                <w:vertAlign w:val="superscript"/>
              </w:rPr>
              <w:t>-1</w:t>
            </w:r>
            <w:r>
              <w:rPr>
                <w:rFonts w:hint="eastAsia" w:ascii="宋体" w:hAnsi="宋体" w:cs="宋体"/>
                <w:sz w:val="24"/>
              </w:rPr>
              <w:t>；全光谱范围线性度：≤0.1%T。</w:t>
            </w:r>
          </w:p>
          <w:p w14:paraId="6BF1F13F">
            <w:pPr>
              <w:spacing w:line="360" w:lineRule="auto"/>
              <w:rPr>
                <w:rFonts w:hint="eastAsia" w:ascii="宋体" w:hAnsi="宋体" w:cs="宋体"/>
                <w:sz w:val="24"/>
              </w:rPr>
            </w:pPr>
            <w:r>
              <w:rPr>
                <w:rFonts w:hint="eastAsia" w:ascii="宋体" w:hAnsi="宋体" w:cs="宋体"/>
                <w:sz w:val="24"/>
              </w:rPr>
              <w:t>1.2信噪比：≥62000：1（4 cm</w:t>
            </w:r>
            <w:r>
              <w:rPr>
                <w:rFonts w:hint="eastAsia" w:ascii="宋体" w:hAnsi="宋体" w:cs="宋体"/>
                <w:sz w:val="24"/>
                <w:vertAlign w:val="superscript"/>
              </w:rPr>
              <w:t>-1</w:t>
            </w:r>
            <w:r>
              <w:rPr>
                <w:rFonts w:hint="eastAsia" w:ascii="宋体" w:hAnsi="宋体" w:cs="宋体"/>
                <w:sz w:val="24"/>
              </w:rPr>
              <w:t>分辨率，1分钟，峰-峰值）。</w:t>
            </w:r>
          </w:p>
          <w:p w14:paraId="3BC0F1CD">
            <w:pPr>
              <w:spacing w:line="360" w:lineRule="auto"/>
              <w:rPr>
                <w:rFonts w:hint="eastAsia" w:ascii="宋体" w:hAnsi="宋体" w:cs="宋体"/>
                <w:sz w:val="24"/>
              </w:rPr>
            </w:pPr>
            <w:r>
              <w:rPr>
                <w:rFonts w:hint="eastAsia" w:ascii="宋体" w:hAnsi="宋体" w:cs="宋体"/>
                <w:sz w:val="24"/>
              </w:rPr>
              <w:t>*1.3光谱分辨率：≤0.1cm</w:t>
            </w:r>
            <w:r>
              <w:rPr>
                <w:rFonts w:hint="eastAsia" w:ascii="宋体" w:hAnsi="宋体" w:cs="宋体"/>
                <w:sz w:val="24"/>
                <w:vertAlign w:val="superscript"/>
              </w:rPr>
              <w:t>-1</w:t>
            </w:r>
            <w:r>
              <w:rPr>
                <w:rFonts w:hint="eastAsia" w:ascii="宋体" w:hAnsi="宋体" w:cs="宋体"/>
                <w:sz w:val="24"/>
              </w:rPr>
              <w:t>；快速扫描：≥60张光谱/秒（@16 cm</w:t>
            </w:r>
            <w:r>
              <w:rPr>
                <w:rFonts w:hint="eastAsia" w:ascii="宋体" w:hAnsi="宋体" w:cs="宋体"/>
                <w:sz w:val="24"/>
                <w:vertAlign w:val="superscript"/>
              </w:rPr>
              <w:t>-1</w:t>
            </w:r>
            <w:r>
              <w:rPr>
                <w:rFonts w:hint="eastAsia" w:ascii="宋体" w:hAnsi="宋体" w:cs="宋体"/>
                <w:sz w:val="24"/>
              </w:rPr>
              <w:t>），提供相关证明材料并加盖公章包括但不仅限于：实物照片或官网截图或产品彩页或检测报告或功能截图等。</w:t>
            </w:r>
          </w:p>
          <w:p w14:paraId="74091F4F">
            <w:pPr>
              <w:spacing w:line="360" w:lineRule="auto"/>
              <w:rPr>
                <w:rFonts w:hint="eastAsia" w:ascii="宋体" w:hAnsi="宋体" w:cs="宋体"/>
                <w:sz w:val="24"/>
              </w:rPr>
            </w:pPr>
            <w:r>
              <w:rPr>
                <w:rFonts w:hint="eastAsia" w:ascii="宋体" w:hAnsi="宋体" w:cs="宋体"/>
                <w:sz w:val="24"/>
              </w:rPr>
              <w:t>1.4干涉仪：采用迈克尔逊干涉仪，具有实时自动高速扫描动态准直控制功能。</w:t>
            </w:r>
          </w:p>
          <w:p w14:paraId="1D0311BD">
            <w:pPr>
              <w:spacing w:line="360" w:lineRule="auto"/>
              <w:rPr>
                <w:rFonts w:hint="eastAsia" w:ascii="宋体" w:hAnsi="宋体" w:cs="宋体"/>
                <w:sz w:val="24"/>
              </w:rPr>
            </w:pPr>
            <w:r>
              <w:rPr>
                <w:rFonts w:hint="eastAsia" w:ascii="宋体" w:hAnsi="宋体" w:cs="宋体"/>
                <w:sz w:val="24"/>
              </w:rPr>
              <w:t>*1.5红外光源：配置智能光源切换系统，包含1个高效率中/远红外光源，1个近红外/可见光源，1个外置外光源导入口，所有光源由软件控制自动切换，光学台采用永久准直光路设计，所有元件均采用对针定位方式，所有光学转镜采用金镜，提供相关证明材料并加盖公章包括但不仅限于：实物照片或官网截图或产品彩页或检测报告或功能截图等。</w:t>
            </w:r>
          </w:p>
          <w:p w14:paraId="19CC32D7">
            <w:pPr>
              <w:spacing w:line="360" w:lineRule="auto"/>
              <w:rPr>
                <w:rFonts w:hint="eastAsia" w:ascii="宋体" w:hAnsi="宋体" w:cs="宋体"/>
                <w:sz w:val="24"/>
              </w:rPr>
            </w:pPr>
            <w:r>
              <w:rPr>
                <w:rFonts w:hint="eastAsia" w:ascii="宋体" w:hAnsi="宋体" w:cs="宋体"/>
                <w:sz w:val="24"/>
              </w:rPr>
              <w:t>1.6检测器：配置多位检测器转换系统，包含1个室温DLaTGS检测器和1个液氮冷却MCT检测器，同时，预留1个内置检测器位置。软件控制所有检测器自动切换。</w:t>
            </w:r>
          </w:p>
          <w:p w14:paraId="49C717E7">
            <w:pPr>
              <w:spacing w:line="360" w:lineRule="auto"/>
              <w:rPr>
                <w:rFonts w:hint="eastAsia" w:ascii="宋体" w:hAnsi="宋体" w:cs="宋体"/>
                <w:sz w:val="24"/>
              </w:rPr>
            </w:pPr>
            <w:r>
              <w:rPr>
                <w:rFonts w:hint="eastAsia" w:ascii="宋体" w:hAnsi="宋体" w:cs="宋体"/>
                <w:sz w:val="24"/>
              </w:rPr>
              <w:t>*1.7激光器：采用He-Ne气体激光器；计算机控制连续可变200档自动控制光阑，提供相关证明材料并加盖公章包括但不仅限于：实物照片或官网截图或产品彩页或检测报告或功能截图等。</w:t>
            </w:r>
          </w:p>
          <w:p w14:paraId="75ECE2CA">
            <w:pPr>
              <w:spacing w:line="360" w:lineRule="auto"/>
              <w:rPr>
                <w:rFonts w:hint="eastAsia" w:ascii="宋体" w:hAnsi="宋体" w:cs="宋体"/>
                <w:sz w:val="24"/>
              </w:rPr>
            </w:pPr>
            <w:r>
              <w:rPr>
                <w:rFonts w:hint="eastAsia" w:ascii="宋体" w:hAnsi="宋体" w:cs="宋体"/>
                <w:sz w:val="24"/>
              </w:rPr>
              <w:t>1.8扩展功能：可与气相色谱红外、热重分析仪、傅里叶拉曼、流变分析仪、凝胶色谱等联机。</w:t>
            </w:r>
          </w:p>
          <w:p w14:paraId="1BC5527A">
            <w:pPr>
              <w:spacing w:line="360" w:lineRule="auto"/>
              <w:rPr>
                <w:rFonts w:hint="eastAsia" w:ascii="宋体" w:hAnsi="宋体" w:cs="宋体"/>
                <w:sz w:val="24"/>
              </w:rPr>
            </w:pPr>
            <w:r>
              <w:rPr>
                <w:rFonts w:hint="eastAsia" w:ascii="宋体" w:hAnsi="宋体" w:cs="宋体"/>
                <w:sz w:val="24"/>
              </w:rPr>
              <w:t>1.9红外软件：除包括各种常规红外定性、定量检测分析处理、检索谱库和仪器性能自动测试等功能外，提供光谱采集自动光谱质量检查和判断提示，自动谱峰查找定量分析、智能模型编辑、ATR多模式校正、高精确物质鉴别等先进应用功能。软件与Win 10 64位系统兼容，红外谱图库含20万原厂谱图。</w:t>
            </w:r>
          </w:p>
          <w:p w14:paraId="4D4C2917">
            <w:pPr>
              <w:spacing w:line="360" w:lineRule="auto"/>
              <w:rPr>
                <w:rFonts w:hint="eastAsia" w:ascii="宋体" w:hAnsi="宋体" w:cs="宋体"/>
                <w:sz w:val="24"/>
              </w:rPr>
            </w:pPr>
            <w:r>
              <w:rPr>
                <w:rFonts w:hint="eastAsia" w:ascii="宋体" w:hAnsi="宋体" w:cs="宋体"/>
                <w:sz w:val="24"/>
              </w:rPr>
              <w:t>1.10包含傅里叶变换红外光谱仪主机1台。衰减全反射附件2套（单点反射，入射角度45°，折射率2.4，穿透深度2μm。能够尽可能提高光通量，从而可在数秒内获得样品数据。具有稳健的晶体装配系统，与光谱仪集成一体，确保操作准确。整体金刚石晶体可提供卓越的耐用性）。变温衰减全反射附件1套（可实现对样品进行室温~300℃的衰减全反射测试。计算机控制温度，控制精确度为1℃的控制能力）。压片机及模具1套。吹扫套件1套。多组分分析软件1套。高精度分析软件1套。原厂谱图库1套。</w:t>
            </w:r>
          </w:p>
          <w:p w14:paraId="4F84B70C">
            <w:pPr>
              <w:spacing w:line="360" w:lineRule="auto"/>
              <w:jc w:val="left"/>
              <w:rPr>
                <w:rFonts w:hint="eastAsia" w:ascii="宋体" w:hAnsi="宋体" w:cs="宋体"/>
                <w:b/>
                <w:bCs/>
                <w:sz w:val="24"/>
              </w:rPr>
            </w:pPr>
            <w:r>
              <w:rPr>
                <w:rFonts w:hint="eastAsia" w:ascii="宋体" w:hAnsi="宋体" w:cs="宋体"/>
                <w:b/>
                <w:bCs/>
                <w:sz w:val="24"/>
              </w:rPr>
              <w:t>2仪器配套控制系统</w:t>
            </w:r>
          </w:p>
          <w:p w14:paraId="316F14B0">
            <w:pPr>
              <w:spacing w:line="360" w:lineRule="auto"/>
              <w:jc w:val="left"/>
              <w:rPr>
                <w:rFonts w:hint="eastAsia" w:ascii="宋体" w:hAnsi="宋体" w:cs="宋体"/>
                <w:sz w:val="24"/>
              </w:rPr>
            </w:pPr>
            <w:r>
              <w:rPr>
                <w:rFonts w:hint="eastAsia" w:ascii="宋体" w:hAnsi="宋体" w:cs="宋体"/>
                <w:sz w:val="24"/>
              </w:rPr>
              <w:t>2.1主板：不低于700系列芯片组；CPU：16核24线程（8个性能核+8个能效核），性能核基础频率≥2.1GHz，最高睿频≥5.2GHz；内存：≥32G DDR4 3200MHz或DDR5 4800MHz，双内存通道，内存插槽≥2个，最大可扩展容量≥64G。</w:t>
            </w:r>
          </w:p>
          <w:p w14:paraId="0D7968CD">
            <w:pPr>
              <w:spacing w:line="360" w:lineRule="auto"/>
              <w:jc w:val="left"/>
              <w:rPr>
                <w:rFonts w:hint="eastAsia" w:ascii="宋体" w:hAnsi="宋体" w:cs="宋体"/>
                <w:sz w:val="24"/>
              </w:rPr>
            </w:pPr>
            <w:r>
              <w:rPr>
                <w:rFonts w:hint="eastAsia" w:ascii="宋体" w:hAnsi="宋体" w:cs="宋体"/>
                <w:sz w:val="24"/>
              </w:rPr>
              <w:t>2.2硬盘：≥1TB M.2 PCIe NVMe固态硬盘；系统：兼容正版win11及以上；</w:t>
            </w:r>
            <w:r>
              <w:rPr>
                <w:rFonts w:hint="eastAsia" w:ascii="宋体" w:hAnsi="宋体" w:cs="宋体"/>
                <w:kern w:val="0"/>
                <w:sz w:val="24"/>
              </w:rPr>
              <w:t>显示器：≥27英寸液晶显示器。</w:t>
            </w:r>
          </w:p>
          <w:p w14:paraId="05B6312E">
            <w:pPr>
              <w:spacing w:line="360" w:lineRule="auto"/>
              <w:rPr>
                <w:rFonts w:hint="eastAsia" w:ascii="宋体" w:hAnsi="宋体" w:cs="宋体"/>
                <w:b/>
                <w:bCs/>
                <w:sz w:val="24"/>
              </w:rPr>
            </w:pPr>
            <w:r>
              <w:rPr>
                <w:rFonts w:hint="eastAsia" w:ascii="宋体" w:hAnsi="宋体" w:cs="宋体"/>
                <w:b/>
                <w:bCs/>
                <w:sz w:val="24"/>
              </w:rPr>
              <w:t xml:space="preserve">3 </w:t>
            </w:r>
            <w:r>
              <w:rPr>
                <w:rFonts w:hint="eastAsia" w:ascii="宋体" w:hAnsi="宋体" w:cs="宋体"/>
                <w:b/>
                <w:bCs/>
                <w:kern w:val="0"/>
                <w:sz w:val="24"/>
              </w:rPr>
              <w:t>手持测温热成像仪</w:t>
            </w:r>
          </w:p>
          <w:p w14:paraId="0D3FE2E8">
            <w:pPr>
              <w:spacing w:line="360" w:lineRule="auto"/>
              <w:rPr>
                <w:rFonts w:hint="eastAsia" w:ascii="宋体" w:hAnsi="宋体" w:cs="宋体"/>
                <w:kern w:val="0"/>
                <w:sz w:val="24"/>
              </w:rPr>
            </w:pPr>
            <w:r>
              <w:rPr>
                <w:rFonts w:hint="eastAsia" w:ascii="宋体" w:hAnsi="宋体" w:cs="宋体"/>
                <w:bCs/>
                <w:kern w:val="0"/>
                <w:sz w:val="24"/>
              </w:rPr>
              <w:t>3.1热成像参数：</w:t>
            </w:r>
            <w:r>
              <w:rPr>
                <w:rFonts w:hint="eastAsia" w:ascii="宋体" w:hAnsi="宋体" w:cs="宋体"/>
                <w:kern w:val="0"/>
                <w:sz w:val="24"/>
              </w:rPr>
              <w:t>探测器类型：12μm 非制冷氧化钒探测器；红外分辨率：不低于256×192；AI实时超分：不低于 320×240；响应波段：不低于7.514 μm，热灵敏度(NETD)：＜40mK (25℃, F1.0)；帧频：</w:t>
            </w:r>
            <w:r>
              <w:rPr>
                <w:rFonts w:hint="eastAsia" w:ascii="宋体" w:hAnsi="宋体" w:cs="宋体"/>
                <w:sz w:val="24"/>
              </w:rPr>
              <w:t>≤</w:t>
            </w:r>
            <w:r>
              <w:rPr>
                <w:rFonts w:hint="eastAsia" w:ascii="宋体" w:hAnsi="宋体" w:cs="宋体"/>
                <w:kern w:val="0"/>
                <w:sz w:val="24"/>
              </w:rPr>
              <w:t>25Hz，镜头焦距：</w:t>
            </w:r>
            <w:r>
              <w:rPr>
                <w:rFonts w:hint="eastAsia" w:ascii="宋体" w:hAnsi="宋体" w:cs="宋体"/>
                <w:sz w:val="24"/>
              </w:rPr>
              <w:t>≤</w:t>
            </w:r>
            <w:r>
              <w:rPr>
                <w:rFonts w:hint="eastAsia" w:ascii="宋体" w:hAnsi="宋体" w:cs="宋体"/>
                <w:kern w:val="0"/>
                <w:sz w:val="24"/>
              </w:rPr>
              <w:t>3.2mm；视场角(FOV)：不低于56°×42°；空间分辨率 (IFOV)：</w:t>
            </w:r>
            <w:r>
              <w:rPr>
                <w:rFonts w:hint="eastAsia" w:ascii="宋体" w:hAnsi="宋体" w:cs="宋体"/>
                <w:sz w:val="24"/>
              </w:rPr>
              <w:t>≤</w:t>
            </w:r>
            <w:r>
              <w:rPr>
                <w:rFonts w:hint="eastAsia" w:ascii="宋体" w:hAnsi="宋体" w:cs="宋体"/>
                <w:kern w:val="0"/>
                <w:sz w:val="24"/>
              </w:rPr>
              <w:t>3.8 mrad；调焦方式：定焦；最小成像距离：不低于0.3m；测温范围：不低于20℃~+150℃，100℃~550℃，自动切换量程；测温精度：不低于±2℃或读数的±2%，取较大者。</w:t>
            </w:r>
          </w:p>
          <w:p w14:paraId="66F09640">
            <w:pPr>
              <w:spacing w:line="360" w:lineRule="auto"/>
              <w:rPr>
                <w:rFonts w:hint="eastAsia" w:ascii="宋体" w:hAnsi="宋体" w:cs="宋体"/>
                <w:kern w:val="0"/>
                <w:sz w:val="24"/>
              </w:rPr>
            </w:pPr>
            <w:r>
              <w:rPr>
                <w:rFonts w:hint="eastAsia" w:ascii="宋体" w:hAnsi="宋体" w:cs="宋体"/>
                <w:bCs/>
                <w:kern w:val="0"/>
                <w:sz w:val="24"/>
              </w:rPr>
              <w:t>3.2图像显示参数：</w:t>
            </w:r>
            <w:r>
              <w:rPr>
                <w:rFonts w:hint="eastAsia" w:ascii="宋体" w:hAnsi="宋体" w:cs="宋体"/>
                <w:kern w:val="0"/>
                <w:sz w:val="24"/>
              </w:rPr>
              <w:t>显示屏：不低于2.8吋，320×240，可见光相机：不低于200万像素，数码变焦：不低于 1×、2×、4×，调色板：不低于7种，图像模式：不低于红外、可见光、画中画、双光融合，温宽拉伸：自动。</w:t>
            </w:r>
          </w:p>
          <w:p w14:paraId="36C10964">
            <w:pPr>
              <w:spacing w:line="360" w:lineRule="auto"/>
              <w:rPr>
                <w:rFonts w:hint="eastAsia" w:ascii="宋体" w:hAnsi="宋体" w:cs="宋体"/>
                <w:kern w:val="0"/>
                <w:sz w:val="24"/>
              </w:rPr>
            </w:pPr>
            <w:r>
              <w:rPr>
                <w:rFonts w:hint="eastAsia" w:ascii="宋体" w:hAnsi="宋体" w:cs="宋体"/>
                <w:bCs/>
                <w:kern w:val="0"/>
                <w:sz w:val="24"/>
              </w:rPr>
              <w:t>3.3测量分析参数：</w:t>
            </w:r>
            <w:r>
              <w:rPr>
                <w:rFonts w:hint="eastAsia" w:ascii="宋体" w:hAnsi="宋体" w:cs="宋体"/>
                <w:kern w:val="0"/>
                <w:sz w:val="24"/>
              </w:rPr>
              <w:t>设备端分析功能：不低于中心点/最高温/最低温/3个自定义点，配套软件：PC端(红外分析软件)或移动端(IOS/Android APP)。</w:t>
            </w:r>
          </w:p>
          <w:p w14:paraId="269209A3">
            <w:pPr>
              <w:spacing w:line="360" w:lineRule="auto"/>
              <w:rPr>
                <w:rFonts w:hint="eastAsia" w:ascii="宋体" w:hAnsi="宋体" w:cs="宋体"/>
                <w:kern w:val="0"/>
                <w:sz w:val="24"/>
              </w:rPr>
            </w:pPr>
            <w:r>
              <w:rPr>
                <w:rFonts w:hint="eastAsia" w:ascii="宋体" w:hAnsi="宋体" w:cs="宋体"/>
                <w:bCs/>
                <w:kern w:val="0"/>
                <w:sz w:val="24"/>
              </w:rPr>
              <w:t>3.4图像存储参数：</w:t>
            </w:r>
            <w:r>
              <w:rPr>
                <w:rFonts w:hint="eastAsia" w:ascii="宋体" w:hAnsi="宋体" w:cs="宋体"/>
                <w:kern w:val="0"/>
                <w:sz w:val="24"/>
              </w:rPr>
              <w:t>存储介质：不低于64GB Micro SD，最大支持128G。</w:t>
            </w:r>
          </w:p>
          <w:p w14:paraId="4B88708E">
            <w:pPr>
              <w:spacing w:line="360" w:lineRule="auto"/>
              <w:rPr>
                <w:rFonts w:hint="eastAsia" w:ascii="宋体" w:hAnsi="宋体" w:cs="宋体"/>
                <w:kern w:val="0"/>
                <w:sz w:val="24"/>
              </w:rPr>
            </w:pPr>
            <w:r>
              <w:rPr>
                <w:rFonts w:hint="eastAsia" w:ascii="宋体" w:hAnsi="宋体" w:cs="宋体"/>
                <w:bCs/>
                <w:kern w:val="0"/>
                <w:sz w:val="24"/>
              </w:rPr>
              <w:t>3.5系统功能：</w:t>
            </w:r>
            <w:r>
              <w:rPr>
                <w:rFonts w:hint="eastAsia" w:ascii="宋体" w:hAnsi="宋体" w:cs="宋体"/>
                <w:kern w:val="0"/>
                <w:sz w:val="24"/>
              </w:rPr>
              <w:t>报警方式：支持整帧高低温报警，支持报警自动拍照 (含温度数据)，通信协议：USB、Wi-Fi。</w:t>
            </w:r>
          </w:p>
          <w:p w14:paraId="4C52D638">
            <w:pPr>
              <w:spacing w:line="360" w:lineRule="auto"/>
              <w:rPr>
                <w:rFonts w:hint="eastAsia" w:ascii="宋体" w:hAnsi="宋体" w:cs="宋体"/>
                <w:kern w:val="0"/>
                <w:sz w:val="24"/>
              </w:rPr>
            </w:pPr>
            <w:r>
              <w:rPr>
                <w:rFonts w:hint="eastAsia" w:ascii="宋体" w:hAnsi="宋体" w:cs="宋体"/>
                <w:bCs/>
                <w:kern w:val="0"/>
                <w:sz w:val="24"/>
              </w:rPr>
              <w:t>3.6其他硬件及环境：</w:t>
            </w:r>
            <w:r>
              <w:rPr>
                <w:rFonts w:hint="eastAsia" w:ascii="宋体" w:hAnsi="宋体" w:cs="宋体"/>
                <w:kern w:val="0"/>
                <w:sz w:val="24"/>
              </w:rPr>
              <w:t>电池：不低于5000mAh锂电池，充电方式：USB TypeC，续航时间：</w:t>
            </w:r>
            <w:r>
              <w:rPr>
                <w:rFonts w:hint="eastAsia" w:ascii="宋体" w:hAnsi="宋体" w:cs="宋体"/>
                <w:sz w:val="24"/>
              </w:rPr>
              <w:t>≤</w:t>
            </w:r>
            <w:r>
              <w:rPr>
                <w:rFonts w:hint="eastAsia" w:ascii="宋体" w:hAnsi="宋体" w:cs="宋体"/>
                <w:kern w:val="0"/>
                <w:sz w:val="24"/>
              </w:rPr>
              <w:t>15h，对外接口：USB TypeC、SD卡，三脚架接口：支持UNC 1/4-20接口连接三脚架，工作温度：-10℃~+50℃，工作湿度：10%～95% (非冷凝)，存储温度：20℃~+60℃，防护等级：不低于IP54。</w:t>
            </w:r>
          </w:p>
          <w:p w14:paraId="3692F17F">
            <w:pPr>
              <w:spacing w:line="360" w:lineRule="auto"/>
              <w:rPr>
                <w:rFonts w:hint="eastAsia" w:ascii="宋体" w:hAnsi="宋体" w:cs="宋体"/>
                <w:b/>
                <w:bCs/>
                <w:kern w:val="0"/>
                <w:sz w:val="24"/>
              </w:rPr>
            </w:pPr>
            <w:r>
              <w:rPr>
                <w:rFonts w:hint="eastAsia" w:ascii="宋体" w:hAnsi="宋体" w:cs="宋体"/>
                <w:b/>
                <w:bCs/>
                <w:sz w:val="24"/>
              </w:rPr>
              <w:t xml:space="preserve">4 </w:t>
            </w:r>
            <w:r>
              <w:rPr>
                <w:rFonts w:hint="eastAsia" w:ascii="宋体" w:hAnsi="宋体" w:cs="宋体"/>
                <w:b/>
                <w:bCs/>
                <w:kern w:val="0"/>
                <w:sz w:val="24"/>
              </w:rPr>
              <w:t>UV紫外线固化箱</w:t>
            </w:r>
          </w:p>
          <w:p w14:paraId="3E475EB7">
            <w:pPr>
              <w:spacing w:line="360" w:lineRule="auto"/>
              <w:rPr>
                <w:rFonts w:hint="eastAsia" w:ascii="宋体" w:hAnsi="宋体" w:cs="宋体"/>
                <w:sz w:val="24"/>
              </w:rPr>
            </w:pPr>
            <w:r>
              <w:rPr>
                <w:rFonts w:hint="eastAsia" w:ascii="宋体" w:hAnsi="宋体" w:cs="宋体"/>
                <w:sz w:val="24"/>
              </w:rPr>
              <w:t>适配电压：100-240VAC，50/60Hz 宽电压选配，具备不少于开关+定时+调光功能，机箱冷却：风冷，机箱内置风扇强制制冷，光源散热：光源端强制风冷散热，光源类型：紫外LED光源，输出波长：不少于365nm+400nm双波段，标称光功率：不小于700mw/cm²，单台电功率：不小于500W。</w:t>
            </w:r>
          </w:p>
          <w:p w14:paraId="53097A8E">
            <w:pPr>
              <w:spacing w:line="360" w:lineRule="auto"/>
              <w:rPr>
                <w:rFonts w:hint="eastAsia" w:ascii="宋体" w:hAnsi="宋体" w:cs="宋体"/>
                <w:kern w:val="0"/>
                <w:sz w:val="24"/>
              </w:rPr>
            </w:pPr>
            <w:r>
              <w:rPr>
                <w:rFonts w:hint="eastAsia" w:ascii="宋体" w:hAnsi="宋体" w:cs="宋体"/>
                <w:kern w:val="0"/>
                <w:sz w:val="24"/>
              </w:rPr>
              <w:t xml:space="preserve">5 </w:t>
            </w:r>
            <w:r>
              <w:rPr>
                <w:rFonts w:hint="eastAsia" w:ascii="宋体" w:hAnsi="宋体" w:cs="宋体"/>
                <w:b/>
                <w:bCs/>
                <w:sz w:val="24"/>
              </w:rPr>
              <w:t>近红外光发射器</w:t>
            </w:r>
          </w:p>
          <w:p w14:paraId="2DAF7EE4">
            <w:pPr>
              <w:spacing w:line="360" w:lineRule="auto"/>
              <w:rPr>
                <w:rFonts w:hint="eastAsia" w:ascii="宋体" w:hAnsi="宋体" w:cs="宋体"/>
                <w:sz w:val="24"/>
              </w:rPr>
            </w:pPr>
            <w:r>
              <w:rPr>
                <w:rFonts w:hint="eastAsia" w:ascii="宋体" w:hAnsi="宋体" w:cs="宋体"/>
                <w:sz w:val="24"/>
              </w:rPr>
              <w:t>高性能，高稳定性，低噪声；光纤耦合输出，光纤输出端功率：不小于0-10000mW;</w:t>
            </w:r>
          </w:p>
          <w:p w14:paraId="40A3BA7C">
            <w:pPr>
              <w:spacing w:line="360" w:lineRule="auto"/>
              <w:rPr>
                <w:rFonts w:hint="eastAsia" w:ascii="宋体" w:hAnsi="宋体" w:cs="宋体"/>
                <w:sz w:val="24"/>
              </w:rPr>
            </w:pPr>
            <w:r>
              <w:rPr>
                <w:rFonts w:hint="eastAsia" w:ascii="宋体" w:hAnsi="宋体" w:cs="宋体"/>
                <w:sz w:val="24"/>
              </w:rPr>
              <w:t>出光模式：连续或脉冲（自由选择）</w:t>
            </w:r>
          </w:p>
          <w:p w14:paraId="6435EFBA">
            <w:pPr>
              <w:spacing w:line="360" w:lineRule="auto"/>
              <w:rPr>
                <w:rFonts w:hint="eastAsia" w:ascii="宋体" w:hAnsi="宋体" w:cs="宋体"/>
                <w:sz w:val="24"/>
              </w:rPr>
            </w:pPr>
            <w:r>
              <w:rPr>
                <w:rFonts w:hint="eastAsia" w:ascii="宋体" w:hAnsi="宋体" w:cs="宋体"/>
                <w:sz w:val="24"/>
              </w:rPr>
              <w:t>CLASS4激光安全保护控制键：标配</w:t>
            </w:r>
          </w:p>
          <w:p w14:paraId="043A93C2">
            <w:pPr>
              <w:spacing w:line="360" w:lineRule="auto"/>
              <w:rPr>
                <w:rFonts w:hint="eastAsia" w:ascii="宋体" w:hAnsi="宋体" w:cs="宋体"/>
                <w:sz w:val="24"/>
              </w:rPr>
            </w:pPr>
            <w:r>
              <w:rPr>
                <w:rFonts w:hint="eastAsia" w:ascii="宋体" w:hAnsi="宋体" w:cs="宋体"/>
                <w:sz w:val="24"/>
              </w:rPr>
              <w:t>光纤直径：不小于105μm；光纤长度：不小于1.5米；光纤接头：FC/PC；功率稳定性：&lt;0.5%；</w:t>
            </w:r>
          </w:p>
          <w:p w14:paraId="56431D24">
            <w:pPr>
              <w:spacing w:line="360" w:lineRule="auto"/>
              <w:rPr>
                <w:rFonts w:hint="eastAsia" w:ascii="宋体" w:hAnsi="宋体" w:cs="宋体"/>
                <w:sz w:val="24"/>
              </w:rPr>
            </w:pPr>
            <w:r>
              <w:rPr>
                <w:rFonts w:hint="eastAsia" w:ascii="宋体" w:hAnsi="宋体" w:cs="宋体"/>
                <w:sz w:val="24"/>
              </w:rPr>
              <w:t>脉冲下降沿：10-22us；制冷技术：TEC；工作模式：连续工作，TTL调制脉冲工作；数字调制频率：0-30KHz；温度控制：PID自动温度反馈控制；</w:t>
            </w:r>
          </w:p>
          <w:p w14:paraId="67C1D999">
            <w:pPr>
              <w:spacing w:line="360" w:lineRule="auto"/>
              <w:rPr>
                <w:rFonts w:hint="eastAsia" w:ascii="宋体" w:hAnsi="宋体" w:cs="宋体"/>
                <w:sz w:val="24"/>
              </w:rPr>
            </w:pPr>
            <w:r>
              <w:rPr>
                <w:rFonts w:hint="eastAsia" w:ascii="宋体" w:hAnsi="宋体" w:cs="宋体"/>
                <w:sz w:val="24"/>
              </w:rPr>
              <w:t>控温精度：&lt;0.02℃</w:t>
            </w:r>
          </w:p>
          <w:p w14:paraId="12C5B586">
            <w:pPr>
              <w:spacing w:line="360" w:lineRule="auto"/>
              <w:rPr>
                <w:rFonts w:hint="eastAsia" w:ascii="宋体" w:hAnsi="宋体" w:cs="宋体"/>
                <w:sz w:val="24"/>
              </w:rPr>
            </w:pPr>
            <w:r>
              <w:rPr>
                <w:rFonts w:hint="eastAsia" w:ascii="宋体" w:hAnsi="宋体" w:cs="宋体"/>
                <w:sz w:val="24"/>
              </w:rPr>
              <w:t>调制接口：SMA</w:t>
            </w:r>
          </w:p>
          <w:p w14:paraId="45D1A195">
            <w:pPr>
              <w:spacing w:line="360" w:lineRule="auto"/>
              <w:rPr>
                <w:rFonts w:hint="eastAsia" w:ascii="宋体" w:hAnsi="宋体" w:cs="宋体"/>
                <w:sz w:val="24"/>
              </w:rPr>
            </w:pPr>
            <w:r>
              <w:rPr>
                <w:rFonts w:hint="eastAsia" w:ascii="宋体" w:hAnsi="宋体" w:cs="宋体"/>
                <w:sz w:val="24"/>
              </w:rPr>
              <w:t>配套扩展接口：BNC；噪声水平:&lt;0.15%（RMS)；LED显示：电流；输出电流功率校正；电源：A型高稳定电源；</w:t>
            </w:r>
          </w:p>
          <w:p w14:paraId="1630AB0C">
            <w:pPr>
              <w:spacing w:line="360" w:lineRule="auto"/>
              <w:rPr>
                <w:rFonts w:hint="eastAsia" w:ascii="宋体" w:hAnsi="宋体" w:cs="宋体"/>
                <w:sz w:val="24"/>
              </w:rPr>
            </w:pPr>
            <w:r>
              <w:rPr>
                <w:rFonts w:hint="eastAsia" w:ascii="宋体" w:hAnsi="宋体" w:cs="宋体"/>
                <w:sz w:val="24"/>
              </w:rPr>
              <w:t>定制专可调非球面镜头模组，镜片镀808nm高效率AR增透膜；镀膜透射率：&gt;99.9%;接头：FC/PC;光斑大小可调范围：1~5mm（工作距离不变）；内置滤光片耦合器；</w:t>
            </w:r>
          </w:p>
          <w:p w14:paraId="641E9DA2">
            <w:pPr>
              <w:spacing w:line="360" w:lineRule="auto"/>
              <w:rPr>
                <w:rFonts w:hint="eastAsia" w:ascii="宋体" w:hAnsi="宋体" w:cs="宋体"/>
                <w:sz w:val="24"/>
              </w:rPr>
            </w:pPr>
            <w:r>
              <w:rPr>
                <w:rFonts w:hint="eastAsia" w:ascii="宋体" w:hAnsi="宋体" w:cs="宋体"/>
                <w:sz w:val="24"/>
              </w:rPr>
              <w:t>镜头工作距离WD：40mm</w:t>
            </w:r>
          </w:p>
          <w:p w14:paraId="05924B7D">
            <w:pPr>
              <w:spacing w:line="360" w:lineRule="auto"/>
              <w:rPr>
                <w:rFonts w:hint="eastAsia" w:ascii="宋体" w:hAnsi="宋体" w:cs="宋体"/>
                <w:sz w:val="24"/>
              </w:rPr>
            </w:pPr>
            <w:r>
              <w:rPr>
                <w:rFonts w:hint="eastAsia" w:ascii="宋体" w:hAnsi="宋体" w:cs="宋体"/>
                <w:sz w:val="24"/>
              </w:rPr>
              <w:t>精密调节支架，可调照射角度：不小于0-90°；可调照射高度：不小于50-200mm</w:t>
            </w:r>
          </w:p>
          <w:p w14:paraId="5866A2A5">
            <w:pPr>
              <w:spacing w:line="360" w:lineRule="auto"/>
              <w:rPr>
                <w:rFonts w:hint="eastAsia" w:ascii="宋体" w:hAnsi="宋体" w:cs="宋体"/>
                <w:sz w:val="24"/>
              </w:rPr>
            </w:pPr>
            <w:r>
              <w:rPr>
                <w:rFonts w:hint="eastAsia" w:ascii="宋体" w:hAnsi="宋体" w:cs="宋体"/>
                <w:sz w:val="24"/>
              </w:rPr>
              <w:t>超大激光照射样品工作台尺寸：不小于380X250mm。</w:t>
            </w:r>
          </w:p>
          <w:p w14:paraId="747A8288">
            <w:pPr>
              <w:spacing w:line="360" w:lineRule="auto"/>
              <w:rPr>
                <w:rFonts w:hint="eastAsia" w:ascii="宋体" w:hAnsi="宋体" w:cs="宋体"/>
                <w:sz w:val="24"/>
              </w:rPr>
            </w:pPr>
            <w:r>
              <w:rPr>
                <w:rFonts w:hint="eastAsia" w:ascii="宋体" w:hAnsi="宋体" w:cs="宋体"/>
                <w:sz w:val="24"/>
              </w:rPr>
              <w:t xml:space="preserve">6 </w:t>
            </w:r>
            <w:r>
              <w:rPr>
                <w:rFonts w:hint="eastAsia" w:ascii="宋体" w:hAnsi="宋体" w:cs="宋体"/>
                <w:b/>
                <w:bCs/>
                <w:sz w:val="24"/>
              </w:rPr>
              <w:t>全电动真空热压机</w:t>
            </w:r>
          </w:p>
          <w:p w14:paraId="1AEE9F82">
            <w:pPr>
              <w:spacing w:line="360" w:lineRule="auto"/>
              <w:rPr>
                <w:rFonts w:hint="eastAsia" w:ascii="宋体" w:hAnsi="宋体" w:cs="宋体"/>
                <w:sz w:val="24"/>
              </w:rPr>
            </w:pPr>
            <w:r>
              <w:rPr>
                <w:rFonts w:hint="eastAsia" w:ascii="宋体" w:hAnsi="宋体" w:cs="宋体"/>
                <w:sz w:val="24"/>
              </w:rPr>
              <w:t>6.1 工作电压为 220V（380V），设备最大功率 11KW；设备最高加热温度450℃，温度调节精度1℃；设备使用铜加热板，表面温度分布误差1℃。</w:t>
            </w:r>
          </w:p>
          <w:p w14:paraId="4F69FAB1">
            <w:pPr>
              <w:spacing w:line="360" w:lineRule="auto"/>
              <w:rPr>
                <w:rFonts w:hint="eastAsia" w:ascii="宋体" w:hAnsi="宋体" w:cs="宋体"/>
                <w:sz w:val="24"/>
              </w:rPr>
            </w:pPr>
            <w:r>
              <w:rPr>
                <w:rFonts w:hint="eastAsia" w:ascii="宋体" w:hAnsi="宋体" w:cs="宋体"/>
                <w:sz w:val="24"/>
              </w:rPr>
              <w:t>6.2 设备可抽真空，真空度最高为-90KPa（-80KPa～-90KPa）；最大输出压力≥8吨，压力传感器精度为线性精度1/1000，重复精度1/1000；具备水冷系统，冷却速率可手动粗调，调节范围为（30℃~300℃）/30min。</w:t>
            </w:r>
          </w:p>
          <w:p w14:paraId="2FC3488B">
            <w:pPr>
              <w:spacing w:line="360" w:lineRule="auto"/>
              <w:rPr>
                <w:rFonts w:hint="eastAsia" w:ascii="宋体" w:hAnsi="宋体" w:cs="宋体"/>
                <w:sz w:val="24"/>
              </w:rPr>
            </w:pPr>
            <w:r>
              <w:rPr>
                <w:rFonts w:hint="eastAsia" w:ascii="宋体" w:hAnsi="宋体" w:cs="宋体"/>
                <w:sz w:val="24"/>
              </w:rPr>
              <w:t>6.3 设备为全电动，非油压。配备触摸屏，可实现目标温度、目标压力、加热时间、加压时间等参数的设置，设备可实现全自动运行，可根据需求远程升级程序；设备有阶梯控温控压程序，可设置多段目标温度、目标压力，升温速率可控（1℃~20℃）/min。</w:t>
            </w:r>
          </w:p>
          <w:p w14:paraId="71C2DA14">
            <w:pPr>
              <w:spacing w:line="360" w:lineRule="auto"/>
              <w:rPr>
                <w:rFonts w:hint="eastAsia" w:ascii="宋体" w:hAnsi="宋体" w:cs="宋体"/>
                <w:sz w:val="24"/>
              </w:rPr>
            </w:pPr>
            <w:r>
              <w:rPr>
                <w:rFonts w:hint="eastAsia" w:ascii="宋体" w:hAnsi="宋体" w:cs="宋体"/>
                <w:sz w:val="24"/>
              </w:rPr>
              <w:t>6.4 模板面积为≥200mm*200mm；开模行程为≥85mm；设备底部有轮子，可自由移动。设备高度≤1800mm，长、宽分别≤780mm、585mm，设备总重量≤700KG。</w:t>
            </w:r>
          </w:p>
          <w:p w14:paraId="5B352C72">
            <w:pPr>
              <w:spacing w:line="360" w:lineRule="auto"/>
              <w:rPr>
                <w:rFonts w:hint="eastAsia" w:ascii="宋体" w:hAnsi="宋体" w:cs="宋体"/>
                <w:sz w:val="24"/>
              </w:rPr>
            </w:pPr>
            <w:r>
              <w:rPr>
                <w:rFonts w:hint="eastAsia" w:ascii="宋体" w:hAnsi="宋体" w:cs="宋体"/>
                <w:sz w:val="24"/>
              </w:rPr>
              <w:t>6.5 主机1台；聚四氟平板2块，不锈钢平板2块；拉伸样条：ASTM标准样条，厚度分别为1mm、1.5mm、2mm，表面聚四氟涂层和不锈钢板各一套；ARES2000流变圆片：直径25mm，厚度分别为1mm、1.5mm、2mm，表面聚四氟涂层和不锈钢板各一套。</w:t>
            </w:r>
          </w:p>
          <w:p w14:paraId="21F702EF">
            <w:pPr>
              <w:spacing w:line="360" w:lineRule="auto"/>
              <w:rPr>
                <w:rFonts w:hint="eastAsia" w:ascii="宋体" w:hAnsi="宋体" w:cs="宋体"/>
                <w:b/>
                <w:bCs/>
                <w:sz w:val="24"/>
              </w:rPr>
            </w:pPr>
            <w:r>
              <w:rPr>
                <w:rFonts w:hint="eastAsia" w:ascii="宋体" w:hAnsi="宋体" w:cs="宋体"/>
                <w:sz w:val="24"/>
              </w:rPr>
              <w:t>7</w:t>
            </w:r>
            <w:r>
              <w:rPr>
                <w:rFonts w:hint="eastAsia" w:ascii="宋体" w:hAnsi="宋体" w:cs="宋体"/>
                <w:b/>
                <w:bCs/>
                <w:sz w:val="24"/>
              </w:rPr>
              <w:t>正置偏光显微镜</w:t>
            </w:r>
          </w:p>
          <w:p w14:paraId="1C38456C">
            <w:pPr>
              <w:spacing w:line="360" w:lineRule="auto"/>
              <w:rPr>
                <w:rFonts w:hint="eastAsia" w:ascii="宋体" w:hAnsi="宋体" w:cs="宋体"/>
                <w:sz w:val="24"/>
              </w:rPr>
            </w:pPr>
            <w:r>
              <w:rPr>
                <w:rFonts w:hint="eastAsia" w:ascii="宋体" w:hAnsi="宋体" w:cs="宋体"/>
                <w:sz w:val="24"/>
              </w:rPr>
              <w:t>7.1 光学系统：采用第三代HC无限远轴向径向复消色差校正和谐光学系统、国际标准的45mm齐焦距离，光学部件具有防霉功能；观察方式：反射光具备明场、斜照明、偏光等观察方式，透射光具备明场、斜照明、可调偏光等观察方式，配置内置斜照明装置；放大倍数：在10倍目镜下，可实现50X~1000X；载物台：偏光专用圆形载物台，出厂预对中，360度旋转，最小刻度1度，旋转精度0.1°，配备样品移动器；调焦：调焦旋钮的扭力可调，同轴调焦，精度 3um，带有无调整机构的自动锁定防止下滑的齿轮装置；物镜：带POL的大口径、反差增强型偏光专用物镜，采用萤石材料制成，配置物镜5只，具体参数如下：5X，10X，20x，50X，100X；多功能可对中物镜转盘：4 孔物镜转换器，可同时装载4只物镜，并且每个物镜均可单独调节对中；照明：采用科勒式高亮度LED照明1套，色温（颜色）恒定于4500K，LED光源无发热，无闪烁，高亮度，低功率，节能环保，使用寿命超过35000小时，电源含电压平衡系统由镜体直接供电，灯箱带集光透镜；成像：≥1200万像素科研级摄像头。</w:t>
            </w:r>
          </w:p>
          <w:p w14:paraId="35CBF55C">
            <w:pPr>
              <w:spacing w:line="360" w:lineRule="auto"/>
              <w:rPr>
                <w:rFonts w:hint="eastAsia" w:ascii="宋体" w:hAnsi="宋体" w:cs="宋体"/>
                <w:sz w:val="24"/>
              </w:rPr>
            </w:pPr>
            <w:r>
              <w:rPr>
                <w:rFonts w:hint="eastAsia" w:ascii="宋体" w:hAnsi="宋体" w:cs="宋体"/>
                <w:sz w:val="24"/>
              </w:rPr>
              <w:t>7.2 正置偏光显微镜主机1台、反射光轴、4孔可调对中物镜转换器、偏光专用载物台、30°倾角双目观察筒、10X目镜（2只）、5组偏光物镜（5X，10X，20X，50X，100X）、LED照明器、1200万像素摄像头、一体化测量软件。</w:t>
            </w:r>
          </w:p>
          <w:p w14:paraId="6C909BF1">
            <w:pPr>
              <w:spacing w:line="360" w:lineRule="auto"/>
              <w:rPr>
                <w:rFonts w:hint="eastAsia" w:ascii="宋体" w:hAnsi="宋体" w:cs="宋体"/>
                <w:sz w:val="24"/>
              </w:rPr>
            </w:pPr>
            <w:r>
              <w:rPr>
                <w:rFonts w:hint="eastAsia" w:ascii="宋体" w:hAnsi="宋体" w:cs="宋体"/>
                <w:sz w:val="24"/>
              </w:rPr>
              <w:t>8</w:t>
            </w:r>
            <w:r>
              <w:rPr>
                <w:rFonts w:hint="eastAsia" w:ascii="宋体" w:hAnsi="宋体" w:cs="宋体"/>
                <w:b/>
                <w:bCs/>
                <w:sz w:val="24"/>
              </w:rPr>
              <w:t>原位电化学红外附件</w:t>
            </w:r>
          </w:p>
          <w:p w14:paraId="02BB5E5F">
            <w:pPr>
              <w:spacing w:line="360" w:lineRule="auto"/>
              <w:rPr>
                <w:rFonts w:hint="eastAsia" w:ascii="宋体" w:hAnsi="宋体" w:cs="宋体"/>
                <w:sz w:val="24"/>
              </w:rPr>
            </w:pPr>
            <w:r>
              <w:rPr>
                <w:rFonts w:hint="eastAsia" w:ascii="宋体" w:hAnsi="宋体" w:cs="宋体"/>
                <w:sz w:val="24"/>
              </w:rPr>
              <w:t>可用于水系或非水系电催化，光电催化反应等；镀金光路附件一套；入射角度：60°；满足内反射和外反射模式；可实现表面增强红外检测；PEEK材质晶体盘1套；电催化应用：石英H池1只，PEEK材质池体1只；配套电极：铂电极 1根；Ag/AgCl参比电极1支；玻碳电极1支；镀金支架套装1套；单晶硅晶体 2颗，波数范围：1200-4000cm</w:t>
            </w:r>
            <w:r>
              <w:rPr>
                <w:rFonts w:hint="eastAsia" w:ascii="宋体" w:hAnsi="宋体" w:cs="宋体"/>
                <w:sz w:val="24"/>
                <w:vertAlign w:val="superscript"/>
              </w:rPr>
              <w:t>-1</w:t>
            </w:r>
            <w:r>
              <w:rPr>
                <w:rFonts w:hint="eastAsia" w:ascii="宋体" w:hAnsi="宋体" w:cs="宋体"/>
                <w:sz w:val="24"/>
              </w:rPr>
              <w:t>，PH 值范围：1-12；氟化钙窗片 2片，波数范围：1100-4000cm</w:t>
            </w:r>
            <w:r>
              <w:rPr>
                <w:rFonts w:hint="eastAsia" w:ascii="宋体" w:hAnsi="宋体" w:cs="宋体"/>
                <w:sz w:val="24"/>
                <w:vertAlign w:val="superscript"/>
              </w:rPr>
              <w:t>-1</w:t>
            </w:r>
            <w:r>
              <w:rPr>
                <w:rFonts w:hint="eastAsia" w:ascii="宋体" w:hAnsi="宋体" w:cs="宋体"/>
                <w:sz w:val="24"/>
              </w:rPr>
              <w:t>，PH值范围：5-8；硒化锌晶体2颗，波数范围：520-4000cm</w:t>
            </w:r>
            <w:r>
              <w:rPr>
                <w:rFonts w:hint="eastAsia" w:ascii="宋体" w:hAnsi="宋体" w:cs="宋体"/>
                <w:sz w:val="24"/>
                <w:vertAlign w:val="superscript"/>
              </w:rPr>
              <w:t>-1</w:t>
            </w:r>
            <w:r>
              <w:rPr>
                <w:rFonts w:hint="eastAsia" w:ascii="宋体" w:hAnsi="宋体" w:cs="宋体"/>
                <w:sz w:val="24"/>
              </w:rPr>
              <w:t>，PH值范围：5-9；适配采购的红外光谱仪主机。</w:t>
            </w:r>
          </w:p>
          <w:p w14:paraId="692012B0">
            <w:pPr>
              <w:spacing w:line="360" w:lineRule="auto"/>
              <w:jc w:val="left"/>
              <w:rPr>
                <w:rFonts w:hint="eastAsia" w:ascii="宋体" w:hAnsi="宋体" w:cs="宋体"/>
                <w:sz w:val="24"/>
              </w:rPr>
            </w:pPr>
            <w:r>
              <w:rPr>
                <w:rFonts w:hint="eastAsia" w:ascii="宋体" w:hAnsi="宋体" w:cs="宋体"/>
                <w:b/>
                <w:sz w:val="24"/>
              </w:rPr>
              <w:t>9</w:t>
            </w:r>
            <w:r>
              <w:rPr>
                <w:rFonts w:hint="eastAsia" w:ascii="宋体" w:hAnsi="宋体" w:cs="宋体"/>
                <w:b/>
                <w:bCs/>
                <w:sz w:val="24"/>
              </w:rPr>
              <w:t>主要配置</w:t>
            </w:r>
          </w:p>
          <w:p w14:paraId="7A05C9F2">
            <w:pPr>
              <w:spacing w:line="360" w:lineRule="auto"/>
              <w:rPr>
                <w:rFonts w:hint="eastAsia" w:ascii="宋体" w:hAnsi="宋体" w:cs="宋体"/>
                <w:b/>
                <w:bCs/>
                <w:sz w:val="24"/>
              </w:rPr>
            </w:pPr>
            <w:r>
              <w:rPr>
                <w:rFonts w:hint="eastAsia" w:ascii="宋体" w:hAnsi="宋体" w:cs="宋体"/>
                <w:sz w:val="24"/>
              </w:rPr>
              <w:t>1套科研级原位傅里叶变换红外光谱仪，2套仪器配套控制系统，1台</w:t>
            </w:r>
            <w:r>
              <w:rPr>
                <w:rFonts w:hint="eastAsia" w:ascii="宋体" w:hAnsi="宋体" w:cs="宋体"/>
                <w:kern w:val="0"/>
                <w:sz w:val="24"/>
              </w:rPr>
              <w:t>手持测温热成像仪，</w:t>
            </w:r>
            <w:r>
              <w:rPr>
                <w:rFonts w:hint="eastAsia" w:ascii="宋体" w:hAnsi="宋体" w:cs="宋体"/>
                <w:sz w:val="24"/>
              </w:rPr>
              <w:t>1台</w:t>
            </w:r>
            <w:r>
              <w:rPr>
                <w:rFonts w:hint="eastAsia" w:ascii="宋体" w:hAnsi="宋体" w:cs="宋体"/>
                <w:kern w:val="0"/>
                <w:sz w:val="24"/>
              </w:rPr>
              <w:t>UV紫外线固化箱，</w:t>
            </w:r>
            <w:r>
              <w:rPr>
                <w:rFonts w:hint="eastAsia" w:ascii="宋体" w:hAnsi="宋体" w:cs="宋体"/>
                <w:sz w:val="24"/>
              </w:rPr>
              <w:t>1台近红外激光发射器，1台全电动真空热压机，1台正置偏光显微镜，1套原位电化学红外附件。</w:t>
            </w:r>
          </w:p>
        </w:tc>
        <w:tc>
          <w:tcPr>
            <w:tcW w:w="850" w:type="dxa"/>
            <w:vAlign w:val="center"/>
          </w:tcPr>
          <w:p w14:paraId="4B214645">
            <w:pPr>
              <w:spacing w:line="360" w:lineRule="auto"/>
              <w:jc w:val="center"/>
              <w:rPr>
                <w:rFonts w:hint="eastAsia" w:ascii="宋体" w:hAnsi="宋体" w:cs="宋体"/>
                <w:sz w:val="24"/>
              </w:rPr>
            </w:pPr>
            <w:r>
              <w:rPr>
                <w:rFonts w:hint="eastAsia" w:ascii="宋体" w:hAnsi="宋体" w:cs="宋体"/>
                <w:sz w:val="24"/>
              </w:rPr>
              <w:t>套</w:t>
            </w:r>
          </w:p>
        </w:tc>
        <w:tc>
          <w:tcPr>
            <w:tcW w:w="850" w:type="dxa"/>
            <w:vAlign w:val="center"/>
          </w:tcPr>
          <w:p w14:paraId="56919A8F">
            <w:pPr>
              <w:spacing w:line="360" w:lineRule="auto"/>
              <w:jc w:val="center"/>
              <w:rPr>
                <w:rFonts w:hint="eastAsia" w:ascii="宋体" w:hAnsi="宋体" w:cs="宋体"/>
                <w:sz w:val="24"/>
              </w:rPr>
            </w:pPr>
            <w:r>
              <w:rPr>
                <w:rFonts w:hint="eastAsia" w:ascii="宋体" w:hAnsi="宋体" w:cs="宋体"/>
                <w:sz w:val="24"/>
              </w:rPr>
              <w:t>1</w:t>
            </w:r>
          </w:p>
        </w:tc>
      </w:tr>
      <w:bookmarkEnd w:id="530"/>
    </w:tbl>
    <w:p w14:paraId="044423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rPr>
        <w:sectPr>
          <w:pgSz w:w="16838" w:h="11906" w:orient="landscape"/>
          <w:pgMar w:top="1800" w:right="1440" w:bottom="1800" w:left="1440" w:header="851" w:footer="992" w:gutter="0"/>
          <w:cols w:space="720" w:num="1"/>
          <w:docGrid w:type="lines" w:linePitch="312" w:charSpace="0"/>
        </w:sectPr>
      </w:pPr>
      <w:r>
        <w:rPr>
          <w:rFonts w:hint="eastAsia"/>
          <w:sz w:val="24"/>
          <w:szCs w:val="24"/>
          <w:lang w:val="en-US" w:eastAsia="zh-CN"/>
        </w:rPr>
        <w:t>备</w:t>
      </w:r>
      <w:r>
        <w:rPr>
          <w:rFonts w:hint="eastAsia"/>
          <w:sz w:val="24"/>
          <w:szCs w:val="24"/>
        </w:rPr>
        <w:t>注：</w:t>
      </w:r>
      <w:r>
        <w:rPr>
          <w:rFonts w:hint="eastAsia" w:ascii="宋体" w:hAnsi="宋体" w:eastAsia="宋体" w:cs="宋体"/>
          <w:sz w:val="24"/>
          <w:szCs w:val="24"/>
        </w:rPr>
        <w:t>技术支持资料：对要求提供截图、视频、检测报告、证明材料等的条款，供应商应当在如实提供，凡不提供或提供不符合要求的，视为无效。</w:t>
      </w:r>
    </w:p>
    <w:bookmarkEnd w:id="521"/>
    <w:p w14:paraId="65186A5E">
      <w:pPr>
        <w:pStyle w:val="49"/>
        <w:rPr>
          <w:rFonts w:hint="eastAsia" w:ascii="宋体" w:hAnsi="宋体" w:cs="宋体"/>
        </w:rPr>
      </w:pPr>
    </w:p>
    <w:p w14:paraId="74B596D9">
      <w:pPr>
        <w:jc w:val="center"/>
        <w:outlineLvl w:val="0"/>
        <w:rPr>
          <w:rFonts w:hint="eastAsia" w:ascii="宋体" w:hAnsi="宋体" w:cs="宋体"/>
          <w:b/>
          <w:bCs/>
          <w:sz w:val="32"/>
          <w:szCs w:val="32"/>
        </w:rPr>
      </w:pPr>
      <w:bookmarkStart w:id="531" w:name="_Toc11548"/>
      <w:r>
        <w:rPr>
          <w:rFonts w:hint="eastAsia" w:ascii="宋体" w:hAnsi="宋体" w:cs="宋体"/>
          <w:b/>
          <w:bCs/>
          <w:sz w:val="32"/>
          <w:szCs w:val="32"/>
        </w:rPr>
        <w:t>第六章  响应文件格式</w:t>
      </w:r>
      <w:bookmarkEnd w:id="531"/>
    </w:p>
    <w:p w14:paraId="756908F3">
      <w:pPr>
        <w:spacing w:line="440" w:lineRule="exact"/>
        <w:rPr>
          <w:rFonts w:hint="eastAsia" w:ascii="宋体" w:hAnsi="宋体" w:cs="宋体"/>
          <w:sz w:val="20"/>
          <w:szCs w:val="20"/>
        </w:rPr>
      </w:pPr>
    </w:p>
    <w:p w14:paraId="598957E0">
      <w:pPr>
        <w:spacing w:line="440" w:lineRule="exact"/>
        <w:rPr>
          <w:rFonts w:hint="eastAsia" w:ascii="宋体" w:hAnsi="宋体" w:cs="宋体"/>
          <w:sz w:val="20"/>
          <w:szCs w:val="20"/>
        </w:rPr>
      </w:pPr>
    </w:p>
    <w:p w14:paraId="04FD011F">
      <w:pPr>
        <w:adjustRightInd w:val="0"/>
        <w:snapToGrid w:val="0"/>
        <w:spacing w:line="360" w:lineRule="auto"/>
        <w:jc w:val="center"/>
        <w:rPr>
          <w:rFonts w:hint="eastAsia" w:ascii="宋体" w:hAnsi="宋体" w:cs="宋体"/>
          <w:b/>
          <w:kern w:val="0"/>
          <w:sz w:val="44"/>
          <w:szCs w:val="44"/>
          <w:u w:val="single"/>
        </w:rPr>
      </w:pPr>
    </w:p>
    <w:p w14:paraId="7920C671">
      <w:pPr>
        <w:adjustRightInd w:val="0"/>
        <w:snapToGrid w:val="0"/>
        <w:spacing w:line="360" w:lineRule="auto"/>
        <w:jc w:val="center"/>
        <w:rPr>
          <w:rFonts w:hint="eastAsia" w:ascii="宋体" w:hAnsi="宋体" w:cs="宋体"/>
          <w:b/>
          <w:kern w:val="0"/>
          <w:sz w:val="84"/>
          <w:szCs w:val="84"/>
          <w:u w:val="single"/>
        </w:rPr>
      </w:pPr>
      <w:r>
        <w:rPr>
          <w:rFonts w:hint="eastAsia" w:ascii="宋体" w:hAnsi="宋体" w:cs="宋体"/>
          <w:b/>
          <w:kern w:val="0"/>
          <w:sz w:val="44"/>
          <w:szCs w:val="44"/>
          <w:u w:val="single"/>
        </w:rPr>
        <w:t>（项目名称）</w:t>
      </w:r>
    </w:p>
    <w:p w14:paraId="7969E87D">
      <w:pPr>
        <w:rPr>
          <w:rFonts w:hint="eastAsia" w:ascii="宋体" w:hAnsi="宋体" w:cs="宋体"/>
          <w:sz w:val="20"/>
          <w:szCs w:val="20"/>
        </w:rPr>
      </w:pPr>
    </w:p>
    <w:p w14:paraId="6F0904F5">
      <w:pPr>
        <w:rPr>
          <w:rFonts w:hint="eastAsia" w:ascii="宋体" w:hAnsi="宋体" w:cs="宋体"/>
          <w:sz w:val="20"/>
          <w:szCs w:val="20"/>
        </w:rPr>
      </w:pPr>
    </w:p>
    <w:p w14:paraId="48102D74">
      <w:pPr>
        <w:rPr>
          <w:rFonts w:hint="eastAsia" w:ascii="宋体" w:hAnsi="宋体" w:cs="宋体"/>
          <w:sz w:val="20"/>
          <w:szCs w:val="20"/>
        </w:rPr>
      </w:pPr>
    </w:p>
    <w:p w14:paraId="2FAC9E1F">
      <w:pPr>
        <w:rPr>
          <w:rFonts w:hint="eastAsia" w:ascii="宋体" w:hAnsi="宋体" w:cs="宋体"/>
          <w:sz w:val="20"/>
          <w:szCs w:val="20"/>
        </w:rPr>
      </w:pPr>
    </w:p>
    <w:p w14:paraId="0C3AE315">
      <w:pPr>
        <w:rPr>
          <w:rFonts w:hint="eastAsia" w:ascii="宋体" w:hAnsi="宋体" w:cs="宋体"/>
          <w:sz w:val="20"/>
          <w:szCs w:val="20"/>
        </w:rPr>
      </w:pPr>
    </w:p>
    <w:p w14:paraId="4A264B9C">
      <w:pPr>
        <w:rPr>
          <w:rFonts w:hint="eastAsia" w:ascii="宋体" w:hAnsi="宋体" w:cs="宋体"/>
          <w:sz w:val="20"/>
          <w:szCs w:val="20"/>
        </w:rPr>
      </w:pPr>
    </w:p>
    <w:p w14:paraId="3A2F753E">
      <w:pPr>
        <w:jc w:val="center"/>
        <w:rPr>
          <w:rFonts w:hint="eastAsia" w:ascii="宋体" w:hAnsi="宋体" w:cs="宋体"/>
          <w:sz w:val="72"/>
          <w:szCs w:val="72"/>
        </w:rPr>
      </w:pPr>
      <w:r>
        <w:rPr>
          <w:rFonts w:hint="eastAsia" w:ascii="宋体" w:hAnsi="宋体" w:cs="宋体"/>
          <w:sz w:val="72"/>
          <w:szCs w:val="72"/>
        </w:rPr>
        <w:t>响  应  文  件</w:t>
      </w:r>
    </w:p>
    <w:p w14:paraId="49B18FA2">
      <w:pPr>
        <w:jc w:val="center"/>
        <w:rPr>
          <w:rFonts w:hint="eastAsia" w:ascii="宋体" w:hAnsi="宋体" w:cs="宋体"/>
          <w:sz w:val="24"/>
        </w:rPr>
      </w:pPr>
    </w:p>
    <w:p w14:paraId="3BE017F6">
      <w:pPr>
        <w:spacing w:line="360" w:lineRule="auto"/>
        <w:ind w:firstLine="3840" w:firstLineChars="1600"/>
        <w:rPr>
          <w:rFonts w:hint="eastAsia" w:ascii="宋体" w:hAnsi="宋体" w:cs="宋体"/>
          <w:sz w:val="24"/>
        </w:rPr>
      </w:pPr>
      <w:r>
        <w:rPr>
          <w:rFonts w:hint="eastAsia" w:ascii="宋体" w:hAnsi="宋体" w:cs="宋体"/>
          <w:sz w:val="24"/>
        </w:rPr>
        <w:t>采购编号：</w:t>
      </w:r>
    </w:p>
    <w:p w14:paraId="1F04179A">
      <w:pPr>
        <w:rPr>
          <w:rFonts w:hint="eastAsia" w:ascii="宋体" w:hAnsi="宋体" w:cs="宋体"/>
          <w:sz w:val="28"/>
          <w:szCs w:val="28"/>
        </w:rPr>
      </w:pPr>
    </w:p>
    <w:p w14:paraId="7B0A439C">
      <w:pPr>
        <w:rPr>
          <w:rFonts w:hint="eastAsia" w:ascii="宋体" w:hAnsi="宋体" w:cs="宋体"/>
          <w:sz w:val="28"/>
          <w:szCs w:val="28"/>
        </w:rPr>
      </w:pPr>
    </w:p>
    <w:p w14:paraId="53D0C19D">
      <w:pPr>
        <w:pStyle w:val="51"/>
        <w:rPr>
          <w:rFonts w:hint="eastAsia" w:hAnsi="宋体"/>
          <w:color w:val="auto"/>
          <w:sz w:val="28"/>
          <w:szCs w:val="28"/>
        </w:rPr>
      </w:pPr>
    </w:p>
    <w:p w14:paraId="0AA08D50">
      <w:pPr>
        <w:rPr>
          <w:rFonts w:hint="eastAsia" w:ascii="宋体" w:hAnsi="宋体" w:cs="宋体"/>
        </w:rPr>
      </w:pPr>
    </w:p>
    <w:p w14:paraId="4C59F168">
      <w:pPr>
        <w:pStyle w:val="51"/>
        <w:rPr>
          <w:rFonts w:hint="eastAsia" w:hAnsi="宋体"/>
          <w:color w:val="auto"/>
          <w:sz w:val="28"/>
          <w:szCs w:val="28"/>
        </w:rPr>
      </w:pPr>
    </w:p>
    <w:p w14:paraId="318EF73A">
      <w:pPr>
        <w:rPr>
          <w:rFonts w:hint="eastAsia" w:ascii="宋体" w:hAnsi="宋体" w:cs="宋体"/>
          <w:sz w:val="28"/>
          <w:szCs w:val="28"/>
        </w:rPr>
      </w:pPr>
    </w:p>
    <w:p w14:paraId="54AF3ABE">
      <w:pPr>
        <w:pStyle w:val="51"/>
        <w:rPr>
          <w:rFonts w:hint="eastAsia" w:hAnsi="宋体"/>
          <w:color w:val="auto"/>
          <w:sz w:val="28"/>
          <w:szCs w:val="28"/>
        </w:rPr>
      </w:pPr>
    </w:p>
    <w:p w14:paraId="616D8096">
      <w:pPr>
        <w:rPr>
          <w:rFonts w:hint="eastAsia" w:ascii="宋体" w:hAnsi="宋体" w:cs="宋体"/>
        </w:rPr>
      </w:pPr>
    </w:p>
    <w:p w14:paraId="40EAD41B">
      <w:pPr>
        <w:rPr>
          <w:rFonts w:hint="eastAsia" w:ascii="宋体" w:hAnsi="宋体" w:cs="宋体"/>
          <w:sz w:val="28"/>
          <w:szCs w:val="28"/>
        </w:rPr>
      </w:pPr>
    </w:p>
    <w:p w14:paraId="0BD7F2F1">
      <w:pPr>
        <w:pStyle w:val="51"/>
        <w:rPr>
          <w:rFonts w:hint="eastAsia" w:hAnsi="宋体"/>
          <w:color w:val="auto"/>
        </w:rPr>
      </w:pPr>
    </w:p>
    <w:p w14:paraId="768FC6F0">
      <w:pPr>
        <w:spacing w:line="360" w:lineRule="auto"/>
        <w:ind w:firstLine="1680" w:firstLineChars="600"/>
        <w:rPr>
          <w:rFonts w:hint="eastAsia" w:ascii="宋体" w:hAnsi="宋体" w:cs="宋体"/>
          <w:sz w:val="28"/>
          <w:szCs w:val="28"/>
          <w:u w:val="single"/>
        </w:rPr>
      </w:pPr>
      <w:r>
        <w:rPr>
          <w:rFonts w:hint="eastAsia" w:ascii="宋体" w:hAnsi="宋体" w:cs="宋体"/>
          <w:sz w:val="28"/>
          <w:szCs w:val="28"/>
        </w:rPr>
        <w:t>供应商：（电子签章）</w:t>
      </w:r>
    </w:p>
    <w:p w14:paraId="04CFD8A8">
      <w:pPr>
        <w:spacing w:line="360" w:lineRule="auto"/>
        <w:jc w:val="center"/>
        <w:rPr>
          <w:rFonts w:hint="eastAsia" w:ascii="宋体" w:hAnsi="宋体" w:cs="宋体"/>
          <w:sz w:val="28"/>
          <w:szCs w:val="28"/>
        </w:rPr>
      </w:pPr>
      <w:r>
        <w:rPr>
          <w:rFonts w:hint="eastAsia" w:ascii="宋体" w:hAnsi="宋体" w:cs="宋体"/>
          <w:sz w:val="28"/>
          <w:szCs w:val="28"/>
        </w:rPr>
        <w:t xml:space="preserve"> 法定代表人或其委托代理人：（电子签章或签字）</w:t>
      </w:r>
    </w:p>
    <w:p w14:paraId="34B75510">
      <w:pPr>
        <w:spacing w:line="360" w:lineRule="auto"/>
        <w:jc w:val="center"/>
        <w:rPr>
          <w:rFonts w:hint="eastAsia" w:ascii="宋体" w:hAnsi="宋体" w:cs="宋体"/>
          <w:sz w:val="28"/>
          <w:szCs w:val="28"/>
        </w:rPr>
      </w:pPr>
      <w:r>
        <w:rPr>
          <w:rFonts w:hint="eastAsia" w:ascii="宋体" w:hAnsi="宋体" w:cs="宋体"/>
          <w:sz w:val="28"/>
          <w:szCs w:val="28"/>
        </w:rPr>
        <w:t>年  月  日</w:t>
      </w:r>
    </w:p>
    <w:p w14:paraId="78470AD8">
      <w:pPr>
        <w:rPr>
          <w:rFonts w:hint="eastAsia" w:ascii="宋体" w:hAnsi="宋体" w:cs="宋体"/>
          <w:sz w:val="32"/>
          <w:szCs w:val="32"/>
        </w:rPr>
      </w:pPr>
      <w:bookmarkStart w:id="532" w:name="_Toc479014396"/>
      <w:bookmarkStart w:id="533" w:name="_Toc144974856"/>
      <w:bookmarkStart w:id="534" w:name="_Toc5036"/>
      <w:bookmarkStart w:id="535" w:name="_Toc344483714"/>
      <w:bookmarkStart w:id="536" w:name="_Toc152042576"/>
      <w:bookmarkStart w:id="537" w:name="_Toc152045787"/>
      <w:r>
        <w:rPr>
          <w:rFonts w:hint="eastAsia" w:ascii="宋体" w:hAnsi="宋体" w:cs="宋体"/>
          <w:sz w:val="32"/>
          <w:szCs w:val="32"/>
        </w:rPr>
        <w:br w:type="page"/>
      </w:r>
    </w:p>
    <w:p w14:paraId="5877FDF9">
      <w:pPr>
        <w:pStyle w:val="49"/>
        <w:rPr>
          <w:rFonts w:hint="eastAsia" w:ascii="宋体" w:hAnsi="宋体" w:cs="宋体"/>
        </w:rPr>
      </w:pPr>
    </w:p>
    <w:p w14:paraId="0E571CE4">
      <w:pPr>
        <w:spacing w:line="360" w:lineRule="auto"/>
        <w:jc w:val="center"/>
        <w:rPr>
          <w:rFonts w:hint="eastAsia" w:ascii="宋体" w:hAnsi="宋体" w:cs="宋体"/>
        </w:rPr>
      </w:pPr>
      <w:r>
        <w:rPr>
          <w:rFonts w:hint="eastAsia" w:ascii="宋体" w:hAnsi="宋体" w:cs="宋体"/>
          <w:sz w:val="32"/>
          <w:szCs w:val="32"/>
        </w:rPr>
        <w:t>目    录</w:t>
      </w:r>
      <w:bookmarkEnd w:id="532"/>
      <w:bookmarkEnd w:id="533"/>
      <w:bookmarkEnd w:id="534"/>
      <w:bookmarkEnd w:id="535"/>
      <w:bookmarkEnd w:id="536"/>
      <w:bookmarkEnd w:id="537"/>
    </w:p>
    <w:p w14:paraId="3EFC0BBA">
      <w:pPr>
        <w:spacing w:line="360" w:lineRule="auto"/>
        <w:jc w:val="center"/>
        <w:rPr>
          <w:rFonts w:hint="eastAsia" w:ascii="宋体" w:hAnsi="宋体" w:cs="宋体"/>
          <w:szCs w:val="21"/>
        </w:rPr>
      </w:pPr>
      <w:bookmarkStart w:id="538" w:name="_Toc152042577"/>
      <w:bookmarkStart w:id="539" w:name="_Toc152045788"/>
      <w:bookmarkStart w:id="540" w:name="_Toc344483715"/>
      <w:bookmarkStart w:id="541" w:name="_Toc144974857"/>
    </w:p>
    <w:p w14:paraId="665AC18C">
      <w:pPr>
        <w:spacing w:line="360" w:lineRule="auto"/>
        <w:jc w:val="center"/>
        <w:rPr>
          <w:rFonts w:hint="eastAsia" w:ascii="宋体" w:hAnsi="宋体" w:cs="宋体"/>
          <w:szCs w:val="21"/>
        </w:rPr>
      </w:pPr>
    </w:p>
    <w:p w14:paraId="42C0160A">
      <w:pPr>
        <w:spacing w:line="360" w:lineRule="auto"/>
        <w:jc w:val="center"/>
        <w:rPr>
          <w:rFonts w:hint="eastAsia" w:ascii="宋体" w:hAnsi="宋体" w:cs="宋体"/>
          <w:szCs w:val="21"/>
        </w:rPr>
      </w:pPr>
      <w:r>
        <w:rPr>
          <w:rFonts w:hint="eastAsia" w:ascii="宋体" w:hAnsi="宋体" w:cs="宋体"/>
          <w:szCs w:val="21"/>
        </w:rPr>
        <w:t>供应商自行编制。</w:t>
      </w:r>
    </w:p>
    <w:p w14:paraId="5E1A52FA">
      <w:pPr>
        <w:spacing w:line="360" w:lineRule="auto"/>
        <w:jc w:val="center"/>
        <w:rPr>
          <w:rFonts w:hint="eastAsia" w:ascii="宋体" w:hAnsi="宋体" w:cs="宋体"/>
          <w:szCs w:val="21"/>
        </w:rPr>
      </w:pPr>
    </w:p>
    <w:p w14:paraId="32EE1664">
      <w:pPr>
        <w:spacing w:line="360" w:lineRule="auto"/>
        <w:ind w:firstLine="850" w:firstLineChars="405"/>
        <w:rPr>
          <w:rFonts w:hint="eastAsia" w:ascii="宋体" w:hAnsi="宋体" w:cs="宋体"/>
          <w:szCs w:val="21"/>
        </w:rPr>
      </w:pPr>
    </w:p>
    <w:p w14:paraId="72DDBE6F">
      <w:pPr>
        <w:spacing w:line="360" w:lineRule="auto"/>
        <w:ind w:firstLine="850" w:firstLineChars="405"/>
        <w:rPr>
          <w:rFonts w:hint="eastAsia" w:ascii="宋体" w:hAnsi="宋体" w:cs="宋体"/>
          <w:szCs w:val="21"/>
        </w:rPr>
      </w:pPr>
    </w:p>
    <w:p w14:paraId="3FDFACCC">
      <w:pPr>
        <w:spacing w:line="440" w:lineRule="exact"/>
        <w:jc w:val="center"/>
        <w:rPr>
          <w:rFonts w:hint="eastAsia" w:ascii="宋体" w:hAnsi="宋体" w:cs="宋体"/>
          <w:b/>
          <w:sz w:val="30"/>
          <w:szCs w:val="30"/>
        </w:rPr>
      </w:pPr>
      <w:r>
        <w:rPr>
          <w:rFonts w:hint="eastAsia" w:ascii="宋体" w:hAnsi="宋体" w:cs="宋体"/>
        </w:rPr>
        <w:br w:type="page"/>
      </w:r>
      <w:bookmarkEnd w:id="538"/>
      <w:bookmarkEnd w:id="539"/>
      <w:bookmarkEnd w:id="540"/>
      <w:bookmarkEnd w:id="541"/>
      <w:r>
        <w:rPr>
          <w:rFonts w:hint="eastAsia" w:ascii="宋体" w:hAnsi="宋体" w:cs="宋体"/>
          <w:b/>
          <w:sz w:val="30"/>
          <w:szCs w:val="30"/>
        </w:rPr>
        <w:t>一、磋商响应函及磋商响应一览表</w:t>
      </w:r>
    </w:p>
    <w:p w14:paraId="02F4ED59">
      <w:pPr>
        <w:spacing w:line="440" w:lineRule="exact"/>
        <w:jc w:val="center"/>
        <w:rPr>
          <w:rFonts w:hint="eastAsia" w:ascii="宋体" w:hAnsi="宋体" w:cs="宋体"/>
          <w:b/>
          <w:bCs/>
          <w:sz w:val="24"/>
        </w:rPr>
      </w:pPr>
      <w:r>
        <w:rPr>
          <w:rFonts w:hint="eastAsia" w:ascii="宋体" w:hAnsi="宋体" w:cs="宋体"/>
          <w:b/>
          <w:bCs/>
          <w:sz w:val="24"/>
        </w:rPr>
        <w:t>（一）磋商响应函</w:t>
      </w:r>
    </w:p>
    <w:p w14:paraId="09421DA4">
      <w:pPr>
        <w:spacing w:line="450" w:lineRule="atLeast"/>
        <w:jc w:val="left"/>
        <w:rPr>
          <w:rFonts w:hint="eastAsia" w:ascii="宋体" w:hAnsi="宋体" w:cs="宋体"/>
          <w:sz w:val="24"/>
          <w:u w:val="single"/>
        </w:rPr>
      </w:pPr>
      <w:r>
        <w:rPr>
          <w:rFonts w:hint="eastAsia" w:ascii="宋体" w:hAnsi="宋体" w:cs="宋体"/>
          <w:sz w:val="24"/>
        </w:rPr>
        <w:t>致：</w:t>
      </w:r>
      <w:r>
        <w:rPr>
          <w:rFonts w:hint="eastAsia" w:ascii="宋体" w:hAnsi="宋体" w:cs="宋体"/>
          <w:sz w:val="24"/>
          <w:u w:val="single"/>
        </w:rPr>
        <w:t xml:space="preserve"> (采购人名称）   </w:t>
      </w:r>
    </w:p>
    <w:p w14:paraId="4877D9CC">
      <w:pPr>
        <w:spacing w:line="450" w:lineRule="atLeast"/>
        <w:ind w:firstLine="480" w:firstLineChars="200"/>
        <w:jc w:val="left"/>
        <w:rPr>
          <w:rFonts w:hint="eastAsia" w:ascii="宋体" w:hAnsi="宋体" w:cs="宋体"/>
          <w:sz w:val="24"/>
        </w:rPr>
      </w:pPr>
      <w:r>
        <w:rPr>
          <w:rFonts w:hint="eastAsia" w:ascii="宋体" w:hAnsi="宋体" w:cs="宋体"/>
          <w:sz w:val="24"/>
        </w:rPr>
        <w:t xml:space="preserve">我们收到了采购编号： </w:t>
      </w:r>
      <w:r>
        <w:rPr>
          <w:rFonts w:hint="eastAsia" w:ascii="宋体" w:hAnsi="宋体" w:cs="宋体"/>
          <w:sz w:val="24"/>
          <w:u w:val="single"/>
        </w:rPr>
        <w:t xml:space="preserve">      </w:t>
      </w:r>
      <w:r>
        <w:rPr>
          <w:rFonts w:hint="eastAsia" w:ascii="宋体" w:hAnsi="宋体" w:cs="宋体"/>
          <w:sz w:val="24"/>
        </w:rPr>
        <w:t>的磋商文件，经详细研究，我们决定参加</w:t>
      </w:r>
      <w:r>
        <w:rPr>
          <w:rFonts w:hint="eastAsia" w:ascii="宋体" w:hAnsi="宋体" w:cs="宋体"/>
          <w:sz w:val="24"/>
          <w:u w:val="single"/>
        </w:rPr>
        <w:t xml:space="preserve">          （项目名称）  </w:t>
      </w:r>
      <w:r>
        <w:rPr>
          <w:rFonts w:hint="eastAsia" w:ascii="宋体" w:hAnsi="宋体" w:cs="宋体"/>
          <w:sz w:val="24"/>
        </w:rPr>
        <w:t>磋商活动，我们郑重声明以下诸点并负法律责任。</w:t>
      </w:r>
    </w:p>
    <w:p w14:paraId="38EB40F1">
      <w:pPr>
        <w:numPr>
          <w:ilvl w:val="0"/>
          <w:numId w:val="5"/>
        </w:numPr>
        <w:spacing w:line="450" w:lineRule="atLeast"/>
        <w:ind w:firstLine="480" w:firstLineChars="200"/>
        <w:rPr>
          <w:rFonts w:hint="eastAsia" w:ascii="宋体" w:hAnsi="宋体" w:cs="宋体"/>
          <w:sz w:val="24"/>
        </w:rPr>
      </w:pPr>
      <w:r>
        <w:rPr>
          <w:rFonts w:hint="eastAsia" w:ascii="宋体" w:hAnsi="宋体" w:cs="宋体"/>
          <w:sz w:val="24"/>
        </w:rPr>
        <w:t>愿按照磋商文件中的条款和要求，以磋商报价人民币（大写）</w:t>
      </w:r>
      <w:r>
        <w:rPr>
          <w:rFonts w:hint="eastAsia" w:ascii="宋体" w:hAnsi="宋体" w:cs="宋体"/>
          <w:sz w:val="24"/>
          <w:u w:val="single"/>
        </w:rPr>
        <w:t xml:space="preserve">    </w:t>
      </w:r>
      <w:r>
        <w:rPr>
          <w:rFonts w:hint="eastAsia" w:ascii="宋体" w:hAnsi="宋体" w:cs="宋体"/>
          <w:sz w:val="24"/>
        </w:rPr>
        <w:t xml:space="preserve"> ，（小写）</w:t>
      </w:r>
      <w:r>
        <w:rPr>
          <w:rFonts w:hint="eastAsia" w:ascii="宋体" w:hAnsi="宋体" w:cs="宋体"/>
          <w:sz w:val="24"/>
          <w:u w:val="single"/>
        </w:rPr>
        <w:t xml:space="preserve">    </w:t>
      </w:r>
      <w:r>
        <w:rPr>
          <w:rFonts w:hint="eastAsia" w:ascii="宋体" w:hAnsi="宋体" w:cs="宋体"/>
          <w:sz w:val="24"/>
        </w:rPr>
        <w:t>提供采购文件要求的全部货物，并按合同约定履行义务。</w:t>
      </w:r>
    </w:p>
    <w:p w14:paraId="34271FF0">
      <w:pPr>
        <w:spacing w:line="450" w:lineRule="atLeast"/>
        <w:ind w:firstLine="480" w:firstLineChars="200"/>
        <w:rPr>
          <w:rFonts w:hint="eastAsia" w:ascii="宋体" w:hAnsi="宋体" w:cs="宋体"/>
          <w:sz w:val="24"/>
        </w:rPr>
      </w:pPr>
      <w:r>
        <w:rPr>
          <w:rFonts w:hint="eastAsia" w:ascii="宋体" w:hAnsi="宋体" w:cs="宋体"/>
          <w:sz w:val="24"/>
        </w:rPr>
        <w:t>2、如果我们的响应文件被接受，我们将履行磋商文件中规定的各项要求。</w:t>
      </w:r>
    </w:p>
    <w:p w14:paraId="5C01117A">
      <w:pPr>
        <w:spacing w:line="450" w:lineRule="atLeast"/>
        <w:ind w:firstLine="480" w:firstLineChars="200"/>
        <w:rPr>
          <w:rFonts w:hint="eastAsia" w:ascii="宋体" w:hAnsi="宋体" w:cs="宋体"/>
          <w:sz w:val="24"/>
        </w:rPr>
      </w:pPr>
      <w:r>
        <w:rPr>
          <w:rFonts w:hint="eastAsia" w:ascii="宋体" w:hAnsi="宋体" w:cs="宋体"/>
          <w:sz w:val="24"/>
        </w:rPr>
        <w:t>3、我们同意本磋商文件中有关磋商有效期的规定。如果成交，有效期延长至合同终止日止。</w:t>
      </w:r>
    </w:p>
    <w:p w14:paraId="3008669D">
      <w:pPr>
        <w:spacing w:line="450" w:lineRule="atLeast"/>
        <w:ind w:firstLine="480" w:firstLineChars="200"/>
        <w:rPr>
          <w:rFonts w:hint="eastAsia" w:ascii="宋体" w:hAnsi="宋体" w:cs="宋体"/>
          <w:sz w:val="24"/>
        </w:rPr>
      </w:pPr>
      <w:r>
        <w:rPr>
          <w:rFonts w:hint="eastAsia" w:ascii="宋体" w:hAnsi="宋体" w:cs="宋体"/>
          <w:sz w:val="24"/>
        </w:rPr>
        <w:t>4、我们愿提供磋商文件中要求的所有文件资料。</w:t>
      </w:r>
    </w:p>
    <w:p w14:paraId="4D556116">
      <w:pPr>
        <w:spacing w:line="450" w:lineRule="atLeast"/>
        <w:ind w:firstLine="480" w:firstLineChars="200"/>
        <w:rPr>
          <w:rFonts w:hint="eastAsia" w:ascii="宋体" w:hAnsi="宋体" w:cs="宋体"/>
          <w:sz w:val="24"/>
        </w:rPr>
      </w:pPr>
      <w:r>
        <w:rPr>
          <w:rFonts w:hint="eastAsia" w:ascii="宋体" w:hAnsi="宋体" w:cs="宋体"/>
          <w:sz w:val="24"/>
        </w:rPr>
        <w:t>5、我们已经详细审核了全部磋商文件，如有需要澄清的问题，我们同意按磋商文件规定的时间向采购人提出。逾期不提，我们同意放弃对这方面有不明及误解的权利。</w:t>
      </w:r>
    </w:p>
    <w:p w14:paraId="5F7A70D7">
      <w:pPr>
        <w:spacing w:line="450" w:lineRule="atLeast"/>
        <w:ind w:firstLine="480" w:firstLineChars="200"/>
        <w:rPr>
          <w:rFonts w:hint="eastAsia" w:ascii="宋体" w:hAnsi="宋体" w:cs="宋体"/>
          <w:sz w:val="24"/>
        </w:rPr>
      </w:pPr>
      <w:r>
        <w:rPr>
          <w:rFonts w:hint="eastAsia" w:ascii="宋体" w:hAnsi="宋体" w:cs="宋体"/>
          <w:sz w:val="24"/>
        </w:rPr>
        <w:t>6、我们承诺，与采购人、采购人就本次采购的项目委托的咨询机构、采购代理机构、以及上述机构的附属机构没有行政或经济关联。</w:t>
      </w:r>
    </w:p>
    <w:p w14:paraId="7747DEDD">
      <w:pPr>
        <w:spacing w:line="450" w:lineRule="atLeast"/>
        <w:ind w:firstLine="480" w:firstLineChars="200"/>
        <w:rPr>
          <w:rFonts w:hint="eastAsia" w:ascii="宋体" w:hAnsi="宋体" w:cs="宋体"/>
          <w:sz w:val="24"/>
        </w:rPr>
      </w:pPr>
      <w:r>
        <w:rPr>
          <w:rFonts w:hint="eastAsia" w:ascii="宋体" w:hAnsi="宋体" w:cs="宋体"/>
          <w:sz w:val="24"/>
        </w:rPr>
        <w:t>7、我们同意提供按照采购人可能要求的与其投标有关的一切数据或资料，完全理解采购人不一定接受最低价的投标或收到的任何投标。</w:t>
      </w:r>
    </w:p>
    <w:p w14:paraId="1B3DC0AB">
      <w:pPr>
        <w:spacing w:line="450" w:lineRule="atLeast"/>
        <w:ind w:firstLine="480" w:firstLineChars="200"/>
        <w:rPr>
          <w:rFonts w:hint="eastAsia" w:ascii="宋体" w:hAnsi="宋体" w:cs="宋体"/>
          <w:sz w:val="24"/>
        </w:rPr>
      </w:pPr>
      <w:r>
        <w:rPr>
          <w:rFonts w:hint="eastAsia" w:ascii="宋体" w:hAnsi="宋体" w:cs="宋体"/>
          <w:sz w:val="24"/>
        </w:rPr>
        <w:t>8、如果我们的响应文件被接受，我们将按磋商文件的规定签订并严格履行合同中的责任和义务。</w:t>
      </w:r>
    </w:p>
    <w:p w14:paraId="2B1527AE">
      <w:pPr>
        <w:spacing w:line="450" w:lineRule="atLeast"/>
        <w:ind w:firstLine="480" w:firstLineChars="200"/>
        <w:rPr>
          <w:rFonts w:hint="eastAsia" w:ascii="宋体" w:hAnsi="宋体" w:cs="宋体"/>
          <w:sz w:val="24"/>
        </w:rPr>
      </w:pPr>
      <w:r>
        <w:rPr>
          <w:rFonts w:hint="eastAsia" w:ascii="宋体" w:hAnsi="宋体" w:cs="宋体"/>
          <w:sz w:val="24"/>
        </w:rPr>
        <w:t>9、如我方成交，我方愿意按采购文件规定的</w:t>
      </w:r>
      <w:r>
        <w:rPr>
          <w:rFonts w:hint="eastAsia" w:ascii="宋体" w:hAnsi="宋体" w:cs="宋体"/>
          <w:bCs/>
          <w:kern w:val="1"/>
          <w:sz w:val="24"/>
        </w:rPr>
        <w:t>采购代理服务费收费标准</w:t>
      </w:r>
      <w:r>
        <w:rPr>
          <w:rFonts w:hint="eastAsia" w:ascii="宋体" w:hAnsi="宋体" w:cs="宋体"/>
          <w:sz w:val="24"/>
        </w:rPr>
        <w:t>向采购代理机构支付本次招标代理服务费。</w:t>
      </w:r>
    </w:p>
    <w:p w14:paraId="65A00398">
      <w:pPr>
        <w:wordWrap w:val="0"/>
        <w:spacing w:line="450" w:lineRule="atLeast"/>
        <w:rPr>
          <w:rFonts w:hint="eastAsia" w:ascii="宋体" w:hAnsi="宋体" w:cs="宋体"/>
          <w:sz w:val="24"/>
        </w:rPr>
      </w:pPr>
    </w:p>
    <w:p w14:paraId="46B6BFB3">
      <w:pPr>
        <w:wordWrap w:val="0"/>
        <w:spacing w:line="450" w:lineRule="atLeast"/>
        <w:rPr>
          <w:rFonts w:hint="eastAsia" w:ascii="宋体" w:hAnsi="宋体" w:cs="宋体"/>
          <w:sz w:val="24"/>
        </w:rPr>
      </w:pPr>
      <w:r>
        <w:rPr>
          <w:rFonts w:hint="eastAsia" w:ascii="宋体" w:hAnsi="宋体" w:cs="宋体"/>
          <w:sz w:val="24"/>
        </w:rPr>
        <w:t>地址：</w:t>
      </w:r>
    </w:p>
    <w:p w14:paraId="6BE51BED">
      <w:pPr>
        <w:wordWrap w:val="0"/>
        <w:spacing w:line="450" w:lineRule="atLeast"/>
        <w:rPr>
          <w:rFonts w:hint="eastAsia" w:ascii="宋体" w:hAnsi="宋体" w:cs="宋体"/>
          <w:sz w:val="24"/>
        </w:rPr>
      </w:pPr>
      <w:r>
        <w:rPr>
          <w:rFonts w:hint="eastAsia" w:ascii="宋体" w:hAnsi="宋体" w:cs="宋体"/>
          <w:sz w:val="24"/>
        </w:rPr>
        <w:t>邮编：</w:t>
      </w:r>
    </w:p>
    <w:p w14:paraId="4F6D5480">
      <w:pPr>
        <w:wordWrap w:val="0"/>
        <w:spacing w:line="450" w:lineRule="atLeast"/>
        <w:rPr>
          <w:rFonts w:hint="eastAsia" w:ascii="宋体" w:hAnsi="宋体" w:cs="宋体"/>
          <w:sz w:val="24"/>
        </w:rPr>
      </w:pPr>
      <w:r>
        <w:rPr>
          <w:rFonts w:hint="eastAsia" w:ascii="宋体" w:hAnsi="宋体" w:cs="宋体"/>
          <w:sz w:val="24"/>
        </w:rPr>
        <w:t>电话：</w:t>
      </w:r>
    </w:p>
    <w:p w14:paraId="304F80A7">
      <w:pPr>
        <w:wordWrap w:val="0"/>
        <w:spacing w:line="450" w:lineRule="atLeast"/>
        <w:rPr>
          <w:rFonts w:hint="eastAsia" w:ascii="宋体" w:hAnsi="宋体" w:cs="宋体"/>
          <w:sz w:val="24"/>
        </w:rPr>
      </w:pPr>
      <w:r>
        <w:rPr>
          <w:rFonts w:hint="eastAsia" w:ascii="宋体" w:hAnsi="宋体" w:cs="宋体"/>
          <w:sz w:val="24"/>
        </w:rPr>
        <w:t>供应商名称：（电子签章）</w:t>
      </w:r>
    </w:p>
    <w:p w14:paraId="75074B73">
      <w:pPr>
        <w:wordWrap w:val="0"/>
        <w:spacing w:line="450" w:lineRule="atLeast"/>
        <w:rPr>
          <w:rFonts w:hint="eastAsia" w:ascii="宋体" w:hAnsi="宋体" w:cs="宋体"/>
          <w:sz w:val="24"/>
        </w:rPr>
      </w:pPr>
      <w:r>
        <w:rPr>
          <w:rFonts w:hint="eastAsia" w:ascii="宋体" w:hAnsi="宋体" w:cs="宋体"/>
          <w:sz w:val="24"/>
        </w:rPr>
        <w:t>法定代表人或其委托代理人：（电子签章或签字）</w:t>
      </w:r>
    </w:p>
    <w:p w14:paraId="33E6713D">
      <w:pPr>
        <w:wordWrap w:val="0"/>
        <w:spacing w:line="450" w:lineRule="atLeast"/>
        <w:rPr>
          <w:rFonts w:hint="eastAsia" w:ascii="宋体" w:hAnsi="宋体" w:cs="宋体"/>
          <w:sz w:val="24"/>
        </w:rPr>
      </w:pPr>
      <w:r>
        <w:rPr>
          <w:rFonts w:hint="eastAsia" w:ascii="宋体" w:hAnsi="宋体" w:cs="宋体"/>
          <w:sz w:val="24"/>
        </w:rPr>
        <w:t>年  月  日</w:t>
      </w:r>
    </w:p>
    <w:p w14:paraId="2A9311BF">
      <w:pPr>
        <w:spacing w:line="440" w:lineRule="exact"/>
        <w:jc w:val="center"/>
        <w:rPr>
          <w:rFonts w:hint="eastAsia" w:ascii="宋体" w:hAnsi="宋体" w:cs="宋体"/>
          <w:b/>
          <w:bCs/>
          <w:szCs w:val="21"/>
        </w:rPr>
      </w:pPr>
      <w:r>
        <w:rPr>
          <w:rFonts w:hint="eastAsia" w:ascii="宋体" w:hAnsi="宋体" w:cs="宋体"/>
          <w:szCs w:val="21"/>
        </w:rPr>
        <w:br w:type="page"/>
      </w:r>
      <w:bookmarkStart w:id="542" w:name="_Toc3090"/>
      <w:r>
        <w:rPr>
          <w:rFonts w:hint="eastAsia" w:ascii="宋体" w:hAnsi="宋体" w:cs="宋体"/>
          <w:b/>
          <w:bCs/>
          <w:sz w:val="24"/>
        </w:rPr>
        <w:t xml:space="preserve">（二） </w:t>
      </w:r>
      <w:bookmarkEnd w:id="542"/>
      <w:r>
        <w:rPr>
          <w:rFonts w:hint="eastAsia" w:ascii="宋体" w:hAnsi="宋体" w:cs="宋体"/>
          <w:b/>
          <w:bCs/>
          <w:sz w:val="24"/>
        </w:rPr>
        <w:t>磋商响应一览表</w:t>
      </w:r>
    </w:p>
    <w:tbl>
      <w:tblPr>
        <w:tblStyle w:val="30"/>
        <w:tblW w:w="9299" w:type="dxa"/>
        <w:jc w:val="center"/>
        <w:tblLayout w:type="fixed"/>
        <w:tblCellMar>
          <w:top w:w="0" w:type="dxa"/>
          <w:left w:w="108" w:type="dxa"/>
          <w:bottom w:w="0" w:type="dxa"/>
          <w:right w:w="108" w:type="dxa"/>
        </w:tblCellMar>
      </w:tblPr>
      <w:tblGrid>
        <w:gridCol w:w="2300"/>
        <w:gridCol w:w="6999"/>
      </w:tblGrid>
      <w:tr w14:paraId="4578A4D9">
        <w:tblPrEx>
          <w:tblCellMar>
            <w:top w:w="0" w:type="dxa"/>
            <w:left w:w="108" w:type="dxa"/>
            <w:bottom w:w="0" w:type="dxa"/>
            <w:right w:w="108" w:type="dxa"/>
          </w:tblCellMar>
        </w:tblPrEx>
        <w:trPr>
          <w:trHeight w:val="720"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671C8508">
            <w:pPr>
              <w:spacing w:line="360" w:lineRule="auto"/>
              <w:jc w:val="center"/>
              <w:rPr>
                <w:rFonts w:hint="eastAsia" w:ascii="宋体" w:hAnsi="宋体" w:cs="宋体"/>
                <w:kern w:val="1"/>
                <w:sz w:val="24"/>
              </w:rPr>
            </w:pPr>
            <w:r>
              <w:rPr>
                <w:rFonts w:hint="eastAsia" w:ascii="宋体" w:hAnsi="宋体" w:cs="宋体"/>
                <w:kern w:val="1"/>
                <w:sz w:val="24"/>
              </w:rPr>
              <w:t>项目名称</w:t>
            </w:r>
          </w:p>
        </w:tc>
        <w:tc>
          <w:tcPr>
            <w:tcW w:w="6999" w:type="dxa"/>
            <w:tcBorders>
              <w:top w:val="single" w:color="000000" w:sz="4" w:space="0"/>
              <w:left w:val="single" w:color="000000" w:sz="4" w:space="0"/>
              <w:bottom w:val="single" w:color="000000" w:sz="4" w:space="0"/>
              <w:right w:val="single" w:color="000000" w:sz="4" w:space="0"/>
            </w:tcBorders>
            <w:vAlign w:val="center"/>
          </w:tcPr>
          <w:p w14:paraId="4C286A08">
            <w:pPr>
              <w:spacing w:line="360" w:lineRule="auto"/>
              <w:rPr>
                <w:rFonts w:hint="eastAsia" w:ascii="宋体" w:hAnsi="宋体" w:cs="宋体"/>
                <w:kern w:val="1"/>
                <w:sz w:val="24"/>
              </w:rPr>
            </w:pPr>
          </w:p>
        </w:tc>
      </w:tr>
      <w:tr w14:paraId="496AA925">
        <w:tblPrEx>
          <w:tblCellMar>
            <w:top w:w="0" w:type="dxa"/>
            <w:left w:w="108" w:type="dxa"/>
            <w:bottom w:w="0" w:type="dxa"/>
            <w:right w:w="108" w:type="dxa"/>
          </w:tblCellMar>
        </w:tblPrEx>
        <w:trPr>
          <w:trHeight w:val="720"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405900E8">
            <w:pPr>
              <w:spacing w:line="360" w:lineRule="auto"/>
              <w:jc w:val="center"/>
              <w:rPr>
                <w:rFonts w:hint="eastAsia" w:ascii="宋体" w:hAnsi="宋体" w:cs="宋体"/>
                <w:kern w:val="1"/>
                <w:sz w:val="24"/>
              </w:rPr>
            </w:pPr>
            <w:r>
              <w:rPr>
                <w:rFonts w:hint="eastAsia" w:ascii="宋体" w:hAnsi="宋体" w:cs="宋体"/>
                <w:kern w:val="1"/>
                <w:sz w:val="24"/>
              </w:rPr>
              <w:t>供应商名称</w:t>
            </w:r>
          </w:p>
        </w:tc>
        <w:tc>
          <w:tcPr>
            <w:tcW w:w="6999" w:type="dxa"/>
            <w:tcBorders>
              <w:top w:val="single" w:color="000000" w:sz="4" w:space="0"/>
              <w:left w:val="single" w:color="000000" w:sz="4" w:space="0"/>
              <w:bottom w:val="single" w:color="000000" w:sz="4" w:space="0"/>
              <w:right w:val="single" w:color="000000" w:sz="4" w:space="0"/>
            </w:tcBorders>
            <w:vAlign w:val="center"/>
          </w:tcPr>
          <w:p w14:paraId="3184A996">
            <w:pPr>
              <w:spacing w:line="360" w:lineRule="auto"/>
              <w:rPr>
                <w:rFonts w:hint="eastAsia" w:ascii="宋体" w:hAnsi="宋体" w:cs="宋体"/>
                <w:kern w:val="1"/>
                <w:sz w:val="24"/>
              </w:rPr>
            </w:pPr>
          </w:p>
        </w:tc>
      </w:tr>
      <w:tr w14:paraId="1AB89677">
        <w:tblPrEx>
          <w:tblCellMar>
            <w:top w:w="0" w:type="dxa"/>
            <w:left w:w="108" w:type="dxa"/>
            <w:bottom w:w="0" w:type="dxa"/>
            <w:right w:w="108" w:type="dxa"/>
          </w:tblCellMar>
        </w:tblPrEx>
        <w:trPr>
          <w:trHeight w:val="720"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1BE7DF7D">
            <w:pPr>
              <w:spacing w:line="360" w:lineRule="auto"/>
              <w:jc w:val="center"/>
              <w:rPr>
                <w:rFonts w:hint="eastAsia" w:ascii="宋体" w:hAnsi="宋体" w:cs="宋体"/>
                <w:kern w:val="1"/>
                <w:sz w:val="24"/>
              </w:rPr>
            </w:pPr>
            <w:r>
              <w:rPr>
                <w:rFonts w:hint="eastAsia" w:ascii="宋体" w:hAnsi="宋体" w:cs="宋体"/>
                <w:kern w:val="1"/>
                <w:sz w:val="24"/>
              </w:rPr>
              <w:t>响应内容</w:t>
            </w:r>
          </w:p>
        </w:tc>
        <w:tc>
          <w:tcPr>
            <w:tcW w:w="6999" w:type="dxa"/>
            <w:tcBorders>
              <w:top w:val="single" w:color="000000" w:sz="4" w:space="0"/>
              <w:left w:val="single" w:color="000000" w:sz="4" w:space="0"/>
              <w:bottom w:val="single" w:color="000000" w:sz="4" w:space="0"/>
              <w:right w:val="single" w:color="000000" w:sz="4" w:space="0"/>
            </w:tcBorders>
            <w:vAlign w:val="center"/>
          </w:tcPr>
          <w:p w14:paraId="2975793B">
            <w:pPr>
              <w:spacing w:line="360" w:lineRule="auto"/>
              <w:rPr>
                <w:rFonts w:hint="eastAsia" w:ascii="宋体" w:hAnsi="宋体" w:cs="宋体"/>
                <w:kern w:val="1"/>
                <w:sz w:val="24"/>
              </w:rPr>
            </w:pPr>
          </w:p>
        </w:tc>
      </w:tr>
      <w:tr w14:paraId="4128B4FD">
        <w:tblPrEx>
          <w:tblCellMar>
            <w:top w:w="0" w:type="dxa"/>
            <w:left w:w="108" w:type="dxa"/>
            <w:bottom w:w="0" w:type="dxa"/>
            <w:right w:w="108" w:type="dxa"/>
          </w:tblCellMar>
        </w:tblPrEx>
        <w:trPr>
          <w:trHeight w:val="1151"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36711864">
            <w:pPr>
              <w:spacing w:line="360" w:lineRule="auto"/>
              <w:jc w:val="center"/>
              <w:rPr>
                <w:rFonts w:hint="eastAsia" w:ascii="宋体" w:hAnsi="宋体" w:cs="宋体"/>
                <w:kern w:val="1"/>
                <w:sz w:val="24"/>
              </w:rPr>
            </w:pPr>
            <w:r>
              <w:rPr>
                <w:rFonts w:hint="eastAsia" w:ascii="宋体" w:hAnsi="宋体" w:cs="宋体"/>
                <w:sz w:val="24"/>
              </w:rPr>
              <w:t>磋商报价</w:t>
            </w:r>
          </w:p>
        </w:tc>
        <w:tc>
          <w:tcPr>
            <w:tcW w:w="6999" w:type="dxa"/>
            <w:tcBorders>
              <w:top w:val="single" w:color="000000" w:sz="4" w:space="0"/>
              <w:left w:val="single" w:color="000000" w:sz="4" w:space="0"/>
              <w:bottom w:val="single" w:color="000000" w:sz="4" w:space="0"/>
              <w:right w:val="single" w:color="000000" w:sz="4" w:space="0"/>
            </w:tcBorders>
            <w:vAlign w:val="center"/>
          </w:tcPr>
          <w:p w14:paraId="2BC180E8">
            <w:pPr>
              <w:spacing w:line="360" w:lineRule="auto"/>
              <w:rPr>
                <w:rFonts w:hint="eastAsia" w:ascii="宋体" w:hAnsi="宋体" w:cs="宋体"/>
                <w:kern w:val="1"/>
                <w:sz w:val="24"/>
              </w:rPr>
            </w:pPr>
            <w:r>
              <w:rPr>
                <w:rFonts w:hint="eastAsia" w:ascii="宋体" w:hAnsi="宋体" w:cs="宋体"/>
                <w:kern w:val="1"/>
                <w:sz w:val="24"/>
              </w:rPr>
              <w:t>人民币大写：</w:t>
            </w:r>
          </w:p>
          <w:p w14:paraId="397B102F">
            <w:pPr>
              <w:spacing w:line="360" w:lineRule="auto"/>
              <w:ind w:firstLine="720" w:firstLineChars="300"/>
              <w:rPr>
                <w:rFonts w:hint="eastAsia" w:ascii="宋体" w:hAnsi="宋体" w:cs="宋体"/>
                <w:kern w:val="1"/>
                <w:sz w:val="24"/>
                <w:u w:val="single"/>
              </w:rPr>
            </w:pPr>
            <w:r>
              <w:rPr>
                <w:rFonts w:hint="eastAsia" w:ascii="宋体" w:hAnsi="宋体" w:cs="宋体"/>
                <w:kern w:val="1"/>
                <w:sz w:val="24"/>
              </w:rPr>
              <w:t>小写：</w:t>
            </w:r>
          </w:p>
        </w:tc>
      </w:tr>
      <w:tr w14:paraId="0179E461">
        <w:tblPrEx>
          <w:tblCellMar>
            <w:top w:w="0" w:type="dxa"/>
            <w:left w:w="108" w:type="dxa"/>
            <w:bottom w:w="0" w:type="dxa"/>
            <w:right w:w="108" w:type="dxa"/>
          </w:tblCellMar>
        </w:tblPrEx>
        <w:trPr>
          <w:trHeight w:val="720"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51B4268D">
            <w:pPr>
              <w:spacing w:line="360" w:lineRule="auto"/>
              <w:jc w:val="center"/>
              <w:rPr>
                <w:rFonts w:hint="eastAsia" w:ascii="宋体" w:hAnsi="宋体" w:cs="宋体"/>
                <w:kern w:val="1"/>
                <w:sz w:val="24"/>
              </w:rPr>
            </w:pPr>
            <w:r>
              <w:rPr>
                <w:rFonts w:hint="eastAsia" w:ascii="宋体" w:hAnsi="宋体" w:cs="宋体"/>
                <w:kern w:val="1"/>
                <w:sz w:val="24"/>
              </w:rPr>
              <w:t>质量标准</w:t>
            </w:r>
          </w:p>
        </w:tc>
        <w:tc>
          <w:tcPr>
            <w:tcW w:w="6999" w:type="dxa"/>
            <w:tcBorders>
              <w:top w:val="single" w:color="000000" w:sz="4" w:space="0"/>
              <w:left w:val="single" w:color="000000" w:sz="4" w:space="0"/>
              <w:bottom w:val="single" w:color="000000" w:sz="4" w:space="0"/>
              <w:right w:val="single" w:color="000000" w:sz="4" w:space="0"/>
            </w:tcBorders>
            <w:vAlign w:val="center"/>
          </w:tcPr>
          <w:p w14:paraId="0737C47F">
            <w:pPr>
              <w:spacing w:line="360" w:lineRule="auto"/>
              <w:rPr>
                <w:rFonts w:hint="eastAsia" w:ascii="宋体" w:hAnsi="宋体" w:cs="宋体"/>
                <w:kern w:val="1"/>
                <w:sz w:val="24"/>
              </w:rPr>
            </w:pPr>
          </w:p>
        </w:tc>
      </w:tr>
      <w:tr w14:paraId="0C719EB8">
        <w:tblPrEx>
          <w:tblCellMar>
            <w:top w:w="0" w:type="dxa"/>
            <w:left w:w="108" w:type="dxa"/>
            <w:bottom w:w="0" w:type="dxa"/>
            <w:right w:w="108" w:type="dxa"/>
          </w:tblCellMar>
        </w:tblPrEx>
        <w:trPr>
          <w:trHeight w:val="720"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3C3AFF1B">
            <w:pPr>
              <w:spacing w:line="360" w:lineRule="auto"/>
              <w:jc w:val="center"/>
              <w:rPr>
                <w:rFonts w:hint="eastAsia" w:ascii="宋体" w:hAnsi="宋体" w:cs="宋体"/>
                <w:kern w:val="1"/>
                <w:sz w:val="24"/>
              </w:rPr>
            </w:pPr>
            <w:r>
              <w:rPr>
                <w:rFonts w:hint="eastAsia" w:ascii="宋体" w:hAnsi="宋体" w:cs="宋体"/>
                <w:sz w:val="24"/>
              </w:rPr>
              <w:t>交货期</w:t>
            </w:r>
          </w:p>
        </w:tc>
        <w:tc>
          <w:tcPr>
            <w:tcW w:w="6999" w:type="dxa"/>
            <w:tcBorders>
              <w:top w:val="single" w:color="000000" w:sz="4" w:space="0"/>
              <w:left w:val="single" w:color="000000" w:sz="4" w:space="0"/>
              <w:bottom w:val="single" w:color="000000" w:sz="4" w:space="0"/>
              <w:right w:val="single" w:color="000000" w:sz="4" w:space="0"/>
            </w:tcBorders>
            <w:vAlign w:val="center"/>
          </w:tcPr>
          <w:p w14:paraId="3E598C8C">
            <w:pPr>
              <w:spacing w:line="360" w:lineRule="auto"/>
              <w:rPr>
                <w:rFonts w:hint="eastAsia" w:ascii="宋体" w:hAnsi="宋体" w:cs="宋体"/>
                <w:kern w:val="1"/>
                <w:sz w:val="24"/>
              </w:rPr>
            </w:pPr>
          </w:p>
        </w:tc>
      </w:tr>
      <w:tr w14:paraId="566F5682">
        <w:tblPrEx>
          <w:tblCellMar>
            <w:top w:w="0" w:type="dxa"/>
            <w:left w:w="108" w:type="dxa"/>
            <w:bottom w:w="0" w:type="dxa"/>
            <w:right w:w="108" w:type="dxa"/>
          </w:tblCellMar>
        </w:tblPrEx>
        <w:trPr>
          <w:trHeight w:val="720"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7DE2B3BC">
            <w:pPr>
              <w:spacing w:line="360" w:lineRule="auto"/>
              <w:jc w:val="center"/>
              <w:rPr>
                <w:rFonts w:hint="eastAsia" w:ascii="宋体" w:hAnsi="宋体" w:cs="宋体"/>
                <w:kern w:val="1"/>
                <w:sz w:val="24"/>
              </w:rPr>
            </w:pPr>
            <w:r>
              <w:rPr>
                <w:rFonts w:hint="eastAsia" w:ascii="宋体" w:hAnsi="宋体" w:cs="宋体"/>
                <w:kern w:val="1"/>
                <w:sz w:val="24"/>
              </w:rPr>
              <w:t>交货地点</w:t>
            </w:r>
          </w:p>
        </w:tc>
        <w:tc>
          <w:tcPr>
            <w:tcW w:w="6999" w:type="dxa"/>
            <w:tcBorders>
              <w:top w:val="single" w:color="000000" w:sz="4" w:space="0"/>
              <w:left w:val="single" w:color="000000" w:sz="4" w:space="0"/>
              <w:bottom w:val="single" w:color="000000" w:sz="4" w:space="0"/>
              <w:right w:val="single" w:color="000000" w:sz="4" w:space="0"/>
            </w:tcBorders>
            <w:vAlign w:val="center"/>
          </w:tcPr>
          <w:p w14:paraId="7D162AA7">
            <w:pPr>
              <w:spacing w:line="360" w:lineRule="auto"/>
              <w:rPr>
                <w:rFonts w:hint="eastAsia" w:ascii="宋体" w:hAnsi="宋体" w:cs="宋体"/>
                <w:kern w:val="1"/>
                <w:sz w:val="24"/>
              </w:rPr>
            </w:pPr>
          </w:p>
        </w:tc>
      </w:tr>
      <w:tr w14:paraId="419C4EC0">
        <w:tblPrEx>
          <w:tblCellMar>
            <w:top w:w="0" w:type="dxa"/>
            <w:left w:w="108" w:type="dxa"/>
            <w:bottom w:w="0" w:type="dxa"/>
            <w:right w:w="108" w:type="dxa"/>
          </w:tblCellMar>
        </w:tblPrEx>
        <w:trPr>
          <w:trHeight w:val="720"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08568D3A">
            <w:pPr>
              <w:spacing w:line="360" w:lineRule="auto"/>
              <w:jc w:val="center"/>
              <w:rPr>
                <w:rFonts w:hint="eastAsia" w:ascii="宋体" w:hAnsi="宋体" w:cs="宋体"/>
                <w:kern w:val="1"/>
                <w:sz w:val="24"/>
              </w:rPr>
            </w:pPr>
            <w:r>
              <w:rPr>
                <w:rFonts w:hint="eastAsia" w:ascii="宋体" w:hAnsi="宋体" w:cs="宋体"/>
                <w:kern w:val="1"/>
                <w:sz w:val="24"/>
              </w:rPr>
              <w:t>质保期</w:t>
            </w:r>
          </w:p>
        </w:tc>
        <w:tc>
          <w:tcPr>
            <w:tcW w:w="6999" w:type="dxa"/>
            <w:tcBorders>
              <w:top w:val="single" w:color="000000" w:sz="4" w:space="0"/>
              <w:left w:val="single" w:color="000000" w:sz="4" w:space="0"/>
              <w:bottom w:val="single" w:color="000000" w:sz="4" w:space="0"/>
              <w:right w:val="single" w:color="000000" w:sz="4" w:space="0"/>
            </w:tcBorders>
            <w:vAlign w:val="center"/>
          </w:tcPr>
          <w:p w14:paraId="7B748EEF">
            <w:pPr>
              <w:spacing w:line="360" w:lineRule="auto"/>
              <w:rPr>
                <w:rFonts w:hint="eastAsia" w:ascii="宋体" w:hAnsi="宋体" w:cs="宋体"/>
                <w:kern w:val="1"/>
                <w:sz w:val="24"/>
              </w:rPr>
            </w:pPr>
          </w:p>
        </w:tc>
      </w:tr>
      <w:tr w14:paraId="4F2E9EEE">
        <w:tblPrEx>
          <w:tblCellMar>
            <w:top w:w="0" w:type="dxa"/>
            <w:left w:w="108" w:type="dxa"/>
            <w:bottom w:w="0" w:type="dxa"/>
            <w:right w:w="108" w:type="dxa"/>
          </w:tblCellMar>
        </w:tblPrEx>
        <w:trPr>
          <w:trHeight w:val="720"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2485F331">
            <w:pPr>
              <w:spacing w:line="360" w:lineRule="auto"/>
              <w:jc w:val="center"/>
              <w:rPr>
                <w:rFonts w:hint="eastAsia" w:ascii="宋体" w:hAnsi="宋体" w:cs="宋体"/>
                <w:kern w:val="1"/>
                <w:sz w:val="24"/>
              </w:rPr>
            </w:pPr>
            <w:r>
              <w:rPr>
                <w:rFonts w:hint="eastAsia" w:ascii="宋体" w:hAnsi="宋体" w:cs="宋体"/>
                <w:kern w:val="1"/>
                <w:sz w:val="24"/>
              </w:rPr>
              <w:t>磋商有效期</w:t>
            </w:r>
          </w:p>
        </w:tc>
        <w:tc>
          <w:tcPr>
            <w:tcW w:w="6999" w:type="dxa"/>
            <w:tcBorders>
              <w:top w:val="single" w:color="000000" w:sz="4" w:space="0"/>
              <w:left w:val="single" w:color="000000" w:sz="4" w:space="0"/>
              <w:bottom w:val="single" w:color="000000" w:sz="4" w:space="0"/>
              <w:right w:val="single" w:color="000000" w:sz="4" w:space="0"/>
            </w:tcBorders>
            <w:vAlign w:val="center"/>
          </w:tcPr>
          <w:p w14:paraId="41CF77AA">
            <w:pPr>
              <w:spacing w:line="360" w:lineRule="auto"/>
              <w:ind w:firstLine="480" w:firstLineChars="200"/>
              <w:rPr>
                <w:rFonts w:hint="eastAsia" w:ascii="宋体" w:hAnsi="宋体" w:cs="宋体"/>
                <w:kern w:val="1"/>
                <w:sz w:val="24"/>
              </w:rPr>
            </w:pPr>
            <w:r>
              <w:rPr>
                <w:rFonts w:hint="eastAsia" w:ascii="宋体" w:hAnsi="宋体" w:cs="宋体"/>
                <w:sz w:val="24"/>
                <w:u w:val="single"/>
              </w:rPr>
              <w:t xml:space="preserve">    </w:t>
            </w:r>
            <w:r>
              <w:rPr>
                <w:rFonts w:hint="eastAsia" w:ascii="宋体" w:hAnsi="宋体" w:cs="宋体"/>
                <w:kern w:val="1"/>
                <w:sz w:val="24"/>
              </w:rPr>
              <w:t>日历天（从响应文件递交截止之日起）</w:t>
            </w:r>
          </w:p>
        </w:tc>
      </w:tr>
      <w:tr w14:paraId="4494D8CB">
        <w:tblPrEx>
          <w:tblCellMar>
            <w:top w:w="0" w:type="dxa"/>
            <w:left w:w="108" w:type="dxa"/>
            <w:bottom w:w="0" w:type="dxa"/>
            <w:right w:w="108" w:type="dxa"/>
          </w:tblCellMar>
        </w:tblPrEx>
        <w:trPr>
          <w:trHeight w:val="2923"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4A93F90F">
            <w:pPr>
              <w:spacing w:line="360" w:lineRule="auto"/>
              <w:jc w:val="center"/>
              <w:rPr>
                <w:rFonts w:hint="eastAsia" w:ascii="宋体" w:hAnsi="宋体" w:cs="宋体"/>
                <w:kern w:val="1"/>
                <w:sz w:val="24"/>
              </w:rPr>
            </w:pPr>
            <w:r>
              <w:rPr>
                <w:rFonts w:hint="eastAsia" w:ascii="宋体" w:hAnsi="宋体" w:cs="宋体"/>
                <w:sz w:val="24"/>
              </w:rPr>
              <w:t>其他声明</w:t>
            </w:r>
          </w:p>
        </w:tc>
        <w:tc>
          <w:tcPr>
            <w:tcW w:w="6999" w:type="dxa"/>
            <w:tcBorders>
              <w:top w:val="single" w:color="000000" w:sz="4" w:space="0"/>
              <w:left w:val="single" w:color="000000" w:sz="4" w:space="0"/>
              <w:bottom w:val="single" w:color="000000" w:sz="4" w:space="0"/>
              <w:right w:val="single" w:color="000000" w:sz="4" w:space="0"/>
            </w:tcBorders>
            <w:vAlign w:val="center"/>
          </w:tcPr>
          <w:p w14:paraId="29C6A42B">
            <w:pPr>
              <w:spacing w:line="360" w:lineRule="auto"/>
              <w:rPr>
                <w:rFonts w:hint="eastAsia" w:ascii="宋体" w:hAnsi="宋体" w:cs="宋体"/>
                <w:kern w:val="1"/>
                <w:sz w:val="24"/>
              </w:rPr>
            </w:pPr>
          </w:p>
        </w:tc>
      </w:tr>
    </w:tbl>
    <w:p w14:paraId="1D4DAF0D">
      <w:pPr>
        <w:spacing w:line="440" w:lineRule="exact"/>
        <w:ind w:left="5145" w:leftChars="2450"/>
        <w:rPr>
          <w:rFonts w:hint="eastAsia" w:ascii="宋体" w:hAnsi="宋体" w:cs="宋体"/>
          <w:sz w:val="24"/>
        </w:rPr>
      </w:pPr>
    </w:p>
    <w:p w14:paraId="48414E41">
      <w:pPr>
        <w:spacing w:line="440" w:lineRule="exact"/>
        <w:ind w:left="5145" w:leftChars="2450"/>
        <w:rPr>
          <w:rFonts w:hint="eastAsia" w:ascii="宋体" w:hAnsi="宋体" w:cs="宋体"/>
          <w:sz w:val="24"/>
        </w:rPr>
      </w:pPr>
    </w:p>
    <w:p w14:paraId="0C63E6DD">
      <w:pPr>
        <w:wordWrap w:val="0"/>
        <w:spacing w:line="450" w:lineRule="atLeast"/>
        <w:rPr>
          <w:rFonts w:hint="eastAsia" w:ascii="宋体" w:hAnsi="宋体" w:cs="宋体"/>
          <w:sz w:val="24"/>
        </w:rPr>
      </w:pPr>
      <w:r>
        <w:rPr>
          <w:rFonts w:hint="eastAsia" w:ascii="宋体" w:hAnsi="宋体" w:cs="宋体"/>
          <w:sz w:val="24"/>
        </w:rPr>
        <w:t>供应商名称：（电子签章）</w:t>
      </w:r>
    </w:p>
    <w:p w14:paraId="6F9C5831">
      <w:pPr>
        <w:wordWrap w:val="0"/>
        <w:spacing w:line="450" w:lineRule="atLeast"/>
        <w:rPr>
          <w:rFonts w:hint="eastAsia" w:ascii="宋体" w:hAnsi="宋体" w:cs="宋体"/>
          <w:sz w:val="24"/>
        </w:rPr>
      </w:pPr>
      <w:r>
        <w:rPr>
          <w:rFonts w:hint="eastAsia" w:ascii="宋体" w:hAnsi="宋体" w:cs="宋体"/>
          <w:sz w:val="24"/>
        </w:rPr>
        <w:t>法定代表人或其委托代理人：（电子签章或签字）</w:t>
      </w:r>
    </w:p>
    <w:p w14:paraId="5BF03A92">
      <w:pPr>
        <w:wordWrap w:val="0"/>
        <w:spacing w:line="450" w:lineRule="atLeast"/>
        <w:rPr>
          <w:rFonts w:hint="eastAsia" w:ascii="宋体" w:hAnsi="宋体" w:cs="宋体"/>
          <w:sz w:val="24"/>
        </w:rPr>
      </w:pPr>
      <w:r>
        <w:rPr>
          <w:rFonts w:hint="eastAsia" w:ascii="宋体" w:hAnsi="宋体" w:cs="宋体"/>
          <w:sz w:val="24"/>
        </w:rPr>
        <w:t>年  月  日</w:t>
      </w:r>
    </w:p>
    <w:p w14:paraId="2A03ED19">
      <w:pPr>
        <w:pStyle w:val="4"/>
        <w:numPr>
          <w:ilvl w:val="0"/>
          <w:numId w:val="6"/>
        </w:numPr>
        <w:jc w:val="center"/>
        <w:rPr>
          <w:rFonts w:hint="eastAsia" w:ascii="宋体" w:hAnsi="宋体" w:cs="宋体"/>
          <w:kern w:val="0"/>
          <w:sz w:val="28"/>
          <w:szCs w:val="28"/>
        </w:rPr>
      </w:pPr>
      <w:r>
        <w:rPr>
          <w:rFonts w:hint="eastAsia" w:ascii="宋体" w:hAnsi="宋体" w:cs="宋体"/>
          <w:sz w:val="24"/>
        </w:rPr>
        <w:br w:type="page"/>
      </w:r>
      <w:r>
        <w:rPr>
          <w:rFonts w:hint="eastAsia" w:ascii="宋体" w:hAnsi="宋体" w:cs="宋体"/>
          <w:kern w:val="0"/>
          <w:sz w:val="28"/>
          <w:szCs w:val="28"/>
        </w:rPr>
        <w:t>分项报价表</w:t>
      </w:r>
    </w:p>
    <w:p w14:paraId="41BE5DA2">
      <w:pPr>
        <w:spacing w:line="440" w:lineRule="exact"/>
        <w:jc w:val="center"/>
        <w:rPr>
          <w:rFonts w:hint="eastAsia"/>
        </w:rPr>
      </w:pPr>
      <w:r>
        <w:rPr>
          <w:rFonts w:hint="eastAsia" w:ascii="宋体" w:hAnsi="宋体" w:cs="宋体"/>
          <w:b/>
          <w:bCs/>
          <w:color w:val="auto"/>
          <w:sz w:val="24"/>
          <w:highlight w:val="none"/>
        </w:rPr>
        <w:t>（一）</w:t>
      </w:r>
      <w:r>
        <w:rPr>
          <w:rFonts w:hint="eastAsia" w:ascii="宋体" w:hAnsi="宋体" w:cs="宋体"/>
          <w:b/>
          <w:bCs/>
          <w:color w:val="auto"/>
          <w:sz w:val="24"/>
          <w:highlight w:val="none"/>
          <w:lang w:val="en-US" w:eastAsia="zh-CN"/>
        </w:rPr>
        <w:t>分项报价一览表</w:t>
      </w:r>
    </w:p>
    <w:tbl>
      <w:tblPr>
        <w:tblStyle w:val="30"/>
        <w:tblW w:w="53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613"/>
        <w:gridCol w:w="661"/>
        <w:gridCol w:w="661"/>
        <w:gridCol w:w="1399"/>
        <w:gridCol w:w="912"/>
        <w:gridCol w:w="858"/>
        <w:gridCol w:w="934"/>
        <w:gridCol w:w="1511"/>
        <w:gridCol w:w="744"/>
      </w:tblGrid>
      <w:tr w14:paraId="4C67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331" w:type="pct"/>
            <w:vAlign w:val="center"/>
          </w:tcPr>
          <w:p w14:paraId="73ABADCC">
            <w:pPr>
              <w:jc w:val="center"/>
              <w:rPr>
                <w:rFonts w:hint="eastAsia" w:ascii="宋体" w:hAnsi="宋体" w:cs="宋体"/>
                <w:sz w:val="24"/>
              </w:rPr>
            </w:pPr>
            <w:r>
              <w:rPr>
                <w:rFonts w:hint="eastAsia" w:ascii="宋体" w:hAnsi="宋体" w:cs="宋体"/>
                <w:sz w:val="24"/>
              </w:rPr>
              <w:t>序号</w:t>
            </w:r>
          </w:p>
        </w:tc>
        <w:tc>
          <w:tcPr>
            <w:tcW w:w="810" w:type="pct"/>
            <w:vAlign w:val="center"/>
          </w:tcPr>
          <w:p w14:paraId="1C376386">
            <w:pPr>
              <w:jc w:val="center"/>
              <w:rPr>
                <w:rFonts w:hint="eastAsia" w:ascii="宋体" w:hAnsi="宋体" w:cs="宋体"/>
                <w:sz w:val="24"/>
              </w:rPr>
            </w:pPr>
            <w:r>
              <w:rPr>
                <w:rFonts w:hint="eastAsia" w:ascii="宋体" w:hAnsi="宋体" w:cs="宋体"/>
                <w:sz w:val="24"/>
              </w:rPr>
              <w:t>设备名称</w:t>
            </w:r>
          </w:p>
        </w:tc>
        <w:tc>
          <w:tcPr>
            <w:tcW w:w="332" w:type="pct"/>
            <w:vAlign w:val="center"/>
          </w:tcPr>
          <w:p w14:paraId="13F1BB43">
            <w:pPr>
              <w:jc w:val="center"/>
              <w:rPr>
                <w:rFonts w:hint="eastAsia" w:ascii="宋体" w:hAnsi="宋体" w:cs="宋体"/>
                <w:sz w:val="24"/>
              </w:rPr>
            </w:pPr>
            <w:r>
              <w:rPr>
                <w:rFonts w:hint="eastAsia" w:ascii="宋体" w:hAnsi="宋体" w:cs="宋体"/>
                <w:sz w:val="24"/>
              </w:rPr>
              <w:t>单位</w:t>
            </w:r>
          </w:p>
        </w:tc>
        <w:tc>
          <w:tcPr>
            <w:tcW w:w="332" w:type="pct"/>
            <w:vAlign w:val="center"/>
          </w:tcPr>
          <w:p w14:paraId="3BA9B9EE">
            <w:pPr>
              <w:jc w:val="center"/>
              <w:rPr>
                <w:rFonts w:hint="eastAsia" w:ascii="宋体" w:hAnsi="宋体" w:cs="宋体"/>
                <w:sz w:val="24"/>
              </w:rPr>
            </w:pPr>
            <w:r>
              <w:rPr>
                <w:rFonts w:hint="eastAsia" w:ascii="宋体" w:hAnsi="宋体" w:cs="宋体"/>
                <w:sz w:val="24"/>
              </w:rPr>
              <w:t>数量</w:t>
            </w:r>
          </w:p>
        </w:tc>
        <w:tc>
          <w:tcPr>
            <w:tcW w:w="702" w:type="pct"/>
            <w:vAlign w:val="center"/>
          </w:tcPr>
          <w:p w14:paraId="794EA8F6">
            <w:pPr>
              <w:jc w:val="center"/>
              <w:rPr>
                <w:rFonts w:hint="eastAsia" w:ascii="宋体" w:hAnsi="宋体" w:cs="宋体"/>
                <w:sz w:val="24"/>
              </w:rPr>
            </w:pPr>
            <w:r>
              <w:rPr>
                <w:rFonts w:hint="eastAsia" w:ascii="宋体" w:hAnsi="宋体" w:cs="宋体"/>
                <w:sz w:val="24"/>
              </w:rPr>
              <w:t>单价（元）</w:t>
            </w:r>
          </w:p>
        </w:tc>
        <w:tc>
          <w:tcPr>
            <w:tcW w:w="458" w:type="pct"/>
            <w:vAlign w:val="center"/>
          </w:tcPr>
          <w:p w14:paraId="59B4ECD6">
            <w:pPr>
              <w:jc w:val="center"/>
              <w:rPr>
                <w:rFonts w:hint="eastAsia" w:ascii="宋体" w:hAnsi="宋体" w:cs="宋体"/>
                <w:sz w:val="24"/>
              </w:rPr>
            </w:pPr>
            <w:r>
              <w:rPr>
                <w:rFonts w:hint="eastAsia" w:ascii="宋体" w:hAnsi="宋体" w:cs="宋体"/>
                <w:sz w:val="24"/>
              </w:rPr>
              <w:t>制造商名称</w:t>
            </w:r>
          </w:p>
        </w:tc>
        <w:tc>
          <w:tcPr>
            <w:tcW w:w="431" w:type="pct"/>
            <w:vAlign w:val="center"/>
          </w:tcPr>
          <w:p w14:paraId="0CEEB72B">
            <w:pPr>
              <w:jc w:val="center"/>
              <w:rPr>
                <w:rFonts w:hint="eastAsia" w:ascii="宋体" w:hAnsi="宋体" w:cs="宋体"/>
                <w:sz w:val="24"/>
              </w:rPr>
            </w:pPr>
            <w:r>
              <w:rPr>
                <w:rFonts w:hint="eastAsia" w:ascii="宋体" w:hAnsi="宋体" w:cs="宋体"/>
                <w:sz w:val="24"/>
              </w:rPr>
              <w:t>品牌</w:t>
            </w:r>
          </w:p>
        </w:tc>
        <w:tc>
          <w:tcPr>
            <w:tcW w:w="469" w:type="pct"/>
            <w:vAlign w:val="center"/>
          </w:tcPr>
          <w:p w14:paraId="3CF5B5E7">
            <w:pPr>
              <w:jc w:val="center"/>
              <w:rPr>
                <w:rFonts w:hint="eastAsia" w:ascii="宋体" w:hAnsi="宋体" w:cs="宋体"/>
                <w:sz w:val="24"/>
              </w:rPr>
            </w:pPr>
            <w:r>
              <w:rPr>
                <w:rFonts w:hint="eastAsia" w:ascii="宋体" w:hAnsi="宋体" w:cs="宋体"/>
                <w:sz w:val="24"/>
              </w:rPr>
              <w:t>规格/型号</w:t>
            </w:r>
          </w:p>
        </w:tc>
        <w:tc>
          <w:tcPr>
            <w:tcW w:w="759" w:type="pct"/>
            <w:vAlign w:val="center"/>
          </w:tcPr>
          <w:p w14:paraId="39502B1F">
            <w:pPr>
              <w:jc w:val="center"/>
              <w:rPr>
                <w:rFonts w:hint="eastAsia" w:ascii="宋体" w:hAnsi="宋体" w:cs="宋体"/>
                <w:sz w:val="24"/>
              </w:rPr>
            </w:pPr>
            <w:r>
              <w:rPr>
                <w:rFonts w:hint="eastAsia" w:ascii="宋体" w:hAnsi="宋体" w:cs="宋体"/>
                <w:sz w:val="24"/>
              </w:rPr>
              <w:t>总价（元）</w:t>
            </w:r>
          </w:p>
        </w:tc>
        <w:tc>
          <w:tcPr>
            <w:tcW w:w="373" w:type="pct"/>
            <w:vAlign w:val="center"/>
          </w:tcPr>
          <w:p w14:paraId="539313AF">
            <w:pPr>
              <w:jc w:val="center"/>
              <w:rPr>
                <w:rFonts w:hint="eastAsia" w:ascii="宋体" w:hAnsi="宋体" w:cs="宋体"/>
                <w:sz w:val="24"/>
              </w:rPr>
            </w:pPr>
            <w:r>
              <w:rPr>
                <w:rFonts w:hint="eastAsia" w:ascii="宋体" w:hAnsi="宋体" w:cs="宋体"/>
                <w:sz w:val="24"/>
              </w:rPr>
              <w:t>备注</w:t>
            </w:r>
          </w:p>
        </w:tc>
      </w:tr>
      <w:tr w14:paraId="399A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31" w:type="pct"/>
            <w:vAlign w:val="center"/>
          </w:tcPr>
          <w:p w14:paraId="28BAE27D">
            <w:pPr>
              <w:jc w:val="center"/>
              <w:rPr>
                <w:rFonts w:hint="eastAsia" w:ascii="宋体" w:hAnsi="宋体" w:cs="宋体"/>
                <w:sz w:val="24"/>
              </w:rPr>
            </w:pPr>
          </w:p>
        </w:tc>
        <w:tc>
          <w:tcPr>
            <w:tcW w:w="810" w:type="pct"/>
            <w:vAlign w:val="center"/>
          </w:tcPr>
          <w:p w14:paraId="248F95ED">
            <w:pPr>
              <w:jc w:val="center"/>
              <w:rPr>
                <w:rFonts w:hint="eastAsia" w:ascii="宋体" w:hAnsi="宋体" w:cs="宋体"/>
                <w:sz w:val="24"/>
              </w:rPr>
            </w:pPr>
          </w:p>
        </w:tc>
        <w:tc>
          <w:tcPr>
            <w:tcW w:w="332" w:type="pct"/>
            <w:vAlign w:val="center"/>
          </w:tcPr>
          <w:p w14:paraId="337767A3">
            <w:pPr>
              <w:jc w:val="center"/>
              <w:rPr>
                <w:rFonts w:hint="eastAsia" w:ascii="宋体" w:hAnsi="宋体" w:cs="宋体"/>
                <w:sz w:val="24"/>
              </w:rPr>
            </w:pPr>
          </w:p>
        </w:tc>
        <w:tc>
          <w:tcPr>
            <w:tcW w:w="332" w:type="pct"/>
            <w:vAlign w:val="center"/>
          </w:tcPr>
          <w:p w14:paraId="06CF9715">
            <w:pPr>
              <w:jc w:val="center"/>
              <w:rPr>
                <w:rFonts w:hint="eastAsia" w:ascii="宋体" w:hAnsi="宋体" w:cs="宋体"/>
                <w:sz w:val="24"/>
              </w:rPr>
            </w:pPr>
          </w:p>
        </w:tc>
        <w:tc>
          <w:tcPr>
            <w:tcW w:w="702" w:type="pct"/>
            <w:vAlign w:val="center"/>
          </w:tcPr>
          <w:p w14:paraId="64E3C350">
            <w:pPr>
              <w:rPr>
                <w:rFonts w:hint="eastAsia" w:ascii="宋体" w:hAnsi="宋体" w:cs="宋体"/>
                <w:sz w:val="24"/>
              </w:rPr>
            </w:pPr>
          </w:p>
        </w:tc>
        <w:tc>
          <w:tcPr>
            <w:tcW w:w="458" w:type="pct"/>
            <w:vAlign w:val="center"/>
          </w:tcPr>
          <w:p w14:paraId="10C8C73B">
            <w:pPr>
              <w:rPr>
                <w:rFonts w:hint="eastAsia" w:ascii="宋体" w:hAnsi="宋体" w:cs="宋体"/>
                <w:sz w:val="24"/>
              </w:rPr>
            </w:pPr>
          </w:p>
        </w:tc>
        <w:tc>
          <w:tcPr>
            <w:tcW w:w="431" w:type="pct"/>
            <w:vAlign w:val="center"/>
          </w:tcPr>
          <w:p w14:paraId="018FDCE2">
            <w:pPr>
              <w:jc w:val="center"/>
              <w:rPr>
                <w:rFonts w:hint="eastAsia" w:ascii="宋体" w:hAnsi="宋体" w:cs="宋体"/>
                <w:sz w:val="24"/>
              </w:rPr>
            </w:pPr>
          </w:p>
        </w:tc>
        <w:tc>
          <w:tcPr>
            <w:tcW w:w="469" w:type="pct"/>
            <w:vAlign w:val="center"/>
          </w:tcPr>
          <w:p w14:paraId="0719714B">
            <w:pPr>
              <w:rPr>
                <w:rFonts w:hint="eastAsia" w:ascii="宋体" w:hAnsi="宋体" w:cs="宋体"/>
                <w:sz w:val="24"/>
              </w:rPr>
            </w:pPr>
          </w:p>
        </w:tc>
        <w:tc>
          <w:tcPr>
            <w:tcW w:w="759" w:type="pct"/>
            <w:vAlign w:val="center"/>
          </w:tcPr>
          <w:p w14:paraId="761BFDA5">
            <w:pPr>
              <w:rPr>
                <w:rFonts w:hint="eastAsia" w:ascii="宋体" w:hAnsi="宋体" w:cs="宋体"/>
                <w:sz w:val="24"/>
              </w:rPr>
            </w:pPr>
          </w:p>
        </w:tc>
        <w:tc>
          <w:tcPr>
            <w:tcW w:w="373" w:type="pct"/>
            <w:vAlign w:val="center"/>
          </w:tcPr>
          <w:p w14:paraId="2ADE9F83">
            <w:pPr>
              <w:rPr>
                <w:rFonts w:hint="eastAsia" w:ascii="宋体" w:hAnsi="宋体" w:cs="宋体"/>
                <w:sz w:val="24"/>
              </w:rPr>
            </w:pPr>
          </w:p>
        </w:tc>
      </w:tr>
      <w:tr w14:paraId="5FC4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331" w:type="pct"/>
            <w:vAlign w:val="center"/>
          </w:tcPr>
          <w:p w14:paraId="6A5D3608">
            <w:pPr>
              <w:jc w:val="center"/>
              <w:rPr>
                <w:rFonts w:hint="eastAsia" w:ascii="宋体" w:hAnsi="宋体" w:cs="宋体"/>
                <w:sz w:val="24"/>
              </w:rPr>
            </w:pPr>
          </w:p>
        </w:tc>
        <w:tc>
          <w:tcPr>
            <w:tcW w:w="810" w:type="pct"/>
            <w:vAlign w:val="center"/>
          </w:tcPr>
          <w:p w14:paraId="14EEC054">
            <w:pPr>
              <w:jc w:val="center"/>
              <w:rPr>
                <w:rFonts w:hint="eastAsia" w:ascii="宋体" w:hAnsi="宋体" w:cs="宋体"/>
                <w:sz w:val="24"/>
              </w:rPr>
            </w:pPr>
          </w:p>
        </w:tc>
        <w:tc>
          <w:tcPr>
            <w:tcW w:w="332" w:type="pct"/>
            <w:vAlign w:val="center"/>
          </w:tcPr>
          <w:p w14:paraId="26550DD1">
            <w:pPr>
              <w:jc w:val="center"/>
              <w:rPr>
                <w:rFonts w:hint="eastAsia" w:ascii="宋体" w:hAnsi="宋体" w:cs="宋体"/>
                <w:sz w:val="24"/>
              </w:rPr>
            </w:pPr>
          </w:p>
        </w:tc>
        <w:tc>
          <w:tcPr>
            <w:tcW w:w="332" w:type="pct"/>
            <w:vAlign w:val="center"/>
          </w:tcPr>
          <w:p w14:paraId="27FFC05A">
            <w:pPr>
              <w:jc w:val="center"/>
              <w:rPr>
                <w:rFonts w:hint="eastAsia" w:ascii="宋体" w:hAnsi="宋体" w:cs="宋体"/>
                <w:sz w:val="24"/>
              </w:rPr>
            </w:pPr>
          </w:p>
        </w:tc>
        <w:tc>
          <w:tcPr>
            <w:tcW w:w="702" w:type="pct"/>
            <w:vAlign w:val="center"/>
          </w:tcPr>
          <w:p w14:paraId="198303BB">
            <w:pPr>
              <w:rPr>
                <w:rFonts w:hint="eastAsia" w:ascii="宋体" w:hAnsi="宋体" w:cs="宋体"/>
                <w:sz w:val="24"/>
              </w:rPr>
            </w:pPr>
          </w:p>
        </w:tc>
        <w:tc>
          <w:tcPr>
            <w:tcW w:w="458" w:type="pct"/>
            <w:vAlign w:val="center"/>
          </w:tcPr>
          <w:p w14:paraId="5232D7E7">
            <w:pPr>
              <w:rPr>
                <w:rFonts w:hint="eastAsia" w:ascii="宋体" w:hAnsi="宋体" w:cs="宋体"/>
                <w:sz w:val="24"/>
              </w:rPr>
            </w:pPr>
          </w:p>
        </w:tc>
        <w:tc>
          <w:tcPr>
            <w:tcW w:w="431" w:type="pct"/>
            <w:vAlign w:val="center"/>
          </w:tcPr>
          <w:p w14:paraId="039190E3">
            <w:pPr>
              <w:jc w:val="center"/>
              <w:rPr>
                <w:rFonts w:hint="eastAsia" w:ascii="宋体" w:hAnsi="宋体" w:cs="宋体"/>
                <w:sz w:val="24"/>
              </w:rPr>
            </w:pPr>
          </w:p>
        </w:tc>
        <w:tc>
          <w:tcPr>
            <w:tcW w:w="469" w:type="pct"/>
            <w:vAlign w:val="center"/>
          </w:tcPr>
          <w:p w14:paraId="02701163">
            <w:pPr>
              <w:rPr>
                <w:rFonts w:hint="eastAsia" w:ascii="宋体" w:hAnsi="宋体" w:cs="宋体"/>
                <w:sz w:val="24"/>
              </w:rPr>
            </w:pPr>
          </w:p>
        </w:tc>
        <w:tc>
          <w:tcPr>
            <w:tcW w:w="759" w:type="pct"/>
            <w:vAlign w:val="center"/>
          </w:tcPr>
          <w:p w14:paraId="2057A9EE">
            <w:pPr>
              <w:rPr>
                <w:rFonts w:hint="eastAsia" w:ascii="宋体" w:hAnsi="宋体" w:cs="宋体"/>
                <w:sz w:val="24"/>
              </w:rPr>
            </w:pPr>
          </w:p>
        </w:tc>
        <w:tc>
          <w:tcPr>
            <w:tcW w:w="373" w:type="pct"/>
            <w:vAlign w:val="center"/>
          </w:tcPr>
          <w:p w14:paraId="5E1ED452">
            <w:pPr>
              <w:rPr>
                <w:rFonts w:hint="eastAsia" w:ascii="宋体" w:hAnsi="宋体" w:cs="宋体"/>
                <w:sz w:val="24"/>
              </w:rPr>
            </w:pPr>
          </w:p>
        </w:tc>
      </w:tr>
      <w:tr w14:paraId="4AA5F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31" w:type="pct"/>
            <w:vAlign w:val="center"/>
          </w:tcPr>
          <w:p w14:paraId="06393A3F">
            <w:pPr>
              <w:jc w:val="center"/>
              <w:rPr>
                <w:rFonts w:hint="eastAsia" w:ascii="宋体" w:hAnsi="宋体" w:cs="宋体"/>
                <w:sz w:val="24"/>
              </w:rPr>
            </w:pPr>
          </w:p>
        </w:tc>
        <w:tc>
          <w:tcPr>
            <w:tcW w:w="810" w:type="pct"/>
            <w:vAlign w:val="center"/>
          </w:tcPr>
          <w:p w14:paraId="5C7C35C3">
            <w:pPr>
              <w:jc w:val="center"/>
              <w:rPr>
                <w:rFonts w:hint="eastAsia" w:ascii="宋体" w:hAnsi="宋体" w:cs="宋体"/>
                <w:sz w:val="24"/>
              </w:rPr>
            </w:pPr>
          </w:p>
        </w:tc>
        <w:tc>
          <w:tcPr>
            <w:tcW w:w="332" w:type="pct"/>
            <w:vAlign w:val="center"/>
          </w:tcPr>
          <w:p w14:paraId="2427607E">
            <w:pPr>
              <w:jc w:val="center"/>
              <w:rPr>
                <w:rFonts w:hint="eastAsia" w:ascii="宋体" w:hAnsi="宋体" w:cs="宋体"/>
                <w:sz w:val="24"/>
              </w:rPr>
            </w:pPr>
          </w:p>
        </w:tc>
        <w:tc>
          <w:tcPr>
            <w:tcW w:w="332" w:type="pct"/>
            <w:vAlign w:val="center"/>
          </w:tcPr>
          <w:p w14:paraId="15AD95C5">
            <w:pPr>
              <w:jc w:val="center"/>
              <w:rPr>
                <w:rFonts w:hint="eastAsia" w:ascii="宋体" w:hAnsi="宋体" w:cs="宋体"/>
                <w:sz w:val="24"/>
              </w:rPr>
            </w:pPr>
          </w:p>
        </w:tc>
        <w:tc>
          <w:tcPr>
            <w:tcW w:w="702" w:type="pct"/>
            <w:vAlign w:val="center"/>
          </w:tcPr>
          <w:p w14:paraId="3F5771CB">
            <w:pPr>
              <w:rPr>
                <w:rFonts w:hint="eastAsia" w:ascii="宋体" w:hAnsi="宋体" w:cs="宋体"/>
                <w:sz w:val="24"/>
              </w:rPr>
            </w:pPr>
          </w:p>
        </w:tc>
        <w:tc>
          <w:tcPr>
            <w:tcW w:w="458" w:type="pct"/>
            <w:vAlign w:val="center"/>
          </w:tcPr>
          <w:p w14:paraId="18B560AD">
            <w:pPr>
              <w:rPr>
                <w:rFonts w:hint="eastAsia" w:ascii="宋体" w:hAnsi="宋体" w:cs="宋体"/>
                <w:sz w:val="24"/>
              </w:rPr>
            </w:pPr>
          </w:p>
        </w:tc>
        <w:tc>
          <w:tcPr>
            <w:tcW w:w="431" w:type="pct"/>
            <w:vAlign w:val="center"/>
          </w:tcPr>
          <w:p w14:paraId="014A7DDB">
            <w:pPr>
              <w:jc w:val="center"/>
              <w:rPr>
                <w:rFonts w:hint="eastAsia" w:ascii="宋体" w:hAnsi="宋体" w:cs="宋体"/>
                <w:sz w:val="24"/>
              </w:rPr>
            </w:pPr>
          </w:p>
        </w:tc>
        <w:tc>
          <w:tcPr>
            <w:tcW w:w="469" w:type="pct"/>
            <w:vAlign w:val="center"/>
          </w:tcPr>
          <w:p w14:paraId="21CAE618">
            <w:pPr>
              <w:rPr>
                <w:rFonts w:hint="eastAsia" w:ascii="宋体" w:hAnsi="宋体" w:cs="宋体"/>
                <w:sz w:val="24"/>
              </w:rPr>
            </w:pPr>
          </w:p>
        </w:tc>
        <w:tc>
          <w:tcPr>
            <w:tcW w:w="759" w:type="pct"/>
            <w:vAlign w:val="center"/>
          </w:tcPr>
          <w:p w14:paraId="7FE9EEA6">
            <w:pPr>
              <w:rPr>
                <w:rFonts w:hint="eastAsia" w:ascii="宋体" w:hAnsi="宋体" w:cs="宋体"/>
                <w:sz w:val="24"/>
              </w:rPr>
            </w:pPr>
          </w:p>
        </w:tc>
        <w:tc>
          <w:tcPr>
            <w:tcW w:w="373" w:type="pct"/>
            <w:vAlign w:val="center"/>
          </w:tcPr>
          <w:p w14:paraId="4C754A08">
            <w:pPr>
              <w:rPr>
                <w:rFonts w:hint="eastAsia" w:ascii="宋体" w:hAnsi="宋体" w:cs="宋体"/>
                <w:sz w:val="24"/>
              </w:rPr>
            </w:pPr>
          </w:p>
        </w:tc>
      </w:tr>
      <w:tr w14:paraId="05EAF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31" w:type="pct"/>
            <w:vAlign w:val="center"/>
          </w:tcPr>
          <w:p w14:paraId="5B09E3F4">
            <w:pPr>
              <w:jc w:val="center"/>
              <w:rPr>
                <w:rFonts w:hint="eastAsia" w:ascii="宋体" w:hAnsi="宋体" w:cs="宋体"/>
                <w:sz w:val="24"/>
              </w:rPr>
            </w:pPr>
          </w:p>
        </w:tc>
        <w:tc>
          <w:tcPr>
            <w:tcW w:w="810" w:type="pct"/>
            <w:vAlign w:val="center"/>
          </w:tcPr>
          <w:p w14:paraId="257AF137">
            <w:pPr>
              <w:jc w:val="center"/>
              <w:rPr>
                <w:rFonts w:hint="eastAsia" w:ascii="宋体" w:hAnsi="宋体" w:cs="宋体"/>
                <w:sz w:val="24"/>
              </w:rPr>
            </w:pPr>
          </w:p>
        </w:tc>
        <w:tc>
          <w:tcPr>
            <w:tcW w:w="332" w:type="pct"/>
            <w:vAlign w:val="center"/>
          </w:tcPr>
          <w:p w14:paraId="7884A232">
            <w:pPr>
              <w:jc w:val="center"/>
              <w:rPr>
                <w:rFonts w:hint="eastAsia" w:ascii="宋体" w:hAnsi="宋体" w:cs="宋体"/>
                <w:sz w:val="24"/>
              </w:rPr>
            </w:pPr>
          </w:p>
        </w:tc>
        <w:tc>
          <w:tcPr>
            <w:tcW w:w="332" w:type="pct"/>
            <w:vAlign w:val="center"/>
          </w:tcPr>
          <w:p w14:paraId="134F427E">
            <w:pPr>
              <w:jc w:val="center"/>
              <w:rPr>
                <w:rFonts w:hint="eastAsia" w:ascii="宋体" w:hAnsi="宋体" w:cs="宋体"/>
                <w:sz w:val="24"/>
              </w:rPr>
            </w:pPr>
          </w:p>
        </w:tc>
        <w:tc>
          <w:tcPr>
            <w:tcW w:w="702" w:type="pct"/>
            <w:vAlign w:val="center"/>
          </w:tcPr>
          <w:p w14:paraId="62B685A8">
            <w:pPr>
              <w:rPr>
                <w:rFonts w:hint="eastAsia" w:ascii="宋体" w:hAnsi="宋体" w:cs="宋体"/>
                <w:sz w:val="24"/>
              </w:rPr>
            </w:pPr>
          </w:p>
        </w:tc>
        <w:tc>
          <w:tcPr>
            <w:tcW w:w="458" w:type="pct"/>
            <w:vAlign w:val="center"/>
          </w:tcPr>
          <w:p w14:paraId="0F326C7B">
            <w:pPr>
              <w:rPr>
                <w:rFonts w:hint="eastAsia" w:ascii="宋体" w:hAnsi="宋体" w:cs="宋体"/>
                <w:sz w:val="24"/>
              </w:rPr>
            </w:pPr>
          </w:p>
        </w:tc>
        <w:tc>
          <w:tcPr>
            <w:tcW w:w="431" w:type="pct"/>
            <w:vAlign w:val="center"/>
          </w:tcPr>
          <w:p w14:paraId="1C78541F">
            <w:pPr>
              <w:jc w:val="center"/>
              <w:rPr>
                <w:rFonts w:hint="eastAsia" w:ascii="宋体" w:hAnsi="宋体" w:cs="宋体"/>
                <w:sz w:val="24"/>
              </w:rPr>
            </w:pPr>
          </w:p>
        </w:tc>
        <w:tc>
          <w:tcPr>
            <w:tcW w:w="469" w:type="pct"/>
            <w:vAlign w:val="center"/>
          </w:tcPr>
          <w:p w14:paraId="4F3FEDE5">
            <w:pPr>
              <w:rPr>
                <w:rFonts w:hint="eastAsia" w:ascii="宋体" w:hAnsi="宋体" w:cs="宋体"/>
                <w:sz w:val="24"/>
              </w:rPr>
            </w:pPr>
          </w:p>
        </w:tc>
        <w:tc>
          <w:tcPr>
            <w:tcW w:w="759" w:type="pct"/>
            <w:vAlign w:val="center"/>
          </w:tcPr>
          <w:p w14:paraId="629652B7">
            <w:pPr>
              <w:rPr>
                <w:rFonts w:hint="eastAsia" w:ascii="宋体" w:hAnsi="宋体" w:cs="宋体"/>
                <w:sz w:val="24"/>
              </w:rPr>
            </w:pPr>
          </w:p>
        </w:tc>
        <w:tc>
          <w:tcPr>
            <w:tcW w:w="373" w:type="pct"/>
            <w:vAlign w:val="center"/>
          </w:tcPr>
          <w:p w14:paraId="3BF01F3B">
            <w:pPr>
              <w:rPr>
                <w:rFonts w:hint="eastAsia" w:ascii="宋体" w:hAnsi="宋体" w:cs="宋体"/>
                <w:sz w:val="24"/>
              </w:rPr>
            </w:pPr>
          </w:p>
        </w:tc>
      </w:tr>
      <w:tr w14:paraId="0924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331" w:type="pct"/>
            <w:vAlign w:val="center"/>
          </w:tcPr>
          <w:p w14:paraId="21483780">
            <w:pPr>
              <w:jc w:val="center"/>
              <w:rPr>
                <w:rFonts w:hint="eastAsia" w:ascii="宋体" w:hAnsi="宋体" w:cs="宋体"/>
                <w:sz w:val="24"/>
              </w:rPr>
            </w:pPr>
          </w:p>
        </w:tc>
        <w:tc>
          <w:tcPr>
            <w:tcW w:w="810" w:type="pct"/>
            <w:vAlign w:val="center"/>
          </w:tcPr>
          <w:p w14:paraId="6A85F58D">
            <w:pPr>
              <w:jc w:val="center"/>
              <w:rPr>
                <w:rFonts w:hint="eastAsia" w:ascii="宋体" w:hAnsi="宋体" w:cs="宋体"/>
                <w:sz w:val="24"/>
              </w:rPr>
            </w:pPr>
          </w:p>
        </w:tc>
        <w:tc>
          <w:tcPr>
            <w:tcW w:w="332" w:type="pct"/>
            <w:vAlign w:val="center"/>
          </w:tcPr>
          <w:p w14:paraId="302A0A13">
            <w:pPr>
              <w:jc w:val="center"/>
              <w:rPr>
                <w:rFonts w:hint="eastAsia" w:ascii="宋体" w:hAnsi="宋体" w:cs="宋体"/>
                <w:sz w:val="24"/>
              </w:rPr>
            </w:pPr>
          </w:p>
        </w:tc>
        <w:tc>
          <w:tcPr>
            <w:tcW w:w="332" w:type="pct"/>
            <w:vAlign w:val="center"/>
          </w:tcPr>
          <w:p w14:paraId="57D14B4D">
            <w:pPr>
              <w:jc w:val="center"/>
              <w:rPr>
                <w:rFonts w:hint="eastAsia" w:ascii="宋体" w:hAnsi="宋体" w:cs="宋体"/>
                <w:sz w:val="24"/>
              </w:rPr>
            </w:pPr>
          </w:p>
        </w:tc>
        <w:tc>
          <w:tcPr>
            <w:tcW w:w="702" w:type="pct"/>
            <w:vAlign w:val="center"/>
          </w:tcPr>
          <w:p w14:paraId="13429EFE">
            <w:pPr>
              <w:rPr>
                <w:rFonts w:hint="eastAsia" w:ascii="宋体" w:hAnsi="宋体" w:cs="宋体"/>
                <w:sz w:val="24"/>
              </w:rPr>
            </w:pPr>
          </w:p>
        </w:tc>
        <w:tc>
          <w:tcPr>
            <w:tcW w:w="458" w:type="pct"/>
            <w:vAlign w:val="center"/>
          </w:tcPr>
          <w:p w14:paraId="7DDA3DD4">
            <w:pPr>
              <w:rPr>
                <w:rFonts w:hint="eastAsia" w:ascii="宋体" w:hAnsi="宋体" w:cs="宋体"/>
                <w:sz w:val="24"/>
              </w:rPr>
            </w:pPr>
          </w:p>
        </w:tc>
        <w:tc>
          <w:tcPr>
            <w:tcW w:w="431" w:type="pct"/>
            <w:vAlign w:val="center"/>
          </w:tcPr>
          <w:p w14:paraId="3882D9C3">
            <w:pPr>
              <w:jc w:val="center"/>
              <w:rPr>
                <w:rFonts w:hint="eastAsia" w:ascii="宋体" w:hAnsi="宋体" w:cs="宋体"/>
                <w:sz w:val="24"/>
              </w:rPr>
            </w:pPr>
          </w:p>
        </w:tc>
        <w:tc>
          <w:tcPr>
            <w:tcW w:w="469" w:type="pct"/>
            <w:vAlign w:val="center"/>
          </w:tcPr>
          <w:p w14:paraId="0EE8EF7A">
            <w:pPr>
              <w:rPr>
                <w:rFonts w:hint="eastAsia" w:ascii="宋体" w:hAnsi="宋体" w:cs="宋体"/>
                <w:sz w:val="24"/>
              </w:rPr>
            </w:pPr>
          </w:p>
        </w:tc>
        <w:tc>
          <w:tcPr>
            <w:tcW w:w="759" w:type="pct"/>
            <w:vAlign w:val="center"/>
          </w:tcPr>
          <w:p w14:paraId="1937C270">
            <w:pPr>
              <w:rPr>
                <w:rFonts w:hint="eastAsia" w:ascii="宋体" w:hAnsi="宋体" w:cs="宋体"/>
                <w:sz w:val="24"/>
              </w:rPr>
            </w:pPr>
          </w:p>
        </w:tc>
        <w:tc>
          <w:tcPr>
            <w:tcW w:w="373" w:type="pct"/>
            <w:vAlign w:val="center"/>
          </w:tcPr>
          <w:p w14:paraId="0B2AEF20">
            <w:pPr>
              <w:rPr>
                <w:rFonts w:hint="eastAsia" w:ascii="宋体" w:hAnsi="宋体" w:cs="宋体"/>
                <w:sz w:val="24"/>
              </w:rPr>
            </w:pPr>
          </w:p>
        </w:tc>
      </w:tr>
      <w:tr w14:paraId="5D8A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331" w:type="pct"/>
            <w:vAlign w:val="center"/>
          </w:tcPr>
          <w:p w14:paraId="4FC7F421">
            <w:pPr>
              <w:jc w:val="center"/>
              <w:rPr>
                <w:rFonts w:hint="eastAsia" w:ascii="宋体" w:hAnsi="宋体" w:cs="宋体"/>
                <w:sz w:val="24"/>
              </w:rPr>
            </w:pPr>
            <w:r>
              <w:rPr>
                <w:rFonts w:hint="eastAsia" w:ascii="宋体" w:hAnsi="宋体" w:cs="宋体"/>
                <w:sz w:val="24"/>
              </w:rPr>
              <w:t>..</w:t>
            </w:r>
          </w:p>
        </w:tc>
        <w:tc>
          <w:tcPr>
            <w:tcW w:w="810" w:type="pct"/>
            <w:vAlign w:val="center"/>
          </w:tcPr>
          <w:p w14:paraId="44ED675C">
            <w:pPr>
              <w:jc w:val="center"/>
              <w:rPr>
                <w:rFonts w:hint="eastAsia" w:ascii="宋体" w:hAnsi="宋体" w:cs="宋体"/>
                <w:sz w:val="24"/>
              </w:rPr>
            </w:pPr>
          </w:p>
        </w:tc>
        <w:tc>
          <w:tcPr>
            <w:tcW w:w="332" w:type="pct"/>
            <w:vAlign w:val="center"/>
          </w:tcPr>
          <w:p w14:paraId="62A3184D">
            <w:pPr>
              <w:jc w:val="center"/>
              <w:rPr>
                <w:rFonts w:hint="eastAsia" w:ascii="宋体" w:hAnsi="宋体" w:cs="宋体"/>
                <w:sz w:val="24"/>
              </w:rPr>
            </w:pPr>
          </w:p>
        </w:tc>
        <w:tc>
          <w:tcPr>
            <w:tcW w:w="332" w:type="pct"/>
            <w:vAlign w:val="center"/>
          </w:tcPr>
          <w:p w14:paraId="25E820AF">
            <w:pPr>
              <w:jc w:val="center"/>
              <w:rPr>
                <w:rFonts w:hint="eastAsia" w:ascii="宋体" w:hAnsi="宋体" w:cs="宋体"/>
                <w:sz w:val="24"/>
              </w:rPr>
            </w:pPr>
          </w:p>
        </w:tc>
        <w:tc>
          <w:tcPr>
            <w:tcW w:w="702" w:type="pct"/>
            <w:vAlign w:val="center"/>
          </w:tcPr>
          <w:p w14:paraId="553AA3D4">
            <w:pPr>
              <w:rPr>
                <w:rFonts w:hint="eastAsia" w:ascii="宋体" w:hAnsi="宋体" w:cs="宋体"/>
                <w:sz w:val="24"/>
              </w:rPr>
            </w:pPr>
          </w:p>
        </w:tc>
        <w:tc>
          <w:tcPr>
            <w:tcW w:w="458" w:type="pct"/>
            <w:vAlign w:val="center"/>
          </w:tcPr>
          <w:p w14:paraId="45ABD614">
            <w:pPr>
              <w:rPr>
                <w:rFonts w:hint="eastAsia" w:ascii="宋体" w:hAnsi="宋体" w:cs="宋体"/>
                <w:sz w:val="24"/>
              </w:rPr>
            </w:pPr>
          </w:p>
        </w:tc>
        <w:tc>
          <w:tcPr>
            <w:tcW w:w="431" w:type="pct"/>
            <w:vAlign w:val="center"/>
          </w:tcPr>
          <w:p w14:paraId="6C40A3D7">
            <w:pPr>
              <w:jc w:val="center"/>
              <w:rPr>
                <w:rFonts w:hint="eastAsia" w:ascii="宋体" w:hAnsi="宋体" w:cs="宋体"/>
                <w:sz w:val="24"/>
              </w:rPr>
            </w:pPr>
          </w:p>
        </w:tc>
        <w:tc>
          <w:tcPr>
            <w:tcW w:w="469" w:type="pct"/>
            <w:vAlign w:val="center"/>
          </w:tcPr>
          <w:p w14:paraId="06DA6280">
            <w:pPr>
              <w:rPr>
                <w:rFonts w:hint="eastAsia" w:ascii="宋体" w:hAnsi="宋体" w:cs="宋体"/>
                <w:sz w:val="24"/>
              </w:rPr>
            </w:pPr>
          </w:p>
        </w:tc>
        <w:tc>
          <w:tcPr>
            <w:tcW w:w="759" w:type="pct"/>
            <w:vAlign w:val="center"/>
          </w:tcPr>
          <w:p w14:paraId="0301717D">
            <w:pPr>
              <w:rPr>
                <w:rFonts w:hint="eastAsia" w:ascii="宋体" w:hAnsi="宋体" w:cs="宋体"/>
                <w:sz w:val="24"/>
              </w:rPr>
            </w:pPr>
          </w:p>
        </w:tc>
        <w:tc>
          <w:tcPr>
            <w:tcW w:w="373" w:type="pct"/>
            <w:vAlign w:val="center"/>
          </w:tcPr>
          <w:p w14:paraId="696B8998">
            <w:pPr>
              <w:rPr>
                <w:rFonts w:hint="eastAsia" w:ascii="宋体" w:hAnsi="宋体" w:cs="宋体"/>
                <w:sz w:val="24"/>
              </w:rPr>
            </w:pPr>
          </w:p>
        </w:tc>
      </w:tr>
      <w:tr w14:paraId="2137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2508" w:type="pct"/>
            <w:gridSpan w:val="5"/>
            <w:vAlign w:val="center"/>
          </w:tcPr>
          <w:p w14:paraId="2762321A">
            <w:pPr>
              <w:jc w:val="center"/>
              <w:rPr>
                <w:rFonts w:hint="eastAsia" w:ascii="宋体" w:hAnsi="宋体" w:cs="宋体"/>
                <w:sz w:val="24"/>
              </w:rPr>
            </w:pPr>
            <w:r>
              <w:rPr>
                <w:rFonts w:hint="eastAsia" w:ascii="宋体" w:hAnsi="宋体" w:cs="宋体"/>
                <w:sz w:val="24"/>
              </w:rPr>
              <w:t>总价合计（元）</w:t>
            </w:r>
          </w:p>
        </w:tc>
        <w:tc>
          <w:tcPr>
            <w:tcW w:w="2491" w:type="pct"/>
            <w:gridSpan w:val="5"/>
            <w:vAlign w:val="center"/>
          </w:tcPr>
          <w:p w14:paraId="7D28CC6F">
            <w:pPr>
              <w:rPr>
                <w:rFonts w:hint="eastAsia" w:ascii="宋体" w:hAnsi="宋体" w:cs="宋体"/>
                <w:sz w:val="24"/>
              </w:rPr>
            </w:pPr>
          </w:p>
        </w:tc>
      </w:tr>
    </w:tbl>
    <w:p w14:paraId="71C05C5B"/>
    <w:p w14:paraId="7BA413D4"/>
    <w:p w14:paraId="6099A71F"/>
    <w:p w14:paraId="01AD3AE4"/>
    <w:p w14:paraId="6DB8DC25">
      <w:pPr>
        <w:wordWrap w:val="0"/>
        <w:spacing w:line="450" w:lineRule="atLeast"/>
        <w:rPr>
          <w:rFonts w:hint="eastAsia" w:ascii="宋体" w:hAnsi="宋体" w:cs="宋体"/>
          <w:sz w:val="24"/>
        </w:rPr>
      </w:pPr>
      <w:r>
        <w:rPr>
          <w:rFonts w:hint="eastAsia" w:ascii="宋体" w:hAnsi="宋体" w:cs="宋体"/>
          <w:sz w:val="24"/>
        </w:rPr>
        <w:t>供应商名称：（电子签章）</w:t>
      </w:r>
    </w:p>
    <w:p w14:paraId="67E274CC">
      <w:pPr>
        <w:wordWrap w:val="0"/>
        <w:spacing w:line="450" w:lineRule="atLeast"/>
        <w:rPr>
          <w:rFonts w:hint="eastAsia" w:ascii="宋体" w:hAnsi="宋体" w:cs="宋体"/>
          <w:sz w:val="24"/>
        </w:rPr>
      </w:pPr>
      <w:r>
        <w:rPr>
          <w:rFonts w:hint="eastAsia" w:ascii="宋体" w:hAnsi="宋体" w:cs="宋体"/>
          <w:sz w:val="24"/>
        </w:rPr>
        <w:t>法定代表人或其委托代理人：（电子签章或签字）</w:t>
      </w:r>
    </w:p>
    <w:p w14:paraId="75A7A287">
      <w:pPr>
        <w:wordWrap w:val="0"/>
        <w:spacing w:line="450" w:lineRule="atLeast"/>
        <w:rPr>
          <w:rFonts w:hint="eastAsia" w:ascii="宋体" w:hAnsi="宋体" w:cs="宋体"/>
          <w:sz w:val="24"/>
        </w:rPr>
      </w:pPr>
      <w:r>
        <w:rPr>
          <w:rFonts w:hint="eastAsia" w:ascii="宋体" w:hAnsi="宋体" w:cs="宋体"/>
          <w:sz w:val="24"/>
        </w:rPr>
        <w:t>年  月  日</w:t>
      </w:r>
    </w:p>
    <w:p w14:paraId="3B130EE1"/>
    <w:p w14:paraId="652E8EB3"/>
    <w:p w14:paraId="46255560">
      <w:pPr>
        <w:sectPr>
          <w:pgSz w:w="11906" w:h="16838"/>
          <w:pgMar w:top="1134" w:right="1134" w:bottom="1134" w:left="1418" w:header="567" w:footer="721" w:gutter="0"/>
          <w:cols w:space="720" w:num="1"/>
          <w:docGrid w:linePitch="286" w:charSpace="0"/>
        </w:sectPr>
      </w:pPr>
    </w:p>
    <w:p w14:paraId="21491061"/>
    <w:p w14:paraId="0B2398E4">
      <w:pPr>
        <w:pStyle w:val="13"/>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hAnsi="宋体" w:cs="宋体"/>
          <w:b/>
          <w:bCs/>
          <w:color w:val="auto"/>
          <w:kern w:val="2"/>
          <w:sz w:val="24"/>
          <w:szCs w:val="24"/>
          <w:highlight w:val="none"/>
          <w:lang w:val="en-US" w:eastAsia="zh-CN" w:bidi="ar-SA"/>
        </w:rPr>
        <w:t>（二）</w:t>
      </w:r>
      <w:r>
        <w:rPr>
          <w:rFonts w:hint="eastAsia" w:ascii="宋体" w:hAnsi="宋体" w:eastAsia="宋体" w:cs="宋体"/>
          <w:b/>
          <w:bCs/>
          <w:color w:val="auto"/>
          <w:kern w:val="2"/>
          <w:sz w:val="24"/>
          <w:szCs w:val="24"/>
          <w:highlight w:val="none"/>
          <w:lang w:val="en-US" w:eastAsia="zh-CN" w:bidi="ar-SA"/>
        </w:rPr>
        <w:t>相关配件明细表</w:t>
      </w:r>
    </w:p>
    <w:tbl>
      <w:tblPr>
        <w:tblStyle w:val="30"/>
        <w:tblW w:w="92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96"/>
        <w:gridCol w:w="1916"/>
        <w:gridCol w:w="1916"/>
        <w:gridCol w:w="1916"/>
        <w:gridCol w:w="1916"/>
      </w:tblGrid>
      <w:tr w14:paraId="3AA2B2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6" w:hRule="atLeast"/>
          <w:jc w:val="center"/>
        </w:trPr>
        <w:tc>
          <w:tcPr>
            <w:tcW w:w="1596" w:type="dxa"/>
            <w:vAlign w:val="center"/>
          </w:tcPr>
          <w:p w14:paraId="6FAD104F">
            <w:pPr>
              <w:jc w:val="center"/>
              <w:rPr>
                <w:rFonts w:ascii="宋体" w:hAnsi="宋体" w:cs="宋体"/>
                <w:sz w:val="24"/>
                <w:szCs w:val="24"/>
              </w:rPr>
            </w:pPr>
            <w:r>
              <w:rPr>
                <w:rFonts w:hint="eastAsia" w:ascii="宋体" w:hAnsi="宋体" w:cs="宋体"/>
                <w:sz w:val="24"/>
                <w:szCs w:val="24"/>
              </w:rPr>
              <w:t>产品名称</w:t>
            </w:r>
          </w:p>
        </w:tc>
        <w:tc>
          <w:tcPr>
            <w:tcW w:w="1916" w:type="dxa"/>
            <w:vAlign w:val="center"/>
          </w:tcPr>
          <w:p w14:paraId="5D578A5A">
            <w:pPr>
              <w:jc w:val="center"/>
              <w:rPr>
                <w:rFonts w:hint="eastAsia" w:ascii="宋体" w:hAnsi="宋体" w:cs="宋体"/>
                <w:sz w:val="24"/>
                <w:szCs w:val="24"/>
              </w:rPr>
            </w:pPr>
            <w:r>
              <w:rPr>
                <w:rFonts w:hint="eastAsia" w:ascii="宋体" w:hAnsi="宋体" w:cs="宋体"/>
                <w:sz w:val="24"/>
                <w:szCs w:val="24"/>
              </w:rPr>
              <w:t>配件名称</w:t>
            </w:r>
          </w:p>
        </w:tc>
        <w:tc>
          <w:tcPr>
            <w:tcW w:w="1916" w:type="dxa"/>
            <w:vAlign w:val="center"/>
          </w:tcPr>
          <w:p w14:paraId="02638F04">
            <w:pPr>
              <w:jc w:val="center"/>
              <w:rPr>
                <w:rFonts w:hint="eastAsia" w:ascii="宋体" w:hAnsi="宋体" w:cs="宋体"/>
                <w:sz w:val="24"/>
                <w:szCs w:val="24"/>
              </w:rPr>
            </w:pPr>
            <w:r>
              <w:rPr>
                <w:rFonts w:hint="eastAsia" w:ascii="宋体" w:hAnsi="宋体" w:cs="宋体"/>
                <w:sz w:val="24"/>
                <w:szCs w:val="24"/>
              </w:rPr>
              <w:t>品牌</w:t>
            </w:r>
          </w:p>
        </w:tc>
        <w:tc>
          <w:tcPr>
            <w:tcW w:w="1916" w:type="dxa"/>
            <w:vAlign w:val="center"/>
          </w:tcPr>
          <w:p w14:paraId="40724AA5">
            <w:pPr>
              <w:jc w:val="center"/>
              <w:rPr>
                <w:rFonts w:hint="eastAsia" w:ascii="宋体" w:hAnsi="宋体" w:cs="宋体"/>
                <w:sz w:val="24"/>
                <w:szCs w:val="24"/>
              </w:rPr>
            </w:pPr>
            <w:r>
              <w:rPr>
                <w:rFonts w:hint="eastAsia" w:ascii="宋体" w:hAnsi="宋体" w:cs="宋体"/>
                <w:sz w:val="24"/>
                <w:szCs w:val="24"/>
              </w:rPr>
              <w:t>规格型号</w:t>
            </w:r>
          </w:p>
        </w:tc>
        <w:tc>
          <w:tcPr>
            <w:tcW w:w="1916" w:type="dxa"/>
            <w:vAlign w:val="center"/>
          </w:tcPr>
          <w:p w14:paraId="7BA66CA3">
            <w:pPr>
              <w:jc w:val="center"/>
              <w:rPr>
                <w:rFonts w:hint="eastAsia" w:ascii="宋体" w:hAnsi="宋体" w:cs="宋体"/>
                <w:sz w:val="24"/>
                <w:szCs w:val="24"/>
              </w:rPr>
            </w:pPr>
            <w:r>
              <w:rPr>
                <w:rFonts w:hint="eastAsia" w:ascii="宋体" w:hAnsi="宋体" w:cs="宋体"/>
                <w:sz w:val="24"/>
                <w:szCs w:val="24"/>
              </w:rPr>
              <w:t>备注</w:t>
            </w:r>
          </w:p>
        </w:tc>
      </w:tr>
      <w:tr w14:paraId="54074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9" w:hRule="atLeast"/>
          <w:jc w:val="center"/>
        </w:trPr>
        <w:tc>
          <w:tcPr>
            <w:tcW w:w="1596" w:type="dxa"/>
            <w:vMerge w:val="restart"/>
            <w:vAlign w:val="center"/>
          </w:tcPr>
          <w:p w14:paraId="0E97B09F">
            <w:pPr>
              <w:jc w:val="center"/>
              <w:rPr>
                <w:rFonts w:ascii="宋体" w:hAnsi="宋体" w:cs="宋体"/>
                <w:sz w:val="24"/>
                <w:szCs w:val="24"/>
              </w:rPr>
            </w:pPr>
          </w:p>
        </w:tc>
        <w:tc>
          <w:tcPr>
            <w:tcW w:w="1916" w:type="dxa"/>
            <w:vAlign w:val="center"/>
          </w:tcPr>
          <w:p w14:paraId="6C5F6C12">
            <w:pPr>
              <w:rPr>
                <w:rFonts w:hint="eastAsia" w:ascii="宋体" w:hAnsi="宋体" w:cs="宋体"/>
                <w:sz w:val="24"/>
                <w:szCs w:val="24"/>
              </w:rPr>
            </w:pPr>
          </w:p>
        </w:tc>
        <w:tc>
          <w:tcPr>
            <w:tcW w:w="1916" w:type="dxa"/>
          </w:tcPr>
          <w:p w14:paraId="23C1E41B">
            <w:pPr>
              <w:jc w:val="center"/>
              <w:rPr>
                <w:rFonts w:hint="eastAsia" w:ascii="宋体" w:hAnsi="宋体" w:cs="宋体"/>
                <w:sz w:val="24"/>
                <w:szCs w:val="24"/>
              </w:rPr>
            </w:pPr>
          </w:p>
        </w:tc>
        <w:tc>
          <w:tcPr>
            <w:tcW w:w="1916" w:type="dxa"/>
            <w:vAlign w:val="center"/>
          </w:tcPr>
          <w:p w14:paraId="60589322">
            <w:pPr>
              <w:jc w:val="center"/>
              <w:rPr>
                <w:rFonts w:hint="eastAsia" w:ascii="宋体" w:hAnsi="宋体" w:cs="宋体"/>
                <w:sz w:val="24"/>
                <w:szCs w:val="24"/>
              </w:rPr>
            </w:pPr>
          </w:p>
        </w:tc>
        <w:tc>
          <w:tcPr>
            <w:tcW w:w="1916" w:type="dxa"/>
            <w:vAlign w:val="center"/>
          </w:tcPr>
          <w:p w14:paraId="41116973">
            <w:pPr>
              <w:jc w:val="center"/>
              <w:rPr>
                <w:rFonts w:hint="eastAsia" w:ascii="宋体" w:hAnsi="宋体" w:cs="宋体"/>
                <w:sz w:val="24"/>
                <w:szCs w:val="24"/>
              </w:rPr>
            </w:pPr>
          </w:p>
        </w:tc>
      </w:tr>
      <w:tr w14:paraId="1CAC31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9" w:hRule="atLeast"/>
          <w:jc w:val="center"/>
        </w:trPr>
        <w:tc>
          <w:tcPr>
            <w:tcW w:w="1596" w:type="dxa"/>
            <w:vMerge w:val="continue"/>
            <w:vAlign w:val="center"/>
          </w:tcPr>
          <w:p w14:paraId="358B839F">
            <w:pPr>
              <w:jc w:val="center"/>
              <w:rPr>
                <w:rFonts w:hint="eastAsia" w:ascii="宋体" w:hAnsi="宋体" w:cs="宋体"/>
                <w:sz w:val="24"/>
                <w:szCs w:val="24"/>
              </w:rPr>
            </w:pPr>
          </w:p>
        </w:tc>
        <w:tc>
          <w:tcPr>
            <w:tcW w:w="1916" w:type="dxa"/>
            <w:vAlign w:val="center"/>
          </w:tcPr>
          <w:p w14:paraId="44453D8F">
            <w:pPr>
              <w:rPr>
                <w:rFonts w:hint="eastAsia" w:ascii="宋体" w:hAnsi="宋体" w:cs="宋体"/>
                <w:sz w:val="24"/>
                <w:szCs w:val="24"/>
              </w:rPr>
            </w:pPr>
          </w:p>
        </w:tc>
        <w:tc>
          <w:tcPr>
            <w:tcW w:w="1916" w:type="dxa"/>
          </w:tcPr>
          <w:p w14:paraId="2F5765C6">
            <w:pPr>
              <w:jc w:val="center"/>
              <w:rPr>
                <w:rFonts w:hint="eastAsia" w:ascii="宋体" w:hAnsi="宋体" w:cs="宋体"/>
                <w:sz w:val="24"/>
                <w:szCs w:val="24"/>
              </w:rPr>
            </w:pPr>
          </w:p>
        </w:tc>
        <w:tc>
          <w:tcPr>
            <w:tcW w:w="1916" w:type="dxa"/>
            <w:vAlign w:val="center"/>
          </w:tcPr>
          <w:p w14:paraId="46E83A11">
            <w:pPr>
              <w:jc w:val="center"/>
              <w:rPr>
                <w:rFonts w:hint="eastAsia" w:ascii="宋体" w:hAnsi="宋体" w:cs="宋体"/>
                <w:sz w:val="24"/>
                <w:szCs w:val="24"/>
              </w:rPr>
            </w:pPr>
          </w:p>
        </w:tc>
        <w:tc>
          <w:tcPr>
            <w:tcW w:w="1916" w:type="dxa"/>
            <w:vAlign w:val="center"/>
          </w:tcPr>
          <w:p w14:paraId="56086F8C">
            <w:pPr>
              <w:jc w:val="center"/>
              <w:rPr>
                <w:rFonts w:hint="eastAsia" w:ascii="宋体" w:hAnsi="宋体" w:cs="宋体"/>
                <w:sz w:val="24"/>
                <w:szCs w:val="24"/>
              </w:rPr>
            </w:pPr>
          </w:p>
        </w:tc>
      </w:tr>
      <w:tr w14:paraId="09BFED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9" w:hRule="atLeast"/>
          <w:jc w:val="center"/>
        </w:trPr>
        <w:tc>
          <w:tcPr>
            <w:tcW w:w="1596" w:type="dxa"/>
            <w:vMerge w:val="continue"/>
            <w:vAlign w:val="center"/>
          </w:tcPr>
          <w:p w14:paraId="14FCFE5F">
            <w:pPr>
              <w:jc w:val="center"/>
              <w:rPr>
                <w:rFonts w:hint="eastAsia" w:ascii="宋体" w:hAnsi="宋体" w:cs="宋体"/>
                <w:sz w:val="24"/>
                <w:szCs w:val="24"/>
              </w:rPr>
            </w:pPr>
          </w:p>
        </w:tc>
        <w:tc>
          <w:tcPr>
            <w:tcW w:w="1916" w:type="dxa"/>
            <w:vAlign w:val="center"/>
          </w:tcPr>
          <w:p w14:paraId="48B74CC4">
            <w:pPr>
              <w:rPr>
                <w:rFonts w:hint="eastAsia" w:ascii="宋体" w:hAnsi="宋体" w:cs="宋体"/>
                <w:sz w:val="24"/>
                <w:szCs w:val="24"/>
              </w:rPr>
            </w:pPr>
          </w:p>
        </w:tc>
        <w:tc>
          <w:tcPr>
            <w:tcW w:w="1916" w:type="dxa"/>
          </w:tcPr>
          <w:p w14:paraId="3B08D544">
            <w:pPr>
              <w:jc w:val="center"/>
              <w:rPr>
                <w:rFonts w:hint="eastAsia" w:ascii="宋体" w:hAnsi="宋体" w:cs="宋体"/>
                <w:sz w:val="24"/>
                <w:szCs w:val="24"/>
              </w:rPr>
            </w:pPr>
          </w:p>
        </w:tc>
        <w:tc>
          <w:tcPr>
            <w:tcW w:w="1916" w:type="dxa"/>
            <w:vAlign w:val="center"/>
          </w:tcPr>
          <w:p w14:paraId="5CEA7847">
            <w:pPr>
              <w:jc w:val="center"/>
              <w:rPr>
                <w:rFonts w:hint="eastAsia" w:ascii="宋体" w:hAnsi="宋体" w:cs="宋体"/>
                <w:sz w:val="24"/>
                <w:szCs w:val="24"/>
              </w:rPr>
            </w:pPr>
          </w:p>
        </w:tc>
        <w:tc>
          <w:tcPr>
            <w:tcW w:w="1916" w:type="dxa"/>
            <w:vAlign w:val="center"/>
          </w:tcPr>
          <w:p w14:paraId="2A152F2F">
            <w:pPr>
              <w:jc w:val="center"/>
              <w:rPr>
                <w:rFonts w:hint="eastAsia" w:ascii="宋体" w:hAnsi="宋体" w:cs="宋体"/>
                <w:sz w:val="24"/>
                <w:szCs w:val="24"/>
              </w:rPr>
            </w:pPr>
          </w:p>
        </w:tc>
      </w:tr>
      <w:tr w14:paraId="0E3953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1596" w:type="dxa"/>
            <w:vMerge w:val="continue"/>
            <w:vAlign w:val="center"/>
          </w:tcPr>
          <w:p w14:paraId="23042FCA">
            <w:pPr>
              <w:jc w:val="center"/>
              <w:rPr>
                <w:rFonts w:ascii="宋体" w:hAnsi="宋体" w:cs="宋体"/>
                <w:sz w:val="24"/>
                <w:szCs w:val="24"/>
              </w:rPr>
            </w:pPr>
          </w:p>
        </w:tc>
        <w:tc>
          <w:tcPr>
            <w:tcW w:w="1916" w:type="dxa"/>
            <w:vAlign w:val="center"/>
          </w:tcPr>
          <w:p w14:paraId="72AA0CE8">
            <w:pPr>
              <w:jc w:val="center"/>
              <w:rPr>
                <w:rFonts w:ascii="宋体" w:hAnsi="宋体" w:cs="宋体"/>
                <w:sz w:val="24"/>
                <w:szCs w:val="24"/>
              </w:rPr>
            </w:pPr>
            <w:r>
              <w:rPr>
                <w:rFonts w:hint="eastAsia" w:ascii="宋体" w:hAnsi="宋体" w:cs="宋体"/>
                <w:sz w:val="24"/>
                <w:szCs w:val="24"/>
              </w:rPr>
              <w:t>...</w:t>
            </w:r>
          </w:p>
        </w:tc>
        <w:tc>
          <w:tcPr>
            <w:tcW w:w="1916" w:type="dxa"/>
          </w:tcPr>
          <w:p w14:paraId="00BE06CA">
            <w:pPr>
              <w:jc w:val="center"/>
              <w:rPr>
                <w:rFonts w:hint="eastAsia" w:ascii="宋体" w:hAnsi="宋体" w:cs="宋体"/>
                <w:sz w:val="24"/>
                <w:szCs w:val="24"/>
              </w:rPr>
            </w:pPr>
          </w:p>
        </w:tc>
        <w:tc>
          <w:tcPr>
            <w:tcW w:w="1916" w:type="dxa"/>
            <w:vAlign w:val="center"/>
          </w:tcPr>
          <w:p w14:paraId="15171315">
            <w:pPr>
              <w:jc w:val="center"/>
              <w:rPr>
                <w:rFonts w:hint="eastAsia" w:ascii="宋体" w:hAnsi="宋体" w:cs="宋体"/>
                <w:sz w:val="24"/>
                <w:szCs w:val="24"/>
              </w:rPr>
            </w:pPr>
          </w:p>
        </w:tc>
        <w:tc>
          <w:tcPr>
            <w:tcW w:w="1916" w:type="dxa"/>
            <w:vAlign w:val="center"/>
          </w:tcPr>
          <w:p w14:paraId="3143B9BD">
            <w:pPr>
              <w:jc w:val="center"/>
              <w:rPr>
                <w:rFonts w:hint="eastAsia" w:ascii="宋体" w:hAnsi="宋体" w:cs="宋体"/>
                <w:sz w:val="24"/>
                <w:szCs w:val="24"/>
              </w:rPr>
            </w:pPr>
          </w:p>
        </w:tc>
      </w:tr>
    </w:tbl>
    <w:p w14:paraId="5BB7F11C">
      <w:pPr>
        <w:pStyle w:val="13"/>
        <w:spacing w:line="360" w:lineRule="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备注：相关产品包含多个配件的需要填写此表， 一个包内包含多个产品的，此表可自行复制增加。</w:t>
      </w:r>
    </w:p>
    <w:p w14:paraId="3AA9968A">
      <w:pPr>
        <w:pStyle w:val="13"/>
        <w:spacing w:line="360" w:lineRule="auto"/>
        <w:rPr>
          <w:rFonts w:hAnsi="宋体" w:cs="宋体"/>
          <w:szCs w:val="21"/>
        </w:rPr>
      </w:pPr>
    </w:p>
    <w:p w14:paraId="1700FE08">
      <w:pPr>
        <w:pStyle w:val="13"/>
        <w:spacing w:line="360" w:lineRule="auto"/>
        <w:rPr>
          <w:rFonts w:hAnsi="宋体" w:cs="宋体"/>
          <w:szCs w:val="21"/>
        </w:rPr>
      </w:pPr>
    </w:p>
    <w:p w14:paraId="1C1E40D7">
      <w:pPr>
        <w:tabs>
          <w:tab w:val="left" w:pos="7640"/>
        </w:tabs>
        <w:autoSpaceDE w:val="0"/>
        <w:autoSpaceDN w:val="0"/>
        <w:adjustRightInd w:val="0"/>
        <w:spacing w:line="271" w:lineRule="exact"/>
        <w:ind w:left="2601" w:right="-20"/>
        <w:jc w:val="left"/>
        <w:rPr>
          <w:rFonts w:hint="eastAsia" w:ascii="宋体" w:hAnsi="宋体" w:cs="微软雅黑"/>
          <w:kern w:val="0"/>
          <w:position w:val="-2"/>
          <w:szCs w:val="21"/>
        </w:rPr>
      </w:pPr>
    </w:p>
    <w:p w14:paraId="748DE8E7">
      <w:pPr>
        <w:wordWrap w:val="0"/>
        <w:spacing w:line="450" w:lineRule="atLeast"/>
        <w:rPr>
          <w:rFonts w:hint="eastAsia" w:ascii="宋体" w:hAnsi="宋体" w:cs="宋体"/>
          <w:color w:val="auto"/>
          <w:sz w:val="24"/>
          <w:highlight w:val="none"/>
        </w:rPr>
      </w:pPr>
    </w:p>
    <w:p w14:paraId="0DFFA8EE">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供应商名称：（电子签章）</w:t>
      </w:r>
    </w:p>
    <w:p w14:paraId="55E12E61">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法定代表人或其委托代理人：（电子签章或签字）</w:t>
      </w:r>
    </w:p>
    <w:p w14:paraId="228633BE">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w:t>
      </w:r>
    </w:p>
    <w:p w14:paraId="0A29D8FC">
      <w:pPr>
        <w:spacing w:line="360" w:lineRule="auto"/>
        <w:ind w:firstLine="1220" w:firstLineChars="405"/>
        <w:jc w:val="center"/>
        <w:rPr>
          <w:rFonts w:hint="eastAsia" w:ascii="宋体" w:hAnsi="宋体" w:cs="宋体"/>
          <w:b/>
          <w:color w:val="auto"/>
          <w:sz w:val="30"/>
          <w:szCs w:val="30"/>
          <w:highlight w:val="none"/>
        </w:rPr>
        <w:sectPr>
          <w:pgSz w:w="11906" w:h="16838"/>
          <w:pgMar w:top="1440" w:right="1800" w:bottom="1440" w:left="1800" w:header="851" w:footer="992" w:gutter="0"/>
          <w:pgNumType w:fmt="decimal"/>
          <w:cols w:space="425" w:num="1"/>
          <w:docGrid w:type="lines" w:linePitch="312" w:charSpace="0"/>
        </w:sectPr>
      </w:pPr>
    </w:p>
    <w:p w14:paraId="0B061E2D">
      <w:pPr>
        <w:spacing w:line="360" w:lineRule="auto"/>
        <w:ind w:firstLine="1220" w:firstLineChars="405"/>
        <w:jc w:val="center"/>
        <w:rPr>
          <w:rFonts w:hint="eastAsia" w:ascii="宋体" w:hAnsi="宋体" w:cs="宋体"/>
          <w:b/>
          <w:sz w:val="30"/>
          <w:szCs w:val="30"/>
        </w:rPr>
      </w:pPr>
      <w:r>
        <w:rPr>
          <w:rFonts w:hint="eastAsia" w:ascii="宋体" w:hAnsi="宋体" w:cs="宋体"/>
          <w:b/>
          <w:sz w:val="30"/>
          <w:szCs w:val="30"/>
        </w:rPr>
        <w:t>三、法定代表人身份证明及授权委托书</w:t>
      </w:r>
    </w:p>
    <w:p w14:paraId="04C05C06">
      <w:pPr>
        <w:spacing w:line="440" w:lineRule="exact"/>
        <w:jc w:val="center"/>
        <w:rPr>
          <w:rFonts w:hint="eastAsia" w:ascii="宋体" w:hAnsi="宋体" w:cs="宋体"/>
          <w:b/>
          <w:sz w:val="24"/>
        </w:rPr>
      </w:pPr>
      <w:r>
        <w:rPr>
          <w:rFonts w:hint="eastAsia" w:ascii="宋体" w:hAnsi="宋体" w:cs="宋体"/>
          <w:b/>
          <w:sz w:val="24"/>
        </w:rPr>
        <w:t>(一)法定代表人身份证明</w:t>
      </w:r>
    </w:p>
    <w:p w14:paraId="62970415">
      <w:pPr>
        <w:spacing w:line="440" w:lineRule="exact"/>
        <w:jc w:val="center"/>
        <w:rPr>
          <w:rFonts w:hint="eastAsia" w:ascii="宋体" w:hAnsi="宋体" w:cs="宋体"/>
          <w:sz w:val="24"/>
        </w:rPr>
      </w:pPr>
    </w:p>
    <w:p w14:paraId="5684726B">
      <w:pPr>
        <w:spacing w:line="440" w:lineRule="exact"/>
        <w:ind w:firstLine="480" w:firstLineChars="200"/>
        <w:rPr>
          <w:rFonts w:hint="eastAsia" w:ascii="宋体" w:hAnsi="宋体" w:cs="宋体"/>
          <w:sz w:val="24"/>
          <w:u w:val="single"/>
        </w:rPr>
      </w:pPr>
      <w:r>
        <w:rPr>
          <w:rFonts w:hint="eastAsia" w:ascii="宋体" w:hAnsi="宋体" w:cs="宋体"/>
          <w:sz w:val="24"/>
        </w:rPr>
        <w:t>供应商名称：</w:t>
      </w:r>
    </w:p>
    <w:p w14:paraId="32265614">
      <w:pPr>
        <w:spacing w:line="440" w:lineRule="exact"/>
        <w:ind w:firstLine="480" w:firstLineChars="200"/>
        <w:rPr>
          <w:rFonts w:hint="eastAsia" w:ascii="宋体" w:hAnsi="宋体" w:cs="宋体"/>
          <w:sz w:val="24"/>
        </w:rPr>
      </w:pPr>
      <w:r>
        <w:rPr>
          <w:rFonts w:hint="eastAsia" w:ascii="宋体" w:hAnsi="宋体" w:cs="宋体"/>
          <w:sz w:val="24"/>
        </w:rPr>
        <w:t>单位性质：</w:t>
      </w:r>
    </w:p>
    <w:p w14:paraId="03C103A1">
      <w:pPr>
        <w:spacing w:line="440" w:lineRule="exact"/>
        <w:ind w:firstLine="480" w:firstLineChars="200"/>
        <w:rPr>
          <w:rFonts w:hint="eastAsia" w:ascii="宋体" w:hAnsi="宋体" w:cs="宋体"/>
          <w:sz w:val="24"/>
        </w:rPr>
      </w:pPr>
      <w:r>
        <w:rPr>
          <w:rFonts w:hint="eastAsia" w:ascii="宋体" w:hAnsi="宋体" w:cs="宋体"/>
          <w:sz w:val="24"/>
        </w:rPr>
        <w:t>地    址：</w:t>
      </w:r>
    </w:p>
    <w:p w14:paraId="1EB4DA1C">
      <w:pPr>
        <w:spacing w:line="440" w:lineRule="exact"/>
        <w:ind w:firstLine="480" w:firstLineChars="200"/>
        <w:rPr>
          <w:rFonts w:hint="eastAsia" w:ascii="宋体" w:hAnsi="宋体" w:cs="宋体"/>
          <w:sz w:val="24"/>
        </w:rPr>
      </w:pPr>
      <w:r>
        <w:rPr>
          <w:rFonts w:hint="eastAsia" w:ascii="宋体" w:hAnsi="宋体" w:cs="宋体"/>
          <w:sz w:val="24"/>
        </w:rPr>
        <w:t>成立时间：  年  月  日</w:t>
      </w:r>
    </w:p>
    <w:p w14:paraId="1B201481">
      <w:pPr>
        <w:spacing w:line="440" w:lineRule="exact"/>
        <w:ind w:firstLine="480" w:firstLineChars="200"/>
        <w:rPr>
          <w:rFonts w:hint="eastAsia" w:ascii="宋体" w:hAnsi="宋体" w:cs="宋体"/>
          <w:sz w:val="24"/>
        </w:rPr>
      </w:pPr>
      <w:r>
        <w:rPr>
          <w:rFonts w:hint="eastAsia" w:ascii="宋体" w:hAnsi="宋体" w:cs="宋体"/>
          <w:sz w:val="24"/>
        </w:rPr>
        <w:t>经营期限：</w:t>
      </w:r>
    </w:p>
    <w:p w14:paraId="38BF5269">
      <w:pPr>
        <w:spacing w:line="440" w:lineRule="exact"/>
        <w:ind w:firstLine="480" w:firstLineChars="200"/>
        <w:rPr>
          <w:rFonts w:hint="eastAsia" w:ascii="宋体" w:hAnsi="宋体" w:cs="宋体"/>
          <w:sz w:val="24"/>
          <w:u w:val="single"/>
        </w:rPr>
      </w:pPr>
      <w:r>
        <w:rPr>
          <w:rFonts w:hint="eastAsia" w:ascii="宋体" w:hAnsi="宋体" w:cs="宋体"/>
          <w:sz w:val="24"/>
        </w:rPr>
        <w:t>姓名：  性别：   年龄：   职务：</w:t>
      </w:r>
    </w:p>
    <w:p w14:paraId="1EC94CCE">
      <w:pPr>
        <w:spacing w:line="440" w:lineRule="exact"/>
        <w:ind w:firstLine="480" w:firstLineChars="200"/>
        <w:rPr>
          <w:rFonts w:hint="eastAsia" w:ascii="宋体" w:hAnsi="宋体" w:cs="宋体"/>
          <w:sz w:val="24"/>
          <w:u w:val="single"/>
        </w:rPr>
      </w:pPr>
      <w:r>
        <w:rPr>
          <w:rFonts w:hint="eastAsia" w:ascii="宋体" w:hAnsi="宋体" w:cs="宋体"/>
          <w:sz w:val="24"/>
        </w:rPr>
        <w:t>系</w:t>
      </w:r>
      <w:r>
        <w:rPr>
          <w:rFonts w:hint="eastAsia" w:ascii="宋体" w:hAnsi="宋体" w:cs="宋体"/>
          <w:sz w:val="24"/>
          <w:u w:val="single"/>
        </w:rPr>
        <w:t>（供应商单位名称）</w:t>
      </w:r>
      <w:r>
        <w:rPr>
          <w:rFonts w:hint="eastAsia" w:ascii="宋体" w:hAnsi="宋体" w:cs="宋体"/>
          <w:sz w:val="24"/>
        </w:rPr>
        <w:t>的法定代表人。</w:t>
      </w:r>
    </w:p>
    <w:p w14:paraId="2B943954">
      <w:pPr>
        <w:spacing w:line="440" w:lineRule="exact"/>
        <w:ind w:firstLine="480" w:firstLineChars="200"/>
        <w:rPr>
          <w:rFonts w:hint="eastAsia" w:ascii="宋体" w:hAnsi="宋体" w:cs="宋体"/>
          <w:sz w:val="24"/>
        </w:rPr>
      </w:pPr>
      <w:r>
        <w:rPr>
          <w:rFonts w:hint="eastAsia" w:ascii="宋体" w:hAnsi="宋体" w:cs="宋体"/>
          <w:sz w:val="24"/>
        </w:rPr>
        <w:t>特此证明。</w:t>
      </w:r>
    </w:p>
    <w:p w14:paraId="706811B9">
      <w:pPr>
        <w:spacing w:line="440" w:lineRule="exact"/>
        <w:ind w:firstLine="480" w:firstLineChars="200"/>
        <w:rPr>
          <w:rFonts w:hint="eastAsia" w:ascii="宋体" w:hAnsi="宋体" w:cs="宋体"/>
          <w:sz w:val="24"/>
        </w:rPr>
      </w:pPr>
      <w:r>
        <w:rPr>
          <w:rFonts w:hint="eastAsia" w:ascii="宋体" w:hAnsi="宋体" w:cs="宋体"/>
          <w:sz w:val="24"/>
        </w:rPr>
        <w:t>附：法定代表人身份证复印件</w:t>
      </w:r>
    </w:p>
    <w:p w14:paraId="637CC79D">
      <w:pPr>
        <w:spacing w:line="440" w:lineRule="exact"/>
        <w:rPr>
          <w:rFonts w:hint="eastAsia" w:ascii="宋体" w:hAnsi="宋体" w:cs="宋体"/>
          <w:sz w:val="24"/>
        </w:rPr>
      </w:pPr>
    </w:p>
    <w:p w14:paraId="4502B0F8">
      <w:pPr>
        <w:spacing w:line="440" w:lineRule="exact"/>
        <w:rPr>
          <w:rFonts w:hint="eastAsia" w:ascii="宋体" w:hAnsi="宋体" w:cs="宋体"/>
          <w:sz w:val="24"/>
        </w:rPr>
      </w:pPr>
    </w:p>
    <w:p w14:paraId="134BF941">
      <w:pPr>
        <w:spacing w:line="440" w:lineRule="exact"/>
        <w:rPr>
          <w:rFonts w:hint="eastAsia" w:ascii="宋体" w:hAnsi="宋体" w:cs="宋体"/>
          <w:sz w:val="24"/>
        </w:rPr>
      </w:pPr>
    </w:p>
    <w:p w14:paraId="64A60050">
      <w:pPr>
        <w:spacing w:line="440" w:lineRule="exact"/>
        <w:rPr>
          <w:rFonts w:hint="eastAsia" w:ascii="宋体" w:hAnsi="宋体" w:cs="宋体"/>
          <w:sz w:val="24"/>
        </w:rPr>
      </w:pPr>
    </w:p>
    <w:p w14:paraId="4F66E4C3">
      <w:pPr>
        <w:wordWrap w:val="0"/>
        <w:spacing w:line="450" w:lineRule="atLeast"/>
        <w:jc w:val="center"/>
        <w:rPr>
          <w:rFonts w:hint="eastAsia" w:ascii="宋体" w:hAnsi="宋体" w:cs="宋体"/>
          <w:sz w:val="24"/>
        </w:rPr>
      </w:pPr>
      <w:r>
        <w:rPr>
          <w:rFonts w:hint="eastAsia" w:ascii="宋体" w:hAnsi="宋体" w:cs="宋体"/>
          <w:sz w:val="24"/>
        </w:rPr>
        <w:t xml:space="preserve">                                 供应商名称：（电子签章）</w:t>
      </w:r>
    </w:p>
    <w:p w14:paraId="3962F5AA">
      <w:pPr>
        <w:wordWrap w:val="0"/>
        <w:spacing w:line="450" w:lineRule="atLeast"/>
        <w:jc w:val="center"/>
        <w:rPr>
          <w:rFonts w:hint="eastAsia" w:ascii="宋体" w:hAnsi="宋体" w:cs="宋体"/>
          <w:sz w:val="24"/>
        </w:rPr>
      </w:pPr>
      <w:r>
        <w:rPr>
          <w:rFonts w:hint="eastAsia" w:ascii="宋体" w:hAnsi="宋体" w:cs="宋体"/>
          <w:sz w:val="24"/>
        </w:rPr>
        <w:t xml:space="preserve">                               年  月  日</w:t>
      </w:r>
    </w:p>
    <w:p w14:paraId="24775905">
      <w:pPr>
        <w:spacing w:line="440" w:lineRule="exact"/>
        <w:jc w:val="center"/>
        <w:rPr>
          <w:rFonts w:hint="eastAsia" w:ascii="宋体" w:hAnsi="宋体" w:cs="宋体"/>
          <w:b/>
          <w:bCs/>
          <w:sz w:val="24"/>
        </w:rPr>
      </w:pPr>
      <w:r>
        <w:rPr>
          <w:rFonts w:hint="eastAsia" w:ascii="宋体" w:hAnsi="宋体" w:cs="宋体"/>
          <w:sz w:val="24"/>
        </w:rPr>
        <w:br w:type="page"/>
      </w:r>
      <w:r>
        <w:rPr>
          <w:rFonts w:hint="eastAsia" w:ascii="宋体" w:hAnsi="宋体" w:cs="宋体"/>
          <w:b/>
          <w:bCs/>
          <w:sz w:val="24"/>
        </w:rPr>
        <w:t xml:space="preserve">（二）法定代表人授权委托书 </w:t>
      </w:r>
    </w:p>
    <w:p w14:paraId="119EDBA0">
      <w:pPr>
        <w:spacing w:line="440" w:lineRule="exact"/>
        <w:ind w:left="840"/>
        <w:rPr>
          <w:rFonts w:hint="eastAsia" w:ascii="宋体" w:hAnsi="宋体" w:cs="宋体"/>
          <w:b/>
          <w:bCs/>
          <w:sz w:val="24"/>
        </w:rPr>
      </w:pPr>
    </w:p>
    <w:p w14:paraId="165C558E">
      <w:pPr>
        <w:spacing w:line="440" w:lineRule="exact"/>
        <w:ind w:firstLine="480" w:firstLineChars="200"/>
        <w:rPr>
          <w:rFonts w:hint="eastAsia" w:ascii="宋体" w:hAnsi="宋体" w:cs="宋体"/>
          <w:bCs/>
          <w:sz w:val="24"/>
        </w:rPr>
      </w:pPr>
      <w:r>
        <w:rPr>
          <w:rFonts w:hint="eastAsia" w:ascii="宋体" w:hAnsi="宋体" w:cs="宋体"/>
          <w:bCs/>
          <w:sz w:val="24"/>
        </w:rPr>
        <w:t>本人</w:t>
      </w:r>
      <w:r>
        <w:rPr>
          <w:rFonts w:hint="eastAsia" w:ascii="宋体" w:hAnsi="宋体" w:cs="宋体"/>
          <w:bCs/>
          <w:sz w:val="24"/>
          <w:u w:val="single"/>
        </w:rPr>
        <w:t>（姓名）</w:t>
      </w:r>
      <w:r>
        <w:rPr>
          <w:rFonts w:hint="eastAsia" w:ascii="宋体" w:hAnsi="宋体" w:cs="宋体"/>
          <w:bCs/>
          <w:sz w:val="24"/>
        </w:rPr>
        <w:t>系</w:t>
      </w:r>
      <w:r>
        <w:rPr>
          <w:rFonts w:hint="eastAsia" w:ascii="宋体" w:hAnsi="宋体" w:cs="宋体"/>
          <w:bCs/>
          <w:sz w:val="24"/>
          <w:u w:val="single"/>
        </w:rPr>
        <w:t>（供应商名称）</w:t>
      </w:r>
      <w:r>
        <w:rPr>
          <w:rFonts w:hint="eastAsia" w:ascii="宋体" w:hAnsi="宋体" w:cs="宋体"/>
          <w:bCs/>
          <w:sz w:val="24"/>
        </w:rPr>
        <w:t>的法定代表人，现委托</w:t>
      </w:r>
      <w:r>
        <w:rPr>
          <w:rFonts w:hint="eastAsia" w:ascii="宋体" w:hAnsi="宋体" w:cs="宋体"/>
          <w:bCs/>
          <w:sz w:val="24"/>
          <w:u w:val="single"/>
        </w:rPr>
        <w:t>（姓名）</w:t>
      </w:r>
      <w:r>
        <w:rPr>
          <w:rFonts w:hint="eastAsia" w:ascii="宋体" w:hAnsi="宋体" w:cs="宋体"/>
          <w:bCs/>
          <w:sz w:val="24"/>
        </w:rPr>
        <w:t>为我方代理人。代理人根据授权，以我方名义签署、澄清、说明、补正、递交、撤回、修改</w:t>
      </w:r>
      <w:r>
        <w:rPr>
          <w:rFonts w:hint="eastAsia" w:ascii="宋体" w:hAnsi="宋体" w:cs="宋体"/>
          <w:bCs/>
          <w:sz w:val="24"/>
          <w:u w:val="single"/>
        </w:rPr>
        <w:t>（项目名称）</w:t>
      </w:r>
      <w:r>
        <w:rPr>
          <w:rFonts w:hint="eastAsia" w:ascii="宋体" w:hAnsi="宋体" w:cs="宋体"/>
          <w:bCs/>
          <w:sz w:val="24"/>
        </w:rPr>
        <w:t>响应文件、签订合同和处理有关事宜，其法律后果由我方承担。</w:t>
      </w:r>
    </w:p>
    <w:p w14:paraId="6F4AE68D">
      <w:pPr>
        <w:spacing w:line="440" w:lineRule="exact"/>
        <w:ind w:firstLine="480" w:firstLineChars="200"/>
        <w:rPr>
          <w:rFonts w:hint="eastAsia" w:ascii="宋体" w:hAnsi="宋体" w:cs="宋体"/>
          <w:bCs/>
          <w:sz w:val="24"/>
        </w:rPr>
      </w:pPr>
      <w:r>
        <w:rPr>
          <w:rFonts w:hint="eastAsia" w:ascii="宋体" w:hAnsi="宋体" w:cs="宋体"/>
          <w:bCs/>
          <w:sz w:val="24"/>
        </w:rPr>
        <w:t>委托期限：</w:t>
      </w:r>
      <w:r>
        <w:rPr>
          <w:rFonts w:hint="eastAsia" w:ascii="宋体" w:hAnsi="宋体" w:cs="宋体"/>
          <w:bCs/>
          <w:sz w:val="24"/>
          <w:u w:val="single"/>
        </w:rPr>
        <w:t xml:space="preserve">            </w:t>
      </w:r>
      <w:r>
        <w:rPr>
          <w:rFonts w:hint="eastAsia" w:ascii="宋体" w:hAnsi="宋体" w:cs="宋体"/>
          <w:bCs/>
          <w:sz w:val="24"/>
        </w:rPr>
        <w:t>。</w:t>
      </w:r>
    </w:p>
    <w:p w14:paraId="277B9161">
      <w:pPr>
        <w:spacing w:line="440" w:lineRule="exact"/>
        <w:ind w:firstLine="480" w:firstLineChars="200"/>
        <w:rPr>
          <w:rFonts w:hint="eastAsia" w:ascii="宋体" w:hAnsi="宋体" w:cs="宋体"/>
          <w:bCs/>
          <w:sz w:val="24"/>
        </w:rPr>
      </w:pPr>
      <w:r>
        <w:rPr>
          <w:rFonts w:hint="eastAsia" w:ascii="宋体" w:hAnsi="宋体" w:cs="宋体"/>
          <w:bCs/>
          <w:sz w:val="24"/>
        </w:rPr>
        <w:t>代理人无转委托权。</w:t>
      </w:r>
    </w:p>
    <w:p w14:paraId="4A850E47">
      <w:pPr>
        <w:spacing w:line="440" w:lineRule="exact"/>
        <w:ind w:firstLine="480" w:firstLineChars="200"/>
        <w:rPr>
          <w:rFonts w:hint="eastAsia" w:ascii="宋体" w:hAnsi="宋体" w:cs="宋体"/>
          <w:bCs/>
          <w:sz w:val="24"/>
        </w:rPr>
      </w:pPr>
      <w:r>
        <w:rPr>
          <w:rFonts w:hint="eastAsia" w:ascii="宋体" w:hAnsi="宋体" w:cs="宋体"/>
          <w:bCs/>
          <w:sz w:val="24"/>
        </w:rPr>
        <w:t>附：委托代理人身份证复印件</w:t>
      </w:r>
    </w:p>
    <w:p w14:paraId="6D81A40A">
      <w:pPr>
        <w:spacing w:line="440" w:lineRule="exact"/>
        <w:ind w:left="840"/>
        <w:rPr>
          <w:rFonts w:hint="eastAsia" w:ascii="宋体" w:hAnsi="宋体" w:cs="宋体"/>
          <w:bCs/>
          <w:sz w:val="24"/>
        </w:rPr>
      </w:pPr>
    </w:p>
    <w:p w14:paraId="217F0334">
      <w:pPr>
        <w:spacing w:line="440" w:lineRule="exact"/>
        <w:ind w:left="840"/>
        <w:rPr>
          <w:rFonts w:hint="eastAsia" w:ascii="宋体" w:hAnsi="宋体" w:cs="宋体"/>
          <w:bCs/>
          <w:sz w:val="24"/>
        </w:rPr>
      </w:pPr>
    </w:p>
    <w:p w14:paraId="20AAA734">
      <w:pPr>
        <w:spacing w:line="440" w:lineRule="exact"/>
        <w:ind w:left="840"/>
        <w:rPr>
          <w:rFonts w:hint="eastAsia" w:ascii="宋体" w:hAnsi="宋体" w:cs="宋体"/>
          <w:bCs/>
          <w:sz w:val="24"/>
        </w:rPr>
      </w:pPr>
    </w:p>
    <w:p w14:paraId="4DDD2A0A">
      <w:pPr>
        <w:spacing w:line="440" w:lineRule="exact"/>
        <w:ind w:left="840"/>
        <w:rPr>
          <w:rFonts w:hint="eastAsia" w:ascii="宋体" w:hAnsi="宋体" w:cs="宋体"/>
          <w:bCs/>
          <w:sz w:val="24"/>
        </w:rPr>
      </w:pPr>
    </w:p>
    <w:p w14:paraId="38A2ABA8">
      <w:pPr>
        <w:spacing w:line="440" w:lineRule="exact"/>
        <w:ind w:left="840"/>
        <w:rPr>
          <w:rFonts w:hint="eastAsia" w:ascii="宋体" w:hAnsi="宋体" w:cs="宋体"/>
          <w:bCs/>
          <w:sz w:val="24"/>
        </w:rPr>
      </w:pPr>
    </w:p>
    <w:p w14:paraId="53A026B2">
      <w:pPr>
        <w:spacing w:line="440" w:lineRule="exact"/>
        <w:ind w:left="840"/>
        <w:rPr>
          <w:rFonts w:hint="eastAsia" w:ascii="宋体" w:hAnsi="宋体" w:cs="宋体"/>
          <w:bCs/>
          <w:sz w:val="24"/>
        </w:rPr>
      </w:pPr>
    </w:p>
    <w:p w14:paraId="41F94C43">
      <w:pPr>
        <w:spacing w:line="440" w:lineRule="exact"/>
        <w:ind w:firstLine="3600" w:firstLineChars="1500"/>
        <w:rPr>
          <w:rFonts w:hint="eastAsia" w:ascii="宋体" w:hAnsi="宋体" w:cs="宋体"/>
          <w:bCs/>
          <w:sz w:val="24"/>
        </w:rPr>
      </w:pPr>
    </w:p>
    <w:p w14:paraId="13EF78C4">
      <w:pPr>
        <w:spacing w:line="440" w:lineRule="exact"/>
        <w:rPr>
          <w:rFonts w:hint="eastAsia" w:ascii="宋体" w:hAnsi="宋体" w:cs="宋体"/>
          <w:bCs/>
          <w:sz w:val="24"/>
        </w:rPr>
      </w:pPr>
      <w:r>
        <w:rPr>
          <w:rFonts w:hint="eastAsia" w:ascii="宋体" w:hAnsi="宋体" w:cs="宋体"/>
          <w:bCs/>
          <w:sz w:val="24"/>
        </w:rPr>
        <w:t>供应商名称：（</w:t>
      </w:r>
      <w:r>
        <w:rPr>
          <w:rFonts w:hint="eastAsia" w:ascii="宋体" w:hAnsi="宋体" w:cs="宋体"/>
          <w:sz w:val="24"/>
        </w:rPr>
        <w:t>电子签章</w:t>
      </w:r>
      <w:r>
        <w:rPr>
          <w:rFonts w:hint="eastAsia" w:ascii="宋体" w:hAnsi="宋体" w:cs="宋体"/>
          <w:bCs/>
          <w:sz w:val="24"/>
        </w:rPr>
        <w:t>）</w:t>
      </w:r>
    </w:p>
    <w:p w14:paraId="64F8A32F">
      <w:pPr>
        <w:spacing w:line="440" w:lineRule="exact"/>
        <w:rPr>
          <w:rFonts w:hint="eastAsia" w:ascii="宋体" w:hAnsi="宋体" w:cs="宋体"/>
          <w:bCs/>
          <w:sz w:val="24"/>
        </w:rPr>
      </w:pPr>
      <w:r>
        <w:rPr>
          <w:rFonts w:hint="eastAsia" w:ascii="宋体" w:hAnsi="宋体" w:cs="宋体"/>
          <w:bCs/>
          <w:sz w:val="24"/>
        </w:rPr>
        <w:t>法定代表人：（</w:t>
      </w:r>
      <w:r>
        <w:rPr>
          <w:rFonts w:hint="eastAsia" w:ascii="宋体" w:hAnsi="宋体" w:cs="宋体"/>
          <w:sz w:val="24"/>
        </w:rPr>
        <w:t>电子签章或签字</w:t>
      </w:r>
      <w:r>
        <w:rPr>
          <w:rFonts w:hint="eastAsia" w:ascii="宋体" w:hAnsi="宋体" w:cs="宋体"/>
          <w:bCs/>
          <w:sz w:val="24"/>
        </w:rPr>
        <w:t>）</w:t>
      </w:r>
    </w:p>
    <w:p w14:paraId="319933D1">
      <w:pPr>
        <w:spacing w:line="440" w:lineRule="exact"/>
        <w:rPr>
          <w:rFonts w:hint="eastAsia" w:ascii="宋体" w:hAnsi="宋体" w:cs="宋体"/>
          <w:bCs/>
          <w:sz w:val="24"/>
        </w:rPr>
      </w:pPr>
      <w:r>
        <w:rPr>
          <w:rFonts w:hint="eastAsia" w:ascii="宋体" w:hAnsi="宋体" w:cs="宋体"/>
          <w:bCs/>
          <w:sz w:val="24"/>
        </w:rPr>
        <w:t>法定代表人身份证号码：</w:t>
      </w:r>
    </w:p>
    <w:p w14:paraId="5D65A86C">
      <w:pPr>
        <w:spacing w:line="440" w:lineRule="exact"/>
        <w:rPr>
          <w:rFonts w:hint="eastAsia" w:ascii="宋体" w:hAnsi="宋体" w:cs="宋体"/>
          <w:bCs/>
          <w:sz w:val="24"/>
        </w:rPr>
      </w:pPr>
      <w:r>
        <w:rPr>
          <w:rFonts w:hint="eastAsia" w:ascii="宋体" w:hAnsi="宋体" w:cs="宋体"/>
          <w:bCs/>
          <w:sz w:val="24"/>
        </w:rPr>
        <w:t>委托代理人：（</w:t>
      </w:r>
      <w:r>
        <w:rPr>
          <w:rFonts w:hint="eastAsia" w:ascii="宋体" w:hAnsi="宋体" w:cs="宋体"/>
          <w:sz w:val="24"/>
        </w:rPr>
        <w:t>电子签章或签字</w:t>
      </w:r>
      <w:r>
        <w:rPr>
          <w:rFonts w:hint="eastAsia" w:ascii="宋体" w:hAnsi="宋体" w:cs="宋体"/>
          <w:bCs/>
          <w:sz w:val="24"/>
        </w:rPr>
        <w:t>）</w:t>
      </w:r>
    </w:p>
    <w:p w14:paraId="1FFB2CB9">
      <w:pPr>
        <w:spacing w:line="440" w:lineRule="exact"/>
        <w:rPr>
          <w:rFonts w:hint="eastAsia" w:ascii="宋体" w:hAnsi="宋体" w:cs="宋体"/>
          <w:bCs/>
          <w:sz w:val="24"/>
        </w:rPr>
      </w:pPr>
      <w:r>
        <w:rPr>
          <w:rFonts w:hint="eastAsia" w:ascii="宋体" w:hAnsi="宋体" w:cs="宋体"/>
          <w:bCs/>
          <w:sz w:val="24"/>
        </w:rPr>
        <w:t>委托代理人身份证号码：</w:t>
      </w:r>
    </w:p>
    <w:p w14:paraId="01EF87DB">
      <w:pPr>
        <w:spacing w:line="440" w:lineRule="exact"/>
        <w:rPr>
          <w:rFonts w:hint="eastAsia" w:ascii="宋体" w:hAnsi="宋体" w:cs="宋体"/>
          <w:sz w:val="24"/>
        </w:rPr>
      </w:pPr>
      <w:r>
        <w:rPr>
          <w:rFonts w:hint="eastAsia" w:ascii="宋体" w:hAnsi="宋体" w:cs="宋体"/>
          <w:sz w:val="24"/>
        </w:rPr>
        <w:t>日  期：  年   月  日</w:t>
      </w:r>
    </w:p>
    <w:p w14:paraId="5D3B9D72">
      <w:pPr>
        <w:spacing w:line="440" w:lineRule="exact"/>
        <w:jc w:val="center"/>
        <w:rPr>
          <w:rFonts w:hint="eastAsia" w:ascii="宋体" w:hAnsi="宋体" w:cs="宋体"/>
          <w:b/>
          <w:bCs/>
          <w:sz w:val="24"/>
        </w:rPr>
      </w:pPr>
      <w:r>
        <w:rPr>
          <w:rFonts w:hint="eastAsia" w:ascii="宋体" w:hAnsi="宋体" w:cs="宋体"/>
          <w:kern w:val="0"/>
          <w:szCs w:val="21"/>
        </w:rPr>
        <w:br w:type="page"/>
      </w:r>
      <w:r>
        <w:rPr>
          <w:rFonts w:hint="eastAsia" w:ascii="宋体" w:hAnsi="宋体" w:cs="宋体"/>
          <w:b/>
          <w:sz w:val="30"/>
          <w:szCs w:val="30"/>
        </w:rPr>
        <w:t>四、磋商承诺函</w:t>
      </w:r>
    </w:p>
    <w:p w14:paraId="531403CB">
      <w:pPr>
        <w:spacing w:line="360" w:lineRule="auto"/>
        <w:rPr>
          <w:rFonts w:hint="eastAsia" w:ascii="宋体" w:hAnsi="宋体" w:cs="宋体"/>
          <w:sz w:val="24"/>
        </w:rPr>
      </w:pPr>
      <w:r>
        <w:rPr>
          <w:rFonts w:hint="eastAsia" w:ascii="宋体" w:hAnsi="宋体" w:cs="宋体"/>
          <w:sz w:val="24"/>
        </w:rPr>
        <w:t>致：</w:t>
      </w:r>
      <w:r>
        <w:rPr>
          <w:rFonts w:hint="eastAsia" w:ascii="宋体" w:hAnsi="宋体" w:cs="宋体"/>
          <w:sz w:val="24"/>
          <w:u w:val="single"/>
        </w:rPr>
        <w:t xml:space="preserve"> (采购人名称）   </w:t>
      </w:r>
    </w:p>
    <w:p w14:paraId="41E26A5F">
      <w:pPr>
        <w:spacing w:line="360" w:lineRule="auto"/>
        <w:ind w:firstLine="480" w:firstLineChars="200"/>
        <w:rPr>
          <w:rFonts w:hint="eastAsia" w:ascii="宋体" w:hAnsi="宋体" w:cs="宋体"/>
          <w:sz w:val="24"/>
        </w:rPr>
      </w:pPr>
      <w:r>
        <w:rPr>
          <w:rFonts w:hint="eastAsia" w:ascii="宋体" w:hAnsi="宋体" w:cs="宋体"/>
          <w:sz w:val="24"/>
        </w:rPr>
        <w:t>我们收到了项目编号为的</w:t>
      </w:r>
      <w:r>
        <w:rPr>
          <w:rFonts w:hint="eastAsia" w:ascii="宋体" w:hAnsi="宋体" w:cs="宋体"/>
          <w:sz w:val="24"/>
          <w:u w:val="single"/>
        </w:rPr>
        <w:t xml:space="preserve">    （项目名称）</w:t>
      </w:r>
      <w:r>
        <w:rPr>
          <w:rFonts w:hint="eastAsia" w:ascii="宋体" w:hAnsi="宋体" w:cs="宋体"/>
          <w:sz w:val="24"/>
        </w:rPr>
        <w:t>的磋商文件，已详细审查全部内容（含补遗文件，如有），我们完全理解并同意放弃对上述文件有不明及误解的权利。我方在此郑重承诺，如果我方在本次磋商过程存在下述任一行为：</w:t>
      </w:r>
    </w:p>
    <w:p w14:paraId="2617A05F">
      <w:pPr>
        <w:pStyle w:val="22"/>
        <w:numPr>
          <w:ilvl w:val="2"/>
          <w:numId w:val="7"/>
        </w:numPr>
        <w:tabs>
          <w:tab w:val="left" w:pos="1260"/>
          <w:tab w:val="clear" w:pos="1485"/>
        </w:tabs>
        <w:spacing w:line="360" w:lineRule="auto"/>
        <w:ind w:hanging="765"/>
        <w:rPr>
          <w:rFonts w:hint="eastAsia" w:ascii="宋体" w:hAnsi="宋体" w:eastAsia="宋体" w:cs="宋体"/>
          <w:sz w:val="24"/>
          <w:szCs w:val="24"/>
        </w:rPr>
      </w:pPr>
      <w:r>
        <w:rPr>
          <w:rFonts w:hint="eastAsia" w:ascii="宋体" w:hAnsi="宋体" w:eastAsia="宋体" w:cs="宋体"/>
          <w:sz w:val="24"/>
          <w:szCs w:val="24"/>
        </w:rPr>
        <w:t>供应商在磋商文件规定的磋商有效期内撤回其投标；</w:t>
      </w:r>
    </w:p>
    <w:p w14:paraId="73701887">
      <w:pPr>
        <w:pStyle w:val="22"/>
        <w:numPr>
          <w:ilvl w:val="2"/>
          <w:numId w:val="7"/>
        </w:numPr>
        <w:tabs>
          <w:tab w:val="left" w:pos="1260"/>
          <w:tab w:val="clear" w:pos="1485"/>
        </w:tabs>
        <w:spacing w:line="360" w:lineRule="auto"/>
        <w:ind w:hanging="765"/>
        <w:rPr>
          <w:rFonts w:hint="eastAsia" w:ascii="宋体" w:hAnsi="宋体" w:eastAsia="宋体" w:cs="宋体"/>
          <w:sz w:val="24"/>
          <w:szCs w:val="24"/>
        </w:rPr>
      </w:pPr>
      <w:r>
        <w:rPr>
          <w:rFonts w:hint="eastAsia" w:ascii="宋体" w:hAnsi="宋体" w:eastAsia="宋体" w:cs="宋体"/>
          <w:sz w:val="24"/>
          <w:szCs w:val="24"/>
        </w:rPr>
        <w:t>在响应文件中提供虚假材料；</w:t>
      </w:r>
    </w:p>
    <w:p w14:paraId="2E69DFD7">
      <w:pPr>
        <w:pStyle w:val="22"/>
        <w:numPr>
          <w:ilvl w:val="2"/>
          <w:numId w:val="7"/>
        </w:numPr>
        <w:tabs>
          <w:tab w:val="left" w:pos="1260"/>
          <w:tab w:val="clear" w:pos="1485"/>
        </w:tabs>
        <w:spacing w:line="360" w:lineRule="auto"/>
        <w:ind w:hanging="765"/>
        <w:rPr>
          <w:rFonts w:hint="eastAsia" w:ascii="宋体" w:hAnsi="宋体" w:eastAsia="宋体" w:cs="宋体"/>
          <w:sz w:val="24"/>
          <w:szCs w:val="24"/>
        </w:rPr>
      </w:pPr>
      <w:r>
        <w:rPr>
          <w:rFonts w:hint="eastAsia" w:ascii="宋体" w:hAnsi="宋体" w:eastAsia="宋体" w:cs="宋体"/>
          <w:sz w:val="24"/>
          <w:szCs w:val="24"/>
        </w:rPr>
        <w:t>供应商与采购人、其他供应商或者招标代理机构恶意串通的；</w:t>
      </w:r>
    </w:p>
    <w:p w14:paraId="2EBD0B0E">
      <w:pPr>
        <w:pStyle w:val="22"/>
        <w:numPr>
          <w:ilvl w:val="2"/>
          <w:numId w:val="7"/>
        </w:numPr>
        <w:tabs>
          <w:tab w:val="left" w:pos="1260"/>
          <w:tab w:val="clear" w:pos="1485"/>
        </w:tabs>
        <w:spacing w:line="360" w:lineRule="auto"/>
        <w:ind w:hanging="765"/>
        <w:rPr>
          <w:rFonts w:hint="eastAsia" w:ascii="宋体" w:hAnsi="宋体" w:eastAsia="宋体" w:cs="宋体"/>
          <w:sz w:val="24"/>
          <w:szCs w:val="24"/>
        </w:rPr>
      </w:pPr>
      <w:r>
        <w:rPr>
          <w:rFonts w:hint="eastAsia" w:ascii="宋体" w:hAnsi="宋体" w:eastAsia="宋体" w:cs="宋体"/>
          <w:sz w:val="24"/>
          <w:szCs w:val="24"/>
        </w:rPr>
        <w:t>成交人除因不可抗力未在法律规定时间内签订合同；</w:t>
      </w:r>
    </w:p>
    <w:p w14:paraId="255DEAA9">
      <w:pPr>
        <w:pStyle w:val="22"/>
        <w:numPr>
          <w:ilvl w:val="2"/>
          <w:numId w:val="7"/>
        </w:numPr>
        <w:tabs>
          <w:tab w:val="left" w:pos="1260"/>
          <w:tab w:val="clear" w:pos="1485"/>
        </w:tabs>
        <w:spacing w:line="360" w:lineRule="auto"/>
        <w:ind w:left="1276" w:hanging="567"/>
        <w:rPr>
          <w:rFonts w:hint="eastAsia" w:ascii="宋体" w:hAnsi="宋体" w:eastAsia="宋体" w:cs="宋体"/>
          <w:sz w:val="24"/>
          <w:szCs w:val="24"/>
        </w:rPr>
      </w:pPr>
      <w:r>
        <w:rPr>
          <w:rFonts w:hint="eastAsia" w:ascii="宋体" w:hAnsi="宋体" w:eastAsia="宋体" w:cs="宋体"/>
          <w:sz w:val="24"/>
          <w:szCs w:val="24"/>
        </w:rPr>
        <w:t>将中标项目转让给他人，或者在响应文件中未说明，且未经采购人同意，将中标项目分包给他人的；</w:t>
      </w:r>
    </w:p>
    <w:p w14:paraId="1F000F51">
      <w:pPr>
        <w:pStyle w:val="22"/>
        <w:numPr>
          <w:ilvl w:val="2"/>
          <w:numId w:val="7"/>
        </w:numPr>
        <w:tabs>
          <w:tab w:val="left" w:pos="1260"/>
          <w:tab w:val="clear" w:pos="1485"/>
        </w:tabs>
        <w:spacing w:line="360" w:lineRule="auto"/>
        <w:ind w:hanging="765"/>
        <w:rPr>
          <w:rFonts w:hint="eastAsia" w:ascii="宋体" w:hAnsi="宋体" w:eastAsia="宋体" w:cs="宋体"/>
          <w:sz w:val="24"/>
          <w:szCs w:val="24"/>
        </w:rPr>
      </w:pPr>
      <w:r>
        <w:rPr>
          <w:rFonts w:hint="eastAsia" w:ascii="宋体" w:hAnsi="宋体" w:eastAsia="宋体" w:cs="宋体"/>
          <w:sz w:val="24"/>
          <w:szCs w:val="24"/>
        </w:rPr>
        <w:t>未按磋商文件规定按时向招标代理机构交纳代理服务费；</w:t>
      </w:r>
    </w:p>
    <w:p w14:paraId="6058598F">
      <w:pPr>
        <w:pStyle w:val="22"/>
        <w:numPr>
          <w:ilvl w:val="2"/>
          <w:numId w:val="7"/>
        </w:numPr>
        <w:tabs>
          <w:tab w:val="left" w:pos="1260"/>
          <w:tab w:val="clear" w:pos="1485"/>
        </w:tabs>
        <w:spacing w:line="360" w:lineRule="auto"/>
        <w:ind w:hanging="765"/>
        <w:rPr>
          <w:rFonts w:hint="eastAsia" w:ascii="宋体" w:hAnsi="宋体" w:eastAsia="宋体" w:cs="宋体"/>
          <w:sz w:val="24"/>
          <w:szCs w:val="24"/>
        </w:rPr>
      </w:pPr>
      <w:r>
        <w:rPr>
          <w:rFonts w:hint="eastAsia" w:ascii="宋体" w:hAnsi="宋体" w:eastAsia="宋体" w:cs="宋体"/>
          <w:sz w:val="24"/>
          <w:szCs w:val="24"/>
        </w:rPr>
        <w:t>其他违反法律法规的情形。</w:t>
      </w:r>
    </w:p>
    <w:p w14:paraId="3870B990">
      <w:pPr>
        <w:spacing w:line="360" w:lineRule="auto"/>
        <w:ind w:firstLine="480" w:firstLineChars="200"/>
        <w:rPr>
          <w:rFonts w:hint="eastAsia" w:ascii="宋体" w:hAnsi="宋体" w:cs="宋体"/>
          <w:sz w:val="24"/>
        </w:rPr>
      </w:pPr>
      <w:r>
        <w:rPr>
          <w:rFonts w:hint="eastAsia" w:ascii="宋体" w:hAnsi="宋体" w:cs="宋体"/>
          <w:sz w:val="24"/>
        </w:rPr>
        <w:t>我方将承担相关责任和后果，并按照采购项目预算金额的2%支付给采购人或招标代理机构，以弥补对其造成的损失，不足部分我方将另行承担。同时，我方完全了解上述行为可能导致被记入失信或不良行为记录。</w:t>
      </w:r>
    </w:p>
    <w:p w14:paraId="578B9164">
      <w:pPr>
        <w:pStyle w:val="28"/>
        <w:spacing w:after="0" w:line="360" w:lineRule="auto"/>
        <w:ind w:firstLine="240"/>
        <w:rPr>
          <w:rFonts w:hint="eastAsia" w:ascii="宋体" w:hAnsi="宋体" w:eastAsia="宋体" w:cs="宋体"/>
          <w:sz w:val="24"/>
        </w:rPr>
      </w:pPr>
    </w:p>
    <w:p w14:paraId="20559F7E">
      <w:pPr>
        <w:spacing w:line="360" w:lineRule="auto"/>
        <w:ind w:firstLine="480" w:firstLineChars="200"/>
        <w:rPr>
          <w:rFonts w:hint="eastAsia" w:ascii="宋体" w:hAnsi="宋体" w:cs="宋体"/>
          <w:sz w:val="24"/>
        </w:rPr>
      </w:pPr>
      <w:r>
        <w:rPr>
          <w:rFonts w:hint="eastAsia" w:ascii="宋体" w:hAnsi="宋体" w:cs="宋体"/>
          <w:sz w:val="24"/>
        </w:rPr>
        <w:t>特此承诺。</w:t>
      </w:r>
    </w:p>
    <w:p w14:paraId="0FD46969">
      <w:pPr>
        <w:spacing w:line="440" w:lineRule="exact"/>
        <w:rPr>
          <w:rFonts w:hint="eastAsia" w:ascii="宋体" w:hAnsi="宋体" w:cs="宋体"/>
          <w:b/>
          <w:bCs/>
          <w:sz w:val="28"/>
        </w:rPr>
      </w:pPr>
    </w:p>
    <w:p w14:paraId="62DCA34E">
      <w:pPr>
        <w:spacing w:line="440" w:lineRule="exact"/>
        <w:jc w:val="center"/>
        <w:rPr>
          <w:rFonts w:hint="eastAsia" w:ascii="宋体" w:hAnsi="宋体" w:cs="宋体"/>
          <w:b/>
          <w:bCs/>
          <w:sz w:val="28"/>
        </w:rPr>
      </w:pPr>
    </w:p>
    <w:p w14:paraId="4571D016">
      <w:pPr>
        <w:spacing w:line="440" w:lineRule="exact"/>
        <w:jc w:val="center"/>
        <w:rPr>
          <w:rFonts w:hint="eastAsia" w:ascii="宋体" w:hAnsi="宋体" w:cs="宋体"/>
          <w:b/>
          <w:bCs/>
          <w:sz w:val="28"/>
        </w:rPr>
      </w:pPr>
    </w:p>
    <w:p w14:paraId="3A48B349">
      <w:pPr>
        <w:spacing w:line="440" w:lineRule="exact"/>
        <w:jc w:val="right"/>
        <w:rPr>
          <w:rFonts w:hint="eastAsia" w:ascii="宋体" w:hAnsi="宋体" w:cs="宋体"/>
          <w:b/>
          <w:bCs/>
          <w:sz w:val="24"/>
        </w:rPr>
      </w:pPr>
    </w:p>
    <w:p w14:paraId="1212C273">
      <w:pPr>
        <w:wordWrap w:val="0"/>
        <w:spacing w:line="450" w:lineRule="atLeast"/>
        <w:rPr>
          <w:rFonts w:hint="eastAsia" w:ascii="宋体" w:hAnsi="宋体" w:cs="宋体"/>
          <w:sz w:val="24"/>
        </w:rPr>
      </w:pPr>
      <w:r>
        <w:rPr>
          <w:rFonts w:hint="eastAsia" w:ascii="宋体" w:hAnsi="宋体" w:cs="宋体"/>
          <w:sz w:val="24"/>
        </w:rPr>
        <w:t>供应商名称：（电子签章）</w:t>
      </w:r>
    </w:p>
    <w:p w14:paraId="74BA81D4">
      <w:pPr>
        <w:wordWrap w:val="0"/>
        <w:spacing w:line="450" w:lineRule="atLeast"/>
        <w:rPr>
          <w:rFonts w:hint="eastAsia" w:ascii="宋体" w:hAnsi="宋体" w:cs="宋体"/>
          <w:sz w:val="24"/>
        </w:rPr>
      </w:pPr>
      <w:r>
        <w:rPr>
          <w:rFonts w:hint="eastAsia" w:ascii="宋体" w:hAnsi="宋体" w:cs="宋体"/>
          <w:sz w:val="24"/>
        </w:rPr>
        <w:t>法定代表人或其委托代理人：（电子签章或签字）</w:t>
      </w:r>
    </w:p>
    <w:p w14:paraId="321389DE">
      <w:pPr>
        <w:wordWrap w:val="0"/>
        <w:spacing w:line="450" w:lineRule="atLeast"/>
        <w:rPr>
          <w:rFonts w:hint="eastAsia" w:ascii="宋体" w:hAnsi="宋体" w:cs="宋体"/>
          <w:sz w:val="24"/>
        </w:rPr>
      </w:pPr>
      <w:r>
        <w:rPr>
          <w:rFonts w:hint="eastAsia" w:ascii="宋体" w:hAnsi="宋体" w:cs="宋体"/>
          <w:sz w:val="24"/>
        </w:rPr>
        <w:t>年  月  日</w:t>
      </w:r>
    </w:p>
    <w:p w14:paraId="329CDA33">
      <w:pPr>
        <w:spacing w:line="480" w:lineRule="auto"/>
        <w:ind w:firstLine="638" w:firstLineChars="304"/>
        <w:jc w:val="center"/>
        <w:rPr>
          <w:rFonts w:hint="eastAsia" w:ascii="宋体" w:hAnsi="宋体" w:cs="宋体"/>
        </w:rPr>
      </w:pPr>
    </w:p>
    <w:p w14:paraId="466B941E">
      <w:pPr>
        <w:spacing w:line="440" w:lineRule="exact"/>
        <w:jc w:val="center"/>
        <w:rPr>
          <w:rFonts w:hint="eastAsia" w:ascii="宋体" w:hAnsi="宋体" w:cs="宋体"/>
          <w:b/>
          <w:bCs/>
          <w:sz w:val="28"/>
        </w:rPr>
      </w:pPr>
      <w:r>
        <w:rPr>
          <w:rFonts w:hint="eastAsia" w:ascii="宋体" w:hAnsi="宋体" w:cs="宋体"/>
          <w:b/>
          <w:bCs/>
          <w:sz w:val="28"/>
        </w:rPr>
        <w:br w:type="page"/>
      </w:r>
    </w:p>
    <w:p w14:paraId="281E2894">
      <w:pPr>
        <w:spacing w:line="560" w:lineRule="exact"/>
        <w:jc w:val="center"/>
        <w:outlineLvl w:val="0"/>
        <w:rPr>
          <w:rFonts w:hint="eastAsia" w:ascii="宋体" w:hAnsi="宋体" w:cs="宋体"/>
          <w:b/>
          <w:sz w:val="30"/>
          <w:szCs w:val="30"/>
          <w:lang w:val="zh-CN"/>
        </w:rPr>
      </w:pPr>
      <w:bookmarkStart w:id="543" w:name="_Toc12541"/>
      <w:bookmarkStart w:id="544" w:name="_Toc29230"/>
      <w:bookmarkStart w:id="545" w:name="_Toc7397"/>
      <w:bookmarkStart w:id="546" w:name="_Toc19619"/>
      <w:bookmarkStart w:id="547" w:name="_Toc8848"/>
      <w:bookmarkStart w:id="548" w:name="_Toc9800"/>
      <w:bookmarkStart w:id="549" w:name="_Toc6714"/>
      <w:bookmarkStart w:id="550" w:name="_Toc14279"/>
      <w:bookmarkStart w:id="551" w:name="_Toc10903"/>
      <w:r>
        <w:rPr>
          <w:rFonts w:hint="eastAsia" w:ascii="宋体" w:hAnsi="宋体" w:cs="宋体"/>
          <w:b/>
          <w:sz w:val="30"/>
          <w:szCs w:val="30"/>
        </w:rPr>
        <w:t>五</w:t>
      </w:r>
      <w:r>
        <w:rPr>
          <w:rFonts w:hint="eastAsia" w:ascii="宋体" w:hAnsi="宋体" w:cs="宋体"/>
          <w:b/>
          <w:sz w:val="30"/>
          <w:szCs w:val="30"/>
          <w:lang w:val="zh-CN"/>
        </w:rPr>
        <w:t>、</w:t>
      </w:r>
      <w:bookmarkStart w:id="552" w:name="_Toc144974875"/>
      <w:bookmarkEnd w:id="552"/>
      <w:bookmarkStart w:id="553" w:name="_Toc152045807"/>
      <w:bookmarkEnd w:id="553"/>
      <w:bookmarkStart w:id="554" w:name="_Toc247527847"/>
      <w:bookmarkEnd w:id="554"/>
      <w:bookmarkStart w:id="555" w:name="_Toc152042596"/>
      <w:bookmarkEnd w:id="555"/>
      <w:bookmarkStart w:id="556" w:name="_Toc247514299"/>
      <w:bookmarkEnd w:id="556"/>
      <w:r>
        <w:rPr>
          <w:rFonts w:hint="eastAsia" w:ascii="宋体" w:hAnsi="宋体" w:cs="宋体"/>
          <w:b/>
          <w:sz w:val="30"/>
          <w:szCs w:val="30"/>
          <w:lang w:val="zh-CN"/>
        </w:rPr>
        <w:t>资格</w:t>
      </w:r>
      <w:bookmarkEnd w:id="543"/>
      <w:bookmarkEnd w:id="544"/>
      <w:bookmarkEnd w:id="545"/>
      <w:bookmarkEnd w:id="546"/>
      <w:r>
        <w:rPr>
          <w:rFonts w:hint="eastAsia" w:ascii="宋体" w:hAnsi="宋体" w:cs="宋体"/>
          <w:b/>
          <w:sz w:val="30"/>
          <w:szCs w:val="30"/>
          <w:lang w:val="zh-CN"/>
        </w:rPr>
        <w:t>证明文件</w:t>
      </w:r>
      <w:bookmarkEnd w:id="547"/>
      <w:bookmarkEnd w:id="548"/>
      <w:bookmarkEnd w:id="549"/>
      <w:bookmarkEnd w:id="550"/>
      <w:bookmarkEnd w:id="551"/>
      <w:bookmarkStart w:id="557" w:name="_Toc152042597"/>
      <w:bookmarkEnd w:id="557"/>
      <w:bookmarkStart w:id="558" w:name="_Toc247527848"/>
      <w:bookmarkEnd w:id="558"/>
      <w:bookmarkStart w:id="559" w:name="_Toc152045808"/>
      <w:bookmarkEnd w:id="559"/>
      <w:bookmarkStart w:id="560" w:name="_Toc144974876"/>
      <w:bookmarkEnd w:id="560"/>
      <w:bookmarkStart w:id="561" w:name="_Toc247514300"/>
      <w:bookmarkEnd w:id="561"/>
      <w:bookmarkStart w:id="562" w:name="_Toc31804_WPSOffice_Level2"/>
      <w:bookmarkStart w:id="563" w:name="_Toc7716_WPSOffice_Level2"/>
      <w:bookmarkStart w:id="564" w:name="_Toc7020"/>
      <w:bookmarkStart w:id="565" w:name="_Toc494321544"/>
      <w:bookmarkStart w:id="566" w:name="_Toc32361"/>
      <w:bookmarkStart w:id="567" w:name="_Toc13056_WPSOffice_Level2"/>
      <w:bookmarkStart w:id="568" w:name="_Toc9918"/>
    </w:p>
    <w:p w14:paraId="28077BE6">
      <w:pPr>
        <w:pStyle w:val="3"/>
        <w:spacing w:line="360" w:lineRule="auto"/>
        <w:jc w:val="center"/>
        <w:rPr>
          <w:rFonts w:hint="eastAsia" w:ascii="宋体" w:hAnsi="宋体" w:eastAsia="宋体" w:cs="宋体"/>
          <w:sz w:val="24"/>
          <w:szCs w:val="24"/>
        </w:rPr>
      </w:pPr>
      <w:bookmarkStart w:id="569" w:name="_Toc3212"/>
      <w:bookmarkStart w:id="570" w:name="_Toc4050"/>
      <w:bookmarkStart w:id="571" w:name="_Toc16643"/>
      <w:bookmarkStart w:id="572" w:name="_Toc27065"/>
      <w:r>
        <w:rPr>
          <w:rFonts w:hint="eastAsia" w:ascii="宋体" w:hAnsi="宋体" w:eastAsia="宋体" w:cs="宋体"/>
          <w:sz w:val="24"/>
          <w:szCs w:val="24"/>
        </w:rPr>
        <w:t>（一）供应商基本情况表</w:t>
      </w:r>
      <w:bookmarkEnd w:id="562"/>
      <w:bookmarkEnd w:id="563"/>
      <w:bookmarkEnd w:id="564"/>
      <w:bookmarkEnd w:id="565"/>
      <w:bookmarkEnd w:id="566"/>
      <w:bookmarkEnd w:id="567"/>
      <w:bookmarkEnd w:id="568"/>
      <w:bookmarkEnd w:id="569"/>
      <w:bookmarkEnd w:id="570"/>
      <w:bookmarkEnd w:id="571"/>
      <w:bookmarkEnd w:id="572"/>
    </w:p>
    <w:tbl>
      <w:tblPr>
        <w:tblStyle w:val="30"/>
        <w:tblW w:w="5814" w:type="pct"/>
        <w:jc w:val="center"/>
        <w:tblLayout w:type="autofit"/>
        <w:tblCellMar>
          <w:top w:w="0" w:type="dxa"/>
          <w:left w:w="0" w:type="dxa"/>
          <w:bottom w:w="0" w:type="dxa"/>
          <w:right w:w="0" w:type="dxa"/>
        </w:tblCellMar>
      </w:tblPr>
      <w:tblGrid>
        <w:gridCol w:w="2539"/>
        <w:gridCol w:w="1248"/>
        <w:gridCol w:w="2181"/>
        <w:gridCol w:w="1221"/>
        <w:gridCol w:w="2469"/>
      </w:tblGrid>
      <w:tr w14:paraId="43DEBC4D">
        <w:tblPrEx>
          <w:tblCellMar>
            <w:top w:w="0" w:type="dxa"/>
            <w:left w:w="0" w:type="dxa"/>
            <w:bottom w:w="0" w:type="dxa"/>
            <w:right w:w="0" w:type="dxa"/>
          </w:tblCellMar>
        </w:tblPrEx>
        <w:trPr>
          <w:trHeight w:val="615" w:hRule="exact"/>
          <w:jc w:val="center"/>
        </w:trPr>
        <w:tc>
          <w:tcPr>
            <w:tcW w:w="1314" w:type="pct"/>
            <w:tcBorders>
              <w:top w:val="single" w:color="000000" w:sz="4" w:space="0"/>
              <w:left w:val="single" w:color="000000" w:sz="4" w:space="0"/>
              <w:bottom w:val="single" w:color="000000" w:sz="4" w:space="0"/>
              <w:right w:val="single" w:color="000000" w:sz="4" w:space="0"/>
            </w:tcBorders>
            <w:vAlign w:val="center"/>
          </w:tcPr>
          <w:p w14:paraId="422900FE">
            <w:pPr>
              <w:jc w:val="center"/>
              <w:rPr>
                <w:rFonts w:hint="eastAsia" w:ascii="宋体" w:hAnsi="宋体" w:cs="宋体"/>
                <w:sz w:val="24"/>
              </w:rPr>
            </w:pPr>
            <w:r>
              <w:rPr>
                <w:rFonts w:hint="eastAsia" w:ascii="宋体" w:hAnsi="宋体" w:cs="宋体"/>
                <w:sz w:val="24"/>
              </w:rPr>
              <w:t>供应商名称</w:t>
            </w:r>
          </w:p>
        </w:tc>
        <w:tc>
          <w:tcPr>
            <w:tcW w:w="3685" w:type="pct"/>
            <w:gridSpan w:val="4"/>
            <w:tcBorders>
              <w:top w:val="single" w:color="000000" w:sz="4" w:space="0"/>
              <w:left w:val="single" w:color="000000" w:sz="4" w:space="0"/>
              <w:bottom w:val="single" w:color="000000" w:sz="4" w:space="0"/>
              <w:right w:val="single" w:color="000000" w:sz="4" w:space="0"/>
            </w:tcBorders>
          </w:tcPr>
          <w:p w14:paraId="3A17F354">
            <w:pPr>
              <w:jc w:val="center"/>
              <w:rPr>
                <w:rFonts w:hint="eastAsia" w:ascii="宋体" w:hAnsi="宋体" w:cs="宋体"/>
                <w:sz w:val="24"/>
              </w:rPr>
            </w:pPr>
          </w:p>
        </w:tc>
      </w:tr>
      <w:tr w14:paraId="2669C814">
        <w:tblPrEx>
          <w:tblCellMar>
            <w:top w:w="0" w:type="dxa"/>
            <w:left w:w="0" w:type="dxa"/>
            <w:bottom w:w="0" w:type="dxa"/>
            <w:right w:w="0" w:type="dxa"/>
          </w:tblCellMar>
        </w:tblPrEx>
        <w:trPr>
          <w:trHeight w:val="615" w:hRule="exact"/>
          <w:jc w:val="center"/>
        </w:trPr>
        <w:tc>
          <w:tcPr>
            <w:tcW w:w="1314" w:type="pct"/>
            <w:tcBorders>
              <w:top w:val="single" w:color="000000" w:sz="4" w:space="0"/>
              <w:left w:val="single" w:color="000000" w:sz="4" w:space="0"/>
              <w:bottom w:val="single" w:color="000000" w:sz="4" w:space="0"/>
              <w:right w:val="single" w:color="000000" w:sz="4" w:space="0"/>
            </w:tcBorders>
            <w:vAlign w:val="center"/>
          </w:tcPr>
          <w:p w14:paraId="52EAA732">
            <w:pPr>
              <w:jc w:val="center"/>
              <w:rPr>
                <w:rFonts w:hint="eastAsia" w:ascii="宋体" w:hAnsi="宋体" w:cs="宋体"/>
                <w:sz w:val="24"/>
              </w:rPr>
            </w:pPr>
            <w:r>
              <w:rPr>
                <w:rFonts w:hint="eastAsia" w:ascii="宋体" w:hAnsi="宋体" w:cs="宋体"/>
                <w:sz w:val="24"/>
              </w:rPr>
              <w:t>注册资金</w:t>
            </w:r>
          </w:p>
        </w:tc>
        <w:tc>
          <w:tcPr>
            <w:tcW w:w="1775" w:type="pct"/>
            <w:gridSpan w:val="2"/>
            <w:tcBorders>
              <w:top w:val="single" w:color="000000" w:sz="4" w:space="0"/>
              <w:left w:val="single" w:color="000000" w:sz="4" w:space="0"/>
              <w:bottom w:val="single" w:color="000000" w:sz="4" w:space="0"/>
              <w:right w:val="single" w:color="000000" w:sz="4" w:space="0"/>
            </w:tcBorders>
            <w:vAlign w:val="center"/>
          </w:tcPr>
          <w:p w14:paraId="0F1CFF1C">
            <w:pPr>
              <w:jc w:val="center"/>
              <w:rPr>
                <w:rFonts w:hint="eastAsia" w:ascii="宋体" w:hAnsi="宋体" w:cs="宋体"/>
                <w:sz w:val="24"/>
              </w:rPr>
            </w:pPr>
          </w:p>
        </w:tc>
        <w:tc>
          <w:tcPr>
            <w:tcW w:w="632" w:type="pct"/>
            <w:tcBorders>
              <w:top w:val="single" w:color="000000" w:sz="4" w:space="0"/>
              <w:left w:val="single" w:color="000000" w:sz="4" w:space="0"/>
              <w:bottom w:val="single" w:color="000000" w:sz="4" w:space="0"/>
              <w:right w:val="single" w:color="000000" w:sz="4" w:space="0"/>
            </w:tcBorders>
            <w:vAlign w:val="center"/>
          </w:tcPr>
          <w:p w14:paraId="667395C2">
            <w:pPr>
              <w:jc w:val="center"/>
              <w:rPr>
                <w:rFonts w:hint="eastAsia" w:ascii="宋体" w:hAnsi="宋体" w:cs="宋体"/>
                <w:sz w:val="24"/>
              </w:rPr>
            </w:pPr>
            <w:r>
              <w:rPr>
                <w:rFonts w:hint="eastAsia" w:ascii="宋体" w:hAnsi="宋体" w:cs="宋体"/>
                <w:sz w:val="24"/>
              </w:rPr>
              <w:t>成立时间</w:t>
            </w:r>
          </w:p>
        </w:tc>
        <w:tc>
          <w:tcPr>
            <w:tcW w:w="1277" w:type="pct"/>
            <w:tcBorders>
              <w:top w:val="single" w:color="000000" w:sz="4" w:space="0"/>
              <w:left w:val="single" w:color="000000" w:sz="4" w:space="0"/>
              <w:bottom w:val="single" w:color="000000" w:sz="4" w:space="0"/>
              <w:right w:val="single" w:color="000000" w:sz="4" w:space="0"/>
            </w:tcBorders>
            <w:vAlign w:val="center"/>
          </w:tcPr>
          <w:p w14:paraId="7B452357">
            <w:pPr>
              <w:jc w:val="center"/>
              <w:rPr>
                <w:rFonts w:hint="eastAsia" w:ascii="宋体" w:hAnsi="宋体" w:cs="宋体"/>
                <w:sz w:val="24"/>
              </w:rPr>
            </w:pPr>
          </w:p>
        </w:tc>
      </w:tr>
      <w:tr w14:paraId="13671B51">
        <w:tblPrEx>
          <w:tblCellMar>
            <w:top w:w="0" w:type="dxa"/>
            <w:left w:w="0" w:type="dxa"/>
            <w:bottom w:w="0" w:type="dxa"/>
            <w:right w:w="0" w:type="dxa"/>
          </w:tblCellMar>
        </w:tblPrEx>
        <w:trPr>
          <w:trHeight w:val="615" w:hRule="exact"/>
          <w:jc w:val="center"/>
        </w:trPr>
        <w:tc>
          <w:tcPr>
            <w:tcW w:w="1314" w:type="pct"/>
            <w:tcBorders>
              <w:top w:val="single" w:color="000000" w:sz="4" w:space="0"/>
              <w:left w:val="single" w:color="000000" w:sz="4" w:space="0"/>
              <w:bottom w:val="single" w:color="000000" w:sz="4" w:space="0"/>
              <w:right w:val="single" w:color="000000" w:sz="4" w:space="0"/>
            </w:tcBorders>
            <w:vAlign w:val="center"/>
          </w:tcPr>
          <w:p w14:paraId="432D6A54">
            <w:pPr>
              <w:jc w:val="center"/>
              <w:rPr>
                <w:rFonts w:hint="eastAsia" w:ascii="宋体" w:hAnsi="宋体" w:cs="宋体"/>
                <w:sz w:val="24"/>
              </w:rPr>
            </w:pPr>
            <w:r>
              <w:rPr>
                <w:rFonts w:hint="eastAsia" w:ascii="宋体" w:hAnsi="宋体" w:cs="宋体"/>
                <w:sz w:val="24"/>
              </w:rPr>
              <w:t>注册地址</w:t>
            </w:r>
          </w:p>
        </w:tc>
        <w:tc>
          <w:tcPr>
            <w:tcW w:w="3685" w:type="pct"/>
            <w:gridSpan w:val="4"/>
            <w:tcBorders>
              <w:top w:val="single" w:color="000000" w:sz="4" w:space="0"/>
              <w:left w:val="single" w:color="000000" w:sz="4" w:space="0"/>
              <w:bottom w:val="single" w:color="000000" w:sz="4" w:space="0"/>
              <w:right w:val="single" w:color="000000" w:sz="4" w:space="0"/>
            </w:tcBorders>
            <w:vAlign w:val="center"/>
          </w:tcPr>
          <w:p w14:paraId="4054E1CC">
            <w:pPr>
              <w:jc w:val="center"/>
              <w:rPr>
                <w:rFonts w:hint="eastAsia" w:ascii="宋体" w:hAnsi="宋体" w:cs="宋体"/>
                <w:sz w:val="24"/>
              </w:rPr>
            </w:pPr>
          </w:p>
        </w:tc>
      </w:tr>
      <w:tr w14:paraId="13AC2AE4">
        <w:tblPrEx>
          <w:tblCellMar>
            <w:top w:w="0" w:type="dxa"/>
            <w:left w:w="0" w:type="dxa"/>
            <w:bottom w:w="0" w:type="dxa"/>
            <w:right w:w="0" w:type="dxa"/>
          </w:tblCellMar>
        </w:tblPrEx>
        <w:trPr>
          <w:trHeight w:val="615" w:hRule="exact"/>
          <w:jc w:val="center"/>
        </w:trPr>
        <w:tc>
          <w:tcPr>
            <w:tcW w:w="1314" w:type="pct"/>
            <w:tcBorders>
              <w:top w:val="single" w:color="000000" w:sz="4" w:space="0"/>
              <w:left w:val="single" w:color="000000" w:sz="4" w:space="0"/>
              <w:bottom w:val="single" w:color="000000" w:sz="4" w:space="0"/>
              <w:right w:val="single" w:color="000000" w:sz="4" w:space="0"/>
            </w:tcBorders>
            <w:vAlign w:val="center"/>
          </w:tcPr>
          <w:p w14:paraId="758F9B7C">
            <w:pPr>
              <w:jc w:val="center"/>
              <w:rPr>
                <w:rFonts w:hint="eastAsia" w:ascii="宋体" w:hAnsi="宋体" w:cs="宋体"/>
                <w:sz w:val="24"/>
              </w:rPr>
            </w:pPr>
            <w:r>
              <w:rPr>
                <w:rFonts w:hint="eastAsia" w:ascii="宋体" w:hAnsi="宋体" w:cs="宋体"/>
                <w:sz w:val="24"/>
              </w:rPr>
              <w:t>邮政编码</w:t>
            </w:r>
          </w:p>
        </w:tc>
        <w:tc>
          <w:tcPr>
            <w:tcW w:w="1775" w:type="pct"/>
            <w:gridSpan w:val="2"/>
            <w:tcBorders>
              <w:top w:val="single" w:color="000000" w:sz="4" w:space="0"/>
              <w:left w:val="single" w:color="000000" w:sz="4" w:space="0"/>
              <w:bottom w:val="single" w:color="000000" w:sz="4" w:space="0"/>
              <w:right w:val="single" w:color="000000" w:sz="4" w:space="0"/>
            </w:tcBorders>
            <w:vAlign w:val="center"/>
          </w:tcPr>
          <w:p w14:paraId="214CD291">
            <w:pPr>
              <w:jc w:val="center"/>
              <w:rPr>
                <w:rFonts w:hint="eastAsia" w:ascii="宋体" w:hAnsi="宋体" w:cs="宋体"/>
                <w:sz w:val="24"/>
              </w:rPr>
            </w:pPr>
          </w:p>
        </w:tc>
        <w:tc>
          <w:tcPr>
            <w:tcW w:w="632" w:type="pct"/>
            <w:tcBorders>
              <w:top w:val="single" w:color="000000" w:sz="4" w:space="0"/>
              <w:left w:val="single" w:color="000000" w:sz="4" w:space="0"/>
              <w:bottom w:val="single" w:color="000000" w:sz="4" w:space="0"/>
              <w:right w:val="single" w:color="000000" w:sz="4" w:space="0"/>
            </w:tcBorders>
            <w:vAlign w:val="center"/>
          </w:tcPr>
          <w:p w14:paraId="1B36DB85">
            <w:pPr>
              <w:jc w:val="center"/>
              <w:rPr>
                <w:rFonts w:hint="eastAsia" w:ascii="宋体" w:hAnsi="宋体" w:cs="宋体"/>
                <w:sz w:val="24"/>
              </w:rPr>
            </w:pPr>
            <w:r>
              <w:rPr>
                <w:rFonts w:hint="eastAsia" w:ascii="宋体" w:hAnsi="宋体" w:cs="宋体"/>
                <w:sz w:val="24"/>
              </w:rPr>
              <w:t>员工总数</w:t>
            </w:r>
          </w:p>
        </w:tc>
        <w:tc>
          <w:tcPr>
            <w:tcW w:w="1277" w:type="pct"/>
            <w:tcBorders>
              <w:top w:val="single" w:color="000000" w:sz="4" w:space="0"/>
              <w:left w:val="single" w:color="000000" w:sz="4" w:space="0"/>
              <w:bottom w:val="single" w:color="000000" w:sz="4" w:space="0"/>
              <w:right w:val="single" w:color="000000" w:sz="4" w:space="0"/>
            </w:tcBorders>
            <w:vAlign w:val="center"/>
          </w:tcPr>
          <w:p w14:paraId="229044CD">
            <w:pPr>
              <w:jc w:val="center"/>
              <w:rPr>
                <w:rFonts w:hint="eastAsia" w:ascii="宋体" w:hAnsi="宋体" w:cs="宋体"/>
                <w:sz w:val="24"/>
              </w:rPr>
            </w:pPr>
          </w:p>
        </w:tc>
      </w:tr>
      <w:tr w14:paraId="60AC2D86">
        <w:tblPrEx>
          <w:tblCellMar>
            <w:top w:w="0" w:type="dxa"/>
            <w:left w:w="0" w:type="dxa"/>
            <w:bottom w:w="0" w:type="dxa"/>
            <w:right w:w="0" w:type="dxa"/>
          </w:tblCellMar>
        </w:tblPrEx>
        <w:trPr>
          <w:trHeight w:val="615" w:hRule="exact"/>
          <w:jc w:val="center"/>
        </w:trPr>
        <w:tc>
          <w:tcPr>
            <w:tcW w:w="1314" w:type="pct"/>
            <w:vMerge w:val="restart"/>
            <w:tcBorders>
              <w:top w:val="single" w:color="000000" w:sz="4" w:space="0"/>
              <w:left w:val="single" w:color="000000" w:sz="4" w:space="0"/>
              <w:bottom w:val="single" w:color="000000" w:sz="4" w:space="0"/>
              <w:right w:val="single" w:color="000000" w:sz="4" w:space="0"/>
            </w:tcBorders>
            <w:vAlign w:val="center"/>
          </w:tcPr>
          <w:p w14:paraId="4EF62C11">
            <w:pPr>
              <w:jc w:val="center"/>
              <w:rPr>
                <w:rFonts w:hint="eastAsia" w:ascii="宋体" w:hAnsi="宋体" w:cs="宋体"/>
                <w:sz w:val="24"/>
              </w:rPr>
            </w:pPr>
            <w:r>
              <w:rPr>
                <w:rFonts w:hint="eastAsia" w:ascii="宋体" w:hAnsi="宋体" w:cs="宋体"/>
                <w:sz w:val="24"/>
              </w:rPr>
              <w:t>联系方式</w:t>
            </w:r>
          </w:p>
        </w:tc>
        <w:tc>
          <w:tcPr>
            <w:tcW w:w="646" w:type="pct"/>
            <w:tcBorders>
              <w:top w:val="single" w:color="000000" w:sz="4" w:space="0"/>
              <w:left w:val="single" w:color="000000" w:sz="4" w:space="0"/>
              <w:bottom w:val="single" w:color="000000" w:sz="4" w:space="0"/>
              <w:right w:val="single" w:color="000000" w:sz="4" w:space="0"/>
            </w:tcBorders>
            <w:vAlign w:val="center"/>
          </w:tcPr>
          <w:p w14:paraId="55056DB4">
            <w:pPr>
              <w:jc w:val="center"/>
              <w:rPr>
                <w:rFonts w:hint="eastAsia" w:ascii="宋体" w:hAnsi="宋体" w:cs="宋体"/>
                <w:sz w:val="24"/>
              </w:rPr>
            </w:pPr>
            <w:r>
              <w:rPr>
                <w:rFonts w:hint="eastAsia" w:ascii="宋体" w:hAnsi="宋体" w:cs="宋体"/>
                <w:sz w:val="24"/>
              </w:rPr>
              <w:t>联系人</w:t>
            </w:r>
          </w:p>
        </w:tc>
        <w:tc>
          <w:tcPr>
            <w:tcW w:w="1129" w:type="pct"/>
            <w:tcBorders>
              <w:top w:val="single" w:color="000000" w:sz="4" w:space="0"/>
              <w:left w:val="single" w:color="000000" w:sz="4" w:space="0"/>
              <w:bottom w:val="single" w:color="000000" w:sz="4" w:space="0"/>
              <w:right w:val="single" w:color="000000" w:sz="4" w:space="0"/>
            </w:tcBorders>
            <w:vAlign w:val="center"/>
          </w:tcPr>
          <w:p w14:paraId="4C4E70F3">
            <w:pPr>
              <w:jc w:val="center"/>
              <w:rPr>
                <w:rFonts w:hint="eastAsia" w:ascii="宋体" w:hAnsi="宋体" w:cs="宋体"/>
                <w:sz w:val="24"/>
              </w:rPr>
            </w:pPr>
          </w:p>
        </w:tc>
        <w:tc>
          <w:tcPr>
            <w:tcW w:w="632" w:type="pct"/>
            <w:tcBorders>
              <w:top w:val="single" w:color="000000" w:sz="4" w:space="0"/>
              <w:left w:val="single" w:color="000000" w:sz="4" w:space="0"/>
              <w:bottom w:val="single" w:color="000000" w:sz="4" w:space="0"/>
              <w:right w:val="single" w:color="000000" w:sz="4" w:space="0"/>
            </w:tcBorders>
            <w:vAlign w:val="center"/>
          </w:tcPr>
          <w:p w14:paraId="784FFCF4">
            <w:pPr>
              <w:jc w:val="center"/>
              <w:rPr>
                <w:rFonts w:hint="eastAsia" w:ascii="宋体" w:hAnsi="宋体" w:cs="宋体"/>
                <w:sz w:val="24"/>
              </w:rPr>
            </w:pPr>
            <w:r>
              <w:rPr>
                <w:rFonts w:hint="eastAsia" w:ascii="宋体" w:hAnsi="宋体" w:cs="宋体"/>
                <w:sz w:val="24"/>
              </w:rPr>
              <w:t>电话</w:t>
            </w:r>
          </w:p>
        </w:tc>
        <w:tc>
          <w:tcPr>
            <w:tcW w:w="1277" w:type="pct"/>
            <w:tcBorders>
              <w:top w:val="single" w:color="000000" w:sz="4" w:space="0"/>
              <w:left w:val="single" w:color="000000" w:sz="4" w:space="0"/>
              <w:bottom w:val="single" w:color="000000" w:sz="4" w:space="0"/>
              <w:right w:val="single" w:color="000000" w:sz="4" w:space="0"/>
            </w:tcBorders>
            <w:vAlign w:val="center"/>
          </w:tcPr>
          <w:p w14:paraId="2FA82550">
            <w:pPr>
              <w:jc w:val="center"/>
              <w:rPr>
                <w:rFonts w:hint="eastAsia" w:ascii="宋体" w:hAnsi="宋体" w:cs="宋体"/>
                <w:sz w:val="24"/>
              </w:rPr>
            </w:pPr>
          </w:p>
        </w:tc>
      </w:tr>
      <w:tr w14:paraId="498C876F">
        <w:tblPrEx>
          <w:tblCellMar>
            <w:top w:w="0" w:type="dxa"/>
            <w:left w:w="0" w:type="dxa"/>
            <w:bottom w:w="0" w:type="dxa"/>
            <w:right w:w="0" w:type="dxa"/>
          </w:tblCellMar>
        </w:tblPrEx>
        <w:trPr>
          <w:trHeight w:val="615" w:hRule="exact"/>
          <w:jc w:val="center"/>
        </w:trPr>
        <w:tc>
          <w:tcPr>
            <w:tcW w:w="1314" w:type="pct"/>
            <w:vMerge w:val="continue"/>
            <w:tcBorders>
              <w:top w:val="single" w:color="000000" w:sz="4" w:space="0"/>
              <w:left w:val="single" w:color="000000" w:sz="4" w:space="0"/>
              <w:bottom w:val="single" w:color="000000" w:sz="4" w:space="0"/>
              <w:right w:val="single" w:color="000000" w:sz="4" w:space="0"/>
            </w:tcBorders>
            <w:vAlign w:val="center"/>
          </w:tcPr>
          <w:p w14:paraId="485B681D">
            <w:pPr>
              <w:jc w:val="center"/>
              <w:rPr>
                <w:rFonts w:hint="eastAsia" w:ascii="宋体" w:hAnsi="宋体" w:cs="宋体"/>
                <w:sz w:val="24"/>
              </w:rPr>
            </w:pPr>
          </w:p>
        </w:tc>
        <w:tc>
          <w:tcPr>
            <w:tcW w:w="646" w:type="pct"/>
            <w:tcBorders>
              <w:top w:val="single" w:color="000000" w:sz="4" w:space="0"/>
              <w:left w:val="single" w:color="000000" w:sz="4" w:space="0"/>
              <w:bottom w:val="single" w:color="000000" w:sz="4" w:space="0"/>
              <w:right w:val="single" w:color="000000" w:sz="4" w:space="0"/>
            </w:tcBorders>
            <w:vAlign w:val="center"/>
          </w:tcPr>
          <w:p w14:paraId="75B5F2BB">
            <w:pPr>
              <w:jc w:val="center"/>
              <w:rPr>
                <w:rFonts w:hint="eastAsia" w:ascii="宋体" w:hAnsi="宋体" w:cs="宋体"/>
                <w:sz w:val="24"/>
              </w:rPr>
            </w:pPr>
            <w:r>
              <w:rPr>
                <w:rFonts w:hint="eastAsia" w:ascii="宋体" w:hAnsi="宋体" w:cs="宋体"/>
                <w:sz w:val="24"/>
              </w:rPr>
              <w:t>网址</w:t>
            </w:r>
          </w:p>
        </w:tc>
        <w:tc>
          <w:tcPr>
            <w:tcW w:w="1129" w:type="pct"/>
            <w:tcBorders>
              <w:top w:val="single" w:color="000000" w:sz="4" w:space="0"/>
              <w:left w:val="single" w:color="000000" w:sz="4" w:space="0"/>
              <w:bottom w:val="single" w:color="000000" w:sz="4" w:space="0"/>
              <w:right w:val="single" w:color="000000" w:sz="4" w:space="0"/>
            </w:tcBorders>
            <w:vAlign w:val="center"/>
          </w:tcPr>
          <w:p w14:paraId="602DD3BD">
            <w:pPr>
              <w:jc w:val="center"/>
              <w:rPr>
                <w:rFonts w:hint="eastAsia" w:ascii="宋体" w:hAnsi="宋体" w:cs="宋体"/>
                <w:sz w:val="24"/>
              </w:rPr>
            </w:pPr>
          </w:p>
        </w:tc>
        <w:tc>
          <w:tcPr>
            <w:tcW w:w="632" w:type="pct"/>
            <w:tcBorders>
              <w:top w:val="single" w:color="000000" w:sz="4" w:space="0"/>
              <w:left w:val="single" w:color="000000" w:sz="4" w:space="0"/>
              <w:bottom w:val="single" w:color="000000" w:sz="4" w:space="0"/>
              <w:right w:val="single" w:color="000000" w:sz="4" w:space="0"/>
            </w:tcBorders>
            <w:vAlign w:val="center"/>
          </w:tcPr>
          <w:p w14:paraId="5920D166">
            <w:pPr>
              <w:jc w:val="center"/>
              <w:rPr>
                <w:rFonts w:hint="eastAsia" w:ascii="宋体" w:hAnsi="宋体" w:cs="宋体"/>
                <w:sz w:val="24"/>
              </w:rPr>
            </w:pPr>
            <w:r>
              <w:rPr>
                <w:rFonts w:hint="eastAsia" w:ascii="宋体" w:hAnsi="宋体" w:cs="宋体"/>
                <w:sz w:val="24"/>
              </w:rPr>
              <w:t>传真</w:t>
            </w:r>
          </w:p>
        </w:tc>
        <w:tc>
          <w:tcPr>
            <w:tcW w:w="1277" w:type="pct"/>
            <w:tcBorders>
              <w:top w:val="single" w:color="000000" w:sz="4" w:space="0"/>
              <w:left w:val="single" w:color="000000" w:sz="4" w:space="0"/>
              <w:bottom w:val="single" w:color="000000" w:sz="4" w:space="0"/>
              <w:right w:val="single" w:color="000000" w:sz="4" w:space="0"/>
            </w:tcBorders>
            <w:vAlign w:val="center"/>
          </w:tcPr>
          <w:p w14:paraId="5B0E2ACB">
            <w:pPr>
              <w:jc w:val="center"/>
              <w:rPr>
                <w:rFonts w:hint="eastAsia" w:ascii="宋体" w:hAnsi="宋体" w:cs="宋体"/>
                <w:sz w:val="24"/>
              </w:rPr>
            </w:pPr>
          </w:p>
        </w:tc>
      </w:tr>
      <w:tr w14:paraId="7B2F3CDC">
        <w:tblPrEx>
          <w:tblCellMar>
            <w:top w:w="0" w:type="dxa"/>
            <w:left w:w="0" w:type="dxa"/>
            <w:bottom w:w="0" w:type="dxa"/>
            <w:right w:w="0" w:type="dxa"/>
          </w:tblCellMar>
        </w:tblPrEx>
        <w:trPr>
          <w:trHeight w:val="1215" w:hRule="exact"/>
          <w:jc w:val="center"/>
        </w:trPr>
        <w:tc>
          <w:tcPr>
            <w:tcW w:w="1314" w:type="pct"/>
            <w:tcBorders>
              <w:top w:val="single" w:color="000000" w:sz="4" w:space="0"/>
              <w:left w:val="single" w:color="000000" w:sz="4" w:space="0"/>
              <w:bottom w:val="single" w:color="000000" w:sz="4" w:space="0"/>
              <w:right w:val="single" w:color="000000" w:sz="4" w:space="0"/>
            </w:tcBorders>
            <w:vAlign w:val="center"/>
          </w:tcPr>
          <w:p w14:paraId="2F34976D">
            <w:pPr>
              <w:jc w:val="center"/>
              <w:rPr>
                <w:rFonts w:hint="eastAsia" w:ascii="宋体" w:hAnsi="宋体" w:cs="宋体"/>
                <w:sz w:val="24"/>
              </w:rPr>
            </w:pPr>
            <w:r>
              <w:rPr>
                <w:rFonts w:hint="eastAsia" w:ascii="宋体" w:hAnsi="宋体" w:cs="宋体"/>
                <w:sz w:val="24"/>
              </w:rPr>
              <w:t>法定代表人</w:t>
            </w:r>
          </w:p>
          <w:p w14:paraId="0FA1EBDF">
            <w:pPr>
              <w:jc w:val="center"/>
              <w:rPr>
                <w:rFonts w:hint="eastAsia" w:ascii="宋体" w:hAnsi="宋体" w:cs="宋体"/>
                <w:sz w:val="24"/>
              </w:rPr>
            </w:pPr>
            <w:r>
              <w:rPr>
                <w:rFonts w:hint="eastAsia" w:ascii="宋体" w:hAnsi="宋体" w:cs="宋体"/>
                <w:sz w:val="24"/>
              </w:rPr>
              <w:t>（单位负责人）</w:t>
            </w:r>
          </w:p>
        </w:tc>
        <w:tc>
          <w:tcPr>
            <w:tcW w:w="646" w:type="pct"/>
            <w:tcBorders>
              <w:top w:val="single" w:color="000000" w:sz="4" w:space="0"/>
              <w:left w:val="single" w:color="000000" w:sz="4" w:space="0"/>
              <w:bottom w:val="single" w:color="000000" w:sz="4" w:space="0"/>
              <w:right w:val="single" w:color="000000" w:sz="4" w:space="0"/>
            </w:tcBorders>
            <w:vAlign w:val="center"/>
          </w:tcPr>
          <w:p w14:paraId="51E27120">
            <w:pPr>
              <w:jc w:val="center"/>
              <w:rPr>
                <w:rFonts w:hint="eastAsia" w:ascii="宋体" w:hAnsi="宋体" w:cs="宋体"/>
                <w:sz w:val="24"/>
              </w:rPr>
            </w:pPr>
            <w:r>
              <w:rPr>
                <w:rFonts w:hint="eastAsia" w:ascii="宋体" w:hAnsi="宋体" w:cs="宋体"/>
                <w:sz w:val="24"/>
              </w:rPr>
              <w:t>姓名</w:t>
            </w:r>
          </w:p>
        </w:tc>
        <w:tc>
          <w:tcPr>
            <w:tcW w:w="1129" w:type="pct"/>
            <w:tcBorders>
              <w:top w:val="single" w:color="000000" w:sz="4" w:space="0"/>
              <w:left w:val="single" w:color="000000" w:sz="4" w:space="0"/>
              <w:bottom w:val="single" w:color="000000" w:sz="4" w:space="0"/>
              <w:right w:val="single" w:color="000000" w:sz="4" w:space="0"/>
            </w:tcBorders>
            <w:vAlign w:val="center"/>
          </w:tcPr>
          <w:p w14:paraId="771AAB6B">
            <w:pPr>
              <w:jc w:val="center"/>
              <w:rPr>
                <w:rFonts w:hint="eastAsia" w:ascii="宋体" w:hAnsi="宋体" w:cs="宋体"/>
                <w:sz w:val="24"/>
              </w:rPr>
            </w:pPr>
          </w:p>
        </w:tc>
        <w:tc>
          <w:tcPr>
            <w:tcW w:w="632" w:type="pct"/>
            <w:tcBorders>
              <w:top w:val="single" w:color="000000" w:sz="4" w:space="0"/>
              <w:left w:val="single" w:color="000000" w:sz="4" w:space="0"/>
              <w:bottom w:val="single" w:color="000000" w:sz="4" w:space="0"/>
              <w:right w:val="single" w:color="000000" w:sz="4" w:space="0"/>
            </w:tcBorders>
            <w:vAlign w:val="center"/>
          </w:tcPr>
          <w:p w14:paraId="552F1D0F">
            <w:pPr>
              <w:jc w:val="center"/>
              <w:rPr>
                <w:rFonts w:hint="eastAsia" w:ascii="宋体" w:hAnsi="宋体" w:cs="宋体"/>
                <w:sz w:val="24"/>
              </w:rPr>
            </w:pPr>
            <w:r>
              <w:rPr>
                <w:rFonts w:hint="eastAsia" w:ascii="宋体" w:hAnsi="宋体" w:cs="宋体"/>
                <w:sz w:val="24"/>
              </w:rPr>
              <w:t>电话</w:t>
            </w:r>
          </w:p>
        </w:tc>
        <w:tc>
          <w:tcPr>
            <w:tcW w:w="1277" w:type="pct"/>
            <w:tcBorders>
              <w:top w:val="single" w:color="000000" w:sz="4" w:space="0"/>
              <w:left w:val="single" w:color="000000" w:sz="4" w:space="0"/>
              <w:bottom w:val="single" w:color="000000" w:sz="4" w:space="0"/>
              <w:right w:val="single" w:color="000000" w:sz="4" w:space="0"/>
            </w:tcBorders>
            <w:vAlign w:val="center"/>
          </w:tcPr>
          <w:p w14:paraId="0B7AA597">
            <w:pPr>
              <w:jc w:val="center"/>
              <w:rPr>
                <w:rFonts w:hint="eastAsia" w:ascii="宋体" w:hAnsi="宋体" w:cs="宋体"/>
                <w:sz w:val="24"/>
              </w:rPr>
            </w:pPr>
          </w:p>
        </w:tc>
      </w:tr>
      <w:tr w14:paraId="58A67738">
        <w:tblPrEx>
          <w:tblCellMar>
            <w:top w:w="0" w:type="dxa"/>
            <w:left w:w="0" w:type="dxa"/>
            <w:bottom w:w="0" w:type="dxa"/>
            <w:right w:w="0" w:type="dxa"/>
          </w:tblCellMar>
        </w:tblPrEx>
        <w:trPr>
          <w:trHeight w:val="615" w:hRule="exact"/>
          <w:jc w:val="center"/>
        </w:trPr>
        <w:tc>
          <w:tcPr>
            <w:tcW w:w="1314" w:type="pct"/>
            <w:tcBorders>
              <w:top w:val="single" w:color="000000" w:sz="4" w:space="0"/>
              <w:left w:val="single" w:color="000000" w:sz="4" w:space="0"/>
              <w:bottom w:val="single" w:color="000000" w:sz="4" w:space="0"/>
              <w:right w:val="single" w:color="000000" w:sz="4" w:space="0"/>
            </w:tcBorders>
            <w:vAlign w:val="center"/>
          </w:tcPr>
          <w:p w14:paraId="5E3ECE2A">
            <w:pPr>
              <w:jc w:val="center"/>
              <w:rPr>
                <w:rFonts w:hint="eastAsia" w:ascii="宋体" w:hAnsi="宋体" w:cs="宋体"/>
                <w:sz w:val="24"/>
              </w:rPr>
            </w:pPr>
            <w:r>
              <w:rPr>
                <w:rFonts w:hint="eastAsia" w:ascii="宋体" w:hAnsi="宋体" w:cs="宋体"/>
                <w:sz w:val="24"/>
              </w:rPr>
              <w:t>基本账户开户银行</w:t>
            </w:r>
          </w:p>
        </w:tc>
        <w:tc>
          <w:tcPr>
            <w:tcW w:w="3685" w:type="pct"/>
            <w:gridSpan w:val="4"/>
            <w:tcBorders>
              <w:top w:val="single" w:color="000000" w:sz="4" w:space="0"/>
              <w:left w:val="single" w:color="000000" w:sz="4" w:space="0"/>
              <w:bottom w:val="single" w:color="000000" w:sz="4" w:space="0"/>
              <w:right w:val="single" w:color="000000" w:sz="4" w:space="0"/>
            </w:tcBorders>
            <w:vAlign w:val="center"/>
          </w:tcPr>
          <w:p w14:paraId="2A78000B">
            <w:pPr>
              <w:jc w:val="center"/>
              <w:rPr>
                <w:rFonts w:hint="eastAsia" w:ascii="宋体" w:hAnsi="宋体" w:cs="宋体"/>
                <w:sz w:val="24"/>
              </w:rPr>
            </w:pPr>
          </w:p>
        </w:tc>
      </w:tr>
      <w:tr w14:paraId="0F66E377">
        <w:tblPrEx>
          <w:tblCellMar>
            <w:top w:w="0" w:type="dxa"/>
            <w:left w:w="0" w:type="dxa"/>
            <w:bottom w:w="0" w:type="dxa"/>
            <w:right w:w="0" w:type="dxa"/>
          </w:tblCellMar>
        </w:tblPrEx>
        <w:trPr>
          <w:trHeight w:val="615" w:hRule="exact"/>
          <w:jc w:val="center"/>
        </w:trPr>
        <w:tc>
          <w:tcPr>
            <w:tcW w:w="1314" w:type="pct"/>
            <w:tcBorders>
              <w:top w:val="single" w:color="000000" w:sz="4" w:space="0"/>
              <w:left w:val="single" w:color="000000" w:sz="4" w:space="0"/>
              <w:bottom w:val="single" w:color="000000" w:sz="4" w:space="0"/>
              <w:right w:val="single" w:color="000000" w:sz="4" w:space="0"/>
            </w:tcBorders>
            <w:vAlign w:val="center"/>
          </w:tcPr>
          <w:p w14:paraId="0538754A">
            <w:pPr>
              <w:jc w:val="center"/>
              <w:rPr>
                <w:rFonts w:hint="eastAsia" w:ascii="宋体" w:hAnsi="宋体" w:cs="宋体"/>
                <w:sz w:val="24"/>
              </w:rPr>
            </w:pPr>
            <w:r>
              <w:rPr>
                <w:rFonts w:hint="eastAsia" w:ascii="宋体" w:hAnsi="宋体" w:cs="宋体"/>
                <w:sz w:val="24"/>
              </w:rPr>
              <w:t>基本账户银行账号</w:t>
            </w:r>
          </w:p>
        </w:tc>
        <w:tc>
          <w:tcPr>
            <w:tcW w:w="3685" w:type="pct"/>
            <w:gridSpan w:val="4"/>
            <w:tcBorders>
              <w:top w:val="single" w:color="000000" w:sz="4" w:space="0"/>
              <w:left w:val="single" w:color="000000" w:sz="4" w:space="0"/>
              <w:bottom w:val="single" w:color="000000" w:sz="4" w:space="0"/>
              <w:right w:val="single" w:color="000000" w:sz="4" w:space="0"/>
            </w:tcBorders>
            <w:vAlign w:val="center"/>
          </w:tcPr>
          <w:p w14:paraId="61F85878">
            <w:pPr>
              <w:jc w:val="center"/>
              <w:rPr>
                <w:rFonts w:hint="eastAsia" w:ascii="宋体" w:hAnsi="宋体" w:cs="宋体"/>
                <w:sz w:val="24"/>
              </w:rPr>
            </w:pPr>
          </w:p>
        </w:tc>
      </w:tr>
      <w:tr w14:paraId="43CF1275">
        <w:tblPrEx>
          <w:tblCellMar>
            <w:top w:w="0" w:type="dxa"/>
            <w:left w:w="0" w:type="dxa"/>
            <w:bottom w:w="0" w:type="dxa"/>
            <w:right w:w="0" w:type="dxa"/>
          </w:tblCellMar>
        </w:tblPrEx>
        <w:trPr>
          <w:trHeight w:val="3611" w:hRule="exact"/>
          <w:jc w:val="center"/>
        </w:trPr>
        <w:tc>
          <w:tcPr>
            <w:tcW w:w="1314" w:type="pct"/>
            <w:tcBorders>
              <w:top w:val="single" w:color="000000" w:sz="4" w:space="0"/>
              <w:left w:val="single" w:color="000000" w:sz="4" w:space="0"/>
              <w:bottom w:val="single" w:color="000000" w:sz="4" w:space="0"/>
              <w:right w:val="single" w:color="000000" w:sz="4" w:space="0"/>
            </w:tcBorders>
            <w:vAlign w:val="center"/>
          </w:tcPr>
          <w:p w14:paraId="793106F9">
            <w:pPr>
              <w:jc w:val="center"/>
              <w:rPr>
                <w:rFonts w:hint="eastAsia" w:ascii="宋体" w:hAnsi="宋体" w:cs="宋体"/>
                <w:sz w:val="24"/>
              </w:rPr>
            </w:pPr>
            <w:r>
              <w:rPr>
                <w:rFonts w:hint="eastAsia" w:ascii="宋体" w:hAnsi="宋体" w:cs="宋体"/>
                <w:sz w:val="24"/>
              </w:rPr>
              <w:t>供应商关联企业情况（包括但不限于与供应商法定代表人（单位负责人）为同一人或者存在直接控股、管理关系的不同供应商）</w:t>
            </w:r>
          </w:p>
        </w:tc>
        <w:tc>
          <w:tcPr>
            <w:tcW w:w="3685" w:type="pct"/>
            <w:gridSpan w:val="4"/>
            <w:tcBorders>
              <w:top w:val="single" w:color="000000" w:sz="4" w:space="0"/>
              <w:left w:val="single" w:color="000000" w:sz="4" w:space="0"/>
              <w:bottom w:val="single" w:color="000000" w:sz="4" w:space="0"/>
              <w:right w:val="single" w:color="000000" w:sz="4" w:space="0"/>
            </w:tcBorders>
            <w:vAlign w:val="center"/>
          </w:tcPr>
          <w:p w14:paraId="68E567E1">
            <w:pPr>
              <w:jc w:val="center"/>
              <w:rPr>
                <w:rFonts w:hint="eastAsia" w:ascii="宋体" w:hAnsi="宋体" w:cs="宋体"/>
                <w:sz w:val="24"/>
              </w:rPr>
            </w:pPr>
          </w:p>
        </w:tc>
      </w:tr>
      <w:tr w14:paraId="3F9345C6">
        <w:tblPrEx>
          <w:tblCellMar>
            <w:top w:w="0" w:type="dxa"/>
            <w:left w:w="0" w:type="dxa"/>
            <w:bottom w:w="0" w:type="dxa"/>
            <w:right w:w="0" w:type="dxa"/>
          </w:tblCellMar>
        </w:tblPrEx>
        <w:trPr>
          <w:trHeight w:val="696" w:hRule="exact"/>
          <w:jc w:val="center"/>
        </w:trPr>
        <w:tc>
          <w:tcPr>
            <w:tcW w:w="1314" w:type="pct"/>
            <w:tcBorders>
              <w:top w:val="single" w:color="000000" w:sz="4" w:space="0"/>
              <w:left w:val="single" w:color="000000" w:sz="4" w:space="0"/>
              <w:bottom w:val="single" w:color="000000" w:sz="4" w:space="0"/>
              <w:right w:val="single" w:color="000000" w:sz="4" w:space="0"/>
            </w:tcBorders>
            <w:vAlign w:val="center"/>
          </w:tcPr>
          <w:p w14:paraId="7A03E5AC">
            <w:pPr>
              <w:jc w:val="center"/>
              <w:rPr>
                <w:rFonts w:hint="eastAsia" w:ascii="宋体" w:hAnsi="宋体" w:cs="宋体"/>
                <w:sz w:val="24"/>
              </w:rPr>
            </w:pPr>
            <w:r>
              <w:rPr>
                <w:rFonts w:hint="eastAsia" w:ascii="宋体" w:hAnsi="宋体" w:cs="宋体"/>
                <w:sz w:val="24"/>
              </w:rPr>
              <w:t>备注</w:t>
            </w:r>
          </w:p>
        </w:tc>
        <w:tc>
          <w:tcPr>
            <w:tcW w:w="3685" w:type="pct"/>
            <w:gridSpan w:val="4"/>
            <w:tcBorders>
              <w:top w:val="single" w:color="000000" w:sz="4" w:space="0"/>
              <w:left w:val="single" w:color="000000" w:sz="4" w:space="0"/>
              <w:bottom w:val="single" w:color="000000" w:sz="4" w:space="0"/>
              <w:right w:val="single" w:color="000000" w:sz="4" w:space="0"/>
            </w:tcBorders>
            <w:vAlign w:val="center"/>
          </w:tcPr>
          <w:p w14:paraId="028EE928">
            <w:pPr>
              <w:jc w:val="center"/>
              <w:rPr>
                <w:rFonts w:hint="eastAsia" w:ascii="宋体" w:hAnsi="宋体" w:cs="宋体"/>
                <w:sz w:val="24"/>
              </w:rPr>
            </w:pPr>
          </w:p>
        </w:tc>
      </w:tr>
    </w:tbl>
    <w:p w14:paraId="0FE89726">
      <w:pPr>
        <w:spacing w:line="360" w:lineRule="auto"/>
        <w:ind w:right="420"/>
        <w:rPr>
          <w:rFonts w:hint="eastAsia" w:ascii="宋体" w:hAnsi="宋体" w:cs="宋体"/>
          <w:sz w:val="24"/>
        </w:rPr>
      </w:pPr>
    </w:p>
    <w:p w14:paraId="68FB4B98">
      <w:pPr>
        <w:pStyle w:val="3"/>
        <w:spacing w:line="360" w:lineRule="auto"/>
        <w:rPr>
          <w:rFonts w:hint="eastAsia" w:ascii="宋体" w:hAnsi="宋体" w:eastAsia="宋体" w:cs="宋体"/>
          <w:sz w:val="24"/>
          <w:szCs w:val="24"/>
        </w:rPr>
        <w:sectPr>
          <w:pgSz w:w="11906" w:h="16838"/>
          <w:pgMar w:top="1440" w:right="1800" w:bottom="1440" w:left="1800" w:header="851" w:footer="992" w:gutter="0"/>
          <w:cols w:space="425" w:num="1"/>
          <w:docGrid w:type="lines" w:linePitch="312" w:charSpace="0"/>
        </w:sectPr>
      </w:pPr>
      <w:bookmarkStart w:id="573" w:name="_Toc20625"/>
      <w:bookmarkStart w:id="574" w:name="_Toc29697"/>
    </w:p>
    <w:bookmarkEnd w:id="573"/>
    <w:bookmarkEnd w:id="574"/>
    <w:p w14:paraId="0B8FE84E">
      <w:pPr>
        <w:adjustRightInd w:val="0"/>
        <w:spacing w:line="360" w:lineRule="auto"/>
        <w:jc w:val="center"/>
        <w:textAlignment w:val="baseline"/>
        <w:rPr>
          <w:rFonts w:hint="eastAsia" w:ascii="宋体" w:hAnsi="宋体" w:cs="宋体"/>
          <w:sz w:val="24"/>
        </w:rPr>
      </w:pPr>
      <w:r>
        <w:rPr>
          <w:rFonts w:hint="eastAsia" w:ascii="宋体" w:hAnsi="宋体" w:cs="宋体"/>
          <w:b/>
          <w:bCs/>
          <w:sz w:val="24"/>
        </w:rPr>
        <w:t>（二）具有独立承担民事责任的能力</w:t>
      </w:r>
    </w:p>
    <w:p w14:paraId="2ACFA2E6">
      <w:pPr>
        <w:adjustRightInd w:val="0"/>
        <w:spacing w:line="360" w:lineRule="auto"/>
        <w:jc w:val="center"/>
        <w:textAlignment w:val="baseline"/>
        <w:rPr>
          <w:rFonts w:hint="eastAsia" w:ascii="宋体" w:hAnsi="宋体" w:cs="宋体"/>
          <w:sz w:val="24"/>
        </w:rPr>
      </w:pPr>
      <w:r>
        <w:rPr>
          <w:rFonts w:hint="eastAsia" w:ascii="宋体" w:hAnsi="宋体" w:cs="宋体"/>
          <w:sz w:val="24"/>
        </w:rPr>
        <w:t>在中华人民共和国境内具备履行合同所必需的设备和专业技术能力的法人或者其他组织或自然人，提供有效的营业执照或相关的证明文件；</w:t>
      </w:r>
    </w:p>
    <w:p w14:paraId="7AA90B9F">
      <w:pPr>
        <w:adjustRightInd w:val="0"/>
        <w:spacing w:line="360" w:lineRule="auto"/>
        <w:textAlignment w:val="baseline"/>
        <w:rPr>
          <w:rFonts w:hint="eastAsia" w:ascii="宋体" w:hAnsi="宋体" w:cs="宋体"/>
          <w:sz w:val="24"/>
        </w:rPr>
        <w:sectPr>
          <w:footerReference r:id="rId12" w:type="default"/>
          <w:pgSz w:w="11906" w:h="16838"/>
          <w:pgMar w:top="1440" w:right="1712" w:bottom="1440" w:left="1800" w:header="851" w:footer="992" w:gutter="0"/>
          <w:cols w:space="720" w:num="1"/>
          <w:docGrid w:type="lines" w:linePitch="312" w:charSpace="0"/>
        </w:sectPr>
      </w:pPr>
    </w:p>
    <w:p w14:paraId="422FCA33">
      <w:pPr>
        <w:numPr>
          <w:ilvl w:val="0"/>
          <w:numId w:val="8"/>
        </w:numPr>
        <w:adjustRightInd w:val="0"/>
        <w:spacing w:line="360" w:lineRule="auto"/>
        <w:jc w:val="center"/>
        <w:textAlignment w:val="baseline"/>
        <w:rPr>
          <w:rFonts w:hint="eastAsia" w:ascii="宋体" w:hAnsi="宋体" w:cs="宋体"/>
          <w:b/>
          <w:bCs/>
          <w:sz w:val="24"/>
        </w:rPr>
      </w:pPr>
      <w:r>
        <w:rPr>
          <w:rFonts w:hint="eastAsia" w:ascii="宋体" w:hAnsi="宋体" w:cs="宋体"/>
          <w:b/>
          <w:bCs/>
          <w:sz w:val="24"/>
        </w:rPr>
        <w:t>具有良好的商业信誉和健全的财务会计制度</w:t>
      </w:r>
    </w:p>
    <w:p w14:paraId="3E6CCEAF">
      <w:pPr>
        <w:adjustRightInd w:val="0"/>
        <w:spacing w:line="360" w:lineRule="auto"/>
        <w:jc w:val="center"/>
        <w:textAlignment w:val="baseline"/>
        <w:rPr>
          <w:rFonts w:hint="eastAsia" w:ascii="宋体" w:hAnsi="宋体" w:cs="宋体"/>
          <w:sz w:val="24"/>
        </w:rPr>
      </w:pPr>
      <w:r>
        <w:rPr>
          <w:rFonts w:hint="eastAsia" w:ascii="宋体" w:hAnsi="宋体" w:cs="宋体"/>
          <w:sz w:val="24"/>
        </w:rPr>
        <w:t>提供2025年度财务审计报告，新成立不足一年的供应商若无审计报告的可提供基本户开户银行开具的有效的资信证明。</w:t>
      </w:r>
    </w:p>
    <w:p w14:paraId="6F41E657">
      <w:pPr>
        <w:adjustRightInd w:val="0"/>
        <w:spacing w:line="360" w:lineRule="auto"/>
        <w:textAlignment w:val="baseline"/>
        <w:rPr>
          <w:rFonts w:hint="eastAsia" w:ascii="宋体" w:hAnsi="宋体" w:cs="宋体"/>
          <w:sz w:val="24"/>
        </w:rPr>
        <w:sectPr>
          <w:pgSz w:w="11906" w:h="16838"/>
          <w:pgMar w:top="1440" w:right="1712" w:bottom="1440" w:left="1800" w:header="851" w:footer="992" w:gutter="0"/>
          <w:cols w:space="720" w:num="1"/>
          <w:docGrid w:type="lines" w:linePitch="312" w:charSpace="0"/>
        </w:sectPr>
      </w:pPr>
    </w:p>
    <w:p w14:paraId="4E2E7E7B">
      <w:pPr>
        <w:numPr>
          <w:ilvl w:val="0"/>
          <w:numId w:val="8"/>
        </w:numPr>
        <w:adjustRightInd w:val="0"/>
        <w:spacing w:line="360" w:lineRule="auto"/>
        <w:jc w:val="center"/>
        <w:textAlignment w:val="baseline"/>
        <w:rPr>
          <w:rFonts w:hint="eastAsia" w:ascii="宋体" w:hAnsi="宋体" w:cs="宋体"/>
          <w:b/>
          <w:bCs/>
          <w:sz w:val="24"/>
        </w:rPr>
      </w:pPr>
      <w:r>
        <w:rPr>
          <w:rFonts w:hint="eastAsia" w:ascii="宋体" w:hAnsi="宋体" w:cs="宋体"/>
          <w:b/>
          <w:bCs/>
          <w:sz w:val="24"/>
        </w:rPr>
        <w:t>具有履行合同所必需的设备和专业技术能力</w:t>
      </w:r>
    </w:p>
    <w:p w14:paraId="68B71DA8">
      <w:pPr>
        <w:adjustRightInd w:val="0"/>
        <w:spacing w:line="360" w:lineRule="auto"/>
        <w:jc w:val="center"/>
        <w:textAlignment w:val="baseline"/>
        <w:rPr>
          <w:rFonts w:hint="eastAsia" w:ascii="宋体" w:hAnsi="宋体" w:cs="宋体"/>
          <w:sz w:val="24"/>
        </w:rPr>
      </w:pPr>
    </w:p>
    <w:p w14:paraId="53F9A23A">
      <w:pPr>
        <w:adjustRightInd w:val="0"/>
        <w:spacing w:line="360" w:lineRule="auto"/>
        <w:jc w:val="center"/>
        <w:textAlignment w:val="baseline"/>
        <w:rPr>
          <w:rFonts w:hint="eastAsia" w:ascii="宋体" w:hAnsi="宋体" w:cs="宋体"/>
          <w:sz w:val="24"/>
        </w:rPr>
      </w:pPr>
      <w:r>
        <w:rPr>
          <w:rFonts w:hint="eastAsia" w:ascii="宋体" w:hAnsi="宋体" w:cs="宋体"/>
          <w:sz w:val="24"/>
        </w:rPr>
        <w:t>提供承诺书，加盖公章；</w:t>
      </w:r>
    </w:p>
    <w:p w14:paraId="2AD17000">
      <w:pPr>
        <w:adjustRightInd w:val="0"/>
        <w:spacing w:line="360" w:lineRule="auto"/>
        <w:textAlignment w:val="baseline"/>
        <w:rPr>
          <w:rFonts w:hint="eastAsia" w:ascii="宋体" w:hAnsi="宋体" w:cs="宋体"/>
          <w:sz w:val="24"/>
        </w:rPr>
        <w:sectPr>
          <w:pgSz w:w="11906" w:h="16838"/>
          <w:pgMar w:top="1440" w:right="1712" w:bottom="1440" w:left="1800" w:header="851" w:footer="992" w:gutter="0"/>
          <w:cols w:space="720" w:num="1"/>
          <w:docGrid w:type="lines" w:linePitch="312" w:charSpace="0"/>
        </w:sectPr>
      </w:pPr>
    </w:p>
    <w:p w14:paraId="3FC27D2D">
      <w:pPr>
        <w:numPr>
          <w:ilvl w:val="0"/>
          <w:numId w:val="8"/>
        </w:numPr>
        <w:adjustRightInd w:val="0"/>
        <w:spacing w:line="360" w:lineRule="auto"/>
        <w:jc w:val="center"/>
        <w:textAlignment w:val="baseline"/>
        <w:rPr>
          <w:rFonts w:hint="eastAsia" w:ascii="宋体" w:hAnsi="宋体" w:cs="宋体"/>
          <w:b/>
          <w:bCs/>
          <w:sz w:val="24"/>
        </w:rPr>
      </w:pPr>
      <w:r>
        <w:rPr>
          <w:rFonts w:hint="eastAsia" w:ascii="宋体" w:hAnsi="宋体" w:cs="宋体"/>
          <w:b/>
          <w:bCs/>
          <w:sz w:val="24"/>
        </w:rPr>
        <w:t>有依法缴纳税收和社会保障资金的良好记录</w:t>
      </w:r>
    </w:p>
    <w:p w14:paraId="234904A3">
      <w:pPr>
        <w:adjustRightInd w:val="0"/>
        <w:spacing w:line="360" w:lineRule="auto"/>
        <w:textAlignment w:val="baseline"/>
        <w:rPr>
          <w:rFonts w:hint="eastAsia" w:ascii="宋体" w:hAnsi="宋体" w:cs="宋体"/>
          <w:sz w:val="24"/>
        </w:rPr>
      </w:pPr>
      <w:r>
        <w:rPr>
          <w:rFonts w:hint="eastAsia" w:ascii="宋体" w:hAnsi="宋体" w:cs="宋体"/>
          <w:sz w:val="24"/>
        </w:rPr>
        <w:t>提供2026年1月1日以来交纳的社保缴纳证明(电子缴款凭证或银行扣款回单或相关部门开具的票据)及纳税证明(电子缴款凭证或银行扣款回单或税局开具的凭据)，其中任意1个月即可,依法免税和不需要缴纳社会保障资金的供应商，应提供相应文件证明其依法免税或者不需要缴纳社会保障资金；</w:t>
      </w:r>
    </w:p>
    <w:p w14:paraId="43439A29">
      <w:pPr>
        <w:adjustRightInd w:val="0"/>
        <w:spacing w:line="360" w:lineRule="auto"/>
        <w:textAlignment w:val="baseline"/>
        <w:rPr>
          <w:rFonts w:hint="eastAsia" w:ascii="宋体" w:hAnsi="宋体" w:cs="宋体"/>
          <w:sz w:val="24"/>
        </w:rPr>
        <w:sectPr>
          <w:pgSz w:w="11906" w:h="16838"/>
          <w:pgMar w:top="1440" w:right="1712" w:bottom="1440" w:left="1800" w:header="851" w:footer="992" w:gutter="0"/>
          <w:cols w:space="720" w:num="1"/>
          <w:docGrid w:type="lines" w:linePitch="312" w:charSpace="0"/>
        </w:sectPr>
      </w:pPr>
    </w:p>
    <w:p w14:paraId="137DF289">
      <w:pPr>
        <w:numPr>
          <w:ilvl w:val="0"/>
          <w:numId w:val="8"/>
        </w:numPr>
        <w:adjustRightInd w:val="0"/>
        <w:spacing w:line="360" w:lineRule="auto"/>
        <w:jc w:val="center"/>
        <w:textAlignment w:val="baseline"/>
        <w:rPr>
          <w:rFonts w:hint="eastAsia" w:ascii="宋体" w:hAnsi="宋体" w:cs="宋体"/>
          <w:b/>
          <w:bCs/>
          <w:sz w:val="24"/>
        </w:rPr>
      </w:pPr>
      <w:r>
        <w:rPr>
          <w:rFonts w:hint="eastAsia" w:ascii="宋体" w:hAnsi="宋体" w:cs="宋体"/>
          <w:b/>
          <w:bCs/>
          <w:sz w:val="24"/>
        </w:rPr>
        <w:t>参加政府采购活动前三年内，在经营活动中没有重大违法记录的声明</w:t>
      </w:r>
    </w:p>
    <w:p w14:paraId="61CE2ADD">
      <w:pPr>
        <w:adjustRightInd w:val="0"/>
        <w:spacing w:line="360" w:lineRule="auto"/>
        <w:jc w:val="center"/>
        <w:textAlignment w:val="baseline"/>
        <w:rPr>
          <w:rFonts w:hint="eastAsia" w:ascii="宋体" w:hAnsi="宋体" w:cs="宋体"/>
          <w:sz w:val="24"/>
        </w:rPr>
      </w:pPr>
    </w:p>
    <w:p w14:paraId="3D4F49DC">
      <w:pPr>
        <w:adjustRightInd w:val="0"/>
        <w:spacing w:line="360" w:lineRule="auto"/>
        <w:jc w:val="center"/>
        <w:textAlignment w:val="baseline"/>
        <w:rPr>
          <w:rFonts w:hint="eastAsia" w:ascii="宋体" w:hAnsi="宋体" w:cs="宋体"/>
          <w:sz w:val="24"/>
        </w:rPr>
      </w:pPr>
      <w:r>
        <w:rPr>
          <w:rFonts w:hint="eastAsia" w:ascii="宋体" w:hAnsi="宋体" w:cs="宋体"/>
          <w:sz w:val="24"/>
        </w:rPr>
        <w:t>提供承诺书，加盖公章；</w:t>
      </w:r>
    </w:p>
    <w:p w14:paraId="25D15424">
      <w:pPr>
        <w:adjustRightInd w:val="0"/>
        <w:spacing w:line="360" w:lineRule="auto"/>
        <w:textAlignment w:val="baseline"/>
        <w:rPr>
          <w:rFonts w:hint="eastAsia" w:ascii="宋体" w:hAnsi="宋体" w:cs="宋体"/>
          <w:sz w:val="24"/>
        </w:rPr>
        <w:sectPr>
          <w:pgSz w:w="11906" w:h="16838"/>
          <w:pgMar w:top="1440" w:right="1712" w:bottom="1440" w:left="1800" w:header="851" w:footer="992" w:gutter="0"/>
          <w:cols w:space="720" w:num="1"/>
          <w:docGrid w:type="lines" w:linePitch="312" w:charSpace="0"/>
        </w:sectPr>
      </w:pPr>
    </w:p>
    <w:p w14:paraId="6A95AD09">
      <w:pPr>
        <w:spacing w:line="360" w:lineRule="auto"/>
        <w:jc w:val="center"/>
        <w:rPr>
          <w:rFonts w:hint="eastAsia" w:ascii="宋体" w:hAnsi="宋体" w:cs="宋体"/>
          <w:sz w:val="24"/>
        </w:rPr>
      </w:pPr>
      <w:bookmarkStart w:id="575" w:name="_Toc29345"/>
      <w:bookmarkStart w:id="576" w:name="_Toc49001012"/>
      <w:bookmarkStart w:id="577" w:name="_Toc1711"/>
      <w:r>
        <w:rPr>
          <w:rFonts w:hint="eastAsia" w:ascii="宋体" w:hAnsi="宋体" w:cs="宋体"/>
          <w:b/>
          <w:bCs/>
          <w:sz w:val="24"/>
        </w:rPr>
        <w:t>（七）供应商须知前附表要求的其他资格证明文件</w:t>
      </w:r>
      <w:bookmarkEnd w:id="575"/>
      <w:bookmarkEnd w:id="576"/>
      <w:bookmarkEnd w:id="577"/>
    </w:p>
    <w:p w14:paraId="0B1C28CF">
      <w:pPr>
        <w:spacing w:line="360" w:lineRule="auto"/>
        <w:ind w:firstLine="3645" w:firstLineChars="1500"/>
        <w:rPr>
          <w:rFonts w:hint="eastAsia" w:ascii="宋体" w:hAnsi="宋体" w:cs="宋体"/>
          <w:sz w:val="24"/>
        </w:rPr>
      </w:pPr>
    </w:p>
    <w:p w14:paraId="52564E50">
      <w:pPr>
        <w:spacing w:line="360" w:lineRule="auto"/>
        <w:ind w:firstLine="3645" w:firstLineChars="1500"/>
        <w:rPr>
          <w:rFonts w:hint="eastAsia" w:ascii="宋体" w:hAnsi="宋体" w:cs="宋体"/>
          <w:sz w:val="24"/>
        </w:rPr>
      </w:pPr>
    </w:p>
    <w:p w14:paraId="540726FB">
      <w:pPr>
        <w:ind w:left="420"/>
        <w:jc w:val="center"/>
        <w:rPr>
          <w:rFonts w:hint="eastAsia" w:ascii="宋体" w:hAnsi="宋体" w:cs="宋体"/>
          <w:sz w:val="28"/>
        </w:rPr>
      </w:pPr>
      <w:r>
        <w:rPr>
          <w:rFonts w:hint="eastAsia" w:ascii="宋体" w:hAnsi="宋体" w:cs="宋体"/>
          <w:b/>
          <w:bCs/>
          <w:sz w:val="30"/>
        </w:rPr>
        <w:br w:type="page"/>
      </w:r>
    </w:p>
    <w:p w14:paraId="316F55CF">
      <w:pPr>
        <w:spacing w:line="560" w:lineRule="exact"/>
        <w:jc w:val="center"/>
        <w:outlineLvl w:val="0"/>
        <w:rPr>
          <w:rFonts w:hint="eastAsia" w:ascii="宋体" w:hAnsi="宋体" w:cs="宋体"/>
          <w:sz w:val="24"/>
        </w:rPr>
      </w:pPr>
      <w:bookmarkStart w:id="578" w:name="_Toc21659"/>
      <w:bookmarkStart w:id="579" w:name="_Toc17712"/>
      <w:bookmarkStart w:id="580" w:name="_Toc559"/>
      <w:bookmarkStart w:id="581" w:name="_Toc5591"/>
      <w:bookmarkStart w:id="582" w:name="_Toc13034"/>
      <w:bookmarkStart w:id="583" w:name="_Toc22068"/>
      <w:bookmarkStart w:id="584" w:name="_Toc28175"/>
      <w:bookmarkStart w:id="585" w:name="_Toc26294"/>
      <w:r>
        <w:rPr>
          <w:rFonts w:hint="eastAsia" w:ascii="宋体" w:hAnsi="宋体" w:cs="宋体"/>
          <w:b/>
          <w:sz w:val="30"/>
          <w:szCs w:val="30"/>
        </w:rPr>
        <w:t>六</w:t>
      </w:r>
      <w:r>
        <w:rPr>
          <w:rFonts w:hint="eastAsia" w:ascii="宋体" w:hAnsi="宋体" w:cs="宋体"/>
          <w:b/>
          <w:sz w:val="30"/>
          <w:szCs w:val="30"/>
          <w:lang w:val="zh-CN"/>
        </w:rPr>
        <w:t>、</w:t>
      </w:r>
      <w:bookmarkEnd w:id="578"/>
      <w:bookmarkEnd w:id="579"/>
      <w:bookmarkEnd w:id="580"/>
      <w:bookmarkEnd w:id="581"/>
      <w:bookmarkEnd w:id="582"/>
      <w:bookmarkEnd w:id="583"/>
      <w:bookmarkEnd w:id="584"/>
      <w:bookmarkEnd w:id="585"/>
      <w:r>
        <w:rPr>
          <w:rFonts w:hint="eastAsia" w:ascii="宋体" w:hAnsi="宋体" w:cs="宋体"/>
          <w:b/>
          <w:sz w:val="30"/>
          <w:szCs w:val="30"/>
        </w:rPr>
        <w:t>技术部分</w:t>
      </w:r>
    </w:p>
    <w:p w14:paraId="173BABE3">
      <w:pPr>
        <w:spacing w:line="360" w:lineRule="auto"/>
        <w:rPr>
          <w:rFonts w:hint="eastAsia" w:ascii="宋体" w:hAnsi="宋体" w:cs="宋体"/>
          <w:sz w:val="24"/>
        </w:rPr>
      </w:pPr>
    </w:p>
    <w:p w14:paraId="673DD417">
      <w:pPr>
        <w:keepNext/>
        <w:autoSpaceDE w:val="0"/>
        <w:autoSpaceDN w:val="0"/>
        <w:adjustRightInd w:val="0"/>
        <w:spacing w:line="360" w:lineRule="auto"/>
        <w:jc w:val="center"/>
        <w:rPr>
          <w:rFonts w:hint="eastAsia" w:ascii="宋体" w:hAnsi="宋体" w:cs="宋体"/>
          <w:b/>
          <w:bCs/>
          <w:kern w:val="0"/>
          <w:sz w:val="24"/>
          <w:lang w:val="zh-CN"/>
        </w:rPr>
      </w:pPr>
      <w:r>
        <w:rPr>
          <w:rFonts w:hint="eastAsia" w:ascii="宋体" w:hAnsi="宋体" w:cs="宋体"/>
          <w:b/>
          <w:bCs/>
          <w:kern w:val="0"/>
          <w:sz w:val="24"/>
        </w:rPr>
        <w:t>（一）技术指标参数偏离表</w:t>
      </w:r>
    </w:p>
    <w:p w14:paraId="49FE7223">
      <w:pPr>
        <w:tabs>
          <w:tab w:val="left" w:pos="0"/>
        </w:tabs>
        <w:rPr>
          <w:rFonts w:hint="eastAsia" w:ascii="宋体" w:hAnsi="宋体" w:cs="宋体"/>
        </w:rPr>
      </w:pPr>
    </w:p>
    <w:tbl>
      <w:tblPr>
        <w:tblStyle w:val="30"/>
        <w:tblW w:w="5632" w:type="pct"/>
        <w:jc w:val="center"/>
        <w:tblLayout w:type="autofit"/>
        <w:tblCellMar>
          <w:top w:w="57" w:type="dxa"/>
          <w:left w:w="57" w:type="dxa"/>
          <w:bottom w:w="57" w:type="dxa"/>
          <w:right w:w="57" w:type="dxa"/>
        </w:tblCellMar>
      </w:tblPr>
      <w:tblGrid>
        <w:gridCol w:w="608"/>
        <w:gridCol w:w="1257"/>
        <w:gridCol w:w="2379"/>
        <w:gridCol w:w="2387"/>
        <w:gridCol w:w="1518"/>
        <w:gridCol w:w="1108"/>
        <w:gridCol w:w="1108"/>
      </w:tblGrid>
      <w:tr w14:paraId="590CD43B">
        <w:tblPrEx>
          <w:tblCellMar>
            <w:top w:w="57" w:type="dxa"/>
            <w:left w:w="57" w:type="dxa"/>
            <w:bottom w:w="57" w:type="dxa"/>
            <w:right w:w="57" w:type="dxa"/>
          </w:tblCellMar>
        </w:tblPrEx>
        <w:trPr>
          <w:trHeight w:val="752" w:hRule="atLeast"/>
          <w:jc w:val="center"/>
        </w:trPr>
        <w:tc>
          <w:tcPr>
            <w:tcW w:w="293" w:type="pct"/>
            <w:tcBorders>
              <w:top w:val="single" w:color="000000" w:sz="4" w:space="0"/>
              <w:left w:val="single" w:color="000000" w:sz="4" w:space="0"/>
              <w:bottom w:val="single" w:color="000000" w:sz="4" w:space="0"/>
              <w:right w:val="single" w:color="000000" w:sz="4" w:space="0"/>
            </w:tcBorders>
            <w:vAlign w:val="center"/>
          </w:tcPr>
          <w:p w14:paraId="416D8540">
            <w:pPr>
              <w:spacing w:before="79" w:beforeLines="25" w:after="79" w:afterLines="25"/>
              <w:jc w:val="center"/>
              <w:rPr>
                <w:rFonts w:hint="eastAsia" w:ascii="宋体" w:hAnsi="宋体" w:cs="宋体"/>
                <w:sz w:val="24"/>
              </w:rPr>
            </w:pPr>
            <w:r>
              <w:rPr>
                <w:rFonts w:hint="eastAsia" w:ascii="宋体" w:hAnsi="宋体" w:cs="宋体"/>
                <w:sz w:val="24"/>
              </w:rPr>
              <w:t>序号</w:t>
            </w:r>
          </w:p>
        </w:tc>
        <w:tc>
          <w:tcPr>
            <w:tcW w:w="606" w:type="pct"/>
            <w:tcBorders>
              <w:top w:val="single" w:color="000000" w:sz="4" w:space="0"/>
              <w:left w:val="single" w:color="000000" w:sz="4" w:space="0"/>
              <w:bottom w:val="single" w:color="000000" w:sz="4" w:space="0"/>
              <w:right w:val="single" w:color="000000" w:sz="4" w:space="0"/>
            </w:tcBorders>
            <w:vAlign w:val="center"/>
          </w:tcPr>
          <w:p w14:paraId="219DCE9B">
            <w:pPr>
              <w:spacing w:before="79" w:beforeLines="25" w:after="79" w:afterLines="25"/>
              <w:jc w:val="center"/>
              <w:rPr>
                <w:rFonts w:hint="eastAsia" w:ascii="宋体" w:hAnsi="宋体" w:cs="宋体"/>
                <w:sz w:val="24"/>
              </w:rPr>
            </w:pPr>
            <w:r>
              <w:rPr>
                <w:rFonts w:hint="eastAsia" w:ascii="宋体" w:hAnsi="宋体" w:cs="宋体"/>
                <w:sz w:val="24"/>
              </w:rPr>
              <w:t>货物名称</w:t>
            </w:r>
          </w:p>
        </w:tc>
        <w:tc>
          <w:tcPr>
            <w:tcW w:w="1147" w:type="pct"/>
            <w:tcBorders>
              <w:top w:val="single" w:color="000000" w:sz="4" w:space="0"/>
              <w:left w:val="single" w:color="000000" w:sz="4" w:space="0"/>
              <w:bottom w:val="single" w:color="000000" w:sz="4" w:space="0"/>
              <w:right w:val="single" w:color="000000" w:sz="4" w:space="0"/>
            </w:tcBorders>
            <w:vAlign w:val="center"/>
          </w:tcPr>
          <w:p w14:paraId="3E0BC86E">
            <w:pPr>
              <w:spacing w:before="79" w:beforeLines="25" w:after="79" w:afterLines="25"/>
              <w:jc w:val="center"/>
              <w:rPr>
                <w:rFonts w:hint="eastAsia" w:ascii="宋体" w:hAnsi="宋体" w:cs="宋体"/>
                <w:sz w:val="24"/>
              </w:rPr>
            </w:pPr>
            <w:r>
              <w:rPr>
                <w:rFonts w:hint="eastAsia" w:ascii="宋体" w:hAnsi="宋体" w:cs="宋体"/>
                <w:sz w:val="24"/>
              </w:rPr>
              <w:t>磋商文件技术指标参数要求</w:t>
            </w:r>
          </w:p>
        </w:tc>
        <w:tc>
          <w:tcPr>
            <w:tcW w:w="1151" w:type="pct"/>
            <w:tcBorders>
              <w:top w:val="single" w:color="000000" w:sz="4" w:space="0"/>
              <w:left w:val="single" w:color="000000" w:sz="4" w:space="0"/>
              <w:bottom w:val="single" w:color="000000" w:sz="4" w:space="0"/>
              <w:right w:val="single" w:color="000000" w:sz="4" w:space="0"/>
            </w:tcBorders>
            <w:vAlign w:val="center"/>
          </w:tcPr>
          <w:p w14:paraId="6514FFAC">
            <w:pPr>
              <w:spacing w:before="79" w:beforeLines="25" w:after="79" w:afterLines="25"/>
              <w:jc w:val="center"/>
              <w:rPr>
                <w:rFonts w:hint="eastAsia" w:ascii="宋体" w:hAnsi="宋体" w:cs="宋体"/>
                <w:sz w:val="24"/>
              </w:rPr>
            </w:pPr>
            <w:r>
              <w:rPr>
                <w:rFonts w:hint="eastAsia" w:ascii="宋体" w:hAnsi="宋体" w:cs="宋体"/>
                <w:sz w:val="24"/>
              </w:rPr>
              <w:t>响应文件技术指标参数描述</w:t>
            </w:r>
          </w:p>
        </w:tc>
        <w:tc>
          <w:tcPr>
            <w:tcW w:w="732" w:type="pct"/>
            <w:tcBorders>
              <w:top w:val="single" w:color="000000" w:sz="4" w:space="0"/>
              <w:left w:val="single" w:color="000000" w:sz="4" w:space="0"/>
              <w:bottom w:val="single" w:color="000000" w:sz="4" w:space="0"/>
              <w:right w:val="single" w:color="000000" w:sz="4" w:space="0"/>
            </w:tcBorders>
            <w:vAlign w:val="center"/>
          </w:tcPr>
          <w:p w14:paraId="71A14FE9">
            <w:pPr>
              <w:spacing w:before="79" w:beforeLines="25" w:after="79" w:afterLines="25"/>
              <w:jc w:val="center"/>
              <w:rPr>
                <w:rFonts w:hint="eastAsia" w:ascii="宋体" w:hAnsi="宋体" w:cs="宋体"/>
                <w:sz w:val="24"/>
              </w:rPr>
            </w:pPr>
            <w:r>
              <w:rPr>
                <w:rFonts w:hint="eastAsia" w:ascii="宋体" w:hAnsi="宋体" w:cs="宋体"/>
                <w:sz w:val="24"/>
              </w:rPr>
              <w:t>偏离情况（正偏离/负偏离/无偏离）</w:t>
            </w:r>
          </w:p>
        </w:tc>
        <w:tc>
          <w:tcPr>
            <w:tcW w:w="534" w:type="pct"/>
            <w:tcBorders>
              <w:top w:val="single" w:color="000000" w:sz="4" w:space="0"/>
              <w:left w:val="single" w:color="000000" w:sz="4" w:space="0"/>
              <w:bottom w:val="single" w:color="000000" w:sz="4" w:space="0"/>
              <w:right w:val="single" w:color="000000" w:sz="4" w:space="0"/>
            </w:tcBorders>
            <w:vAlign w:val="center"/>
          </w:tcPr>
          <w:p w14:paraId="54838319">
            <w:pPr>
              <w:spacing w:before="79" w:beforeLines="25" w:after="79" w:afterLines="25"/>
              <w:jc w:val="center"/>
              <w:rPr>
                <w:rFonts w:hint="eastAsia" w:ascii="宋体" w:hAnsi="宋体" w:cs="宋体"/>
                <w:sz w:val="24"/>
              </w:rPr>
            </w:pPr>
            <w:r>
              <w:rPr>
                <w:rFonts w:hint="eastAsia" w:ascii="宋体" w:hAnsi="宋体" w:cs="宋体"/>
                <w:sz w:val="24"/>
              </w:rPr>
              <w:t>证明材料所在页码</w:t>
            </w:r>
          </w:p>
          <w:p w14:paraId="54492DD2">
            <w:pPr>
              <w:spacing w:before="79" w:beforeLines="25" w:after="79" w:afterLines="25"/>
              <w:jc w:val="center"/>
              <w:rPr>
                <w:rFonts w:hint="eastAsia" w:ascii="宋体" w:hAnsi="宋体" w:cs="宋体"/>
                <w:sz w:val="24"/>
              </w:rPr>
            </w:pPr>
            <w:r>
              <w:rPr>
                <w:rFonts w:hint="eastAsia" w:ascii="宋体" w:hAnsi="宋体" w:cs="宋体"/>
                <w:sz w:val="24"/>
              </w:rPr>
              <w:t>（如有）</w:t>
            </w:r>
          </w:p>
        </w:tc>
        <w:tc>
          <w:tcPr>
            <w:tcW w:w="534" w:type="pct"/>
            <w:tcBorders>
              <w:top w:val="single" w:color="000000" w:sz="4" w:space="0"/>
              <w:left w:val="single" w:color="000000" w:sz="4" w:space="0"/>
              <w:bottom w:val="single" w:color="000000" w:sz="4" w:space="0"/>
              <w:right w:val="single" w:color="000000" w:sz="4" w:space="0"/>
            </w:tcBorders>
            <w:vAlign w:val="center"/>
          </w:tcPr>
          <w:p w14:paraId="166FC608">
            <w:pPr>
              <w:spacing w:before="79" w:beforeLines="25" w:after="79" w:afterLines="25"/>
              <w:jc w:val="center"/>
              <w:rPr>
                <w:rFonts w:hint="eastAsia" w:ascii="宋体" w:hAnsi="宋体" w:cs="宋体"/>
                <w:sz w:val="24"/>
              </w:rPr>
            </w:pPr>
            <w:r>
              <w:rPr>
                <w:rFonts w:hint="eastAsia" w:ascii="宋体" w:hAnsi="宋体" w:cs="宋体"/>
                <w:sz w:val="24"/>
              </w:rPr>
              <w:t>偏离原因说明</w:t>
            </w:r>
          </w:p>
        </w:tc>
      </w:tr>
      <w:tr w14:paraId="45A73A76">
        <w:tblPrEx>
          <w:tblCellMar>
            <w:top w:w="57" w:type="dxa"/>
            <w:left w:w="57" w:type="dxa"/>
            <w:bottom w:w="57" w:type="dxa"/>
            <w:right w:w="57" w:type="dxa"/>
          </w:tblCellMar>
        </w:tblPrEx>
        <w:trPr>
          <w:trHeight w:val="849" w:hRule="atLeast"/>
          <w:jc w:val="center"/>
        </w:trPr>
        <w:tc>
          <w:tcPr>
            <w:tcW w:w="293" w:type="pct"/>
            <w:tcBorders>
              <w:top w:val="single" w:color="000000" w:sz="4" w:space="0"/>
              <w:left w:val="single" w:color="000000" w:sz="4" w:space="0"/>
              <w:bottom w:val="single" w:color="000000" w:sz="4" w:space="0"/>
              <w:right w:val="single" w:color="000000" w:sz="4" w:space="0"/>
            </w:tcBorders>
            <w:vAlign w:val="center"/>
          </w:tcPr>
          <w:p w14:paraId="5C36C588">
            <w:pPr>
              <w:spacing w:before="79" w:beforeLines="25" w:after="79" w:afterLines="25"/>
              <w:jc w:val="center"/>
              <w:rPr>
                <w:rFonts w:hint="eastAsia" w:ascii="宋体" w:hAnsi="宋体" w:cs="宋体"/>
                <w:sz w:val="24"/>
              </w:rPr>
            </w:pPr>
            <w:r>
              <w:rPr>
                <w:rFonts w:hint="eastAsia" w:ascii="宋体" w:hAnsi="宋体" w:cs="宋体"/>
                <w:sz w:val="24"/>
              </w:rPr>
              <w:t>1</w:t>
            </w:r>
          </w:p>
        </w:tc>
        <w:tc>
          <w:tcPr>
            <w:tcW w:w="606" w:type="pct"/>
            <w:tcBorders>
              <w:top w:val="single" w:color="000000" w:sz="4" w:space="0"/>
              <w:left w:val="single" w:color="000000" w:sz="4" w:space="0"/>
              <w:bottom w:val="single" w:color="000000" w:sz="4" w:space="0"/>
              <w:right w:val="single" w:color="000000" w:sz="4" w:space="0"/>
            </w:tcBorders>
          </w:tcPr>
          <w:p w14:paraId="3C44D40A">
            <w:pPr>
              <w:spacing w:before="79" w:beforeLines="25" w:after="79" w:afterLines="25"/>
              <w:jc w:val="center"/>
              <w:rPr>
                <w:rFonts w:hint="eastAsia" w:ascii="宋体" w:hAnsi="宋体" w:cs="宋体"/>
                <w:b/>
                <w:bCs/>
                <w:sz w:val="24"/>
              </w:rPr>
            </w:pPr>
          </w:p>
        </w:tc>
        <w:tc>
          <w:tcPr>
            <w:tcW w:w="1147" w:type="pct"/>
            <w:tcBorders>
              <w:top w:val="single" w:color="000000" w:sz="4" w:space="0"/>
              <w:left w:val="single" w:color="000000" w:sz="4" w:space="0"/>
              <w:bottom w:val="single" w:color="000000" w:sz="4" w:space="0"/>
              <w:right w:val="single" w:color="000000" w:sz="4" w:space="0"/>
            </w:tcBorders>
          </w:tcPr>
          <w:p w14:paraId="3787511C">
            <w:pPr>
              <w:spacing w:before="79" w:beforeLines="25" w:after="79" w:afterLines="25"/>
              <w:jc w:val="center"/>
              <w:rPr>
                <w:rFonts w:hint="eastAsia" w:ascii="宋体" w:hAnsi="宋体" w:cs="宋体"/>
                <w:b/>
                <w:bCs/>
                <w:sz w:val="24"/>
              </w:rPr>
            </w:pPr>
          </w:p>
        </w:tc>
        <w:tc>
          <w:tcPr>
            <w:tcW w:w="1151" w:type="pct"/>
            <w:tcBorders>
              <w:top w:val="single" w:color="000000" w:sz="4" w:space="0"/>
              <w:left w:val="single" w:color="000000" w:sz="4" w:space="0"/>
              <w:bottom w:val="single" w:color="000000" w:sz="4" w:space="0"/>
              <w:right w:val="single" w:color="000000" w:sz="4" w:space="0"/>
            </w:tcBorders>
          </w:tcPr>
          <w:p w14:paraId="5D3F71F7">
            <w:pPr>
              <w:spacing w:before="79" w:beforeLines="25" w:after="79" w:afterLines="25"/>
              <w:jc w:val="center"/>
              <w:rPr>
                <w:rFonts w:hint="eastAsia" w:ascii="宋体" w:hAnsi="宋体" w:cs="宋体"/>
                <w:b/>
                <w:bCs/>
                <w:sz w:val="24"/>
              </w:rPr>
            </w:pPr>
          </w:p>
        </w:tc>
        <w:tc>
          <w:tcPr>
            <w:tcW w:w="732" w:type="pct"/>
            <w:tcBorders>
              <w:top w:val="single" w:color="000000" w:sz="4" w:space="0"/>
              <w:left w:val="single" w:color="000000" w:sz="4" w:space="0"/>
              <w:bottom w:val="single" w:color="000000" w:sz="4" w:space="0"/>
              <w:right w:val="single" w:color="000000" w:sz="4" w:space="0"/>
            </w:tcBorders>
          </w:tcPr>
          <w:p w14:paraId="660405EB">
            <w:pPr>
              <w:spacing w:before="79" w:beforeLines="25" w:after="79" w:afterLines="25"/>
              <w:jc w:val="center"/>
              <w:rPr>
                <w:rFonts w:hint="eastAsia" w:ascii="宋体" w:hAnsi="宋体" w:cs="宋体"/>
                <w:b/>
                <w:bCs/>
                <w:sz w:val="24"/>
              </w:rPr>
            </w:pPr>
          </w:p>
        </w:tc>
        <w:tc>
          <w:tcPr>
            <w:tcW w:w="534" w:type="pct"/>
            <w:tcBorders>
              <w:top w:val="single" w:color="000000" w:sz="4" w:space="0"/>
              <w:left w:val="single" w:color="000000" w:sz="4" w:space="0"/>
              <w:bottom w:val="single" w:color="000000" w:sz="4" w:space="0"/>
              <w:right w:val="single" w:color="000000" w:sz="4" w:space="0"/>
            </w:tcBorders>
          </w:tcPr>
          <w:p w14:paraId="4363E582">
            <w:pPr>
              <w:spacing w:before="79" w:beforeLines="25" w:after="79" w:afterLines="25"/>
              <w:jc w:val="center"/>
              <w:rPr>
                <w:rFonts w:hint="eastAsia" w:ascii="宋体" w:hAnsi="宋体" w:cs="宋体"/>
                <w:b/>
                <w:bCs/>
                <w:sz w:val="24"/>
              </w:rPr>
            </w:pPr>
          </w:p>
        </w:tc>
        <w:tc>
          <w:tcPr>
            <w:tcW w:w="534" w:type="pct"/>
            <w:tcBorders>
              <w:top w:val="single" w:color="000000" w:sz="4" w:space="0"/>
              <w:left w:val="single" w:color="000000" w:sz="4" w:space="0"/>
              <w:bottom w:val="single" w:color="000000" w:sz="4" w:space="0"/>
              <w:right w:val="single" w:color="000000" w:sz="4" w:space="0"/>
            </w:tcBorders>
          </w:tcPr>
          <w:p w14:paraId="6A687D99">
            <w:pPr>
              <w:spacing w:before="79" w:beforeLines="25" w:after="79" w:afterLines="25"/>
              <w:jc w:val="center"/>
              <w:rPr>
                <w:rFonts w:hint="eastAsia" w:ascii="宋体" w:hAnsi="宋体" w:cs="宋体"/>
                <w:b/>
                <w:bCs/>
                <w:sz w:val="24"/>
              </w:rPr>
            </w:pPr>
          </w:p>
        </w:tc>
      </w:tr>
      <w:tr w14:paraId="35A89DC4">
        <w:tblPrEx>
          <w:tblCellMar>
            <w:top w:w="57" w:type="dxa"/>
            <w:left w:w="57" w:type="dxa"/>
            <w:bottom w:w="57" w:type="dxa"/>
            <w:right w:w="57" w:type="dxa"/>
          </w:tblCellMar>
        </w:tblPrEx>
        <w:trPr>
          <w:trHeight w:val="849" w:hRule="atLeast"/>
          <w:jc w:val="center"/>
        </w:trPr>
        <w:tc>
          <w:tcPr>
            <w:tcW w:w="293" w:type="pct"/>
            <w:tcBorders>
              <w:top w:val="single" w:color="000000" w:sz="4" w:space="0"/>
              <w:left w:val="single" w:color="000000" w:sz="4" w:space="0"/>
              <w:bottom w:val="single" w:color="000000" w:sz="4" w:space="0"/>
              <w:right w:val="single" w:color="000000" w:sz="4" w:space="0"/>
            </w:tcBorders>
            <w:vAlign w:val="center"/>
          </w:tcPr>
          <w:p w14:paraId="3B7A9F94">
            <w:pPr>
              <w:spacing w:before="79" w:beforeLines="25" w:after="79" w:afterLines="25"/>
              <w:jc w:val="center"/>
              <w:rPr>
                <w:rFonts w:hint="eastAsia" w:ascii="宋体" w:hAnsi="宋体" w:cs="宋体"/>
                <w:sz w:val="24"/>
              </w:rPr>
            </w:pPr>
            <w:r>
              <w:rPr>
                <w:rFonts w:hint="eastAsia" w:ascii="宋体" w:hAnsi="宋体" w:cs="宋体"/>
                <w:sz w:val="24"/>
              </w:rPr>
              <w:t>2</w:t>
            </w:r>
          </w:p>
        </w:tc>
        <w:tc>
          <w:tcPr>
            <w:tcW w:w="606" w:type="pct"/>
            <w:tcBorders>
              <w:top w:val="single" w:color="000000" w:sz="4" w:space="0"/>
              <w:left w:val="single" w:color="000000" w:sz="4" w:space="0"/>
              <w:bottom w:val="single" w:color="000000" w:sz="4" w:space="0"/>
              <w:right w:val="single" w:color="000000" w:sz="4" w:space="0"/>
            </w:tcBorders>
          </w:tcPr>
          <w:p w14:paraId="6A48BB04">
            <w:pPr>
              <w:spacing w:before="79" w:beforeLines="25" w:after="79" w:afterLines="25"/>
              <w:jc w:val="center"/>
              <w:rPr>
                <w:rFonts w:hint="eastAsia" w:ascii="宋体" w:hAnsi="宋体" w:cs="宋体"/>
                <w:b/>
                <w:bCs/>
                <w:sz w:val="24"/>
              </w:rPr>
            </w:pPr>
          </w:p>
        </w:tc>
        <w:tc>
          <w:tcPr>
            <w:tcW w:w="1147" w:type="pct"/>
            <w:tcBorders>
              <w:top w:val="single" w:color="000000" w:sz="4" w:space="0"/>
              <w:left w:val="single" w:color="000000" w:sz="4" w:space="0"/>
              <w:bottom w:val="single" w:color="000000" w:sz="4" w:space="0"/>
              <w:right w:val="single" w:color="000000" w:sz="4" w:space="0"/>
            </w:tcBorders>
          </w:tcPr>
          <w:p w14:paraId="033B88E2">
            <w:pPr>
              <w:spacing w:before="79" w:beforeLines="25" w:after="79" w:afterLines="25"/>
              <w:jc w:val="center"/>
              <w:rPr>
                <w:rFonts w:hint="eastAsia" w:ascii="宋体" w:hAnsi="宋体" w:cs="宋体"/>
                <w:b/>
                <w:bCs/>
                <w:sz w:val="24"/>
              </w:rPr>
            </w:pPr>
          </w:p>
        </w:tc>
        <w:tc>
          <w:tcPr>
            <w:tcW w:w="1151" w:type="pct"/>
            <w:tcBorders>
              <w:top w:val="single" w:color="000000" w:sz="4" w:space="0"/>
              <w:left w:val="single" w:color="000000" w:sz="4" w:space="0"/>
              <w:bottom w:val="single" w:color="000000" w:sz="4" w:space="0"/>
              <w:right w:val="single" w:color="000000" w:sz="4" w:space="0"/>
            </w:tcBorders>
          </w:tcPr>
          <w:p w14:paraId="1DFF0651">
            <w:pPr>
              <w:spacing w:before="79" w:beforeLines="25" w:after="79" w:afterLines="25"/>
              <w:jc w:val="center"/>
              <w:rPr>
                <w:rFonts w:hint="eastAsia" w:ascii="宋体" w:hAnsi="宋体" w:cs="宋体"/>
                <w:b/>
                <w:bCs/>
                <w:sz w:val="24"/>
              </w:rPr>
            </w:pPr>
          </w:p>
        </w:tc>
        <w:tc>
          <w:tcPr>
            <w:tcW w:w="732" w:type="pct"/>
            <w:tcBorders>
              <w:top w:val="single" w:color="000000" w:sz="4" w:space="0"/>
              <w:left w:val="single" w:color="000000" w:sz="4" w:space="0"/>
              <w:bottom w:val="single" w:color="000000" w:sz="4" w:space="0"/>
              <w:right w:val="single" w:color="000000" w:sz="4" w:space="0"/>
            </w:tcBorders>
          </w:tcPr>
          <w:p w14:paraId="5BA21E74">
            <w:pPr>
              <w:spacing w:before="79" w:beforeLines="25" w:after="79" w:afterLines="25"/>
              <w:jc w:val="center"/>
              <w:rPr>
                <w:rFonts w:hint="eastAsia" w:ascii="宋体" w:hAnsi="宋体" w:cs="宋体"/>
                <w:b/>
                <w:bCs/>
                <w:sz w:val="24"/>
              </w:rPr>
            </w:pPr>
          </w:p>
        </w:tc>
        <w:tc>
          <w:tcPr>
            <w:tcW w:w="534" w:type="pct"/>
            <w:tcBorders>
              <w:top w:val="single" w:color="000000" w:sz="4" w:space="0"/>
              <w:left w:val="single" w:color="000000" w:sz="4" w:space="0"/>
              <w:bottom w:val="single" w:color="000000" w:sz="4" w:space="0"/>
              <w:right w:val="single" w:color="000000" w:sz="4" w:space="0"/>
            </w:tcBorders>
          </w:tcPr>
          <w:p w14:paraId="75772E7D">
            <w:pPr>
              <w:spacing w:before="79" w:beforeLines="25" w:after="79" w:afterLines="25"/>
              <w:jc w:val="center"/>
              <w:rPr>
                <w:rFonts w:hint="eastAsia" w:ascii="宋体" w:hAnsi="宋体" w:cs="宋体"/>
                <w:b/>
                <w:bCs/>
                <w:sz w:val="24"/>
              </w:rPr>
            </w:pPr>
          </w:p>
        </w:tc>
        <w:tc>
          <w:tcPr>
            <w:tcW w:w="534" w:type="pct"/>
            <w:tcBorders>
              <w:top w:val="single" w:color="000000" w:sz="4" w:space="0"/>
              <w:left w:val="single" w:color="000000" w:sz="4" w:space="0"/>
              <w:bottom w:val="single" w:color="000000" w:sz="4" w:space="0"/>
              <w:right w:val="single" w:color="000000" w:sz="4" w:space="0"/>
            </w:tcBorders>
          </w:tcPr>
          <w:p w14:paraId="783F7641">
            <w:pPr>
              <w:spacing w:before="79" w:beforeLines="25" w:after="79" w:afterLines="25"/>
              <w:jc w:val="center"/>
              <w:rPr>
                <w:rFonts w:hint="eastAsia" w:ascii="宋体" w:hAnsi="宋体" w:cs="宋体"/>
                <w:b/>
                <w:bCs/>
                <w:sz w:val="24"/>
              </w:rPr>
            </w:pPr>
          </w:p>
        </w:tc>
      </w:tr>
      <w:tr w14:paraId="12E2C9B0">
        <w:tblPrEx>
          <w:tblCellMar>
            <w:top w:w="57" w:type="dxa"/>
            <w:left w:w="57" w:type="dxa"/>
            <w:bottom w:w="57" w:type="dxa"/>
            <w:right w:w="57" w:type="dxa"/>
          </w:tblCellMar>
        </w:tblPrEx>
        <w:trPr>
          <w:trHeight w:val="880" w:hRule="atLeast"/>
          <w:jc w:val="center"/>
        </w:trPr>
        <w:tc>
          <w:tcPr>
            <w:tcW w:w="293" w:type="pct"/>
            <w:tcBorders>
              <w:top w:val="single" w:color="000000" w:sz="4" w:space="0"/>
              <w:left w:val="single" w:color="000000" w:sz="4" w:space="0"/>
              <w:bottom w:val="single" w:color="000000" w:sz="4" w:space="0"/>
              <w:right w:val="single" w:color="000000" w:sz="4" w:space="0"/>
            </w:tcBorders>
            <w:vAlign w:val="center"/>
          </w:tcPr>
          <w:p w14:paraId="20B92F50">
            <w:pPr>
              <w:spacing w:before="79" w:beforeLines="25" w:after="79" w:afterLines="25"/>
              <w:jc w:val="center"/>
              <w:rPr>
                <w:rFonts w:hint="eastAsia" w:ascii="宋体" w:hAnsi="宋体" w:cs="宋体"/>
                <w:sz w:val="24"/>
              </w:rPr>
            </w:pPr>
            <w:r>
              <w:rPr>
                <w:rFonts w:hint="eastAsia" w:ascii="宋体" w:hAnsi="宋体" w:cs="宋体"/>
                <w:sz w:val="24"/>
              </w:rPr>
              <w:t>...</w:t>
            </w:r>
          </w:p>
        </w:tc>
        <w:tc>
          <w:tcPr>
            <w:tcW w:w="606" w:type="pct"/>
            <w:tcBorders>
              <w:top w:val="single" w:color="000000" w:sz="4" w:space="0"/>
              <w:left w:val="single" w:color="000000" w:sz="4" w:space="0"/>
              <w:bottom w:val="single" w:color="000000" w:sz="4" w:space="0"/>
              <w:right w:val="single" w:color="000000" w:sz="4" w:space="0"/>
            </w:tcBorders>
            <w:vAlign w:val="center"/>
          </w:tcPr>
          <w:p w14:paraId="7B58D1FF">
            <w:pPr>
              <w:spacing w:before="79" w:beforeLines="25" w:after="79" w:afterLines="25"/>
              <w:jc w:val="center"/>
              <w:rPr>
                <w:rFonts w:hint="eastAsia" w:ascii="宋体" w:hAnsi="宋体" w:cs="宋体"/>
                <w:sz w:val="24"/>
              </w:rPr>
            </w:pPr>
            <w:r>
              <w:rPr>
                <w:rFonts w:hint="eastAsia" w:ascii="宋体" w:hAnsi="宋体" w:cs="宋体"/>
                <w:sz w:val="24"/>
              </w:rPr>
              <w:t>...</w:t>
            </w:r>
          </w:p>
        </w:tc>
        <w:tc>
          <w:tcPr>
            <w:tcW w:w="1147" w:type="pct"/>
            <w:tcBorders>
              <w:top w:val="single" w:color="000000" w:sz="4" w:space="0"/>
              <w:left w:val="single" w:color="000000" w:sz="4" w:space="0"/>
              <w:bottom w:val="single" w:color="000000" w:sz="4" w:space="0"/>
              <w:right w:val="single" w:color="000000" w:sz="4" w:space="0"/>
            </w:tcBorders>
            <w:vAlign w:val="center"/>
          </w:tcPr>
          <w:p w14:paraId="197D1DD9">
            <w:pPr>
              <w:spacing w:before="79" w:beforeLines="25" w:after="79" w:afterLines="25"/>
              <w:jc w:val="center"/>
              <w:rPr>
                <w:rFonts w:hint="eastAsia" w:ascii="宋体" w:hAnsi="宋体" w:cs="宋体"/>
                <w:sz w:val="24"/>
              </w:rPr>
            </w:pPr>
            <w:r>
              <w:rPr>
                <w:rFonts w:hint="eastAsia" w:ascii="宋体" w:hAnsi="宋体" w:cs="宋体"/>
                <w:sz w:val="24"/>
              </w:rPr>
              <w:t>...</w:t>
            </w:r>
          </w:p>
        </w:tc>
        <w:tc>
          <w:tcPr>
            <w:tcW w:w="1151" w:type="pct"/>
            <w:tcBorders>
              <w:top w:val="single" w:color="000000" w:sz="4" w:space="0"/>
              <w:left w:val="single" w:color="000000" w:sz="4" w:space="0"/>
              <w:bottom w:val="single" w:color="000000" w:sz="4" w:space="0"/>
              <w:right w:val="single" w:color="000000" w:sz="4" w:space="0"/>
            </w:tcBorders>
          </w:tcPr>
          <w:p w14:paraId="6FEECB32">
            <w:pPr>
              <w:spacing w:before="79" w:beforeLines="25" w:after="79" w:afterLines="25"/>
              <w:jc w:val="center"/>
              <w:rPr>
                <w:rFonts w:hint="eastAsia" w:ascii="宋体" w:hAnsi="宋体" w:cs="宋体"/>
                <w:sz w:val="24"/>
              </w:rPr>
            </w:pPr>
          </w:p>
        </w:tc>
        <w:tc>
          <w:tcPr>
            <w:tcW w:w="732" w:type="pct"/>
            <w:tcBorders>
              <w:top w:val="single" w:color="000000" w:sz="4" w:space="0"/>
              <w:left w:val="single" w:color="000000" w:sz="4" w:space="0"/>
              <w:bottom w:val="single" w:color="000000" w:sz="4" w:space="0"/>
              <w:right w:val="single" w:color="000000" w:sz="4" w:space="0"/>
            </w:tcBorders>
          </w:tcPr>
          <w:p w14:paraId="36F6344D">
            <w:pPr>
              <w:spacing w:before="79" w:beforeLines="25" w:after="79" w:afterLines="25"/>
              <w:jc w:val="center"/>
              <w:rPr>
                <w:rFonts w:hint="eastAsia" w:ascii="宋体" w:hAnsi="宋体" w:cs="宋体"/>
                <w:sz w:val="24"/>
              </w:rPr>
            </w:pPr>
          </w:p>
        </w:tc>
        <w:tc>
          <w:tcPr>
            <w:tcW w:w="534" w:type="pct"/>
            <w:tcBorders>
              <w:top w:val="single" w:color="000000" w:sz="4" w:space="0"/>
              <w:left w:val="single" w:color="000000" w:sz="4" w:space="0"/>
              <w:bottom w:val="single" w:color="000000" w:sz="4" w:space="0"/>
              <w:right w:val="single" w:color="000000" w:sz="4" w:space="0"/>
            </w:tcBorders>
          </w:tcPr>
          <w:p w14:paraId="1E41409F">
            <w:pPr>
              <w:spacing w:before="79" w:beforeLines="25" w:after="79" w:afterLines="25"/>
              <w:jc w:val="center"/>
              <w:rPr>
                <w:rFonts w:hint="eastAsia" w:ascii="宋体" w:hAnsi="宋体" w:cs="宋体"/>
                <w:sz w:val="24"/>
              </w:rPr>
            </w:pPr>
          </w:p>
        </w:tc>
        <w:tc>
          <w:tcPr>
            <w:tcW w:w="534" w:type="pct"/>
            <w:tcBorders>
              <w:top w:val="single" w:color="000000" w:sz="4" w:space="0"/>
              <w:left w:val="single" w:color="000000" w:sz="4" w:space="0"/>
              <w:bottom w:val="single" w:color="000000" w:sz="4" w:space="0"/>
              <w:right w:val="single" w:color="000000" w:sz="4" w:space="0"/>
            </w:tcBorders>
          </w:tcPr>
          <w:p w14:paraId="4858D4A6">
            <w:pPr>
              <w:spacing w:before="79" w:beforeLines="25" w:after="79" w:afterLines="25"/>
              <w:jc w:val="center"/>
              <w:rPr>
                <w:rFonts w:hint="eastAsia" w:ascii="宋体" w:hAnsi="宋体" w:cs="宋体"/>
                <w:sz w:val="24"/>
              </w:rPr>
            </w:pPr>
          </w:p>
        </w:tc>
      </w:tr>
    </w:tbl>
    <w:p w14:paraId="21600F33">
      <w:pPr>
        <w:tabs>
          <w:tab w:val="left" w:pos="420"/>
        </w:tabs>
        <w:snapToGrid w:val="0"/>
        <w:spacing w:line="360" w:lineRule="auto"/>
        <w:ind w:firstLine="486" w:firstLineChars="200"/>
        <w:rPr>
          <w:rFonts w:hint="eastAsia" w:ascii="宋体" w:hAnsi="宋体" w:cs="宋体"/>
          <w:sz w:val="24"/>
        </w:rPr>
      </w:pPr>
      <w:r>
        <w:rPr>
          <w:rFonts w:hint="eastAsia" w:ascii="宋体" w:hAnsi="宋体" w:cs="宋体"/>
          <w:sz w:val="24"/>
        </w:rPr>
        <w:t>注：供应商必须对磋商文件第五章“采购需求”中的所有要求作出全面、真实的反映。表格中“偏离情况”一列，供应商只能如实填写“正偏离”或“负偏离”或“无偏离”。凡响应内容高于磋商文件要求的，按“正偏离”填写；低于磋商文件要求的，按“负偏离”填写；满足磋商文件要求的，按“无偏离”填写。并在“响应文件技术指标参数描述”一列中写明所投技术参数。供应商除如实填写本表外，技术参数内明确要求提供证明材料的必须提供证明材料，未明确要求提供证明材料的将按偏离情况如实填写。</w:t>
      </w:r>
    </w:p>
    <w:p w14:paraId="7D33DC15">
      <w:pPr>
        <w:spacing w:line="360" w:lineRule="auto"/>
        <w:rPr>
          <w:rFonts w:hint="eastAsia" w:ascii="宋体" w:hAnsi="宋体" w:cs="宋体"/>
          <w:sz w:val="24"/>
        </w:rPr>
      </w:pPr>
    </w:p>
    <w:p w14:paraId="498F198C">
      <w:pPr>
        <w:spacing w:line="360" w:lineRule="auto"/>
        <w:rPr>
          <w:rFonts w:hint="eastAsia" w:ascii="宋体" w:hAnsi="宋体" w:cs="宋体"/>
          <w:sz w:val="24"/>
        </w:rPr>
      </w:pPr>
    </w:p>
    <w:p w14:paraId="11D3FCE2">
      <w:pPr>
        <w:spacing w:line="360" w:lineRule="auto"/>
        <w:rPr>
          <w:rFonts w:hint="eastAsia" w:ascii="宋体" w:hAnsi="宋体" w:cs="宋体"/>
          <w:sz w:val="24"/>
        </w:rPr>
      </w:pPr>
      <w:r>
        <w:rPr>
          <w:rFonts w:hint="eastAsia" w:ascii="宋体" w:hAnsi="宋体" w:cs="宋体"/>
          <w:sz w:val="24"/>
        </w:rPr>
        <w:t>供应商名称：（电子签章）</w:t>
      </w:r>
    </w:p>
    <w:p w14:paraId="0C992898">
      <w:pPr>
        <w:spacing w:line="360" w:lineRule="auto"/>
        <w:rPr>
          <w:rFonts w:hint="eastAsia" w:ascii="宋体" w:hAnsi="宋体" w:cs="宋体"/>
          <w:sz w:val="24"/>
        </w:rPr>
      </w:pPr>
      <w:r>
        <w:rPr>
          <w:rFonts w:hint="eastAsia" w:ascii="宋体" w:hAnsi="宋体" w:cs="宋体"/>
          <w:sz w:val="24"/>
        </w:rPr>
        <w:t>法定代表人（单位负责人）或其委托代理人：（电子签章或签字）</w:t>
      </w:r>
    </w:p>
    <w:p w14:paraId="6AB7156D">
      <w:pPr>
        <w:spacing w:line="360" w:lineRule="auto"/>
        <w:rPr>
          <w:rFonts w:hint="eastAsia" w:ascii="宋体" w:hAnsi="宋体" w:cs="宋体"/>
          <w:sz w:val="24"/>
          <w:u w:val="single"/>
        </w:rPr>
      </w:pPr>
      <w:r>
        <w:rPr>
          <w:rFonts w:hint="eastAsia" w:ascii="宋体" w:hAnsi="宋体" w:cs="宋体"/>
          <w:sz w:val="24"/>
        </w:rPr>
        <w:t>年  月  日</w:t>
      </w:r>
    </w:p>
    <w:p w14:paraId="0CBDD802">
      <w:pPr>
        <w:spacing w:line="360" w:lineRule="auto"/>
        <w:rPr>
          <w:rFonts w:hint="eastAsia" w:ascii="宋体" w:hAnsi="宋体" w:cs="宋体"/>
          <w:sz w:val="24"/>
        </w:rPr>
      </w:pPr>
      <w:r>
        <w:rPr>
          <w:rFonts w:hint="eastAsia" w:ascii="宋体" w:hAnsi="宋体" w:cs="宋体"/>
          <w:sz w:val="24"/>
        </w:rPr>
        <w:br w:type="page"/>
      </w:r>
    </w:p>
    <w:p w14:paraId="6A147D4C">
      <w:pPr>
        <w:spacing w:line="600" w:lineRule="exact"/>
        <w:jc w:val="center"/>
        <w:outlineLvl w:val="2"/>
        <w:rPr>
          <w:rFonts w:hint="eastAsia" w:ascii="宋体" w:hAnsi="宋体" w:cs="宋体"/>
          <w:b/>
          <w:sz w:val="28"/>
          <w:szCs w:val="28"/>
        </w:rPr>
      </w:pPr>
      <w:bookmarkStart w:id="586" w:name="_Toc31765"/>
      <w:bookmarkStart w:id="587" w:name="_Toc3791"/>
      <w:bookmarkStart w:id="588" w:name="_Toc21060"/>
      <w:bookmarkStart w:id="589" w:name="_Toc21235"/>
      <w:r>
        <w:rPr>
          <w:rFonts w:hint="eastAsia" w:ascii="宋体" w:hAnsi="宋体" w:cs="宋体"/>
          <w:b/>
          <w:bCs/>
          <w:sz w:val="24"/>
        </w:rPr>
        <w:t>（二）技术证明材料</w:t>
      </w:r>
      <w:bookmarkEnd w:id="586"/>
      <w:bookmarkEnd w:id="587"/>
      <w:bookmarkEnd w:id="588"/>
      <w:bookmarkEnd w:id="589"/>
      <w:r>
        <w:rPr>
          <w:rFonts w:hint="eastAsia" w:ascii="宋体" w:hAnsi="宋体" w:cs="宋体"/>
          <w:b/>
          <w:bCs/>
          <w:sz w:val="24"/>
        </w:rPr>
        <w:t>（如有）</w:t>
      </w:r>
    </w:p>
    <w:p w14:paraId="2F17ABC5">
      <w:pPr>
        <w:spacing w:line="360" w:lineRule="auto"/>
        <w:jc w:val="center"/>
        <w:rPr>
          <w:rFonts w:hint="eastAsia" w:ascii="宋体" w:hAnsi="宋体" w:cs="宋体"/>
          <w:kern w:val="0"/>
          <w:szCs w:val="21"/>
        </w:rPr>
      </w:pPr>
      <w:bookmarkStart w:id="590" w:name="_Toc18513"/>
      <w:bookmarkStart w:id="591" w:name="_Toc23301"/>
    </w:p>
    <w:p w14:paraId="3A257245">
      <w:pPr>
        <w:spacing w:line="360" w:lineRule="auto"/>
        <w:jc w:val="center"/>
        <w:rPr>
          <w:rFonts w:hint="eastAsia" w:ascii="宋体" w:hAnsi="宋体" w:cs="宋体"/>
          <w:kern w:val="0"/>
          <w:szCs w:val="21"/>
        </w:rPr>
        <w:sectPr>
          <w:pgSz w:w="11906" w:h="16838"/>
          <w:pgMar w:top="1400" w:right="1287" w:bottom="1247" w:left="1417" w:header="851" w:footer="992" w:gutter="0"/>
          <w:cols w:space="720" w:num="1"/>
          <w:docGrid w:type="linesAndChars" w:linePitch="317" w:charSpace="819"/>
        </w:sectPr>
      </w:pPr>
      <w:r>
        <w:rPr>
          <w:rFonts w:hint="eastAsia" w:ascii="宋体" w:hAnsi="宋体" w:cs="宋体"/>
          <w:kern w:val="0"/>
          <w:szCs w:val="21"/>
        </w:rPr>
        <w:t>（包含但不限于：技术参数中须提供的技术证明材料等）</w:t>
      </w:r>
      <w:bookmarkEnd w:id="590"/>
      <w:bookmarkEnd w:id="591"/>
    </w:p>
    <w:p w14:paraId="499D8267">
      <w:pPr>
        <w:jc w:val="center"/>
        <w:rPr>
          <w:rFonts w:hint="eastAsia" w:ascii="宋体" w:hAnsi="宋体" w:cs="宋体"/>
          <w:kern w:val="0"/>
          <w:szCs w:val="21"/>
        </w:rPr>
      </w:pPr>
      <w:r>
        <w:rPr>
          <w:rFonts w:hint="eastAsia" w:ascii="宋体" w:hAnsi="宋体" w:cs="宋体"/>
          <w:b/>
          <w:bCs/>
          <w:sz w:val="24"/>
        </w:rPr>
        <w:t>（三）安装调试方案</w:t>
      </w:r>
    </w:p>
    <w:p w14:paraId="3AA0923E">
      <w:pPr>
        <w:spacing w:line="360" w:lineRule="auto"/>
        <w:jc w:val="center"/>
        <w:rPr>
          <w:rFonts w:hint="eastAsia" w:ascii="宋体" w:hAnsi="宋体" w:cs="宋体"/>
          <w:kern w:val="0"/>
          <w:szCs w:val="21"/>
        </w:rPr>
      </w:pPr>
    </w:p>
    <w:p w14:paraId="3D1732C9">
      <w:pPr>
        <w:spacing w:line="360" w:lineRule="auto"/>
        <w:jc w:val="center"/>
        <w:rPr>
          <w:rFonts w:hint="eastAsia" w:ascii="宋体" w:hAnsi="宋体" w:cs="宋体"/>
          <w:kern w:val="0"/>
          <w:szCs w:val="21"/>
        </w:rPr>
      </w:pPr>
      <w:r>
        <w:rPr>
          <w:rFonts w:hint="eastAsia" w:ascii="宋体" w:hAnsi="宋体" w:cs="宋体"/>
          <w:kern w:val="0"/>
          <w:szCs w:val="21"/>
        </w:rPr>
        <w:t>（包含但不限于：第三章评标办法中的评审内容）</w:t>
      </w:r>
    </w:p>
    <w:p w14:paraId="3E040FD4">
      <w:pPr>
        <w:spacing w:line="360" w:lineRule="auto"/>
        <w:jc w:val="center"/>
        <w:rPr>
          <w:rFonts w:hint="eastAsia" w:ascii="宋体" w:hAnsi="宋体" w:cs="宋体"/>
          <w:kern w:val="0"/>
          <w:szCs w:val="21"/>
        </w:rPr>
      </w:pPr>
    </w:p>
    <w:p w14:paraId="3CE00471">
      <w:pPr>
        <w:spacing w:line="360" w:lineRule="auto"/>
        <w:jc w:val="center"/>
        <w:rPr>
          <w:rFonts w:hint="eastAsia" w:ascii="宋体" w:hAnsi="宋体" w:cs="宋体"/>
          <w:kern w:val="0"/>
          <w:szCs w:val="21"/>
        </w:rPr>
      </w:pPr>
    </w:p>
    <w:p w14:paraId="79174760">
      <w:pPr>
        <w:spacing w:line="360" w:lineRule="auto"/>
        <w:jc w:val="center"/>
        <w:rPr>
          <w:rFonts w:hint="eastAsia" w:ascii="宋体" w:hAnsi="宋体" w:cs="宋体"/>
          <w:kern w:val="0"/>
          <w:szCs w:val="21"/>
        </w:rPr>
      </w:pPr>
    </w:p>
    <w:p w14:paraId="0D1A3666">
      <w:pPr>
        <w:spacing w:line="360" w:lineRule="auto"/>
        <w:jc w:val="center"/>
        <w:rPr>
          <w:rFonts w:hint="eastAsia" w:ascii="宋体" w:hAnsi="宋体" w:cs="宋体"/>
          <w:kern w:val="0"/>
          <w:szCs w:val="21"/>
        </w:rPr>
        <w:sectPr>
          <w:pgSz w:w="11906" w:h="16838"/>
          <w:pgMar w:top="1400" w:right="1287" w:bottom="1247" w:left="1417" w:header="851" w:footer="992" w:gutter="0"/>
          <w:cols w:space="720" w:num="1"/>
          <w:docGrid w:type="linesAndChars" w:linePitch="317" w:charSpace="819"/>
        </w:sectPr>
      </w:pPr>
    </w:p>
    <w:p w14:paraId="41A598BB">
      <w:pPr>
        <w:jc w:val="center"/>
        <w:rPr>
          <w:rFonts w:hint="eastAsia" w:ascii="宋体" w:hAnsi="宋体" w:cs="宋体"/>
          <w:kern w:val="0"/>
          <w:szCs w:val="21"/>
        </w:rPr>
      </w:pPr>
      <w:bookmarkStart w:id="592" w:name="_Toc9770"/>
      <w:bookmarkStart w:id="593" w:name="_Toc29718"/>
      <w:bookmarkStart w:id="594" w:name="_Toc20572"/>
      <w:bookmarkStart w:id="595" w:name="_Toc31805"/>
      <w:r>
        <w:rPr>
          <w:rFonts w:hint="eastAsia" w:ascii="宋体" w:hAnsi="宋体" w:cs="宋体"/>
          <w:b/>
          <w:bCs/>
          <w:sz w:val="24"/>
        </w:rPr>
        <w:t>（四）用户培训方案</w:t>
      </w:r>
    </w:p>
    <w:p w14:paraId="08E12830">
      <w:pPr>
        <w:spacing w:line="360" w:lineRule="auto"/>
        <w:jc w:val="center"/>
        <w:rPr>
          <w:rFonts w:hint="eastAsia" w:ascii="宋体" w:hAnsi="宋体" w:cs="宋体"/>
          <w:kern w:val="0"/>
          <w:szCs w:val="21"/>
        </w:rPr>
      </w:pPr>
    </w:p>
    <w:p w14:paraId="40CF5C48">
      <w:pPr>
        <w:spacing w:line="360" w:lineRule="auto"/>
        <w:jc w:val="center"/>
        <w:rPr>
          <w:rFonts w:hint="eastAsia" w:ascii="宋体" w:hAnsi="宋体" w:cs="宋体"/>
          <w:kern w:val="0"/>
          <w:szCs w:val="21"/>
        </w:rPr>
      </w:pPr>
      <w:r>
        <w:rPr>
          <w:rFonts w:hint="eastAsia" w:ascii="宋体" w:hAnsi="宋体" w:cs="宋体"/>
          <w:kern w:val="0"/>
          <w:szCs w:val="21"/>
        </w:rPr>
        <w:t>（包含但不限于：第三章评标办法中的评审内容）</w:t>
      </w:r>
    </w:p>
    <w:p w14:paraId="6E13FB63">
      <w:pPr>
        <w:spacing w:line="360" w:lineRule="auto"/>
        <w:jc w:val="center"/>
        <w:rPr>
          <w:rFonts w:hint="eastAsia" w:ascii="宋体" w:hAnsi="宋体" w:cs="宋体"/>
          <w:kern w:val="0"/>
          <w:szCs w:val="21"/>
        </w:rPr>
      </w:pPr>
    </w:p>
    <w:p w14:paraId="0F9FFEE0">
      <w:pPr>
        <w:spacing w:line="360" w:lineRule="auto"/>
        <w:jc w:val="center"/>
        <w:rPr>
          <w:rFonts w:hint="eastAsia" w:ascii="宋体" w:hAnsi="宋体" w:cs="宋体"/>
          <w:kern w:val="0"/>
          <w:szCs w:val="21"/>
        </w:rPr>
      </w:pPr>
    </w:p>
    <w:p w14:paraId="08019F3C">
      <w:pPr>
        <w:spacing w:line="360" w:lineRule="auto"/>
        <w:jc w:val="center"/>
        <w:rPr>
          <w:rFonts w:hint="eastAsia" w:ascii="宋体" w:hAnsi="宋体" w:cs="宋体"/>
          <w:kern w:val="0"/>
          <w:szCs w:val="21"/>
        </w:rPr>
      </w:pPr>
    </w:p>
    <w:p w14:paraId="41467BB1">
      <w:pPr>
        <w:spacing w:line="360" w:lineRule="auto"/>
        <w:jc w:val="center"/>
        <w:rPr>
          <w:bCs/>
          <w:sz w:val="24"/>
        </w:rPr>
      </w:pPr>
    </w:p>
    <w:p w14:paraId="4804064C">
      <w:pPr>
        <w:spacing w:line="360" w:lineRule="auto"/>
        <w:jc w:val="center"/>
        <w:rPr>
          <w:rFonts w:hint="eastAsia" w:ascii="宋体" w:hAnsi="宋体" w:cs="宋体"/>
          <w:kern w:val="0"/>
          <w:szCs w:val="21"/>
        </w:rPr>
        <w:sectPr>
          <w:pgSz w:w="11906" w:h="16838"/>
          <w:pgMar w:top="1400" w:right="1287" w:bottom="1247" w:left="1417" w:header="851" w:footer="992" w:gutter="0"/>
          <w:cols w:space="720" w:num="1"/>
          <w:docGrid w:type="linesAndChars" w:linePitch="317" w:charSpace="819"/>
        </w:sectPr>
      </w:pPr>
    </w:p>
    <w:p w14:paraId="5D727902">
      <w:pPr>
        <w:autoSpaceDE w:val="0"/>
        <w:autoSpaceDN w:val="0"/>
        <w:adjustRightInd w:val="0"/>
        <w:spacing w:line="360" w:lineRule="auto"/>
        <w:jc w:val="center"/>
        <w:outlineLvl w:val="1"/>
        <w:rPr>
          <w:rFonts w:hint="eastAsia" w:ascii="宋体" w:hAnsi="宋体" w:cs="宋体"/>
          <w:b/>
          <w:sz w:val="24"/>
        </w:rPr>
      </w:pPr>
      <w:r>
        <w:rPr>
          <w:rFonts w:hint="eastAsia" w:ascii="宋体" w:hAnsi="宋体" w:cs="宋体"/>
          <w:b/>
          <w:sz w:val="30"/>
          <w:szCs w:val="30"/>
        </w:rPr>
        <w:t>七、</w:t>
      </w:r>
      <w:bookmarkEnd w:id="592"/>
      <w:bookmarkEnd w:id="593"/>
      <w:bookmarkEnd w:id="594"/>
      <w:bookmarkEnd w:id="595"/>
      <w:r>
        <w:rPr>
          <w:rFonts w:hint="eastAsia" w:ascii="宋体" w:hAnsi="宋体" w:cs="宋体"/>
          <w:b/>
          <w:sz w:val="30"/>
          <w:szCs w:val="30"/>
        </w:rPr>
        <w:t>商务部分</w:t>
      </w:r>
      <w:bookmarkStart w:id="596" w:name="_Toc2921"/>
      <w:bookmarkStart w:id="597" w:name="_Toc2784"/>
      <w:bookmarkStart w:id="598" w:name="_Toc15357"/>
    </w:p>
    <w:p w14:paraId="0B99350B">
      <w:pPr>
        <w:spacing w:line="360" w:lineRule="auto"/>
        <w:jc w:val="center"/>
        <w:outlineLvl w:val="1"/>
        <w:rPr>
          <w:rFonts w:hint="eastAsia" w:ascii="宋体" w:hAnsi="宋体" w:cs="宋体"/>
          <w:b/>
          <w:sz w:val="24"/>
          <w:lang w:val="zh-CN"/>
        </w:rPr>
      </w:pPr>
      <w:r>
        <w:rPr>
          <w:rFonts w:hint="eastAsia" w:ascii="宋体" w:hAnsi="宋体" w:cs="宋体"/>
          <w:b/>
          <w:sz w:val="24"/>
        </w:rPr>
        <w:t>（一）商务条款偏离表</w:t>
      </w:r>
    </w:p>
    <w:tbl>
      <w:tblPr>
        <w:tblStyle w:val="30"/>
        <w:tblW w:w="5957" w:type="pct"/>
        <w:jc w:val="center"/>
        <w:tblLayout w:type="autofit"/>
        <w:tblCellMar>
          <w:top w:w="57" w:type="dxa"/>
          <w:left w:w="57" w:type="dxa"/>
          <w:bottom w:w="57" w:type="dxa"/>
          <w:right w:w="57" w:type="dxa"/>
        </w:tblCellMar>
      </w:tblPr>
      <w:tblGrid>
        <w:gridCol w:w="723"/>
        <w:gridCol w:w="1893"/>
        <w:gridCol w:w="2069"/>
        <w:gridCol w:w="1843"/>
        <w:gridCol w:w="2184"/>
        <w:gridCol w:w="1289"/>
      </w:tblGrid>
      <w:tr w14:paraId="3F52D928">
        <w:tblPrEx>
          <w:tblCellMar>
            <w:top w:w="57" w:type="dxa"/>
            <w:left w:w="57" w:type="dxa"/>
            <w:bottom w:w="57" w:type="dxa"/>
            <w:right w:w="57" w:type="dxa"/>
          </w:tblCellMar>
        </w:tblPrEx>
        <w:trPr>
          <w:trHeight w:val="732"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0F94AF61">
            <w:pPr>
              <w:spacing w:before="78" w:beforeLines="25" w:after="78" w:afterLines="25"/>
              <w:jc w:val="center"/>
              <w:rPr>
                <w:rFonts w:hint="eastAsia" w:ascii="宋体" w:hAnsi="宋体" w:cs="宋体"/>
                <w:sz w:val="24"/>
              </w:rPr>
            </w:pPr>
            <w:r>
              <w:rPr>
                <w:rFonts w:hint="eastAsia" w:ascii="宋体" w:hAnsi="宋体" w:cs="宋体"/>
                <w:sz w:val="24"/>
              </w:rPr>
              <w:t>序号</w:t>
            </w:r>
          </w:p>
        </w:tc>
        <w:tc>
          <w:tcPr>
            <w:tcW w:w="946" w:type="pct"/>
            <w:tcBorders>
              <w:top w:val="single" w:color="000000" w:sz="4" w:space="0"/>
              <w:left w:val="single" w:color="000000" w:sz="4" w:space="0"/>
              <w:bottom w:val="single" w:color="000000" w:sz="4" w:space="0"/>
              <w:right w:val="single" w:color="auto" w:sz="4" w:space="0"/>
            </w:tcBorders>
            <w:vAlign w:val="center"/>
          </w:tcPr>
          <w:p w14:paraId="5618E18C">
            <w:pPr>
              <w:spacing w:before="78" w:beforeLines="25" w:after="78" w:afterLines="25"/>
              <w:jc w:val="center"/>
              <w:rPr>
                <w:rFonts w:hint="eastAsia" w:ascii="宋体" w:hAnsi="宋体" w:cs="宋体"/>
                <w:sz w:val="24"/>
              </w:rPr>
            </w:pPr>
            <w:r>
              <w:rPr>
                <w:rFonts w:hint="eastAsia" w:ascii="宋体" w:hAnsi="宋体" w:cs="宋体"/>
                <w:sz w:val="24"/>
              </w:rPr>
              <w:t>商务条款内容</w:t>
            </w:r>
          </w:p>
        </w:tc>
        <w:tc>
          <w:tcPr>
            <w:tcW w:w="1034" w:type="pct"/>
            <w:tcBorders>
              <w:top w:val="single" w:color="000000" w:sz="4" w:space="0"/>
              <w:left w:val="single" w:color="auto" w:sz="4" w:space="0"/>
              <w:bottom w:val="single" w:color="000000" w:sz="4" w:space="0"/>
              <w:right w:val="single" w:color="000000" w:sz="4" w:space="0"/>
            </w:tcBorders>
            <w:vAlign w:val="center"/>
          </w:tcPr>
          <w:p w14:paraId="13919260">
            <w:pPr>
              <w:spacing w:before="78" w:beforeLines="25" w:after="78" w:afterLines="25"/>
              <w:jc w:val="center"/>
              <w:rPr>
                <w:rFonts w:hint="eastAsia" w:ascii="宋体" w:hAnsi="宋体" w:cs="宋体"/>
                <w:sz w:val="24"/>
              </w:rPr>
            </w:pPr>
            <w:r>
              <w:rPr>
                <w:rFonts w:hint="eastAsia" w:ascii="宋体" w:hAnsi="宋体" w:cs="宋体"/>
                <w:sz w:val="24"/>
              </w:rPr>
              <w:t>磋商文件商务要求</w:t>
            </w:r>
          </w:p>
        </w:tc>
        <w:tc>
          <w:tcPr>
            <w:tcW w:w="921" w:type="pct"/>
            <w:tcBorders>
              <w:top w:val="single" w:color="000000" w:sz="4" w:space="0"/>
              <w:left w:val="single" w:color="000000" w:sz="4" w:space="0"/>
              <w:bottom w:val="single" w:color="000000" w:sz="4" w:space="0"/>
              <w:right w:val="single" w:color="000000" w:sz="4" w:space="0"/>
            </w:tcBorders>
            <w:vAlign w:val="center"/>
          </w:tcPr>
          <w:p w14:paraId="52A93089">
            <w:pPr>
              <w:spacing w:before="78" w:beforeLines="25" w:after="78" w:afterLines="25"/>
              <w:jc w:val="center"/>
              <w:rPr>
                <w:rFonts w:hint="eastAsia" w:ascii="宋体" w:hAnsi="宋体" w:cs="宋体"/>
                <w:sz w:val="24"/>
              </w:rPr>
            </w:pPr>
            <w:r>
              <w:rPr>
                <w:rFonts w:hint="eastAsia" w:ascii="宋体" w:hAnsi="宋体" w:cs="宋体"/>
                <w:sz w:val="24"/>
              </w:rPr>
              <w:t>响应文件的商务条款响应情况</w:t>
            </w:r>
          </w:p>
        </w:tc>
        <w:tc>
          <w:tcPr>
            <w:tcW w:w="1091" w:type="pct"/>
            <w:tcBorders>
              <w:top w:val="single" w:color="000000" w:sz="4" w:space="0"/>
              <w:left w:val="single" w:color="000000" w:sz="4" w:space="0"/>
              <w:bottom w:val="single" w:color="000000" w:sz="4" w:space="0"/>
              <w:right w:val="single" w:color="000000" w:sz="4" w:space="0"/>
            </w:tcBorders>
            <w:vAlign w:val="center"/>
          </w:tcPr>
          <w:p w14:paraId="3FB7D26F">
            <w:pPr>
              <w:spacing w:before="78" w:beforeLines="25" w:after="78" w:afterLines="25"/>
              <w:jc w:val="center"/>
              <w:rPr>
                <w:rFonts w:hint="eastAsia" w:ascii="宋体" w:hAnsi="宋体" w:cs="宋体"/>
                <w:sz w:val="24"/>
              </w:rPr>
            </w:pPr>
            <w:r>
              <w:rPr>
                <w:rFonts w:hint="eastAsia" w:ascii="宋体" w:hAnsi="宋体" w:cs="宋体"/>
                <w:sz w:val="24"/>
              </w:rPr>
              <w:t>偏离情况（正偏离/负偏离/无偏离）</w:t>
            </w:r>
          </w:p>
        </w:tc>
        <w:tc>
          <w:tcPr>
            <w:tcW w:w="644" w:type="pct"/>
            <w:tcBorders>
              <w:top w:val="single" w:color="000000" w:sz="4" w:space="0"/>
              <w:left w:val="single" w:color="000000" w:sz="4" w:space="0"/>
              <w:bottom w:val="single" w:color="000000" w:sz="4" w:space="0"/>
              <w:right w:val="single" w:color="000000" w:sz="4" w:space="0"/>
            </w:tcBorders>
            <w:vAlign w:val="center"/>
          </w:tcPr>
          <w:p w14:paraId="0A10BDED">
            <w:pPr>
              <w:spacing w:before="78" w:beforeLines="25" w:after="78" w:afterLines="25"/>
              <w:jc w:val="center"/>
              <w:rPr>
                <w:rFonts w:hint="eastAsia" w:ascii="宋体" w:hAnsi="宋体" w:cs="宋体"/>
                <w:sz w:val="24"/>
              </w:rPr>
            </w:pPr>
            <w:r>
              <w:rPr>
                <w:rFonts w:hint="eastAsia" w:ascii="宋体" w:hAnsi="宋体" w:cs="宋体"/>
                <w:sz w:val="24"/>
              </w:rPr>
              <w:t>说明</w:t>
            </w:r>
          </w:p>
        </w:tc>
      </w:tr>
      <w:tr w14:paraId="6C7A1713">
        <w:tblPrEx>
          <w:tblCellMar>
            <w:top w:w="57" w:type="dxa"/>
            <w:left w:w="57" w:type="dxa"/>
            <w:bottom w:w="57" w:type="dxa"/>
            <w:right w:w="57" w:type="dxa"/>
          </w:tblCellMar>
        </w:tblPrEx>
        <w:trPr>
          <w:trHeight w:val="539"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6861A5E0">
            <w:pPr>
              <w:spacing w:before="78" w:beforeLines="25" w:after="78" w:afterLines="25"/>
              <w:jc w:val="center"/>
              <w:rPr>
                <w:rFonts w:hint="eastAsia" w:ascii="宋体" w:hAnsi="宋体" w:cs="宋体"/>
                <w:sz w:val="24"/>
              </w:rPr>
            </w:pPr>
            <w:r>
              <w:rPr>
                <w:rFonts w:hint="eastAsia" w:ascii="宋体" w:hAnsi="宋体" w:cs="宋体"/>
                <w:sz w:val="24"/>
              </w:rPr>
              <w:t>1</w:t>
            </w:r>
          </w:p>
        </w:tc>
        <w:tc>
          <w:tcPr>
            <w:tcW w:w="946" w:type="pct"/>
            <w:tcBorders>
              <w:top w:val="single" w:color="000000" w:sz="4" w:space="0"/>
              <w:left w:val="single" w:color="000000" w:sz="4" w:space="0"/>
              <w:bottom w:val="single" w:color="000000" w:sz="4" w:space="0"/>
              <w:right w:val="single" w:color="auto" w:sz="4" w:space="0"/>
            </w:tcBorders>
            <w:vAlign w:val="center"/>
          </w:tcPr>
          <w:p w14:paraId="0525741F">
            <w:pPr>
              <w:spacing w:before="78" w:beforeLines="25" w:after="78" w:afterLines="25"/>
              <w:jc w:val="center"/>
              <w:rPr>
                <w:rFonts w:hint="eastAsia" w:ascii="宋体" w:hAnsi="宋体" w:cs="宋体"/>
                <w:sz w:val="24"/>
              </w:rPr>
            </w:pPr>
            <w:r>
              <w:rPr>
                <w:rFonts w:hint="eastAsia" w:ascii="宋体" w:hAnsi="宋体" w:cs="宋体"/>
                <w:sz w:val="24"/>
              </w:rPr>
              <w:t>采购内容</w:t>
            </w:r>
          </w:p>
        </w:tc>
        <w:tc>
          <w:tcPr>
            <w:tcW w:w="1034" w:type="pct"/>
            <w:tcBorders>
              <w:top w:val="single" w:color="000000" w:sz="4" w:space="0"/>
              <w:left w:val="single" w:color="auto" w:sz="4" w:space="0"/>
              <w:bottom w:val="single" w:color="000000" w:sz="4" w:space="0"/>
              <w:right w:val="single" w:color="000000" w:sz="4" w:space="0"/>
            </w:tcBorders>
          </w:tcPr>
          <w:p w14:paraId="08E47267">
            <w:pPr>
              <w:spacing w:before="78" w:beforeLines="25" w:after="78" w:afterLines="25"/>
              <w:jc w:val="left"/>
              <w:rPr>
                <w:rFonts w:hint="eastAsia" w:ascii="宋体" w:hAnsi="宋体" w:cs="宋体"/>
                <w:sz w:val="24"/>
              </w:rPr>
            </w:pPr>
          </w:p>
        </w:tc>
        <w:tc>
          <w:tcPr>
            <w:tcW w:w="921" w:type="pct"/>
            <w:tcBorders>
              <w:top w:val="single" w:color="000000" w:sz="4" w:space="0"/>
              <w:left w:val="single" w:color="000000" w:sz="4" w:space="0"/>
              <w:bottom w:val="single" w:color="000000" w:sz="4" w:space="0"/>
              <w:right w:val="single" w:color="000000" w:sz="4" w:space="0"/>
            </w:tcBorders>
          </w:tcPr>
          <w:p w14:paraId="3F05822E">
            <w:pPr>
              <w:spacing w:before="78" w:beforeLines="25" w:after="78" w:afterLines="25"/>
              <w:jc w:val="center"/>
              <w:rPr>
                <w:rFonts w:hint="eastAsia" w:ascii="宋体" w:hAnsi="宋体" w:cs="宋体"/>
                <w:b/>
                <w:bCs/>
                <w:sz w:val="24"/>
              </w:rPr>
            </w:pPr>
          </w:p>
        </w:tc>
        <w:tc>
          <w:tcPr>
            <w:tcW w:w="1091" w:type="pct"/>
            <w:tcBorders>
              <w:top w:val="single" w:color="000000" w:sz="4" w:space="0"/>
              <w:left w:val="single" w:color="000000" w:sz="4" w:space="0"/>
              <w:bottom w:val="single" w:color="000000" w:sz="4" w:space="0"/>
              <w:right w:val="single" w:color="000000" w:sz="4" w:space="0"/>
            </w:tcBorders>
          </w:tcPr>
          <w:p w14:paraId="515FF15B">
            <w:pPr>
              <w:spacing w:before="78" w:beforeLines="25" w:after="78" w:afterLines="25"/>
              <w:jc w:val="center"/>
              <w:rPr>
                <w:rFonts w:hint="eastAsia" w:ascii="宋体" w:hAnsi="宋体" w:cs="宋体"/>
                <w:b/>
                <w:bCs/>
                <w:sz w:val="24"/>
              </w:rPr>
            </w:pPr>
          </w:p>
        </w:tc>
        <w:tc>
          <w:tcPr>
            <w:tcW w:w="644" w:type="pct"/>
            <w:tcBorders>
              <w:top w:val="single" w:color="000000" w:sz="4" w:space="0"/>
              <w:left w:val="single" w:color="000000" w:sz="4" w:space="0"/>
              <w:bottom w:val="single" w:color="000000" w:sz="4" w:space="0"/>
              <w:right w:val="single" w:color="000000" w:sz="4" w:space="0"/>
            </w:tcBorders>
          </w:tcPr>
          <w:p w14:paraId="68BB174F">
            <w:pPr>
              <w:spacing w:before="78" w:beforeLines="25" w:after="78" w:afterLines="25"/>
              <w:jc w:val="center"/>
              <w:rPr>
                <w:rFonts w:hint="eastAsia" w:ascii="宋体" w:hAnsi="宋体" w:cs="宋体"/>
                <w:b/>
                <w:bCs/>
                <w:sz w:val="24"/>
              </w:rPr>
            </w:pPr>
          </w:p>
        </w:tc>
      </w:tr>
      <w:tr w14:paraId="6FF0BBE2">
        <w:tblPrEx>
          <w:tblCellMar>
            <w:top w:w="57" w:type="dxa"/>
            <w:left w:w="57" w:type="dxa"/>
            <w:bottom w:w="57" w:type="dxa"/>
            <w:right w:w="57" w:type="dxa"/>
          </w:tblCellMar>
        </w:tblPrEx>
        <w:trPr>
          <w:trHeight w:val="520"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22D42AE4">
            <w:pPr>
              <w:spacing w:before="78" w:beforeLines="25" w:after="78" w:afterLines="25"/>
              <w:jc w:val="center"/>
              <w:rPr>
                <w:rFonts w:hint="eastAsia" w:ascii="宋体" w:hAnsi="宋体" w:cs="宋体"/>
                <w:sz w:val="24"/>
              </w:rPr>
            </w:pPr>
            <w:r>
              <w:rPr>
                <w:rFonts w:hint="eastAsia" w:ascii="宋体" w:hAnsi="宋体" w:cs="宋体"/>
                <w:sz w:val="24"/>
              </w:rPr>
              <w:t>2</w:t>
            </w:r>
          </w:p>
        </w:tc>
        <w:tc>
          <w:tcPr>
            <w:tcW w:w="946" w:type="pct"/>
            <w:tcBorders>
              <w:top w:val="single" w:color="000000" w:sz="4" w:space="0"/>
              <w:left w:val="single" w:color="000000" w:sz="4" w:space="0"/>
              <w:bottom w:val="single" w:color="000000" w:sz="4" w:space="0"/>
              <w:right w:val="single" w:color="auto" w:sz="4" w:space="0"/>
            </w:tcBorders>
            <w:vAlign w:val="center"/>
          </w:tcPr>
          <w:p w14:paraId="407E3163">
            <w:pPr>
              <w:spacing w:before="78" w:beforeLines="25" w:after="78" w:afterLines="25"/>
              <w:jc w:val="center"/>
              <w:rPr>
                <w:rFonts w:hint="eastAsia" w:ascii="宋体" w:hAnsi="宋体" w:cs="宋体"/>
                <w:sz w:val="24"/>
              </w:rPr>
            </w:pPr>
            <w:r>
              <w:rPr>
                <w:rFonts w:hint="eastAsia" w:ascii="宋体" w:hAnsi="宋体" w:cs="宋体"/>
                <w:sz w:val="24"/>
              </w:rPr>
              <w:t>交货期</w:t>
            </w:r>
          </w:p>
        </w:tc>
        <w:tc>
          <w:tcPr>
            <w:tcW w:w="1034" w:type="pct"/>
            <w:tcBorders>
              <w:top w:val="single" w:color="000000" w:sz="4" w:space="0"/>
              <w:left w:val="single" w:color="auto" w:sz="4" w:space="0"/>
              <w:bottom w:val="single" w:color="000000" w:sz="4" w:space="0"/>
              <w:right w:val="single" w:color="000000" w:sz="4" w:space="0"/>
            </w:tcBorders>
          </w:tcPr>
          <w:p w14:paraId="44398486">
            <w:pPr>
              <w:spacing w:before="78" w:beforeLines="25" w:after="78" w:afterLines="25"/>
              <w:jc w:val="left"/>
              <w:rPr>
                <w:rFonts w:hint="eastAsia" w:ascii="宋体" w:hAnsi="宋体" w:cs="宋体"/>
                <w:sz w:val="24"/>
              </w:rPr>
            </w:pPr>
          </w:p>
        </w:tc>
        <w:tc>
          <w:tcPr>
            <w:tcW w:w="921" w:type="pct"/>
            <w:tcBorders>
              <w:top w:val="single" w:color="000000" w:sz="4" w:space="0"/>
              <w:left w:val="single" w:color="000000" w:sz="4" w:space="0"/>
              <w:bottom w:val="single" w:color="000000" w:sz="4" w:space="0"/>
              <w:right w:val="single" w:color="000000" w:sz="4" w:space="0"/>
            </w:tcBorders>
          </w:tcPr>
          <w:p w14:paraId="6D9DCF2F">
            <w:pPr>
              <w:spacing w:before="78" w:beforeLines="25" w:after="78" w:afterLines="25"/>
              <w:jc w:val="center"/>
              <w:rPr>
                <w:rFonts w:hint="eastAsia" w:ascii="宋体" w:hAnsi="宋体" w:cs="宋体"/>
                <w:b/>
                <w:bCs/>
                <w:sz w:val="24"/>
              </w:rPr>
            </w:pPr>
          </w:p>
        </w:tc>
        <w:tc>
          <w:tcPr>
            <w:tcW w:w="1091" w:type="pct"/>
            <w:tcBorders>
              <w:top w:val="single" w:color="000000" w:sz="4" w:space="0"/>
              <w:left w:val="single" w:color="000000" w:sz="4" w:space="0"/>
              <w:bottom w:val="single" w:color="000000" w:sz="4" w:space="0"/>
              <w:right w:val="single" w:color="000000" w:sz="4" w:space="0"/>
            </w:tcBorders>
          </w:tcPr>
          <w:p w14:paraId="5A223B5A">
            <w:pPr>
              <w:spacing w:before="78" w:beforeLines="25" w:after="78" w:afterLines="25"/>
              <w:jc w:val="center"/>
              <w:rPr>
                <w:rFonts w:hint="eastAsia" w:ascii="宋体" w:hAnsi="宋体" w:cs="宋体"/>
                <w:b/>
                <w:bCs/>
                <w:sz w:val="24"/>
              </w:rPr>
            </w:pPr>
          </w:p>
        </w:tc>
        <w:tc>
          <w:tcPr>
            <w:tcW w:w="644" w:type="pct"/>
            <w:tcBorders>
              <w:top w:val="single" w:color="000000" w:sz="4" w:space="0"/>
              <w:left w:val="single" w:color="000000" w:sz="4" w:space="0"/>
              <w:bottom w:val="single" w:color="000000" w:sz="4" w:space="0"/>
              <w:right w:val="single" w:color="000000" w:sz="4" w:space="0"/>
            </w:tcBorders>
          </w:tcPr>
          <w:p w14:paraId="6E4BE082">
            <w:pPr>
              <w:spacing w:before="78" w:beforeLines="25" w:after="78" w:afterLines="25"/>
              <w:jc w:val="center"/>
              <w:rPr>
                <w:rFonts w:hint="eastAsia" w:ascii="宋体" w:hAnsi="宋体" w:cs="宋体"/>
                <w:b/>
                <w:bCs/>
                <w:sz w:val="24"/>
              </w:rPr>
            </w:pPr>
          </w:p>
        </w:tc>
      </w:tr>
      <w:tr w14:paraId="39750927">
        <w:tblPrEx>
          <w:tblCellMar>
            <w:top w:w="57" w:type="dxa"/>
            <w:left w:w="57" w:type="dxa"/>
            <w:bottom w:w="57" w:type="dxa"/>
            <w:right w:w="57" w:type="dxa"/>
          </w:tblCellMar>
        </w:tblPrEx>
        <w:trPr>
          <w:trHeight w:val="539"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0164B33C">
            <w:pPr>
              <w:spacing w:before="78" w:beforeLines="25" w:after="78" w:afterLines="25"/>
              <w:jc w:val="center"/>
              <w:rPr>
                <w:rFonts w:hint="eastAsia" w:ascii="宋体" w:hAnsi="宋体" w:cs="宋体"/>
                <w:sz w:val="24"/>
              </w:rPr>
            </w:pPr>
            <w:r>
              <w:rPr>
                <w:rFonts w:hint="eastAsia" w:ascii="宋体" w:hAnsi="宋体" w:cs="宋体"/>
                <w:sz w:val="24"/>
              </w:rPr>
              <w:t>3</w:t>
            </w:r>
          </w:p>
        </w:tc>
        <w:tc>
          <w:tcPr>
            <w:tcW w:w="946" w:type="pct"/>
            <w:tcBorders>
              <w:top w:val="single" w:color="000000" w:sz="4" w:space="0"/>
              <w:left w:val="single" w:color="000000" w:sz="4" w:space="0"/>
              <w:bottom w:val="single" w:color="000000" w:sz="4" w:space="0"/>
              <w:right w:val="single" w:color="auto" w:sz="4" w:space="0"/>
            </w:tcBorders>
            <w:vAlign w:val="center"/>
          </w:tcPr>
          <w:p w14:paraId="0F3CA817">
            <w:pPr>
              <w:spacing w:before="78" w:beforeLines="25" w:after="78" w:afterLines="25"/>
              <w:jc w:val="center"/>
              <w:rPr>
                <w:rFonts w:hint="eastAsia" w:ascii="宋体" w:hAnsi="宋体" w:cs="宋体"/>
                <w:sz w:val="24"/>
              </w:rPr>
            </w:pPr>
            <w:r>
              <w:rPr>
                <w:rFonts w:hint="eastAsia" w:ascii="宋体" w:hAnsi="宋体" w:cs="宋体"/>
                <w:sz w:val="24"/>
              </w:rPr>
              <w:t>交货地点</w:t>
            </w:r>
          </w:p>
        </w:tc>
        <w:tc>
          <w:tcPr>
            <w:tcW w:w="1034" w:type="pct"/>
            <w:tcBorders>
              <w:top w:val="single" w:color="000000" w:sz="4" w:space="0"/>
              <w:left w:val="single" w:color="auto" w:sz="4" w:space="0"/>
              <w:bottom w:val="single" w:color="000000" w:sz="4" w:space="0"/>
              <w:right w:val="single" w:color="000000" w:sz="4" w:space="0"/>
            </w:tcBorders>
          </w:tcPr>
          <w:p w14:paraId="2509430A">
            <w:pPr>
              <w:spacing w:before="78" w:beforeLines="25" w:after="78" w:afterLines="25"/>
              <w:jc w:val="left"/>
              <w:rPr>
                <w:rFonts w:hint="eastAsia" w:ascii="宋体" w:hAnsi="宋体" w:cs="宋体"/>
                <w:sz w:val="24"/>
              </w:rPr>
            </w:pPr>
          </w:p>
        </w:tc>
        <w:tc>
          <w:tcPr>
            <w:tcW w:w="921" w:type="pct"/>
            <w:tcBorders>
              <w:top w:val="single" w:color="000000" w:sz="4" w:space="0"/>
              <w:left w:val="single" w:color="000000" w:sz="4" w:space="0"/>
              <w:bottom w:val="single" w:color="000000" w:sz="4" w:space="0"/>
              <w:right w:val="single" w:color="000000" w:sz="4" w:space="0"/>
            </w:tcBorders>
          </w:tcPr>
          <w:p w14:paraId="6F5D9CF3">
            <w:pPr>
              <w:spacing w:before="78" w:beforeLines="25" w:after="78" w:afterLines="25"/>
              <w:jc w:val="center"/>
              <w:rPr>
                <w:rFonts w:hint="eastAsia" w:ascii="宋体" w:hAnsi="宋体" w:cs="宋体"/>
                <w:b/>
                <w:bCs/>
                <w:sz w:val="24"/>
              </w:rPr>
            </w:pPr>
          </w:p>
        </w:tc>
        <w:tc>
          <w:tcPr>
            <w:tcW w:w="1091" w:type="pct"/>
            <w:tcBorders>
              <w:top w:val="single" w:color="000000" w:sz="4" w:space="0"/>
              <w:left w:val="single" w:color="000000" w:sz="4" w:space="0"/>
              <w:bottom w:val="single" w:color="000000" w:sz="4" w:space="0"/>
              <w:right w:val="single" w:color="000000" w:sz="4" w:space="0"/>
            </w:tcBorders>
          </w:tcPr>
          <w:p w14:paraId="755B1551">
            <w:pPr>
              <w:spacing w:before="78" w:beforeLines="25" w:after="78" w:afterLines="25"/>
              <w:jc w:val="center"/>
              <w:rPr>
                <w:rFonts w:hint="eastAsia" w:ascii="宋体" w:hAnsi="宋体" w:cs="宋体"/>
                <w:b/>
                <w:bCs/>
                <w:sz w:val="24"/>
              </w:rPr>
            </w:pPr>
          </w:p>
        </w:tc>
        <w:tc>
          <w:tcPr>
            <w:tcW w:w="644" w:type="pct"/>
            <w:tcBorders>
              <w:top w:val="single" w:color="000000" w:sz="4" w:space="0"/>
              <w:left w:val="single" w:color="000000" w:sz="4" w:space="0"/>
              <w:bottom w:val="single" w:color="000000" w:sz="4" w:space="0"/>
              <w:right w:val="single" w:color="000000" w:sz="4" w:space="0"/>
            </w:tcBorders>
          </w:tcPr>
          <w:p w14:paraId="424DB066">
            <w:pPr>
              <w:spacing w:before="78" w:beforeLines="25" w:after="78" w:afterLines="25"/>
              <w:jc w:val="center"/>
              <w:rPr>
                <w:rFonts w:hint="eastAsia" w:ascii="宋体" w:hAnsi="宋体" w:cs="宋体"/>
                <w:b/>
                <w:bCs/>
                <w:sz w:val="24"/>
              </w:rPr>
            </w:pPr>
          </w:p>
        </w:tc>
      </w:tr>
      <w:tr w14:paraId="39823598">
        <w:tblPrEx>
          <w:tblCellMar>
            <w:top w:w="57" w:type="dxa"/>
            <w:left w:w="57" w:type="dxa"/>
            <w:bottom w:w="57" w:type="dxa"/>
            <w:right w:w="57" w:type="dxa"/>
          </w:tblCellMar>
        </w:tblPrEx>
        <w:trPr>
          <w:trHeight w:val="576"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59ECFDAD">
            <w:pPr>
              <w:spacing w:before="78" w:beforeLines="25" w:after="78" w:afterLines="25"/>
              <w:jc w:val="center"/>
              <w:rPr>
                <w:rFonts w:hint="eastAsia" w:ascii="宋体" w:hAnsi="宋体" w:cs="宋体"/>
                <w:sz w:val="24"/>
              </w:rPr>
            </w:pPr>
            <w:r>
              <w:rPr>
                <w:rFonts w:hint="eastAsia" w:ascii="宋体" w:hAnsi="宋体" w:cs="宋体"/>
                <w:sz w:val="24"/>
              </w:rPr>
              <w:t>4</w:t>
            </w:r>
          </w:p>
        </w:tc>
        <w:tc>
          <w:tcPr>
            <w:tcW w:w="946" w:type="pct"/>
            <w:tcBorders>
              <w:top w:val="single" w:color="000000" w:sz="4" w:space="0"/>
              <w:left w:val="single" w:color="000000" w:sz="4" w:space="0"/>
              <w:bottom w:val="single" w:color="000000" w:sz="4" w:space="0"/>
              <w:right w:val="single" w:color="auto" w:sz="4" w:space="0"/>
            </w:tcBorders>
            <w:vAlign w:val="center"/>
          </w:tcPr>
          <w:p w14:paraId="73CCADE3">
            <w:pPr>
              <w:spacing w:before="78" w:beforeLines="25" w:after="78" w:afterLines="25"/>
              <w:jc w:val="center"/>
              <w:rPr>
                <w:rFonts w:hint="eastAsia" w:ascii="宋体" w:hAnsi="宋体" w:cs="宋体"/>
                <w:sz w:val="24"/>
              </w:rPr>
            </w:pPr>
            <w:r>
              <w:rPr>
                <w:rFonts w:hint="eastAsia" w:ascii="宋体" w:hAnsi="宋体" w:cs="宋体"/>
                <w:sz w:val="24"/>
              </w:rPr>
              <w:t>质量要求</w:t>
            </w:r>
          </w:p>
        </w:tc>
        <w:tc>
          <w:tcPr>
            <w:tcW w:w="1034" w:type="pct"/>
            <w:tcBorders>
              <w:top w:val="single" w:color="000000" w:sz="4" w:space="0"/>
              <w:left w:val="single" w:color="auto" w:sz="4" w:space="0"/>
              <w:bottom w:val="single" w:color="000000" w:sz="4" w:space="0"/>
              <w:right w:val="single" w:color="000000" w:sz="4" w:space="0"/>
            </w:tcBorders>
          </w:tcPr>
          <w:p w14:paraId="0E37C7B7">
            <w:pPr>
              <w:spacing w:before="78" w:beforeLines="25" w:after="78" w:afterLines="25"/>
              <w:jc w:val="left"/>
              <w:rPr>
                <w:rFonts w:hint="eastAsia" w:ascii="宋体" w:hAnsi="宋体" w:cs="宋体"/>
                <w:sz w:val="24"/>
              </w:rPr>
            </w:pPr>
          </w:p>
        </w:tc>
        <w:tc>
          <w:tcPr>
            <w:tcW w:w="921" w:type="pct"/>
            <w:tcBorders>
              <w:top w:val="single" w:color="000000" w:sz="4" w:space="0"/>
              <w:left w:val="single" w:color="000000" w:sz="4" w:space="0"/>
              <w:bottom w:val="single" w:color="000000" w:sz="4" w:space="0"/>
              <w:right w:val="single" w:color="000000" w:sz="4" w:space="0"/>
            </w:tcBorders>
          </w:tcPr>
          <w:p w14:paraId="0CF580D7">
            <w:pPr>
              <w:spacing w:before="78" w:beforeLines="25" w:after="78" w:afterLines="25"/>
              <w:jc w:val="center"/>
              <w:rPr>
                <w:rFonts w:hint="eastAsia" w:ascii="宋体" w:hAnsi="宋体" w:cs="宋体"/>
                <w:b/>
                <w:bCs/>
                <w:sz w:val="24"/>
              </w:rPr>
            </w:pPr>
          </w:p>
        </w:tc>
        <w:tc>
          <w:tcPr>
            <w:tcW w:w="1091" w:type="pct"/>
            <w:tcBorders>
              <w:top w:val="single" w:color="000000" w:sz="4" w:space="0"/>
              <w:left w:val="single" w:color="000000" w:sz="4" w:space="0"/>
              <w:bottom w:val="single" w:color="000000" w:sz="4" w:space="0"/>
              <w:right w:val="single" w:color="000000" w:sz="4" w:space="0"/>
            </w:tcBorders>
          </w:tcPr>
          <w:p w14:paraId="415C64EA">
            <w:pPr>
              <w:spacing w:before="78" w:beforeLines="25" w:after="78" w:afterLines="25"/>
              <w:jc w:val="center"/>
              <w:rPr>
                <w:rFonts w:hint="eastAsia" w:ascii="宋体" w:hAnsi="宋体" w:cs="宋体"/>
                <w:b/>
                <w:bCs/>
                <w:sz w:val="24"/>
              </w:rPr>
            </w:pPr>
          </w:p>
        </w:tc>
        <w:tc>
          <w:tcPr>
            <w:tcW w:w="644" w:type="pct"/>
            <w:tcBorders>
              <w:top w:val="single" w:color="000000" w:sz="4" w:space="0"/>
              <w:left w:val="single" w:color="000000" w:sz="4" w:space="0"/>
              <w:bottom w:val="single" w:color="000000" w:sz="4" w:space="0"/>
              <w:right w:val="single" w:color="000000" w:sz="4" w:space="0"/>
            </w:tcBorders>
          </w:tcPr>
          <w:p w14:paraId="10983050">
            <w:pPr>
              <w:spacing w:before="78" w:beforeLines="25" w:after="78" w:afterLines="25"/>
              <w:jc w:val="center"/>
              <w:rPr>
                <w:rFonts w:hint="eastAsia" w:ascii="宋体" w:hAnsi="宋体" w:cs="宋体"/>
                <w:b/>
                <w:bCs/>
                <w:sz w:val="24"/>
              </w:rPr>
            </w:pPr>
          </w:p>
        </w:tc>
      </w:tr>
      <w:tr w14:paraId="7CDF1DFC">
        <w:tblPrEx>
          <w:tblCellMar>
            <w:top w:w="57" w:type="dxa"/>
            <w:left w:w="57" w:type="dxa"/>
            <w:bottom w:w="57" w:type="dxa"/>
            <w:right w:w="57" w:type="dxa"/>
          </w:tblCellMar>
        </w:tblPrEx>
        <w:trPr>
          <w:trHeight w:val="576"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534EDB77">
            <w:pPr>
              <w:spacing w:before="78" w:beforeLines="25" w:after="78" w:afterLines="25"/>
              <w:jc w:val="center"/>
              <w:rPr>
                <w:rFonts w:hint="eastAsia" w:ascii="宋体" w:hAnsi="宋体" w:cs="宋体"/>
                <w:sz w:val="24"/>
              </w:rPr>
            </w:pPr>
            <w:r>
              <w:rPr>
                <w:rFonts w:hint="eastAsia" w:ascii="宋体" w:hAnsi="宋体" w:cs="宋体"/>
                <w:sz w:val="24"/>
              </w:rPr>
              <w:t>5</w:t>
            </w:r>
          </w:p>
        </w:tc>
        <w:tc>
          <w:tcPr>
            <w:tcW w:w="946" w:type="pct"/>
            <w:tcBorders>
              <w:top w:val="single" w:color="000000" w:sz="4" w:space="0"/>
              <w:left w:val="single" w:color="000000" w:sz="4" w:space="0"/>
              <w:bottom w:val="single" w:color="000000" w:sz="4" w:space="0"/>
              <w:right w:val="single" w:color="auto" w:sz="4" w:space="0"/>
            </w:tcBorders>
            <w:vAlign w:val="center"/>
          </w:tcPr>
          <w:p w14:paraId="13463681">
            <w:pPr>
              <w:spacing w:before="78" w:beforeLines="25" w:after="78" w:afterLines="25"/>
              <w:jc w:val="center"/>
              <w:rPr>
                <w:rFonts w:hint="eastAsia" w:ascii="宋体" w:hAnsi="宋体" w:cs="宋体"/>
                <w:sz w:val="24"/>
              </w:rPr>
            </w:pPr>
            <w:r>
              <w:rPr>
                <w:rFonts w:hint="eastAsia" w:ascii="宋体" w:hAnsi="宋体" w:cs="宋体"/>
                <w:sz w:val="24"/>
              </w:rPr>
              <w:t>质保期</w:t>
            </w:r>
          </w:p>
        </w:tc>
        <w:tc>
          <w:tcPr>
            <w:tcW w:w="1034" w:type="pct"/>
            <w:tcBorders>
              <w:top w:val="single" w:color="000000" w:sz="4" w:space="0"/>
              <w:left w:val="single" w:color="auto" w:sz="4" w:space="0"/>
              <w:bottom w:val="single" w:color="000000" w:sz="4" w:space="0"/>
              <w:right w:val="single" w:color="000000" w:sz="4" w:space="0"/>
            </w:tcBorders>
          </w:tcPr>
          <w:p w14:paraId="07A5B747">
            <w:pPr>
              <w:spacing w:before="78" w:beforeLines="25" w:after="78" w:afterLines="25"/>
              <w:jc w:val="left"/>
              <w:rPr>
                <w:rFonts w:hint="eastAsia" w:ascii="宋体" w:hAnsi="宋体" w:cs="宋体"/>
                <w:sz w:val="24"/>
              </w:rPr>
            </w:pPr>
          </w:p>
        </w:tc>
        <w:tc>
          <w:tcPr>
            <w:tcW w:w="921" w:type="pct"/>
            <w:tcBorders>
              <w:top w:val="single" w:color="000000" w:sz="4" w:space="0"/>
              <w:left w:val="single" w:color="000000" w:sz="4" w:space="0"/>
              <w:bottom w:val="single" w:color="000000" w:sz="4" w:space="0"/>
              <w:right w:val="single" w:color="000000" w:sz="4" w:space="0"/>
            </w:tcBorders>
          </w:tcPr>
          <w:p w14:paraId="7B74CC0C">
            <w:pPr>
              <w:spacing w:before="78" w:beforeLines="25" w:after="78" w:afterLines="25"/>
              <w:jc w:val="center"/>
              <w:rPr>
                <w:rFonts w:hint="eastAsia" w:ascii="宋体" w:hAnsi="宋体" w:cs="宋体"/>
                <w:b/>
                <w:bCs/>
                <w:sz w:val="24"/>
              </w:rPr>
            </w:pPr>
          </w:p>
        </w:tc>
        <w:tc>
          <w:tcPr>
            <w:tcW w:w="1091" w:type="pct"/>
            <w:tcBorders>
              <w:top w:val="single" w:color="000000" w:sz="4" w:space="0"/>
              <w:left w:val="single" w:color="000000" w:sz="4" w:space="0"/>
              <w:bottom w:val="single" w:color="000000" w:sz="4" w:space="0"/>
              <w:right w:val="single" w:color="000000" w:sz="4" w:space="0"/>
            </w:tcBorders>
          </w:tcPr>
          <w:p w14:paraId="4AC4DD79">
            <w:pPr>
              <w:spacing w:before="78" w:beforeLines="25" w:after="78" w:afterLines="25"/>
              <w:jc w:val="center"/>
              <w:rPr>
                <w:rFonts w:hint="eastAsia" w:ascii="宋体" w:hAnsi="宋体" w:cs="宋体"/>
                <w:b/>
                <w:bCs/>
                <w:sz w:val="24"/>
              </w:rPr>
            </w:pPr>
          </w:p>
        </w:tc>
        <w:tc>
          <w:tcPr>
            <w:tcW w:w="644" w:type="pct"/>
            <w:tcBorders>
              <w:top w:val="single" w:color="000000" w:sz="4" w:space="0"/>
              <w:left w:val="single" w:color="000000" w:sz="4" w:space="0"/>
              <w:bottom w:val="single" w:color="000000" w:sz="4" w:space="0"/>
              <w:right w:val="single" w:color="000000" w:sz="4" w:space="0"/>
            </w:tcBorders>
          </w:tcPr>
          <w:p w14:paraId="7D714132">
            <w:pPr>
              <w:spacing w:before="78" w:beforeLines="25" w:after="78" w:afterLines="25"/>
              <w:jc w:val="center"/>
              <w:rPr>
                <w:rFonts w:hint="eastAsia" w:ascii="宋体" w:hAnsi="宋体" w:cs="宋体"/>
                <w:b/>
                <w:bCs/>
                <w:sz w:val="24"/>
              </w:rPr>
            </w:pPr>
          </w:p>
        </w:tc>
      </w:tr>
      <w:tr w14:paraId="36FC760C">
        <w:tblPrEx>
          <w:tblCellMar>
            <w:top w:w="57" w:type="dxa"/>
            <w:left w:w="57" w:type="dxa"/>
            <w:bottom w:w="57" w:type="dxa"/>
            <w:right w:w="57" w:type="dxa"/>
          </w:tblCellMar>
        </w:tblPrEx>
        <w:trPr>
          <w:trHeight w:val="607"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168E5272">
            <w:pPr>
              <w:spacing w:before="78" w:beforeLines="25" w:after="78" w:afterLines="25"/>
              <w:jc w:val="center"/>
              <w:rPr>
                <w:rFonts w:hint="eastAsia" w:ascii="宋体" w:hAnsi="宋体" w:cs="宋体"/>
                <w:sz w:val="24"/>
              </w:rPr>
            </w:pPr>
            <w:r>
              <w:rPr>
                <w:rFonts w:hint="eastAsia" w:ascii="宋体" w:hAnsi="宋体" w:cs="宋体"/>
                <w:sz w:val="24"/>
              </w:rPr>
              <w:t>6</w:t>
            </w:r>
          </w:p>
        </w:tc>
        <w:tc>
          <w:tcPr>
            <w:tcW w:w="946" w:type="pct"/>
            <w:tcBorders>
              <w:top w:val="single" w:color="000000" w:sz="4" w:space="0"/>
              <w:left w:val="single" w:color="000000" w:sz="4" w:space="0"/>
              <w:bottom w:val="single" w:color="000000" w:sz="4" w:space="0"/>
              <w:right w:val="single" w:color="auto" w:sz="4" w:space="0"/>
            </w:tcBorders>
            <w:vAlign w:val="center"/>
          </w:tcPr>
          <w:p w14:paraId="6CFDA9AA">
            <w:pPr>
              <w:spacing w:before="78" w:beforeLines="25" w:after="78" w:afterLines="25"/>
              <w:jc w:val="center"/>
              <w:rPr>
                <w:rFonts w:hint="eastAsia" w:ascii="宋体" w:hAnsi="宋体" w:cs="宋体"/>
                <w:sz w:val="24"/>
              </w:rPr>
            </w:pPr>
            <w:r>
              <w:rPr>
                <w:rFonts w:hint="eastAsia" w:ascii="宋体" w:hAnsi="宋体" w:cs="宋体"/>
                <w:sz w:val="24"/>
              </w:rPr>
              <w:t>合同履行期限</w:t>
            </w:r>
          </w:p>
        </w:tc>
        <w:tc>
          <w:tcPr>
            <w:tcW w:w="1034" w:type="pct"/>
            <w:tcBorders>
              <w:top w:val="single" w:color="000000" w:sz="4" w:space="0"/>
              <w:left w:val="single" w:color="auto" w:sz="4" w:space="0"/>
              <w:bottom w:val="single" w:color="000000" w:sz="4" w:space="0"/>
              <w:right w:val="single" w:color="000000" w:sz="4" w:space="0"/>
            </w:tcBorders>
          </w:tcPr>
          <w:p w14:paraId="5A62DF2F">
            <w:pPr>
              <w:spacing w:before="78" w:beforeLines="25" w:after="78" w:afterLines="25"/>
              <w:jc w:val="left"/>
              <w:rPr>
                <w:rFonts w:hint="eastAsia" w:ascii="宋体" w:hAnsi="宋体" w:cs="宋体"/>
                <w:sz w:val="24"/>
              </w:rPr>
            </w:pPr>
          </w:p>
        </w:tc>
        <w:tc>
          <w:tcPr>
            <w:tcW w:w="921" w:type="pct"/>
            <w:tcBorders>
              <w:top w:val="single" w:color="000000" w:sz="4" w:space="0"/>
              <w:left w:val="single" w:color="000000" w:sz="4" w:space="0"/>
              <w:bottom w:val="single" w:color="000000" w:sz="4" w:space="0"/>
              <w:right w:val="single" w:color="000000" w:sz="4" w:space="0"/>
            </w:tcBorders>
          </w:tcPr>
          <w:p w14:paraId="1E18F4CE">
            <w:pPr>
              <w:spacing w:before="78" w:beforeLines="25" w:after="78" w:afterLines="25"/>
              <w:jc w:val="center"/>
              <w:rPr>
                <w:rFonts w:hint="eastAsia" w:ascii="宋体" w:hAnsi="宋体" w:cs="宋体"/>
                <w:b/>
                <w:bCs/>
                <w:sz w:val="24"/>
              </w:rPr>
            </w:pPr>
          </w:p>
        </w:tc>
        <w:tc>
          <w:tcPr>
            <w:tcW w:w="1091" w:type="pct"/>
            <w:tcBorders>
              <w:top w:val="single" w:color="000000" w:sz="4" w:space="0"/>
              <w:left w:val="single" w:color="000000" w:sz="4" w:space="0"/>
              <w:bottom w:val="single" w:color="000000" w:sz="4" w:space="0"/>
              <w:right w:val="single" w:color="000000" w:sz="4" w:space="0"/>
            </w:tcBorders>
          </w:tcPr>
          <w:p w14:paraId="3E743770">
            <w:pPr>
              <w:spacing w:before="78" w:beforeLines="25" w:after="78" w:afterLines="25"/>
              <w:jc w:val="center"/>
              <w:rPr>
                <w:rFonts w:hint="eastAsia" w:ascii="宋体" w:hAnsi="宋体" w:cs="宋体"/>
                <w:b/>
                <w:bCs/>
                <w:sz w:val="24"/>
              </w:rPr>
            </w:pPr>
          </w:p>
        </w:tc>
        <w:tc>
          <w:tcPr>
            <w:tcW w:w="644" w:type="pct"/>
            <w:tcBorders>
              <w:top w:val="single" w:color="000000" w:sz="4" w:space="0"/>
              <w:left w:val="single" w:color="000000" w:sz="4" w:space="0"/>
              <w:bottom w:val="single" w:color="000000" w:sz="4" w:space="0"/>
              <w:right w:val="single" w:color="000000" w:sz="4" w:space="0"/>
            </w:tcBorders>
          </w:tcPr>
          <w:p w14:paraId="0B7F8ACC">
            <w:pPr>
              <w:spacing w:before="78" w:beforeLines="25" w:after="78" w:afterLines="25"/>
              <w:jc w:val="center"/>
              <w:rPr>
                <w:rFonts w:hint="eastAsia" w:ascii="宋体" w:hAnsi="宋体" w:cs="宋体"/>
                <w:b/>
                <w:bCs/>
                <w:sz w:val="24"/>
              </w:rPr>
            </w:pPr>
          </w:p>
        </w:tc>
      </w:tr>
      <w:tr w14:paraId="286D54DF">
        <w:tblPrEx>
          <w:tblCellMar>
            <w:top w:w="57" w:type="dxa"/>
            <w:left w:w="57" w:type="dxa"/>
            <w:bottom w:w="57" w:type="dxa"/>
            <w:right w:w="57" w:type="dxa"/>
          </w:tblCellMar>
        </w:tblPrEx>
        <w:trPr>
          <w:trHeight w:val="593"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0E497E35">
            <w:pPr>
              <w:spacing w:before="78" w:beforeLines="25" w:after="78" w:afterLines="25"/>
              <w:jc w:val="center"/>
              <w:rPr>
                <w:rFonts w:hint="eastAsia" w:ascii="宋体" w:hAnsi="宋体" w:cs="宋体"/>
                <w:sz w:val="24"/>
              </w:rPr>
            </w:pPr>
            <w:r>
              <w:rPr>
                <w:rFonts w:hint="eastAsia" w:ascii="宋体" w:hAnsi="宋体" w:cs="宋体"/>
                <w:sz w:val="24"/>
              </w:rPr>
              <w:t>8</w:t>
            </w:r>
          </w:p>
        </w:tc>
        <w:tc>
          <w:tcPr>
            <w:tcW w:w="946" w:type="pct"/>
            <w:tcBorders>
              <w:top w:val="single" w:color="000000" w:sz="4" w:space="0"/>
              <w:left w:val="single" w:color="000000" w:sz="4" w:space="0"/>
              <w:bottom w:val="single" w:color="000000" w:sz="4" w:space="0"/>
              <w:right w:val="single" w:color="auto" w:sz="4" w:space="0"/>
            </w:tcBorders>
            <w:vAlign w:val="center"/>
          </w:tcPr>
          <w:p w14:paraId="347B748C">
            <w:pPr>
              <w:spacing w:before="78" w:beforeLines="25" w:after="78" w:afterLines="25"/>
              <w:jc w:val="center"/>
              <w:rPr>
                <w:rFonts w:hint="eastAsia" w:ascii="宋体" w:hAnsi="宋体" w:cs="宋体"/>
                <w:sz w:val="24"/>
              </w:rPr>
            </w:pPr>
            <w:r>
              <w:rPr>
                <w:rFonts w:hint="eastAsia" w:ascii="宋体" w:hAnsi="宋体" w:cs="宋体"/>
                <w:sz w:val="24"/>
              </w:rPr>
              <w:t>付款方式</w:t>
            </w:r>
          </w:p>
        </w:tc>
        <w:tc>
          <w:tcPr>
            <w:tcW w:w="1034" w:type="pct"/>
            <w:tcBorders>
              <w:top w:val="single" w:color="000000" w:sz="4" w:space="0"/>
              <w:left w:val="single" w:color="auto" w:sz="4" w:space="0"/>
              <w:bottom w:val="single" w:color="000000" w:sz="4" w:space="0"/>
              <w:right w:val="single" w:color="000000" w:sz="4" w:space="0"/>
            </w:tcBorders>
          </w:tcPr>
          <w:p w14:paraId="7F32E8A9">
            <w:pPr>
              <w:spacing w:before="78" w:beforeLines="25" w:after="78" w:afterLines="25"/>
              <w:jc w:val="left"/>
              <w:rPr>
                <w:rFonts w:hint="eastAsia" w:ascii="宋体" w:hAnsi="宋体" w:cs="宋体"/>
                <w:sz w:val="24"/>
              </w:rPr>
            </w:pPr>
          </w:p>
        </w:tc>
        <w:tc>
          <w:tcPr>
            <w:tcW w:w="921" w:type="pct"/>
            <w:tcBorders>
              <w:top w:val="single" w:color="000000" w:sz="4" w:space="0"/>
              <w:left w:val="single" w:color="000000" w:sz="4" w:space="0"/>
              <w:bottom w:val="single" w:color="000000" w:sz="4" w:space="0"/>
              <w:right w:val="single" w:color="000000" w:sz="4" w:space="0"/>
            </w:tcBorders>
          </w:tcPr>
          <w:p w14:paraId="5F149860">
            <w:pPr>
              <w:spacing w:before="78" w:beforeLines="25" w:after="78" w:afterLines="25"/>
              <w:jc w:val="center"/>
              <w:rPr>
                <w:rFonts w:hint="eastAsia" w:ascii="宋体" w:hAnsi="宋体" w:cs="宋体"/>
                <w:b/>
                <w:bCs/>
                <w:sz w:val="24"/>
              </w:rPr>
            </w:pPr>
          </w:p>
        </w:tc>
        <w:tc>
          <w:tcPr>
            <w:tcW w:w="1091" w:type="pct"/>
            <w:tcBorders>
              <w:top w:val="single" w:color="000000" w:sz="4" w:space="0"/>
              <w:left w:val="single" w:color="000000" w:sz="4" w:space="0"/>
              <w:bottom w:val="single" w:color="000000" w:sz="4" w:space="0"/>
              <w:right w:val="single" w:color="000000" w:sz="4" w:space="0"/>
            </w:tcBorders>
          </w:tcPr>
          <w:p w14:paraId="342673D1">
            <w:pPr>
              <w:spacing w:before="78" w:beforeLines="25" w:after="78" w:afterLines="25"/>
              <w:jc w:val="center"/>
              <w:rPr>
                <w:rFonts w:hint="eastAsia" w:ascii="宋体" w:hAnsi="宋体" w:cs="宋体"/>
                <w:b/>
                <w:bCs/>
                <w:sz w:val="24"/>
              </w:rPr>
            </w:pPr>
          </w:p>
        </w:tc>
        <w:tc>
          <w:tcPr>
            <w:tcW w:w="644" w:type="pct"/>
            <w:tcBorders>
              <w:top w:val="single" w:color="000000" w:sz="4" w:space="0"/>
              <w:left w:val="single" w:color="000000" w:sz="4" w:space="0"/>
              <w:bottom w:val="single" w:color="000000" w:sz="4" w:space="0"/>
              <w:right w:val="single" w:color="000000" w:sz="4" w:space="0"/>
            </w:tcBorders>
          </w:tcPr>
          <w:p w14:paraId="4235E3B4">
            <w:pPr>
              <w:spacing w:before="78" w:beforeLines="25" w:after="78" w:afterLines="25"/>
              <w:jc w:val="center"/>
              <w:rPr>
                <w:rFonts w:hint="eastAsia" w:ascii="宋体" w:hAnsi="宋体" w:cs="宋体"/>
                <w:b/>
                <w:bCs/>
                <w:sz w:val="24"/>
              </w:rPr>
            </w:pPr>
          </w:p>
        </w:tc>
      </w:tr>
      <w:tr w14:paraId="1E9A04BC">
        <w:tblPrEx>
          <w:tblCellMar>
            <w:top w:w="57" w:type="dxa"/>
            <w:left w:w="57" w:type="dxa"/>
            <w:bottom w:w="57" w:type="dxa"/>
            <w:right w:w="57" w:type="dxa"/>
          </w:tblCellMar>
        </w:tblPrEx>
        <w:trPr>
          <w:trHeight w:val="641"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055DB8BF">
            <w:pPr>
              <w:spacing w:before="78" w:beforeLines="25" w:after="78" w:afterLines="25"/>
              <w:jc w:val="center"/>
              <w:rPr>
                <w:rFonts w:hint="eastAsia" w:ascii="宋体" w:hAnsi="宋体" w:cs="宋体"/>
                <w:sz w:val="24"/>
              </w:rPr>
            </w:pPr>
            <w:r>
              <w:rPr>
                <w:rFonts w:hint="eastAsia" w:ascii="宋体" w:hAnsi="宋体" w:cs="宋体"/>
                <w:sz w:val="24"/>
              </w:rPr>
              <w:t>9</w:t>
            </w:r>
          </w:p>
        </w:tc>
        <w:tc>
          <w:tcPr>
            <w:tcW w:w="946" w:type="pct"/>
            <w:tcBorders>
              <w:top w:val="single" w:color="000000" w:sz="4" w:space="0"/>
              <w:left w:val="single" w:color="000000" w:sz="4" w:space="0"/>
              <w:bottom w:val="single" w:color="000000" w:sz="4" w:space="0"/>
              <w:right w:val="single" w:color="auto" w:sz="4" w:space="0"/>
            </w:tcBorders>
            <w:vAlign w:val="center"/>
          </w:tcPr>
          <w:p w14:paraId="778520AB">
            <w:pPr>
              <w:spacing w:before="78" w:beforeLines="25" w:after="78" w:afterLines="25"/>
              <w:jc w:val="center"/>
              <w:rPr>
                <w:rFonts w:hint="eastAsia" w:ascii="宋体" w:hAnsi="宋体" w:cs="宋体"/>
                <w:sz w:val="24"/>
              </w:rPr>
            </w:pPr>
            <w:r>
              <w:rPr>
                <w:rFonts w:hint="eastAsia" w:ascii="宋体" w:hAnsi="宋体" w:cs="宋体"/>
                <w:sz w:val="24"/>
              </w:rPr>
              <w:t>验收方式</w:t>
            </w:r>
          </w:p>
        </w:tc>
        <w:tc>
          <w:tcPr>
            <w:tcW w:w="1034" w:type="pct"/>
            <w:tcBorders>
              <w:top w:val="single" w:color="000000" w:sz="4" w:space="0"/>
              <w:left w:val="single" w:color="auto" w:sz="4" w:space="0"/>
              <w:bottom w:val="single" w:color="000000" w:sz="4" w:space="0"/>
              <w:right w:val="single" w:color="000000" w:sz="4" w:space="0"/>
            </w:tcBorders>
          </w:tcPr>
          <w:p w14:paraId="4943438C">
            <w:pPr>
              <w:spacing w:before="78" w:beforeLines="25" w:after="78" w:afterLines="25"/>
              <w:jc w:val="left"/>
              <w:rPr>
                <w:rFonts w:hint="eastAsia" w:ascii="宋体" w:hAnsi="宋体" w:cs="宋体"/>
                <w:sz w:val="24"/>
              </w:rPr>
            </w:pPr>
          </w:p>
        </w:tc>
        <w:tc>
          <w:tcPr>
            <w:tcW w:w="921" w:type="pct"/>
            <w:tcBorders>
              <w:top w:val="single" w:color="000000" w:sz="4" w:space="0"/>
              <w:left w:val="single" w:color="000000" w:sz="4" w:space="0"/>
              <w:bottom w:val="single" w:color="000000" w:sz="4" w:space="0"/>
              <w:right w:val="single" w:color="000000" w:sz="4" w:space="0"/>
            </w:tcBorders>
          </w:tcPr>
          <w:p w14:paraId="34831C6A">
            <w:pPr>
              <w:spacing w:before="78" w:beforeLines="25" w:after="78" w:afterLines="25"/>
              <w:jc w:val="center"/>
              <w:rPr>
                <w:rFonts w:hint="eastAsia" w:ascii="宋体" w:hAnsi="宋体" w:cs="宋体"/>
                <w:b/>
                <w:bCs/>
                <w:sz w:val="24"/>
              </w:rPr>
            </w:pPr>
          </w:p>
        </w:tc>
        <w:tc>
          <w:tcPr>
            <w:tcW w:w="1091" w:type="pct"/>
            <w:tcBorders>
              <w:top w:val="single" w:color="000000" w:sz="4" w:space="0"/>
              <w:left w:val="single" w:color="000000" w:sz="4" w:space="0"/>
              <w:bottom w:val="single" w:color="000000" w:sz="4" w:space="0"/>
              <w:right w:val="single" w:color="000000" w:sz="4" w:space="0"/>
            </w:tcBorders>
          </w:tcPr>
          <w:p w14:paraId="24E5DE15">
            <w:pPr>
              <w:spacing w:before="78" w:beforeLines="25" w:after="78" w:afterLines="25"/>
              <w:jc w:val="center"/>
              <w:rPr>
                <w:rFonts w:hint="eastAsia" w:ascii="宋体" w:hAnsi="宋体" w:cs="宋体"/>
                <w:b/>
                <w:bCs/>
                <w:sz w:val="24"/>
              </w:rPr>
            </w:pPr>
          </w:p>
        </w:tc>
        <w:tc>
          <w:tcPr>
            <w:tcW w:w="644" w:type="pct"/>
            <w:tcBorders>
              <w:top w:val="single" w:color="000000" w:sz="4" w:space="0"/>
              <w:left w:val="single" w:color="000000" w:sz="4" w:space="0"/>
              <w:bottom w:val="single" w:color="000000" w:sz="4" w:space="0"/>
              <w:right w:val="single" w:color="000000" w:sz="4" w:space="0"/>
            </w:tcBorders>
          </w:tcPr>
          <w:p w14:paraId="2185A1B9">
            <w:pPr>
              <w:spacing w:before="78" w:beforeLines="25" w:after="78" w:afterLines="25"/>
              <w:jc w:val="center"/>
              <w:rPr>
                <w:rFonts w:hint="eastAsia" w:ascii="宋体" w:hAnsi="宋体" w:cs="宋体"/>
                <w:b/>
                <w:bCs/>
                <w:sz w:val="24"/>
              </w:rPr>
            </w:pPr>
          </w:p>
        </w:tc>
      </w:tr>
      <w:tr w14:paraId="13483301">
        <w:tblPrEx>
          <w:tblCellMar>
            <w:top w:w="57" w:type="dxa"/>
            <w:left w:w="57" w:type="dxa"/>
            <w:bottom w:w="57" w:type="dxa"/>
            <w:right w:w="57" w:type="dxa"/>
          </w:tblCellMar>
        </w:tblPrEx>
        <w:trPr>
          <w:trHeight w:val="603"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15B46190">
            <w:pPr>
              <w:spacing w:before="78" w:beforeLines="25" w:after="78" w:afterLines="25"/>
              <w:jc w:val="center"/>
              <w:rPr>
                <w:rFonts w:hint="eastAsia" w:ascii="宋体" w:hAnsi="宋体" w:cs="宋体"/>
                <w:sz w:val="24"/>
              </w:rPr>
            </w:pPr>
            <w:r>
              <w:rPr>
                <w:rFonts w:hint="eastAsia" w:ascii="宋体" w:hAnsi="宋体" w:cs="宋体"/>
                <w:sz w:val="24"/>
              </w:rPr>
              <w:t>10</w:t>
            </w:r>
          </w:p>
        </w:tc>
        <w:tc>
          <w:tcPr>
            <w:tcW w:w="946" w:type="pct"/>
            <w:tcBorders>
              <w:top w:val="single" w:color="000000" w:sz="4" w:space="0"/>
              <w:left w:val="single" w:color="000000" w:sz="4" w:space="0"/>
              <w:bottom w:val="single" w:color="000000" w:sz="4" w:space="0"/>
              <w:right w:val="single" w:color="auto" w:sz="4" w:space="0"/>
            </w:tcBorders>
            <w:vAlign w:val="center"/>
          </w:tcPr>
          <w:p w14:paraId="440F8CCE">
            <w:pPr>
              <w:spacing w:before="78" w:beforeLines="25" w:after="78" w:afterLines="25"/>
              <w:jc w:val="center"/>
              <w:rPr>
                <w:rFonts w:hint="eastAsia" w:ascii="宋体" w:hAnsi="宋体" w:cs="宋体"/>
                <w:b/>
                <w:bCs/>
                <w:sz w:val="24"/>
              </w:rPr>
            </w:pPr>
            <w:r>
              <w:rPr>
                <w:rFonts w:hint="eastAsia" w:ascii="宋体" w:hAnsi="宋体" w:cs="宋体"/>
                <w:sz w:val="24"/>
              </w:rPr>
              <w:t>磋商有效期</w:t>
            </w:r>
          </w:p>
        </w:tc>
        <w:tc>
          <w:tcPr>
            <w:tcW w:w="1034" w:type="pct"/>
            <w:tcBorders>
              <w:top w:val="single" w:color="000000" w:sz="4" w:space="0"/>
              <w:left w:val="single" w:color="auto" w:sz="4" w:space="0"/>
              <w:bottom w:val="single" w:color="000000" w:sz="4" w:space="0"/>
              <w:right w:val="single" w:color="000000" w:sz="4" w:space="0"/>
            </w:tcBorders>
          </w:tcPr>
          <w:p w14:paraId="23999D38">
            <w:pPr>
              <w:spacing w:before="78" w:beforeLines="25" w:after="78" w:afterLines="25"/>
              <w:jc w:val="left"/>
              <w:rPr>
                <w:rFonts w:hint="eastAsia" w:ascii="宋体" w:hAnsi="宋体" w:cs="宋体"/>
                <w:sz w:val="24"/>
              </w:rPr>
            </w:pPr>
          </w:p>
        </w:tc>
        <w:tc>
          <w:tcPr>
            <w:tcW w:w="921" w:type="pct"/>
            <w:tcBorders>
              <w:top w:val="single" w:color="000000" w:sz="4" w:space="0"/>
              <w:left w:val="single" w:color="000000" w:sz="4" w:space="0"/>
              <w:bottom w:val="single" w:color="000000" w:sz="4" w:space="0"/>
              <w:right w:val="single" w:color="000000" w:sz="4" w:space="0"/>
            </w:tcBorders>
          </w:tcPr>
          <w:p w14:paraId="573133C6">
            <w:pPr>
              <w:spacing w:before="78" w:beforeLines="25" w:after="78" w:afterLines="25"/>
              <w:jc w:val="center"/>
              <w:rPr>
                <w:rFonts w:hint="eastAsia" w:ascii="宋体" w:hAnsi="宋体" w:cs="宋体"/>
                <w:b/>
                <w:bCs/>
                <w:sz w:val="24"/>
              </w:rPr>
            </w:pPr>
          </w:p>
        </w:tc>
        <w:tc>
          <w:tcPr>
            <w:tcW w:w="1091" w:type="pct"/>
            <w:tcBorders>
              <w:top w:val="single" w:color="000000" w:sz="4" w:space="0"/>
              <w:left w:val="single" w:color="000000" w:sz="4" w:space="0"/>
              <w:bottom w:val="single" w:color="000000" w:sz="4" w:space="0"/>
              <w:right w:val="single" w:color="000000" w:sz="4" w:space="0"/>
            </w:tcBorders>
          </w:tcPr>
          <w:p w14:paraId="159C293F">
            <w:pPr>
              <w:spacing w:before="78" w:beforeLines="25" w:after="78" w:afterLines="25"/>
              <w:jc w:val="center"/>
              <w:rPr>
                <w:rFonts w:hint="eastAsia" w:ascii="宋体" w:hAnsi="宋体" w:cs="宋体"/>
                <w:b/>
                <w:bCs/>
                <w:sz w:val="24"/>
              </w:rPr>
            </w:pPr>
          </w:p>
        </w:tc>
        <w:tc>
          <w:tcPr>
            <w:tcW w:w="644" w:type="pct"/>
            <w:tcBorders>
              <w:top w:val="single" w:color="000000" w:sz="4" w:space="0"/>
              <w:left w:val="single" w:color="000000" w:sz="4" w:space="0"/>
              <w:bottom w:val="single" w:color="000000" w:sz="4" w:space="0"/>
              <w:right w:val="single" w:color="000000" w:sz="4" w:space="0"/>
            </w:tcBorders>
          </w:tcPr>
          <w:p w14:paraId="22E70219">
            <w:pPr>
              <w:spacing w:before="78" w:beforeLines="25" w:after="78" w:afterLines="25"/>
              <w:jc w:val="center"/>
              <w:rPr>
                <w:rFonts w:hint="eastAsia" w:ascii="宋体" w:hAnsi="宋体" w:cs="宋体"/>
                <w:b/>
                <w:bCs/>
                <w:sz w:val="24"/>
              </w:rPr>
            </w:pPr>
          </w:p>
        </w:tc>
      </w:tr>
      <w:tr w14:paraId="1A600D87">
        <w:tblPrEx>
          <w:tblCellMar>
            <w:top w:w="57" w:type="dxa"/>
            <w:left w:w="57" w:type="dxa"/>
            <w:bottom w:w="57" w:type="dxa"/>
            <w:right w:w="57" w:type="dxa"/>
          </w:tblCellMar>
        </w:tblPrEx>
        <w:trPr>
          <w:trHeight w:val="594"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53D97080">
            <w:pPr>
              <w:spacing w:before="78" w:beforeLines="25" w:after="78" w:afterLines="25"/>
              <w:jc w:val="center"/>
              <w:rPr>
                <w:rFonts w:hint="eastAsia" w:ascii="宋体" w:hAnsi="宋体" w:cs="宋体"/>
                <w:sz w:val="24"/>
              </w:rPr>
            </w:pPr>
            <w:r>
              <w:rPr>
                <w:rFonts w:hint="eastAsia" w:ascii="宋体" w:hAnsi="宋体" w:cs="宋体"/>
                <w:sz w:val="24"/>
              </w:rPr>
              <w:t>11</w:t>
            </w:r>
          </w:p>
        </w:tc>
        <w:tc>
          <w:tcPr>
            <w:tcW w:w="946" w:type="pct"/>
            <w:tcBorders>
              <w:top w:val="single" w:color="000000" w:sz="4" w:space="0"/>
              <w:left w:val="single" w:color="000000" w:sz="4" w:space="0"/>
              <w:bottom w:val="single" w:color="000000" w:sz="4" w:space="0"/>
              <w:right w:val="single" w:color="auto" w:sz="4" w:space="0"/>
            </w:tcBorders>
            <w:vAlign w:val="center"/>
          </w:tcPr>
          <w:p w14:paraId="57BDAEBF">
            <w:pPr>
              <w:spacing w:before="78" w:beforeLines="25" w:after="78" w:afterLines="25"/>
              <w:jc w:val="center"/>
              <w:rPr>
                <w:rFonts w:hint="eastAsia" w:ascii="宋体" w:hAnsi="宋体" w:cs="宋体"/>
                <w:sz w:val="24"/>
              </w:rPr>
            </w:pPr>
            <w:r>
              <w:rPr>
                <w:rFonts w:hint="eastAsia" w:ascii="宋体" w:hAnsi="宋体" w:cs="宋体"/>
                <w:sz w:val="24"/>
              </w:rPr>
              <w:t>履约保证金</w:t>
            </w:r>
          </w:p>
        </w:tc>
        <w:tc>
          <w:tcPr>
            <w:tcW w:w="1034" w:type="pct"/>
            <w:tcBorders>
              <w:top w:val="single" w:color="000000" w:sz="4" w:space="0"/>
              <w:left w:val="single" w:color="auto" w:sz="4" w:space="0"/>
              <w:bottom w:val="single" w:color="000000" w:sz="4" w:space="0"/>
              <w:right w:val="single" w:color="000000" w:sz="4" w:space="0"/>
            </w:tcBorders>
          </w:tcPr>
          <w:p w14:paraId="22E5C3D5">
            <w:pPr>
              <w:spacing w:before="78" w:beforeLines="25" w:after="78" w:afterLines="25"/>
              <w:jc w:val="left"/>
              <w:rPr>
                <w:rFonts w:hint="eastAsia" w:ascii="宋体" w:hAnsi="宋体" w:cs="宋体"/>
                <w:sz w:val="24"/>
              </w:rPr>
            </w:pPr>
          </w:p>
        </w:tc>
        <w:tc>
          <w:tcPr>
            <w:tcW w:w="921" w:type="pct"/>
            <w:tcBorders>
              <w:top w:val="single" w:color="000000" w:sz="4" w:space="0"/>
              <w:left w:val="single" w:color="000000" w:sz="4" w:space="0"/>
              <w:bottom w:val="single" w:color="000000" w:sz="4" w:space="0"/>
              <w:right w:val="single" w:color="000000" w:sz="4" w:space="0"/>
            </w:tcBorders>
          </w:tcPr>
          <w:p w14:paraId="6396922D">
            <w:pPr>
              <w:spacing w:before="78" w:beforeLines="25" w:after="78" w:afterLines="25"/>
              <w:jc w:val="center"/>
              <w:rPr>
                <w:rFonts w:hint="eastAsia" w:ascii="宋体" w:hAnsi="宋体" w:cs="宋体"/>
                <w:b/>
                <w:bCs/>
                <w:sz w:val="24"/>
              </w:rPr>
            </w:pPr>
          </w:p>
        </w:tc>
        <w:tc>
          <w:tcPr>
            <w:tcW w:w="1091" w:type="pct"/>
            <w:tcBorders>
              <w:top w:val="single" w:color="000000" w:sz="4" w:space="0"/>
              <w:left w:val="single" w:color="000000" w:sz="4" w:space="0"/>
              <w:bottom w:val="single" w:color="000000" w:sz="4" w:space="0"/>
              <w:right w:val="single" w:color="000000" w:sz="4" w:space="0"/>
            </w:tcBorders>
          </w:tcPr>
          <w:p w14:paraId="2272B359">
            <w:pPr>
              <w:spacing w:before="78" w:beforeLines="25" w:after="78" w:afterLines="25"/>
              <w:jc w:val="center"/>
              <w:rPr>
                <w:rFonts w:hint="eastAsia" w:ascii="宋体" w:hAnsi="宋体" w:cs="宋体"/>
                <w:b/>
                <w:bCs/>
                <w:sz w:val="24"/>
              </w:rPr>
            </w:pPr>
          </w:p>
        </w:tc>
        <w:tc>
          <w:tcPr>
            <w:tcW w:w="644" w:type="pct"/>
            <w:tcBorders>
              <w:top w:val="single" w:color="000000" w:sz="4" w:space="0"/>
              <w:left w:val="single" w:color="000000" w:sz="4" w:space="0"/>
              <w:bottom w:val="single" w:color="000000" w:sz="4" w:space="0"/>
              <w:right w:val="single" w:color="000000" w:sz="4" w:space="0"/>
            </w:tcBorders>
          </w:tcPr>
          <w:p w14:paraId="25571F7F">
            <w:pPr>
              <w:spacing w:before="78" w:beforeLines="25" w:after="78" w:afterLines="25"/>
              <w:jc w:val="center"/>
              <w:rPr>
                <w:rFonts w:hint="eastAsia" w:ascii="宋体" w:hAnsi="宋体" w:cs="宋体"/>
                <w:b/>
                <w:bCs/>
                <w:sz w:val="24"/>
              </w:rPr>
            </w:pPr>
          </w:p>
        </w:tc>
      </w:tr>
      <w:tr w14:paraId="7011EEFB">
        <w:tblPrEx>
          <w:tblCellMar>
            <w:top w:w="57" w:type="dxa"/>
            <w:left w:w="57" w:type="dxa"/>
            <w:bottom w:w="57" w:type="dxa"/>
            <w:right w:w="57" w:type="dxa"/>
          </w:tblCellMar>
        </w:tblPrEx>
        <w:trPr>
          <w:trHeight w:val="466"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71F3A4F8">
            <w:pPr>
              <w:spacing w:before="78" w:beforeLines="25" w:after="78" w:afterLines="25"/>
              <w:jc w:val="center"/>
              <w:rPr>
                <w:rFonts w:hint="eastAsia" w:ascii="宋体" w:hAnsi="宋体" w:cs="宋体"/>
                <w:sz w:val="24"/>
              </w:rPr>
            </w:pPr>
            <w:r>
              <w:rPr>
                <w:rFonts w:hint="eastAsia" w:ascii="宋体" w:hAnsi="宋体" w:cs="宋体"/>
                <w:sz w:val="24"/>
              </w:rPr>
              <w:t>..</w:t>
            </w:r>
          </w:p>
        </w:tc>
        <w:tc>
          <w:tcPr>
            <w:tcW w:w="946" w:type="pct"/>
            <w:tcBorders>
              <w:top w:val="single" w:color="000000" w:sz="4" w:space="0"/>
              <w:left w:val="single" w:color="000000" w:sz="4" w:space="0"/>
              <w:bottom w:val="single" w:color="000000" w:sz="4" w:space="0"/>
              <w:right w:val="single" w:color="auto" w:sz="4" w:space="0"/>
            </w:tcBorders>
          </w:tcPr>
          <w:p w14:paraId="2B0CAF63">
            <w:pPr>
              <w:spacing w:before="78" w:beforeLines="25" w:after="78" w:afterLines="25"/>
              <w:jc w:val="center"/>
              <w:rPr>
                <w:rFonts w:hint="eastAsia" w:ascii="宋体" w:hAnsi="宋体" w:cs="宋体"/>
                <w:sz w:val="24"/>
              </w:rPr>
            </w:pPr>
          </w:p>
        </w:tc>
        <w:tc>
          <w:tcPr>
            <w:tcW w:w="1034" w:type="pct"/>
            <w:tcBorders>
              <w:top w:val="single" w:color="000000" w:sz="4" w:space="0"/>
              <w:left w:val="single" w:color="auto" w:sz="4" w:space="0"/>
              <w:bottom w:val="single" w:color="000000" w:sz="4" w:space="0"/>
              <w:right w:val="single" w:color="000000" w:sz="4" w:space="0"/>
            </w:tcBorders>
            <w:vAlign w:val="center"/>
          </w:tcPr>
          <w:p w14:paraId="20B13505">
            <w:pPr>
              <w:spacing w:before="78" w:beforeLines="25" w:after="78" w:afterLines="25"/>
              <w:jc w:val="center"/>
              <w:rPr>
                <w:rFonts w:hint="eastAsia" w:ascii="宋体" w:hAnsi="宋体" w:cs="宋体"/>
                <w:sz w:val="24"/>
              </w:rPr>
            </w:pPr>
          </w:p>
        </w:tc>
        <w:tc>
          <w:tcPr>
            <w:tcW w:w="921" w:type="pct"/>
            <w:tcBorders>
              <w:top w:val="single" w:color="000000" w:sz="4" w:space="0"/>
              <w:left w:val="single" w:color="000000" w:sz="4" w:space="0"/>
              <w:bottom w:val="single" w:color="000000" w:sz="4" w:space="0"/>
              <w:right w:val="single" w:color="000000" w:sz="4" w:space="0"/>
            </w:tcBorders>
          </w:tcPr>
          <w:p w14:paraId="494BC24E">
            <w:pPr>
              <w:spacing w:before="78" w:beforeLines="25" w:after="78" w:afterLines="25"/>
              <w:jc w:val="center"/>
              <w:rPr>
                <w:rFonts w:hint="eastAsia" w:ascii="宋体" w:hAnsi="宋体" w:cs="宋体"/>
                <w:b/>
                <w:bCs/>
                <w:sz w:val="24"/>
              </w:rPr>
            </w:pPr>
          </w:p>
        </w:tc>
        <w:tc>
          <w:tcPr>
            <w:tcW w:w="1091" w:type="pct"/>
            <w:tcBorders>
              <w:top w:val="single" w:color="000000" w:sz="4" w:space="0"/>
              <w:left w:val="single" w:color="000000" w:sz="4" w:space="0"/>
              <w:bottom w:val="single" w:color="000000" w:sz="4" w:space="0"/>
              <w:right w:val="single" w:color="000000" w:sz="4" w:space="0"/>
            </w:tcBorders>
          </w:tcPr>
          <w:p w14:paraId="7A69FABB">
            <w:pPr>
              <w:spacing w:before="78" w:beforeLines="25" w:after="78" w:afterLines="25"/>
              <w:jc w:val="center"/>
              <w:rPr>
                <w:rFonts w:hint="eastAsia" w:ascii="宋体" w:hAnsi="宋体" w:cs="宋体"/>
                <w:b/>
                <w:bCs/>
                <w:sz w:val="24"/>
              </w:rPr>
            </w:pPr>
          </w:p>
        </w:tc>
        <w:tc>
          <w:tcPr>
            <w:tcW w:w="644" w:type="pct"/>
            <w:tcBorders>
              <w:top w:val="single" w:color="000000" w:sz="4" w:space="0"/>
              <w:left w:val="single" w:color="000000" w:sz="4" w:space="0"/>
              <w:bottom w:val="single" w:color="000000" w:sz="4" w:space="0"/>
              <w:right w:val="single" w:color="000000" w:sz="4" w:space="0"/>
            </w:tcBorders>
          </w:tcPr>
          <w:p w14:paraId="4EC4D450">
            <w:pPr>
              <w:spacing w:before="78" w:beforeLines="25" w:after="78" w:afterLines="25"/>
              <w:jc w:val="center"/>
              <w:rPr>
                <w:rFonts w:hint="eastAsia" w:ascii="宋体" w:hAnsi="宋体" w:cs="宋体"/>
                <w:b/>
                <w:bCs/>
                <w:sz w:val="24"/>
              </w:rPr>
            </w:pPr>
          </w:p>
        </w:tc>
      </w:tr>
    </w:tbl>
    <w:p w14:paraId="7B09FEED">
      <w:pPr>
        <w:tabs>
          <w:tab w:val="left" w:pos="420"/>
        </w:tabs>
        <w:snapToGrid w:val="0"/>
        <w:spacing w:line="360" w:lineRule="auto"/>
        <w:ind w:firstLine="480" w:firstLineChars="200"/>
        <w:rPr>
          <w:rFonts w:hint="eastAsia" w:ascii="宋体" w:hAnsi="宋体" w:cs="宋体"/>
          <w:sz w:val="24"/>
        </w:rPr>
      </w:pPr>
      <w:r>
        <w:rPr>
          <w:rFonts w:hint="eastAsia" w:ascii="宋体" w:hAnsi="宋体" w:cs="宋体"/>
          <w:sz w:val="24"/>
        </w:rPr>
        <w:t>注：供应商必须对本表中的所有要求作出全面、真实的反映。表格中“偏离情况”一列，供应商只能如实填写“正偏离”或“负偏离”或“无偏离”。凡响应内容高于磋商文件要求的，按“正偏离”填写；低于磋商文件要求的，按“负偏离”填写；满足磋商文件要求的，按“无偏离”填写。并在“响应文件的商务条款响应情况”一列中写明所投商务情况。</w:t>
      </w:r>
    </w:p>
    <w:p w14:paraId="4985D218">
      <w:pPr>
        <w:spacing w:line="360" w:lineRule="auto"/>
        <w:rPr>
          <w:rFonts w:hint="eastAsia" w:ascii="宋体" w:hAnsi="宋体" w:cs="宋体"/>
          <w:sz w:val="24"/>
        </w:rPr>
      </w:pPr>
    </w:p>
    <w:p w14:paraId="2DD9B045">
      <w:pPr>
        <w:spacing w:line="360" w:lineRule="auto"/>
        <w:rPr>
          <w:rFonts w:hint="eastAsia" w:ascii="宋体" w:hAnsi="宋体" w:cs="宋体"/>
          <w:sz w:val="24"/>
        </w:rPr>
      </w:pPr>
      <w:r>
        <w:rPr>
          <w:rFonts w:hint="eastAsia" w:ascii="宋体" w:hAnsi="宋体" w:cs="宋体"/>
          <w:sz w:val="24"/>
        </w:rPr>
        <w:t>供应商名称：（电子签章）</w:t>
      </w:r>
    </w:p>
    <w:p w14:paraId="134C20D5">
      <w:pPr>
        <w:spacing w:line="360" w:lineRule="auto"/>
        <w:rPr>
          <w:rFonts w:hint="eastAsia" w:ascii="宋体" w:hAnsi="宋体" w:cs="宋体"/>
          <w:sz w:val="24"/>
        </w:rPr>
      </w:pPr>
      <w:r>
        <w:rPr>
          <w:rFonts w:hint="eastAsia" w:ascii="宋体" w:hAnsi="宋体" w:cs="宋体"/>
          <w:sz w:val="24"/>
        </w:rPr>
        <w:t>法定代表人（单位负责人）或其委托代理人：（电子签章或签字）</w:t>
      </w:r>
    </w:p>
    <w:p w14:paraId="6A945615">
      <w:pPr>
        <w:spacing w:line="360" w:lineRule="auto"/>
        <w:rPr>
          <w:rFonts w:hint="eastAsia" w:ascii="宋体" w:hAnsi="宋体" w:cs="宋体"/>
          <w:sz w:val="24"/>
          <w:u w:val="single"/>
        </w:rPr>
      </w:pPr>
      <w:r>
        <w:rPr>
          <w:rFonts w:hint="eastAsia" w:ascii="宋体" w:hAnsi="宋体" w:cs="宋体"/>
          <w:sz w:val="24"/>
        </w:rPr>
        <w:t>年  月  日</w:t>
      </w:r>
    </w:p>
    <w:p w14:paraId="57B74123">
      <w:pPr>
        <w:spacing w:line="360" w:lineRule="auto"/>
        <w:jc w:val="center"/>
        <w:outlineLvl w:val="1"/>
        <w:rPr>
          <w:rFonts w:hint="eastAsia" w:ascii="宋体" w:hAnsi="宋体" w:cs="宋体"/>
          <w:b/>
          <w:sz w:val="24"/>
        </w:rPr>
      </w:pPr>
      <w:r>
        <w:rPr>
          <w:rFonts w:hint="eastAsia" w:ascii="宋体" w:hAnsi="宋体" w:cs="宋体"/>
          <w:b/>
          <w:sz w:val="24"/>
        </w:rPr>
        <w:t>（二）业绩</w:t>
      </w:r>
      <w:bookmarkEnd w:id="596"/>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251"/>
      </w:tblGrid>
      <w:tr w14:paraId="204A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268" w:type="dxa"/>
            <w:vAlign w:val="center"/>
          </w:tcPr>
          <w:p w14:paraId="2C4ACFEE">
            <w:pPr>
              <w:topLinePunct/>
              <w:spacing w:line="440" w:lineRule="exact"/>
              <w:jc w:val="center"/>
              <w:rPr>
                <w:rFonts w:hint="eastAsia" w:ascii="宋体" w:hAnsi="宋体" w:cs="宋体"/>
                <w:sz w:val="24"/>
              </w:rPr>
            </w:pPr>
            <w:bookmarkStart w:id="599" w:name="_Toc9680"/>
            <w:bookmarkStart w:id="600" w:name="_Toc26139"/>
            <w:r>
              <w:rPr>
                <w:rFonts w:hint="eastAsia" w:ascii="宋体" w:hAnsi="宋体" w:cs="宋体"/>
                <w:sz w:val="24"/>
              </w:rPr>
              <w:t>项目名称</w:t>
            </w:r>
          </w:p>
        </w:tc>
        <w:tc>
          <w:tcPr>
            <w:tcW w:w="6251" w:type="dxa"/>
          </w:tcPr>
          <w:p w14:paraId="4D17ACBC">
            <w:pPr>
              <w:topLinePunct/>
              <w:spacing w:line="440" w:lineRule="exact"/>
              <w:rPr>
                <w:rFonts w:hint="eastAsia" w:ascii="宋体" w:hAnsi="宋体" w:cs="宋体"/>
                <w:sz w:val="24"/>
              </w:rPr>
            </w:pPr>
          </w:p>
        </w:tc>
      </w:tr>
      <w:tr w14:paraId="3CFA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2268" w:type="dxa"/>
            <w:vAlign w:val="center"/>
          </w:tcPr>
          <w:p w14:paraId="6671FEBF">
            <w:pPr>
              <w:topLinePunct/>
              <w:spacing w:line="440" w:lineRule="exact"/>
              <w:jc w:val="center"/>
              <w:rPr>
                <w:rFonts w:hint="eastAsia" w:ascii="宋体" w:hAnsi="宋体" w:cs="宋体"/>
                <w:sz w:val="24"/>
              </w:rPr>
            </w:pPr>
            <w:r>
              <w:rPr>
                <w:rFonts w:hint="eastAsia" w:ascii="宋体" w:hAnsi="宋体" w:cs="宋体"/>
                <w:sz w:val="24"/>
              </w:rPr>
              <w:t>采购人名称</w:t>
            </w:r>
          </w:p>
        </w:tc>
        <w:tc>
          <w:tcPr>
            <w:tcW w:w="6251" w:type="dxa"/>
          </w:tcPr>
          <w:p w14:paraId="3E46CB84">
            <w:pPr>
              <w:topLinePunct/>
              <w:spacing w:line="440" w:lineRule="exact"/>
              <w:rPr>
                <w:rFonts w:hint="eastAsia" w:ascii="宋体" w:hAnsi="宋体" w:cs="宋体"/>
                <w:sz w:val="24"/>
              </w:rPr>
            </w:pPr>
          </w:p>
        </w:tc>
      </w:tr>
      <w:tr w14:paraId="2250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2268" w:type="dxa"/>
            <w:vAlign w:val="center"/>
          </w:tcPr>
          <w:p w14:paraId="69F0597B">
            <w:pPr>
              <w:topLinePunct/>
              <w:spacing w:line="440" w:lineRule="exact"/>
              <w:jc w:val="center"/>
              <w:rPr>
                <w:rFonts w:hint="eastAsia" w:ascii="宋体" w:hAnsi="宋体" w:cs="宋体"/>
                <w:sz w:val="24"/>
              </w:rPr>
            </w:pPr>
            <w:r>
              <w:rPr>
                <w:rFonts w:hint="eastAsia" w:ascii="宋体" w:hAnsi="宋体" w:cs="宋体"/>
                <w:sz w:val="24"/>
              </w:rPr>
              <w:t>采购人地址</w:t>
            </w:r>
          </w:p>
        </w:tc>
        <w:tc>
          <w:tcPr>
            <w:tcW w:w="6251" w:type="dxa"/>
          </w:tcPr>
          <w:p w14:paraId="44A5A8FD">
            <w:pPr>
              <w:topLinePunct/>
              <w:spacing w:line="440" w:lineRule="exact"/>
              <w:rPr>
                <w:rFonts w:hint="eastAsia" w:ascii="宋体" w:hAnsi="宋体" w:cs="宋体"/>
                <w:sz w:val="24"/>
              </w:rPr>
            </w:pPr>
          </w:p>
        </w:tc>
      </w:tr>
      <w:tr w14:paraId="47CB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2268" w:type="dxa"/>
            <w:vAlign w:val="center"/>
          </w:tcPr>
          <w:p w14:paraId="0E38725C">
            <w:pPr>
              <w:topLinePunct/>
              <w:spacing w:line="440" w:lineRule="exact"/>
              <w:jc w:val="center"/>
              <w:rPr>
                <w:rFonts w:hint="eastAsia" w:ascii="宋体" w:hAnsi="宋体" w:cs="宋体"/>
                <w:sz w:val="24"/>
              </w:rPr>
            </w:pPr>
            <w:r>
              <w:rPr>
                <w:rFonts w:hint="eastAsia" w:ascii="宋体" w:hAnsi="宋体" w:cs="宋体"/>
                <w:sz w:val="24"/>
              </w:rPr>
              <w:t>采购人电话</w:t>
            </w:r>
          </w:p>
        </w:tc>
        <w:tc>
          <w:tcPr>
            <w:tcW w:w="6251" w:type="dxa"/>
          </w:tcPr>
          <w:p w14:paraId="2687EE3E">
            <w:pPr>
              <w:topLinePunct/>
              <w:spacing w:line="440" w:lineRule="exact"/>
              <w:rPr>
                <w:rFonts w:hint="eastAsia" w:ascii="宋体" w:hAnsi="宋体" w:cs="宋体"/>
                <w:sz w:val="24"/>
              </w:rPr>
            </w:pPr>
          </w:p>
        </w:tc>
      </w:tr>
      <w:tr w14:paraId="2C80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2268" w:type="dxa"/>
            <w:vAlign w:val="center"/>
          </w:tcPr>
          <w:p w14:paraId="668F2EBE">
            <w:pPr>
              <w:topLinePunct/>
              <w:spacing w:line="440" w:lineRule="exact"/>
              <w:jc w:val="center"/>
              <w:rPr>
                <w:rFonts w:hint="eastAsia" w:ascii="宋体" w:hAnsi="宋体" w:cs="宋体"/>
                <w:sz w:val="24"/>
              </w:rPr>
            </w:pPr>
            <w:r>
              <w:rPr>
                <w:rFonts w:hint="eastAsia" w:ascii="宋体" w:hAnsi="宋体" w:cs="宋体"/>
                <w:sz w:val="24"/>
              </w:rPr>
              <w:t>合同价格</w:t>
            </w:r>
          </w:p>
        </w:tc>
        <w:tc>
          <w:tcPr>
            <w:tcW w:w="6251" w:type="dxa"/>
          </w:tcPr>
          <w:p w14:paraId="1E0121F7">
            <w:pPr>
              <w:topLinePunct/>
              <w:spacing w:line="440" w:lineRule="exact"/>
              <w:rPr>
                <w:rFonts w:hint="eastAsia" w:ascii="宋体" w:hAnsi="宋体" w:cs="宋体"/>
                <w:sz w:val="24"/>
              </w:rPr>
            </w:pPr>
          </w:p>
        </w:tc>
      </w:tr>
      <w:tr w14:paraId="7857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2268" w:type="dxa"/>
            <w:vAlign w:val="center"/>
          </w:tcPr>
          <w:p w14:paraId="64373CC3">
            <w:pPr>
              <w:topLinePunct/>
              <w:spacing w:line="440" w:lineRule="exact"/>
              <w:jc w:val="center"/>
              <w:rPr>
                <w:rFonts w:hint="eastAsia" w:ascii="宋体" w:hAnsi="宋体" w:cs="宋体"/>
                <w:sz w:val="24"/>
              </w:rPr>
            </w:pPr>
            <w:r>
              <w:rPr>
                <w:rFonts w:hint="eastAsia" w:ascii="宋体" w:hAnsi="宋体" w:cs="宋体"/>
                <w:sz w:val="24"/>
              </w:rPr>
              <w:t>合同签订日期</w:t>
            </w:r>
          </w:p>
        </w:tc>
        <w:tc>
          <w:tcPr>
            <w:tcW w:w="6251" w:type="dxa"/>
          </w:tcPr>
          <w:p w14:paraId="362303D8">
            <w:pPr>
              <w:topLinePunct/>
              <w:spacing w:line="440" w:lineRule="exact"/>
              <w:rPr>
                <w:rFonts w:hint="eastAsia" w:ascii="宋体" w:hAnsi="宋体" w:cs="宋体"/>
                <w:sz w:val="24"/>
              </w:rPr>
            </w:pPr>
          </w:p>
        </w:tc>
      </w:tr>
      <w:tr w14:paraId="37840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atLeast"/>
          <w:jc w:val="center"/>
        </w:trPr>
        <w:tc>
          <w:tcPr>
            <w:tcW w:w="2268" w:type="dxa"/>
            <w:vAlign w:val="center"/>
          </w:tcPr>
          <w:p w14:paraId="47DB0343">
            <w:pPr>
              <w:topLinePunct/>
              <w:spacing w:line="440" w:lineRule="exact"/>
              <w:jc w:val="center"/>
              <w:rPr>
                <w:rFonts w:hint="eastAsia" w:ascii="宋体" w:hAnsi="宋体" w:cs="宋体"/>
                <w:sz w:val="24"/>
              </w:rPr>
            </w:pPr>
            <w:r>
              <w:rPr>
                <w:rFonts w:hint="eastAsia" w:ascii="宋体" w:hAnsi="宋体" w:cs="宋体"/>
                <w:sz w:val="24"/>
              </w:rPr>
              <w:t>项目描述</w:t>
            </w:r>
          </w:p>
        </w:tc>
        <w:tc>
          <w:tcPr>
            <w:tcW w:w="6251" w:type="dxa"/>
          </w:tcPr>
          <w:p w14:paraId="3818E9A5">
            <w:pPr>
              <w:topLinePunct/>
              <w:spacing w:line="440" w:lineRule="exact"/>
              <w:rPr>
                <w:rFonts w:hint="eastAsia" w:ascii="宋体" w:hAnsi="宋体" w:cs="宋体"/>
                <w:sz w:val="24"/>
              </w:rPr>
            </w:pPr>
          </w:p>
          <w:p w14:paraId="2EC843A5">
            <w:pPr>
              <w:topLinePunct/>
              <w:spacing w:line="440" w:lineRule="exact"/>
              <w:rPr>
                <w:rFonts w:hint="eastAsia" w:ascii="宋体" w:hAnsi="宋体" w:cs="宋体"/>
                <w:sz w:val="24"/>
              </w:rPr>
            </w:pPr>
          </w:p>
          <w:p w14:paraId="53D7EF93">
            <w:pPr>
              <w:topLinePunct/>
              <w:spacing w:line="440" w:lineRule="exact"/>
              <w:rPr>
                <w:rFonts w:hint="eastAsia" w:ascii="宋体" w:hAnsi="宋体" w:cs="宋体"/>
                <w:sz w:val="24"/>
              </w:rPr>
            </w:pPr>
          </w:p>
          <w:p w14:paraId="1E0EC40E">
            <w:pPr>
              <w:topLinePunct/>
              <w:spacing w:line="440" w:lineRule="exact"/>
              <w:rPr>
                <w:rFonts w:hint="eastAsia" w:ascii="宋体" w:hAnsi="宋体" w:cs="宋体"/>
                <w:sz w:val="24"/>
              </w:rPr>
            </w:pPr>
          </w:p>
        </w:tc>
      </w:tr>
    </w:tbl>
    <w:p w14:paraId="5EBD1E7B">
      <w:pPr>
        <w:spacing w:line="360" w:lineRule="auto"/>
        <w:outlineLvl w:val="1"/>
        <w:rPr>
          <w:rFonts w:hint="eastAsia" w:ascii="Arial Unicode MS" w:hAnsi="Arial Unicode MS" w:eastAsia="Arial Unicode MS" w:cs="宋体"/>
          <w:spacing w:val="8"/>
          <w:kern w:val="0"/>
          <w:sz w:val="24"/>
          <w:shd w:val="clear" w:color="auto" w:fill="FFFFFF"/>
        </w:rPr>
      </w:pPr>
      <w:bookmarkStart w:id="601" w:name="_Toc21237"/>
      <w:r>
        <w:rPr>
          <w:rFonts w:hint="eastAsia" w:ascii="宋体" w:hAnsi="宋体" w:cs="宋体"/>
          <w:szCs w:val="21"/>
          <w:lang w:bidi="zh-TW"/>
        </w:rPr>
        <w:t>注：</w:t>
      </w:r>
      <w:r>
        <w:rPr>
          <w:rFonts w:hint="eastAsia" w:ascii="宋体" w:hAnsi="宋体" w:cs="宋体"/>
          <w:szCs w:val="21"/>
          <w:lang w:val="zh-TW" w:eastAsia="zh-TW" w:bidi="zh-TW"/>
        </w:rPr>
        <w:t>每张表格只填写一个项目，</w:t>
      </w:r>
      <w:r>
        <w:rPr>
          <w:rFonts w:hint="eastAsia" w:ascii="宋体" w:hAnsi="宋体" w:cs="宋体"/>
          <w:szCs w:val="21"/>
          <w:lang w:bidi="zh-TW"/>
        </w:rPr>
        <w:t>后附证明材料。</w:t>
      </w:r>
      <w:bookmarkEnd w:id="601"/>
    </w:p>
    <w:bookmarkEnd w:id="599"/>
    <w:bookmarkEnd w:id="600"/>
    <w:p w14:paraId="18474B99">
      <w:pPr>
        <w:spacing w:line="360" w:lineRule="auto"/>
        <w:jc w:val="center"/>
        <w:outlineLvl w:val="1"/>
        <w:rPr>
          <w:rFonts w:hint="eastAsia" w:ascii="宋体" w:hAnsi="宋体" w:cs="宋体"/>
          <w:b/>
          <w:sz w:val="28"/>
          <w:szCs w:val="32"/>
        </w:rPr>
        <w:sectPr>
          <w:pgSz w:w="11906" w:h="16838"/>
          <w:pgMar w:top="1440" w:right="1712" w:bottom="1440" w:left="1800" w:header="851" w:footer="992" w:gutter="0"/>
          <w:cols w:space="720" w:num="1"/>
          <w:docGrid w:type="lines" w:linePitch="312" w:charSpace="0"/>
        </w:sectPr>
      </w:pPr>
    </w:p>
    <w:p w14:paraId="022BEA2D">
      <w:pPr>
        <w:spacing w:line="360" w:lineRule="auto"/>
        <w:jc w:val="center"/>
        <w:outlineLvl w:val="1"/>
        <w:rPr>
          <w:rFonts w:hint="eastAsia" w:ascii="宋体" w:hAnsi="宋体" w:cs="宋体"/>
          <w:b/>
          <w:sz w:val="28"/>
          <w:szCs w:val="32"/>
        </w:rPr>
      </w:pPr>
      <w:bookmarkStart w:id="602" w:name="_Toc28989"/>
      <w:r>
        <w:rPr>
          <w:rFonts w:hint="eastAsia" w:ascii="宋体" w:hAnsi="宋体" w:cs="宋体"/>
          <w:b/>
          <w:sz w:val="24"/>
        </w:rPr>
        <w:t>（三）</w:t>
      </w:r>
      <w:bookmarkEnd w:id="602"/>
      <w:r>
        <w:rPr>
          <w:rFonts w:hint="eastAsia" w:ascii="宋体" w:hAnsi="宋体" w:cs="宋体"/>
          <w:b/>
          <w:sz w:val="24"/>
        </w:rPr>
        <w:t>质保期</w:t>
      </w:r>
      <w:r>
        <w:rPr>
          <w:rFonts w:hint="eastAsia" w:ascii="宋体" w:hAnsi="宋体" w:cs="宋体"/>
          <w:b/>
          <w:sz w:val="24"/>
          <w:lang w:val="zh-CN"/>
        </w:rPr>
        <w:t>内、</w:t>
      </w:r>
      <w:r>
        <w:rPr>
          <w:rFonts w:hint="eastAsia" w:ascii="宋体" w:hAnsi="宋体" w:cs="宋体"/>
          <w:b/>
          <w:sz w:val="24"/>
        </w:rPr>
        <w:t>外</w:t>
      </w:r>
      <w:r>
        <w:rPr>
          <w:rFonts w:hint="eastAsia" w:ascii="宋体" w:hAnsi="宋体" w:cs="宋体"/>
          <w:b/>
          <w:sz w:val="24"/>
          <w:lang w:val="zh-CN"/>
        </w:rPr>
        <w:t>售后服务</w:t>
      </w:r>
    </w:p>
    <w:bookmarkEnd w:id="597"/>
    <w:bookmarkEnd w:id="598"/>
    <w:p w14:paraId="69C37FA9">
      <w:pPr>
        <w:spacing w:line="360" w:lineRule="auto"/>
        <w:jc w:val="center"/>
        <w:rPr>
          <w:rFonts w:hint="eastAsia" w:ascii="宋体" w:hAnsi="宋体" w:cs="宋体"/>
          <w:kern w:val="0"/>
          <w:szCs w:val="21"/>
        </w:rPr>
        <w:sectPr>
          <w:pgSz w:w="11906" w:h="16838"/>
          <w:pgMar w:top="1400" w:right="1287" w:bottom="1247" w:left="1417" w:header="851" w:footer="992" w:gutter="0"/>
          <w:cols w:space="720" w:num="1"/>
          <w:docGrid w:type="linesAndChars" w:linePitch="317" w:charSpace="819"/>
        </w:sectPr>
      </w:pPr>
      <w:r>
        <w:rPr>
          <w:rFonts w:hint="eastAsia" w:ascii="宋体" w:hAnsi="宋体" w:cs="宋体"/>
          <w:kern w:val="0"/>
          <w:szCs w:val="21"/>
        </w:rPr>
        <w:t>（包含但不限于：第三章评标办法中的评审内容）</w:t>
      </w:r>
    </w:p>
    <w:p w14:paraId="0C0562E6">
      <w:pPr>
        <w:autoSpaceDE w:val="0"/>
        <w:autoSpaceDN w:val="0"/>
        <w:adjustRightInd w:val="0"/>
        <w:spacing w:line="360" w:lineRule="auto"/>
        <w:jc w:val="center"/>
        <w:outlineLvl w:val="1"/>
        <w:rPr>
          <w:rFonts w:hint="eastAsia" w:ascii="宋体" w:hAnsi="宋体" w:cs="宋体"/>
          <w:b/>
          <w:sz w:val="30"/>
          <w:szCs w:val="30"/>
        </w:rPr>
      </w:pPr>
      <w:r>
        <w:rPr>
          <w:rFonts w:hint="eastAsia" w:ascii="宋体" w:hAnsi="宋体" w:cs="宋体"/>
          <w:b/>
          <w:sz w:val="30"/>
          <w:szCs w:val="30"/>
        </w:rPr>
        <w:t>八、反商业贿赂承诺书</w:t>
      </w:r>
    </w:p>
    <w:p w14:paraId="45AFB645">
      <w:pPr>
        <w:spacing w:line="360" w:lineRule="auto"/>
        <w:rPr>
          <w:rFonts w:hint="eastAsia" w:ascii="宋体" w:hAnsi="宋体" w:cs="宋体"/>
          <w:sz w:val="24"/>
        </w:rPr>
      </w:pPr>
      <w:r>
        <w:rPr>
          <w:rFonts w:hint="eastAsia" w:ascii="宋体" w:hAnsi="宋体" w:cs="宋体"/>
          <w:sz w:val="24"/>
        </w:rPr>
        <w:t>我公司承诺：</w:t>
      </w:r>
    </w:p>
    <w:p w14:paraId="00F04F0F">
      <w:pPr>
        <w:spacing w:line="360" w:lineRule="auto"/>
        <w:ind w:firstLine="480" w:firstLineChars="200"/>
        <w:rPr>
          <w:rFonts w:hint="eastAsia" w:ascii="宋体" w:hAnsi="宋体" w:cs="宋体"/>
          <w:sz w:val="24"/>
        </w:rPr>
      </w:pPr>
      <w:r>
        <w:rPr>
          <w:rFonts w:hint="eastAsia" w:ascii="宋体" w:hAnsi="宋体" w:cs="宋体"/>
          <w:sz w:val="24"/>
        </w:rPr>
        <w:t>在</w:t>
      </w:r>
      <w:r>
        <w:rPr>
          <w:rFonts w:hint="eastAsia" w:ascii="宋体" w:hAnsi="宋体" w:cs="宋体"/>
          <w:sz w:val="24"/>
          <w:u w:val="single"/>
        </w:rPr>
        <w:t>（采购项目名称）</w:t>
      </w:r>
      <w:r>
        <w:rPr>
          <w:rFonts w:hint="eastAsia" w:ascii="宋体" w:hAnsi="宋体" w:cs="宋体"/>
          <w:sz w:val="24"/>
        </w:rPr>
        <w:t>采购活动中，我公司保证做到：</w:t>
      </w:r>
    </w:p>
    <w:p w14:paraId="1E15ABB2">
      <w:pPr>
        <w:spacing w:line="360" w:lineRule="auto"/>
        <w:ind w:firstLine="480" w:firstLineChars="200"/>
        <w:rPr>
          <w:rFonts w:hint="eastAsia" w:ascii="宋体" w:hAnsi="宋体" w:cs="宋体"/>
          <w:sz w:val="24"/>
        </w:rPr>
      </w:pPr>
      <w:r>
        <w:rPr>
          <w:rFonts w:hint="eastAsia" w:ascii="宋体" w:hAnsi="宋体" w:cs="宋体"/>
          <w:sz w:val="24"/>
        </w:rPr>
        <w:t>一、公平竞争参加本次采购活动。</w:t>
      </w:r>
    </w:p>
    <w:p w14:paraId="40689CD0">
      <w:pPr>
        <w:spacing w:line="360" w:lineRule="auto"/>
        <w:ind w:firstLine="480" w:firstLineChars="200"/>
        <w:rPr>
          <w:rFonts w:hint="eastAsia" w:ascii="宋体" w:hAnsi="宋体" w:cs="宋体"/>
          <w:sz w:val="24"/>
        </w:rPr>
      </w:pPr>
      <w:r>
        <w:rPr>
          <w:rFonts w:hint="eastAsia" w:ascii="宋体" w:hAnsi="宋体" w:cs="宋体"/>
          <w:sz w:val="24"/>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854B20B">
      <w:pPr>
        <w:pStyle w:val="49"/>
        <w:spacing w:line="360" w:lineRule="auto"/>
        <w:ind w:firstLine="480" w:firstLineChars="200"/>
        <w:rPr>
          <w:rFonts w:hint="eastAsia" w:ascii="宋体" w:hAnsi="宋体" w:cs="宋体"/>
        </w:rPr>
      </w:pPr>
      <w:r>
        <w:rPr>
          <w:rFonts w:hint="eastAsia" w:ascii="宋体" w:hAnsi="宋体" w:cs="宋体"/>
        </w:rPr>
        <w:t>三、若出现上述行为，我公司及参与本项目的工作人员愿意接受按照国家法律法规等有关规定给予的处罚。</w:t>
      </w:r>
    </w:p>
    <w:p w14:paraId="343EFCF4">
      <w:pPr>
        <w:pStyle w:val="50"/>
        <w:spacing w:line="360" w:lineRule="auto"/>
        <w:rPr>
          <w:rFonts w:hint="eastAsia" w:ascii="宋体" w:hAnsi="宋体" w:cs="宋体"/>
          <w:sz w:val="24"/>
          <w:szCs w:val="24"/>
        </w:rPr>
      </w:pPr>
    </w:p>
    <w:p w14:paraId="6F7AF5E1">
      <w:pPr>
        <w:spacing w:line="360" w:lineRule="auto"/>
        <w:rPr>
          <w:rFonts w:hint="eastAsia" w:ascii="宋体" w:hAnsi="宋体" w:cs="宋体"/>
          <w:sz w:val="24"/>
        </w:rPr>
      </w:pPr>
    </w:p>
    <w:p w14:paraId="5B379F64">
      <w:pPr>
        <w:pStyle w:val="28"/>
        <w:spacing w:line="360" w:lineRule="auto"/>
        <w:ind w:firstLine="240"/>
        <w:rPr>
          <w:rFonts w:hint="eastAsia" w:ascii="宋体" w:hAnsi="宋体" w:eastAsia="宋体" w:cs="宋体"/>
          <w:sz w:val="24"/>
        </w:rPr>
      </w:pPr>
    </w:p>
    <w:p w14:paraId="7FEA9378">
      <w:pPr>
        <w:wordWrap w:val="0"/>
        <w:spacing w:line="450" w:lineRule="atLeast"/>
        <w:rPr>
          <w:rFonts w:hint="eastAsia" w:ascii="宋体" w:hAnsi="宋体" w:cs="宋体"/>
          <w:sz w:val="24"/>
        </w:rPr>
      </w:pPr>
      <w:r>
        <w:rPr>
          <w:rFonts w:hint="eastAsia" w:ascii="宋体" w:hAnsi="宋体" w:cs="宋体"/>
          <w:sz w:val="24"/>
        </w:rPr>
        <w:t>供应商名称：（电子签章）</w:t>
      </w:r>
    </w:p>
    <w:p w14:paraId="6528621F">
      <w:pPr>
        <w:wordWrap w:val="0"/>
        <w:spacing w:line="450" w:lineRule="atLeast"/>
        <w:rPr>
          <w:rFonts w:hint="eastAsia" w:ascii="宋体" w:hAnsi="宋体" w:cs="宋体"/>
          <w:sz w:val="24"/>
        </w:rPr>
      </w:pPr>
      <w:r>
        <w:rPr>
          <w:rFonts w:hint="eastAsia" w:ascii="宋体" w:hAnsi="宋体" w:cs="宋体"/>
          <w:sz w:val="24"/>
        </w:rPr>
        <w:t>法定代表人或其委托代理人：（电子签章或签字）</w:t>
      </w:r>
    </w:p>
    <w:p w14:paraId="59491F18">
      <w:pPr>
        <w:wordWrap w:val="0"/>
        <w:spacing w:line="450" w:lineRule="atLeast"/>
        <w:rPr>
          <w:rFonts w:hint="eastAsia" w:ascii="宋体" w:hAnsi="宋体" w:cs="宋体"/>
          <w:sz w:val="24"/>
        </w:rPr>
      </w:pPr>
      <w:r>
        <w:rPr>
          <w:rFonts w:hint="eastAsia" w:ascii="宋体" w:hAnsi="宋体" w:cs="宋体"/>
          <w:sz w:val="24"/>
        </w:rPr>
        <w:t>年  月  日</w:t>
      </w:r>
    </w:p>
    <w:p w14:paraId="653AC1C5">
      <w:pPr>
        <w:pStyle w:val="28"/>
        <w:spacing w:line="360" w:lineRule="auto"/>
        <w:ind w:firstLine="240"/>
        <w:rPr>
          <w:rFonts w:hint="eastAsia" w:ascii="宋体" w:hAnsi="宋体" w:eastAsia="宋体" w:cs="宋体"/>
          <w:sz w:val="24"/>
        </w:rPr>
      </w:pPr>
    </w:p>
    <w:p w14:paraId="1A288B8B">
      <w:pPr>
        <w:pStyle w:val="4"/>
        <w:spacing w:line="240" w:lineRule="auto"/>
        <w:jc w:val="center"/>
        <w:rPr>
          <w:rFonts w:hint="eastAsia" w:ascii="宋体" w:hAnsi="宋体" w:cs="宋体"/>
          <w:kern w:val="0"/>
          <w:sz w:val="28"/>
          <w:szCs w:val="28"/>
        </w:rPr>
        <w:sectPr>
          <w:pgSz w:w="11906" w:h="16838"/>
          <w:pgMar w:top="1134" w:right="1134" w:bottom="1134" w:left="1418" w:header="567" w:footer="721" w:gutter="0"/>
          <w:cols w:space="720" w:num="1"/>
          <w:docGrid w:linePitch="286" w:charSpace="0"/>
        </w:sectPr>
      </w:pPr>
    </w:p>
    <w:p w14:paraId="207E1955">
      <w:pPr>
        <w:autoSpaceDE w:val="0"/>
        <w:autoSpaceDN w:val="0"/>
        <w:adjustRightInd w:val="0"/>
        <w:spacing w:line="360" w:lineRule="auto"/>
        <w:jc w:val="center"/>
        <w:outlineLvl w:val="1"/>
        <w:rPr>
          <w:rFonts w:hint="eastAsia" w:ascii="宋体" w:hAnsi="宋体" w:cs="宋体"/>
          <w:b/>
          <w:sz w:val="30"/>
          <w:szCs w:val="30"/>
        </w:rPr>
      </w:pPr>
      <w:bookmarkStart w:id="603" w:name="_Toc21552"/>
      <w:bookmarkStart w:id="604" w:name="_Toc32431"/>
      <w:r>
        <w:rPr>
          <w:rFonts w:hint="eastAsia" w:ascii="宋体" w:hAnsi="宋体" w:cs="宋体"/>
          <w:b/>
          <w:sz w:val="30"/>
          <w:szCs w:val="30"/>
        </w:rPr>
        <w:t>九、为落实政府采购政策供应商须提供的证明材料</w:t>
      </w:r>
      <w:bookmarkEnd w:id="603"/>
    </w:p>
    <w:p w14:paraId="209E9072">
      <w:pPr>
        <w:jc w:val="center"/>
        <w:rPr>
          <w:rFonts w:hint="eastAsia" w:ascii="宋体" w:hAnsi="宋体" w:cs="宋体"/>
          <w:sz w:val="24"/>
        </w:rPr>
      </w:pPr>
    </w:p>
    <w:p w14:paraId="7E183296">
      <w:pPr>
        <w:autoSpaceDE w:val="0"/>
        <w:autoSpaceDN w:val="0"/>
        <w:adjustRightInd w:val="0"/>
        <w:spacing w:line="560" w:lineRule="exact"/>
        <w:outlineLvl w:val="1"/>
        <w:rPr>
          <w:rFonts w:hint="eastAsia" w:ascii="宋体" w:hAnsi="宋体" w:cs="宋体"/>
          <w:b/>
          <w:bCs/>
          <w:sz w:val="24"/>
        </w:rPr>
      </w:pPr>
      <w:r>
        <w:rPr>
          <w:rFonts w:hint="eastAsia" w:ascii="宋体" w:hAnsi="宋体" w:cs="宋体"/>
          <w:b/>
          <w:bCs/>
          <w:sz w:val="24"/>
        </w:rPr>
        <w:t>9.1中小企业声明函</w:t>
      </w:r>
    </w:p>
    <w:p w14:paraId="0159A825">
      <w:pPr>
        <w:autoSpaceDE w:val="0"/>
        <w:autoSpaceDN w:val="0"/>
        <w:adjustRightInd w:val="0"/>
        <w:spacing w:line="360" w:lineRule="auto"/>
        <w:jc w:val="center"/>
        <w:outlineLvl w:val="1"/>
        <w:rPr>
          <w:rFonts w:hint="eastAsia" w:ascii="宋体" w:hAnsi="宋体" w:cs="宋体"/>
        </w:rPr>
      </w:pPr>
      <w:r>
        <w:rPr>
          <w:rFonts w:hint="eastAsia" w:ascii="宋体" w:hAnsi="宋体" w:cs="宋体"/>
          <w:sz w:val="24"/>
        </w:rPr>
        <w:t>中小企业声明函（货物）</w:t>
      </w:r>
    </w:p>
    <w:p w14:paraId="67944C76">
      <w:pPr>
        <w:pStyle w:val="9"/>
        <w:spacing w:line="360" w:lineRule="auto"/>
        <w:ind w:firstLine="480" w:firstLineChars="200"/>
        <w:rPr>
          <w:rFonts w:ascii="宋体" w:hAnsi="宋体" w:cs="宋体"/>
          <w:sz w:val="24"/>
        </w:rPr>
      </w:pPr>
      <w:r>
        <w:rPr>
          <w:rFonts w:hint="eastAsia" w:ascii="宋体" w:hAnsi="宋体" w:cs="宋体"/>
          <w:sz w:val="24"/>
        </w:rPr>
        <w:t>本公司（联合体）郑重声明，根据《政府采购促进中小企业发展管理办法》（财库﹝2020﹞46号）的规定，本公司（联合体）参加</w:t>
      </w:r>
      <w:r>
        <w:rPr>
          <w:rFonts w:hint="eastAsia" w:ascii="宋体" w:hAnsi="宋体" w:cs="宋体"/>
          <w:sz w:val="24"/>
          <w:u w:val="single"/>
        </w:rPr>
        <w:t>（单位名称）</w:t>
      </w:r>
      <w:r>
        <w:rPr>
          <w:rFonts w:hint="eastAsia" w:ascii="宋体" w:hAnsi="宋体" w:cs="宋体"/>
          <w:sz w:val="24"/>
        </w:rPr>
        <w:t>的</w:t>
      </w:r>
      <w:r>
        <w:rPr>
          <w:rFonts w:hint="eastAsia" w:ascii="宋体" w:hAnsi="宋体" w:cs="宋体"/>
          <w:sz w:val="24"/>
          <w:u w:val="single"/>
        </w:rPr>
        <w:t>（项目名称）</w:t>
      </w:r>
      <w:r>
        <w:rPr>
          <w:rFonts w:hint="eastAsia" w:ascii="宋体" w:hAnsi="宋体" w:cs="宋体"/>
          <w:sz w:val="24"/>
        </w:rPr>
        <w:t>采购活动，提供的货物全部由符合政策要求的中小企业制造。相关企业（含联合体中的中小企业、签订分包意向协议的中小企业）的具体情况如下：</w:t>
      </w:r>
    </w:p>
    <w:p w14:paraId="3F462D79">
      <w:pPr>
        <w:pStyle w:val="61"/>
        <w:tabs>
          <w:tab w:val="left" w:pos="1183"/>
          <w:tab w:val="left" w:pos="1484"/>
          <w:tab w:val="left" w:pos="4662"/>
          <w:tab w:val="left" w:pos="6903"/>
        </w:tabs>
        <w:spacing w:line="360" w:lineRule="auto"/>
        <w:ind w:right="169" w:firstLine="480"/>
        <w:jc w:val="left"/>
        <w:rPr>
          <w:rFonts w:hint="eastAsia" w:ascii="宋体" w:hAnsi="宋体" w:cs="宋体"/>
          <w:sz w:val="24"/>
        </w:rPr>
      </w:pPr>
      <w:r>
        <w:rPr>
          <w:rFonts w:hint="eastAsia" w:ascii="宋体" w:hAnsi="宋体" w:cs="宋体"/>
          <w:sz w:val="24"/>
        </w:rPr>
        <w:t>1.</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行业；制造商为</w:t>
      </w:r>
      <w:r>
        <w:rPr>
          <w:rFonts w:hint="eastAsia" w:ascii="宋体" w:hAnsi="宋体" w:cs="宋体"/>
          <w:sz w:val="24"/>
          <w:u w:val="single"/>
        </w:rPr>
        <w:t>（企业名称）</w:t>
      </w:r>
      <w:r>
        <w:rPr>
          <w:rFonts w:hint="eastAsia" w:ascii="宋体" w:hAnsi="宋体" w:cs="宋体"/>
          <w:sz w:val="24"/>
        </w:rPr>
        <w:t>，从业人员人，营业收入为万元，资产总额为万元，属于</w:t>
      </w:r>
      <w:r>
        <w:rPr>
          <w:rFonts w:hint="eastAsia" w:ascii="宋体" w:hAnsi="宋体" w:cs="宋体"/>
          <w:sz w:val="24"/>
          <w:u w:val="single"/>
        </w:rPr>
        <w:t>（中型企业、小型企业、微型企业）</w:t>
      </w:r>
      <w:r>
        <w:rPr>
          <w:rFonts w:hint="eastAsia" w:ascii="宋体" w:hAnsi="宋体" w:cs="宋体"/>
          <w:sz w:val="24"/>
        </w:rPr>
        <w:t>；</w:t>
      </w:r>
    </w:p>
    <w:p w14:paraId="024B61C3">
      <w:pPr>
        <w:pStyle w:val="61"/>
        <w:tabs>
          <w:tab w:val="left" w:pos="1165"/>
          <w:tab w:val="left" w:pos="1183"/>
          <w:tab w:val="left" w:pos="4362"/>
          <w:tab w:val="left" w:pos="6577"/>
        </w:tabs>
        <w:spacing w:line="360" w:lineRule="auto"/>
        <w:ind w:right="169" w:firstLine="480"/>
        <w:jc w:val="left"/>
        <w:rPr>
          <w:rFonts w:hint="eastAsia" w:ascii="宋体" w:hAnsi="宋体" w:cs="宋体"/>
          <w:sz w:val="24"/>
        </w:rPr>
      </w:pPr>
      <w:r>
        <w:rPr>
          <w:rFonts w:hint="eastAsia" w:ascii="宋体" w:hAnsi="宋体" w:cs="宋体"/>
          <w:sz w:val="24"/>
        </w:rPr>
        <w:t>2.</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行业；制造商为</w:t>
      </w:r>
      <w:r>
        <w:rPr>
          <w:rFonts w:hint="eastAsia" w:ascii="宋体" w:hAnsi="宋体" w:cs="宋体"/>
          <w:sz w:val="24"/>
          <w:u w:val="single"/>
        </w:rPr>
        <w:t>（企业名称）</w:t>
      </w:r>
      <w:r>
        <w:rPr>
          <w:rFonts w:hint="eastAsia" w:ascii="宋体" w:hAnsi="宋体" w:cs="宋体"/>
          <w:sz w:val="24"/>
        </w:rPr>
        <w:t>，从业人员人，营业收入为万元，资产总额为万元，属于</w:t>
      </w:r>
      <w:r>
        <w:rPr>
          <w:rFonts w:hint="eastAsia" w:ascii="宋体" w:hAnsi="宋体" w:cs="宋体"/>
          <w:sz w:val="24"/>
          <w:u w:val="single"/>
        </w:rPr>
        <w:t>（中型企业、小型企业、微型企业）</w:t>
      </w:r>
      <w:r>
        <w:rPr>
          <w:rFonts w:hint="eastAsia" w:ascii="宋体" w:hAnsi="宋体" w:cs="宋体"/>
          <w:sz w:val="24"/>
        </w:rPr>
        <w:t>；</w:t>
      </w:r>
    </w:p>
    <w:p w14:paraId="20F23169">
      <w:pPr>
        <w:pStyle w:val="61"/>
        <w:tabs>
          <w:tab w:val="left" w:pos="1165"/>
          <w:tab w:val="left" w:pos="1183"/>
          <w:tab w:val="left" w:pos="4362"/>
          <w:tab w:val="left" w:pos="6577"/>
        </w:tabs>
        <w:spacing w:line="360" w:lineRule="auto"/>
        <w:ind w:right="169" w:firstLine="480"/>
        <w:jc w:val="left"/>
        <w:rPr>
          <w:rFonts w:hint="eastAsia" w:ascii="宋体" w:hAnsi="宋体" w:cs="宋体"/>
          <w:sz w:val="24"/>
        </w:rPr>
      </w:pPr>
      <w:r>
        <w:rPr>
          <w:rFonts w:hint="eastAsia" w:ascii="宋体" w:hAnsi="宋体" w:cs="宋体"/>
          <w:sz w:val="24"/>
        </w:rPr>
        <w:t>…………</w:t>
      </w:r>
    </w:p>
    <w:p w14:paraId="065E4C23">
      <w:pPr>
        <w:pStyle w:val="9"/>
        <w:spacing w:before="105" w:line="360" w:lineRule="auto"/>
        <w:ind w:right="417" w:firstLine="480" w:firstLineChars="200"/>
        <w:rPr>
          <w:rFonts w:ascii="宋体" w:hAnsi="宋体" w:cs="宋体"/>
          <w:sz w:val="24"/>
        </w:rPr>
      </w:pPr>
      <w:r>
        <w:rPr>
          <w:rFonts w:hint="eastAsia" w:ascii="宋体" w:hAnsi="宋体" w:cs="宋体"/>
          <w:sz w:val="24"/>
        </w:rPr>
        <w:t>以上企业，不属于大企业的分支机构，不存在控股股东为大企业的情形，也不存在与大企业的负责人为同一人的情形。</w:t>
      </w:r>
    </w:p>
    <w:p w14:paraId="6A9B8DAA">
      <w:pPr>
        <w:spacing w:line="360" w:lineRule="auto"/>
        <w:ind w:firstLine="480" w:firstLineChars="200"/>
        <w:rPr>
          <w:rFonts w:hint="eastAsia" w:ascii="宋体" w:hAnsi="宋体" w:cs="宋体"/>
          <w:sz w:val="24"/>
        </w:rPr>
      </w:pPr>
      <w:r>
        <w:rPr>
          <w:rFonts w:hint="eastAsia" w:ascii="宋体" w:hAnsi="宋体" w:cs="宋体"/>
          <w:sz w:val="24"/>
        </w:rPr>
        <w:t>本企业对上述声明内容的真实性负责。如有虚假，将依法承担相应责任。</w:t>
      </w:r>
    </w:p>
    <w:p w14:paraId="6C96A060">
      <w:pPr>
        <w:spacing w:line="360" w:lineRule="auto"/>
        <w:ind w:firstLine="6000" w:firstLineChars="2500"/>
        <w:rPr>
          <w:rFonts w:hint="eastAsia" w:ascii="宋体" w:hAnsi="宋体" w:cs="宋体"/>
          <w:sz w:val="24"/>
        </w:rPr>
      </w:pPr>
      <w:r>
        <w:rPr>
          <w:rFonts w:hint="eastAsia" w:ascii="宋体" w:hAnsi="宋体" w:cs="宋体"/>
          <w:sz w:val="24"/>
        </w:rPr>
        <w:t xml:space="preserve">企业名称（盖章）： </w:t>
      </w:r>
    </w:p>
    <w:p w14:paraId="6993791C">
      <w:pPr>
        <w:spacing w:line="360" w:lineRule="auto"/>
        <w:ind w:firstLine="6000" w:firstLineChars="2500"/>
        <w:rPr>
          <w:rFonts w:hint="eastAsia" w:ascii="宋体" w:hAnsi="宋体" w:cs="宋体"/>
          <w:sz w:val="24"/>
        </w:rPr>
      </w:pPr>
      <w:r>
        <w:rPr>
          <w:rFonts w:hint="eastAsia" w:ascii="宋体" w:hAnsi="宋体" w:cs="宋体"/>
          <w:sz w:val="24"/>
        </w:rPr>
        <w:t>日 期：</w:t>
      </w:r>
    </w:p>
    <w:p w14:paraId="599A1949">
      <w:pPr>
        <w:spacing w:line="360" w:lineRule="auto"/>
        <w:rPr>
          <w:rFonts w:hint="eastAsia" w:ascii="宋体" w:hAnsi="宋体" w:cs="宋体"/>
        </w:rPr>
      </w:pPr>
      <w:r>
        <w:rPr>
          <w:rFonts w:hint="eastAsia" w:ascii="宋体" w:hAnsi="宋体" w:cs="宋体"/>
        </w:rPr>
        <w:t>注：（1）从业人员、营业收入、资产总额填报上一年度数据，无上一年度数据新成立企业可不填报。</w:t>
      </w:r>
    </w:p>
    <w:p w14:paraId="07C8F7DD">
      <w:pPr>
        <w:spacing w:line="360" w:lineRule="auto"/>
        <w:rPr>
          <w:rFonts w:hint="eastAsia" w:ascii="宋体" w:hAnsi="宋体" w:cs="宋体"/>
        </w:rPr>
      </w:pPr>
      <w:r>
        <w:rPr>
          <w:rFonts w:hint="eastAsia" w:ascii="宋体" w:hAnsi="宋体" w:cs="宋体"/>
        </w:rPr>
        <w:t>（2）在采购项目中，货物由中小企业制造，即货物由中小企业生产且使用该中小企业商号或者注册商标，按规定享受中小企业扶持政策。</w:t>
      </w:r>
    </w:p>
    <w:p w14:paraId="43D993CE">
      <w:pPr>
        <w:spacing w:line="360" w:lineRule="auto"/>
        <w:rPr>
          <w:rFonts w:hint="eastAsia" w:ascii="宋体" w:hAnsi="宋体" w:cs="宋体"/>
        </w:rPr>
      </w:pPr>
      <w:r>
        <w:rPr>
          <w:rFonts w:hint="eastAsia" w:ascii="宋体" w:hAnsi="宋体" w:cs="宋体"/>
        </w:rPr>
        <w:t>（3）在货物采购项目中，供应商提供的货物既有中小企业制造货物，也有大型企业制造货物的，不享受本办法规定的中小企业扶持政策。</w:t>
      </w:r>
    </w:p>
    <w:p w14:paraId="0D081A5C">
      <w:pPr>
        <w:spacing w:line="360" w:lineRule="auto"/>
        <w:rPr>
          <w:rFonts w:hint="eastAsia" w:ascii="宋体" w:hAnsi="宋体" w:cs="宋体"/>
        </w:rPr>
      </w:pPr>
      <w:r>
        <w:rPr>
          <w:rFonts w:hint="eastAsia" w:ascii="宋体" w:hAnsi="宋体" w:cs="宋体"/>
        </w:rPr>
        <w:t>（4）在采购项目中，所投产品应逐项填写中小企业声明函中标的名称等内容，否则不能享受中小企业扶持政策。</w:t>
      </w:r>
    </w:p>
    <w:p w14:paraId="0AE7EAB5">
      <w:pPr>
        <w:spacing w:line="360" w:lineRule="auto"/>
        <w:rPr>
          <w:rFonts w:hint="eastAsia" w:ascii="宋体" w:hAnsi="宋体" w:cs="宋体"/>
        </w:rPr>
      </w:pPr>
      <w:r>
        <w:rPr>
          <w:rFonts w:hint="eastAsia" w:ascii="宋体" w:hAnsi="宋体" w:cs="宋体"/>
        </w:rPr>
        <w:t>（5）中小企业对其声明内容的真实性负责，声明函内容不实的，属于提供虚假材料谋取中标，依照《中华人民共和国政府采购法》等国家有关规定追究相应责任。</w:t>
      </w:r>
    </w:p>
    <w:p w14:paraId="7E23C677">
      <w:pPr>
        <w:spacing w:line="360" w:lineRule="auto"/>
        <w:rPr>
          <w:rFonts w:hint="eastAsia" w:ascii="宋体" w:hAnsi="宋体" w:cs="宋体"/>
        </w:rPr>
      </w:pPr>
      <w:r>
        <w:rPr>
          <w:rFonts w:hint="eastAsia" w:ascii="宋体" w:hAnsi="宋体" w:cs="宋体"/>
        </w:rPr>
        <w:t>（6）如果提供的产品不属于中小企业制造，则可以不填写《中小企业声明函》。</w:t>
      </w:r>
    </w:p>
    <w:bookmarkEnd w:id="604"/>
    <w:p w14:paraId="3D81C395">
      <w:pPr>
        <w:spacing w:line="360" w:lineRule="auto"/>
        <w:rPr>
          <w:rFonts w:hint="eastAsia" w:ascii="宋体" w:hAnsi="宋体" w:cs="宋体"/>
          <w:b/>
          <w:sz w:val="24"/>
          <w:lang w:val="en-GB"/>
        </w:rPr>
      </w:pPr>
      <w:r>
        <w:rPr>
          <w:rFonts w:hint="eastAsia" w:ascii="宋体" w:hAnsi="宋体" w:cs="宋体"/>
          <w:b/>
          <w:sz w:val="24"/>
        </w:rPr>
        <w:t>9.2</w:t>
      </w:r>
      <w:r>
        <w:rPr>
          <w:rFonts w:hint="eastAsia" w:ascii="宋体" w:hAnsi="宋体" w:cs="宋体"/>
          <w:b/>
          <w:sz w:val="24"/>
          <w:lang w:val="en-GB"/>
        </w:rPr>
        <w:t>残疾人福利性单位声明函</w:t>
      </w:r>
    </w:p>
    <w:p w14:paraId="36390AD0">
      <w:pPr>
        <w:pStyle w:val="9"/>
        <w:rPr>
          <w:rFonts w:ascii="宋体" w:hAnsi="宋体" w:cs="宋体"/>
          <w:b/>
          <w:sz w:val="24"/>
          <w:lang w:val="en-GB"/>
        </w:rPr>
      </w:pPr>
    </w:p>
    <w:p w14:paraId="4560A5AE">
      <w:pPr>
        <w:pStyle w:val="28"/>
        <w:ind w:firstLine="240"/>
        <w:jc w:val="center"/>
        <w:rPr>
          <w:rFonts w:hint="eastAsia" w:ascii="宋体" w:hAnsi="宋体" w:eastAsia="宋体" w:cs="宋体"/>
          <w:sz w:val="24"/>
          <w:lang w:val="en-GB"/>
        </w:rPr>
      </w:pPr>
      <w:r>
        <w:rPr>
          <w:rFonts w:hint="eastAsia" w:ascii="宋体" w:hAnsi="宋体" w:eastAsia="宋体" w:cs="宋体"/>
          <w:sz w:val="24"/>
          <w:lang w:val="en-GB"/>
        </w:rPr>
        <w:t>残疾人福利性单位声明函</w:t>
      </w:r>
    </w:p>
    <w:p w14:paraId="27C0CF11">
      <w:pPr>
        <w:spacing w:line="588" w:lineRule="exact"/>
        <w:ind w:firstLine="720" w:firstLineChars="300"/>
        <w:rPr>
          <w:rFonts w:hint="eastAsia" w:ascii="宋体" w:hAnsi="宋体" w:cs="宋体"/>
          <w:sz w:val="24"/>
        </w:rPr>
      </w:pPr>
      <w:r>
        <w:rPr>
          <w:rFonts w:hint="eastAsia" w:ascii="宋体" w:hAnsi="宋体" w:cs="宋体"/>
          <w:sz w:val="24"/>
        </w:rPr>
        <w:t>本单位郑重声明，根据《财政部、民政部、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AD48443">
      <w:pPr>
        <w:spacing w:line="588" w:lineRule="exact"/>
        <w:ind w:firstLine="480" w:firstLineChars="200"/>
        <w:rPr>
          <w:rFonts w:hint="eastAsia" w:ascii="宋体" w:hAnsi="宋体" w:cs="宋体"/>
          <w:sz w:val="24"/>
        </w:rPr>
      </w:pPr>
      <w:r>
        <w:rPr>
          <w:rFonts w:hint="eastAsia" w:ascii="宋体" w:hAnsi="宋体" w:cs="宋体"/>
          <w:sz w:val="24"/>
        </w:rPr>
        <w:t>本单位对上述声明的真实性负责。如有虚假，将依法承担相应责任。</w:t>
      </w:r>
    </w:p>
    <w:p w14:paraId="35E2C3F3">
      <w:pPr>
        <w:spacing w:line="588" w:lineRule="exact"/>
        <w:ind w:firstLine="480" w:firstLineChars="200"/>
        <w:rPr>
          <w:rFonts w:hint="eastAsia" w:ascii="宋体" w:hAnsi="宋体" w:cs="宋体"/>
          <w:sz w:val="24"/>
        </w:rPr>
      </w:pPr>
    </w:p>
    <w:p w14:paraId="5784114D">
      <w:pPr>
        <w:spacing w:line="588" w:lineRule="exact"/>
        <w:ind w:firstLine="480" w:firstLineChars="200"/>
        <w:rPr>
          <w:rFonts w:hint="eastAsia" w:ascii="宋体" w:hAnsi="宋体" w:cs="宋体"/>
          <w:sz w:val="24"/>
        </w:rPr>
      </w:pPr>
    </w:p>
    <w:p w14:paraId="00989084">
      <w:pPr>
        <w:wordWrap w:val="0"/>
        <w:spacing w:line="450" w:lineRule="atLeast"/>
        <w:jc w:val="center"/>
        <w:rPr>
          <w:rFonts w:hint="eastAsia" w:ascii="宋体" w:hAnsi="宋体" w:cs="宋体"/>
          <w:sz w:val="24"/>
        </w:rPr>
      </w:pPr>
      <w:r>
        <w:rPr>
          <w:rFonts w:hint="eastAsia" w:ascii="宋体" w:hAnsi="宋体" w:cs="宋体"/>
          <w:sz w:val="24"/>
        </w:rPr>
        <w:t xml:space="preserve">                                 供应商名称：（盖单位公章）</w:t>
      </w:r>
    </w:p>
    <w:p w14:paraId="77ECCDC0">
      <w:pPr>
        <w:wordWrap w:val="0"/>
        <w:spacing w:line="450" w:lineRule="atLeast"/>
        <w:jc w:val="center"/>
        <w:rPr>
          <w:rFonts w:hint="eastAsia" w:ascii="宋体" w:hAnsi="宋体" w:cs="宋体"/>
          <w:sz w:val="24"/>
        </w:rPr>
      </w:pPr>
      <w:r>
        <w:rPr>
          <w:rFonts w:hint="eastAsia" w:ascii="宋体" w:hAnsi="宋体" w:cs="宋体"/>
          <w:sz w:val="24"/>
        </w:rPr>
        <w:t xml:space="preserve">                   年  月  日</w:t>
      </w:r>
    </w:p>
    <w:p w14:paraId="529E28A0">
      <w:pPr>
        <w:spacing w:line="480" w:lineRule="auto"/>
        <w:ind w:firstLine="729" w:firstLineChars="304"/>
        <w:jc w:val="center"/>
        <w:rPr>
          <w:rFonts w:hint="eastAsia" w:ascii="宋体" w:hAnsi="宋体" w:cs="宋体"/>
          <w:sz w:val="24"/>
        </w:rPr>
      </w:pPr>
    </w:p>
    <w:p w14:paraId="18895A78">
      <w:pPr>
        <w:tabs>
          <w:tab w:val="left" w:pos="4860"/>
        </w:tabs>
        <w:spacing w:line="588" w:lineRule="exact"/>
        <w:ind w:right="1560" w:firstLine="3990" w:firstLineChars="1900"/>
        <w:rPr>
          <w:rFonts w:hint="eastAsia" w:ascii="宋体" w:hAnsi="宋体" w:cs="宋体"/>
          <w:szCs w:val="21"/>
        </w:rPr>
      </w:pPr>
    </w:p>
    <w:p w14:paraId="686066FD">
      <w:pPr>
        <w:pStyle w:val="7"/>
        <w:spacing w:line="360" w:lineRule="auto"/>
        <w:ind w:firstLine="422"/>
        <w:rPr>
          <w:rFonts w:hint="eastAsia" w:ascii="宋体" w:hAnsi="宋体" w:cs="宋体"/>
          <w:b/>
          <w:szCs w:val="21"/>
        </w:rPr>
      </w:pPr>
    </w:p>
    <w:p w14:paraId="555BD6FE">
      <w:pPr>
        <w:spacing w:line="588" w:lineRule="exact"/>
        <w:ind w:firstLine="420" w:firstLineChars="200"/>
        <w:rPr>
          <w:rFonts w:hint="eastAsia" w:ascii="宋体" w:hAnsi="宋体" w:cs="宋体"/>
          <w:b/>
          <w:spacing w:val="6"/>
          <w:szCs w:val="21"/>
        </w:rPr>
      </w:pPr>
      <w:r>
        <w:rPr>
          <w:rFonts w:hint="eastAsia" w:ascii="宋体" w:hAnsi="宋体" w:cs="宋体"/>
          <w:szCs w:val="21"/>
        </w:rPr>
        <w:t>注：属于残疾人福利性单位的填写，不属于的无需填写此项内容。</w:t>
      </w:r>
    </w:p>
    <w:p w14:paraId="3F53BB5F">
      <w:pPr>
        <w:rPr>
          <w:rFonts w:hint="eastAsia" w:ascii="宋体" w:hAnsi="宋体" w:cs="宋体"/>
          <w:b/>
          <w:sz w:val="30"/>
          <w:szCs w:val="30"/>
          <w:lang w:val="en-GB"/>
        </w:rPr>
      </w:pPr>
      <w:r>
        <w:rPr>
          <w:rFonts w:hint="eastAsia" w:ascii="宋体" w:hAnsi="宋体" w:cs="宋体"/>
        </w:rPr>
        <w:br w:type="page"/>
      </w:r>
      <w:r>
        <w:rPr>
          <w:rFonts w:hint="eastAsia" w:ascii="宋体" w:hAnsi="宋体" w:cs="宋体"/>
          <w:b/>
          <w:sz w:val="24"/>
        </w:rPr>
        <w:t>9.3</w:t>
      </w:r>
      <w:r>
        <w:rPr>
          <w:rFonts w:hint="eastAsia" w:ascii="宋体" w:hAnsi="宋体" w:cs="宋体"/>
          <w:b/>
          <w:sz w:val="24"/>
          <w:lang w:val="en-GB"/>
        </w:rPr>
        <w:t>监狱企业证明材料</w:t>
      </w:r>
    </w:p>
    <w:p w14:paraId="0A47F0F9">
      <w:pPr>
        <w:rPr>
          <w:rFonts w:hint="eastAsia" w:ascii="宋体" w:hAnsi="宋体" w:cs="宋体"/>
          <w:sz w:val="24"/>
        </w:rPr>
      </w:pPr>
    </w:p>
    <w:p w14:paraId="04F4428C">
      <w:pPr>
        <w:rPr>
          <w:rFonts w:hint="eastAsia" w:ascii="宋体" w:hAnsi="宋体" w:cs="宋体"/>
          <w:sz w:val="24"/>
        </w:rPr>
      </w:pPr>
    </w:p>
    <w:p w14:paraId="29A9B047">
      <w:pPr>
        <w:spacing w:line="360" w:lineRule="auto"/>
        <w:jc w:val="center"/>
        <w:rPr>
          <w:rFonts w:hint="eastAsia" w:ascii="宋体" w:hAnsi="宋体" w:cs="宋体"/>
          <w:sz w:val="24"/>
        </w:rPr>
      </w:pPr>
      <w:r>
        <w:rPr>
          <w:rFonts w:hint="eastAsia" w:ascii="宋体" w:hAnsi="宋体" w:cs="宋体"/>
          <w:sz w:val="24"/>
        </w:rPr>
        <w:t>监狱企业证明材料</w:t>
      </w:r>
    </w:p>
    <w:p w14:paraId="6DDC6F34">
      <w:pPr>
        <w:spacing w:line="360" w:lineRule="auto"/>
        <w:ind w:firstLine="480" w:firstLineChars="200"/>
        <w:rPr>
          <w:rFonts w:hint="eastAsia" w:ascii="宋体" w:hAnsi="宋体" w:cs="宋体"/>
          <w:sz w:val="24"/>
          <w:lang w:val="en-GB"/>
        </w:rPr>
      </w:pPr>
      <w:r>
        <w:rPr>
          <w:rFonts w:hint="eastAsia" w:ascii="宋体" w:hAnsi="宋体" w:cs="宋体"/>
          <w:sz w:val="24"/>
          <w:lang w:val="en-GB"/>
        </w:rPr>
        <w:t>监狱企业参加政府采购活动时，应当提供由省级以上监狱管理局、戒毒管理局（含新疆生产建设兵团）出具的属于监狱企业的证明文件。</w:t>
      </w:r>
    </w:p>
    <w:p w14:paraId="3CA30ECF">
      <w:pPr>
        <w:rPr>
          <w:rFonts w:hint="eastAsia" w:ascii="宋体" w:hAnsi="宋体" w:cs="宋体"/>
        </w:rPr>
      </w:pPr>
    </w:p>
    <w:p w14:paraId="567BEAD9">
      <w:pPr>
        <w:spacing w:line="440" w:lineRule="exact"/>
        <w:jc w:val="right"/>
        <w:rPr>
          <w:rFonts w:hint="eastAsia" w:ascii="宋体" w:hAnsi="宋体" w:cs="宋体"/>
          <w:sz w:val="28"/>
          <w:szCs w:val="28"/>
        </w:rPr>
      </w:pPr>
    </w:p>
    <w:p w14:paraId="6AED63E4">
      <w:pPr>
        <w:spacing w:line="440" w:lineRule="exact"/>
        <w:jc w:val="right"/>
        <w:rPr>
          <w:rFonts w:hint="eastAsia" w:ascii="宋体" w:hAnsi="宋体" w:cs="宋体"/>
          <w:szCs w:val="21"/>
        </w:rPr>
      </w:pPr>
    </w:p>
    <w:p w14:paraId="301E1299">
      <w:pPr>
        <w:spacing w:line="360" w:lineRule="auto"/>
        <w:ind w:firstLine="420" w:firstLineChars="200"/>
        <w:rPr>
          <w:rFonts w:hint="eastAsia" w:ascii="宋体" w:hAnsi="宋体" w:cs="宋体"/>
          <w:szCs w:val="21"/>
          <w:lang w:val="en-GB"/>
        </w:rPr>
      </w:pPr>
      <w:r>
        <w:rPr>
          <w:rFonts w:hint="eastAsia" w:ascii="宋体" w:hAnsi="宋体" w:cs="宋体"/>
          <w:szCs w:val="21"/>
        </w:rPr>
        <w:t>注：</w:t>
      </w:r>
      <w:r>
        <w:rPr>
          <w:rFonts w:hint="eastAsia" w:ascii="宋体" w:hAnsi="宋体" w:cs="宋体"/>
          <w:szCs w:val="21"/>
          <w:lang w:val="en-GB"/>
        </w:rPr>
        <w:t>属于监狱企业的</w:t>
      </w:r>
      <w:r>
        <w:rPr>
          <w:rFonts w:hint="eastAsia" w:ascii="宋体" w:hAnsi="宋体" w:cs="宋体"/>
          <w:szCs w:val="21"/>
        </w:rPr>
        <w:t>提供</w:t>
      </w:r>
      <w:r>
        <w:rPr>
          <w:rFonts w:hint="eastAsia" w:ascii="宋体" w:hAnsi="宋体" w:cs="宋体"/>
          <w:szCs w:val="21"/>
          <w:lang w:val="en-GB"/>
        </w:rPr>
        <w:t>，不属于的无需</w:t>
      </w:r>
      <w:r>
        <w:rPr>
          <w:rFonts w:hint="eastAsia" w:ascii="宋体" w:hAnsi="宋体" w:cs="宋体"/>
          <w:szCs w:val="21"/>
        </w:rPr>
        <w:t>提供</w:t>
      </w:r>
      <w:r>
        <w:rPr>
          <w:rFonts w:hint="eastAsia" w:ascii="宋体" w:hAnsi="宋体" w:cs="宋体"/>
          <w:szCs w:val="21"/>
          <w:lang w:val="en-GB"/>
        </w:rPr>
        <w:t>此项内容。</w:t>
      </w:r>
    </w:p>
    <w:p w14:paraId="0CBC394C">
      <w:pPr>
        <w:spacing w:line="440" w:lineRule="exact"/>
        <w:rPr>
          <w:rFonts w:hint="eastAsia" w:ascii="宋体" w:hAnsi="宋体" w:cs="宋体"/>
          <w:sz w:val="28"/>
          <w:szCs w:val="28"/>
        </w:rPr>
      </w:pPr>
    </w:p>
    <w:p w14:paraId="2BEED78D">
      <w:pPr>
        <w:spacing w:line="440" w:lineRule="exact"/>
        <w:jc w:val="right"/>
        <w:rPr>
          <w:rFonts w:hint="eastAsia" w:ascii="宋体" w:hAnsi="宋体" w:cs="宋体"/>
          <w:sz w:val="28"/>
          <w:szCs w:val="28"/>
        </w:rPr>
      </w:pPr>
    </w:p>
    <w:p w14:paraId="04D005E2">
      <w:pPr>
        <w:spacing w:line="440" w:lineRule="exact"/>
        <w:jc w:val="right"/>
        <w:rPr>
          <w:rFonts w:hint="eastAsia" w:ascii="宋体" w:hAnsi="宋体" w:cs="宋体"/>
          <w:sz w:val="28"/>
          <w:szCs w:val="28"/>
        </w:rPr>
      </w:pPr>
    </w:p>
    <w:p w14:paraId="3B7E516B">
      <w:pPr>
        <w:spacing w:line="440" w:lineRule="exact"/>
        <w:jc w:val="right"/>
        <w:rPr>
          <w:rFonts w:hint="eastAsia" w:ascii="宋体" w:hAnsi="宋体" w:cs="宋体"/>
          <w:sz w:val="28"/>
          <w:szCs w:val="28"/>
        </w:rPr>
      </w:pPr>
    </w:p>
    <w:p w14:paraId="7806570D">
      <w:pPr>
        <w:spacing w:line="440" w:lineRule="exact"/>
        <w:jc w:val="right"/>
        <w:rPr>
          <w:rFonts w:hint="eastAsia" w:ascii="宋体" w:hAnsi="宋体" w:cs="宋体"/>
          <w:sz w:val="28"/>
          <w:szCs w:val="28"/>
        </w:rPr>
      </w:pPr>
    </w:p>
    <w:p w14:paraId="26467E1E">
      <w:pPr>
        <w:spacing w:line="440" w:lineRule="exact"/>
        <w:jc w:val="right"/>
        <w:rPr>
          <w:rFonts w:hint="eastAsia" w:ascii="宋体" w:hAnsi="宋体" w:cs="宋体"/>
          <w:sz w:val="28"/>
          <w:szCs w:val="28"/>
        </w:rPr>
      </w:pPr>
    </w:p>
    <w:p w14:paraId="79610A0E">
      <w:pPr>
        <w:spacing w:line="440" w:lineRule="exact"/>
        <w:jc w:val="right"/>
        <w:rPr>
          <w:rFonts w:hint="eastAsia" w:ascii="宋体" w:hAnsi="宋体" w:cs="宋体"/>
          <w:sz w:val="28"/>
          <w:szCs w:val="28"/>
        </w:rPr>
      </w:pPr>
    </w:p>
    <w:p w14:paraId="1ACBAE07">
      <w:pPr>
        <w:spacing w:line="440" w:lineRule="exact"/>
        <w:jc w:val="right"/>
        <w:rPr>
          <w:rFonts w:hint="eastAsia" w:ascii="宋体" w:hAnsi="宋体" w:cs="宋体"/>
          <w:sz w:val="28"/>
          <w:szCs w:val="28"/>
        </w:rPr>
      </w:pPr>
    </w:p>
    <w:p w14:paraId="12E00E99">
      <w:pPr>
        <w:spacing w:line="440" w:lineRule="exact"/>
        <w:jc w:val="right"/>
        <w:rPr>
          <w:rFonts w:hint="eastAsia" w:ascii="宋体" w:hAnsi="宋体" w:cs="宋体"/>
          <w:sz w:val="28"/>
          <w:szCs w:val="28"/>
        </w:rPr>
      </w:pPr>
    </w:p>
    <w:p w14:paraId="389CC512">
      <w:pPr>
        <w:spacing w:line="440" w:lineRule="exact"/>
        <w:jc w:val="right"/>
        <w:rPr>
          <w:rFonts w:hint="eastAsia" w:ascii="宋体" w:hAnsi="宋体" w:cs="宋体"/>
          <w:sz w:val="28"/>
          <w:szCs w:val="28"/>
        </w:rPr>
      </w:pPr>
    </w:p>
    <w:p w14:paraId="714113EF">
      <w:pPr>
        <w:spacing w:line="440" w:lineRule="exact"/>
        <w:jc w:val="right"/>
        <w:rPr>
          <w:rFonts w:hint="eastAsia" w:ascii="宋体" w:hAnsi="宋体" w:cs="宋体"/>
          <w:sz w:val="28"/>
          <w:szCs w:val="28"/>
        </w:rPr>
      </w:pPr>
    </w:p>
    <w:p w14:paraId="68A6B434">
      <w:pPr>
        <w:spacing w:line="440" w:lineRule="exact"/>
        <w:jc w:val="right"/>
        <w:rPr>
          <w:rFonts w:hint="eastAsia" w:ascii="宋体" w:hAnsi="宋体" w:cs="宋体"/>
          <w:sz w:val="28"/>
          <w:szCs w:val="28"/>
        </w:rPr>
      </w:pPr>
    </w:p>
    <w:p w14:paraId="5E5C1CCF">
      <w:pPr>
        <w:spacing w:line="440" w:lineRule="exact"/>
        <w:jc w:val="right"/>
        <w:rPr>
          <w:rFonts w:hint="eastAsia" w:ascii="宋体" w:hAnsi="宋体" w:cs="宋体"/>
          <w:sz w:val="28"/>
          <w:szCs w:val="28"/>
        </w:rPr>
      </w:pPr>
    </w:p>
    <w:p w14:paraId="0ECA1CF3">
      <w:pPr>
        <w:spacing w:line="440" w:lineRule="exact"/>
        <w:jc w:val="right"/>
        <w:rPr>
          <w:rFonts w:hint="eastAsia" w:ascii="宋体" w:hAnsi="宋体" w:cs="宋体"/>
          <w:sz w:val="28"/>
          <w:szCs w:val="28"/>
        </w:rPr>
      </w:pPr>
    </w:p>
    <w:p w14:paraId="7AC55164">
      <w:pPr>
        <w:spacing w:line="440" w:lineRule="exact"/>
        <w:jc w:val="right"/>
        <w:rPr>
          <w:rFonts w:hint="eastAsia" w:ascii="宋体" w:hAnsi="宋体" w:cs="宋体"/>
          <w:sz w:val="28"/>
          <w:szCs w:val="28"/>
        </w:rPr>
      </w:pPr>
    </w:p>
    <w:p w14:paraId="7ED07597">
      <w:pPr>
        <w:spacing w:line="440" w:lineRule="exact"/>
        <w:jc w:val="right"/>
        <w:rPr>
          <w:rFonts w:hint="eastAsia" w:ascii="宋体" w:hAnsi="宋体" w:cs="宋体"/>
          <w:sz w:val="28"/>
          <w:szCs w:val="28"/>
        </w:rPr>
      </w:pPr>
    </w:p>
    <w:p w14:paraId="1E3C2342">
      <w:pPr>
        <w:spacing w:line="440" w:lineRule="exact"/>
        <w:jc w:val="right"/>
        <w:rPr>
          <w:rFonts w:hint="eastAsia" w:ascii="宋体" w:hAnsi="宋体" w:cs="宋体"/>
          <w:sz w:val="28"/>
          <w:szCs w:val="28"/>
        </w:rPr>
      </w:pPr>
    </w:p>
    <w:p w14:paraId="04216921">
      <w:pPr>
        <w:spacing w:line="440" w:lineRule="exact"/>
        <w:jc w:val="right"/>
        <w:rPr>
          <w:rFonts w:hint="eastAsia" w:ascii="宋体" w:hAnsi="宋体" w:cs="宋体"/>
          <w:sz w:val="28"/>
          <w:szCs w:val="28"/>
        </w:rPr>
      </w:pPr>
    </w:p>
    <w:p w14:paraId="10CADBC7">
      <w:pPr>
        <w:spacing w:line="440" w:lineRule="exact"/>
        <w:jc w:val="right"/>
        <w:rPr>
          <w:rFonts w:hint="eastAsia" w:ascii="宋体" w:hAnsi="宋体" w:cs="宋体"/>
          <w:sz w:val="28"/>
          <w:szCs w:val="28"/>
        </w:rPr>
      </w:pPr>
    </w:p>
    <w:p w14:paraId="515E0B07">
      <w:pPr>
        <w:spacing w:line="440" w:lineRule="exact"/>
        <w:rPr>
          <w:rFonts w:hint="eastAsia" w:ascii="宋体" w:hAnsi="宋体" w:cs="宋体"/>
          <w:sz w:val="20"/>
          <w:szCs w:val="20"/>
        </w:rPr>
      </w:pPr>
    </w:p>
    <w:p w14:paraId="1FD9EC0E">
      <w:pPr>
        <w:spacing w:line="440" w:lineRule="exact"/>
        <w:rPr>
          <w:rFonts w:hint="eastAsia" w:ascii="宋体" w:hAnsi="宋体" w:cs="宋体"/>
          <w:b/>
          <w:bCs/>
          <w:sz w:val="28"/>
          <w:szCs w:val="28"/>
        </w:rPr>
      </w:pPr>
    </w:p>
    <w:p w14:paraId="064186C4">
      <w:pPr>
        <w:rPr>
          <w:rFonts w:hint="eastAsia" w:ascii="宋体" w:hAnsi="宋体" w:cs="宋体"/>
          <w:b/>
          <w:sz w:val="30"/>
          <w:szCs w:val="30"/>
          <w:lang w:val="en-GB"/>
        </w:rPr>
      </w:pPr>
    </w:p>
    <w:p w14:paraId="1ADBD117">
      <w:pPr>
        <w:rPr>
          <w:rFonts w:hint="eastAsia" w:ascii="宋体" w:hAnsi="宋体" w:cs="宋体"/>
          <w:b/>
          <w:bCs/>
          <w:spacing w:val="10"/>
          <w:sz w:val="24"/>
        </w:rPr>
      </w:pPr>
    </w:p>
    <w:p w14:paraId="7DF1288F">
      <w:pPr>
        <w:rPr>
          <w:rFonts w:hint="eastAsia" w:ascii="宋体" w:hAnsi="宋体" w:cs="宋体"/>
          <w:b/>
          <w:bCs/>
          <w:spacing w:val="10"/>
          <w:sz w:val="24"/>
        </w:rPr>
      </w:pPr>
      <w:r>
        <w:rPr>
          <w:rFonts w:hint="eastAsia" w:ascii="宋体" w:hAnsi="宋体" w:cs="宋体"/>
          <w:b/>
          <w:bCs/>
          <w:spacing w:val="10"/>
          <w:sz w:val="24"/>
        </w:rPr>
        <w:t>9.4本国产品标准证明材料</w:t>
      </w:r>
    </w:p>
    <w:p w14:paraId="27ADE18C">
      <w:pPr>
        <w:pStyle w:val="26"/>
        <w:shd w:val="clear" w:color="auto" w:fill="FFFFFF"/>
        <w:kinsoku w:val="0"/>
        <w:autoSpaceDE w:val="0"/>
        <w:autoSpaceDN w:val="0"/>
        <w:adjustRightInd w:val="0"/>
        <w:snapToGrid w:val="0"/>
        <w:spacing w:before="24" w:after="24" w:line="360" w:lineRule="auto"/>
        <w:jc w:val="center"/>
        <w:textAlignment w:val="baseline"/>
        <w:rPr>
          <w:rStyle w:val="33"/>
          <w:rFonts w:hint="eastAsia" w:ascii="宋体" w:hAnsi="宋体" w:cs="宋体"/>
          <w:bCs/>
          <w:shd w:val="clear" w:color="auto" w:fill="FFFFFF"/>
        </w:rPr>
      </w:pPr>
    </w:p>
    <w:p w14:paraId="54B28B67">
      <w:pPr>
        <w:pStyle w:val="26"/>
        <w:shd w:val="clear" w:color="auto" w:fill="FFFFFF"/>
        <w:kinsoku w:val="0"/>
        <w:autoSpaceDE w:val="0"/>
        <w:autoSpaceDN w:val="0"/>
        <w:adjustRightInd w:val="0"/>
        <w:snapToGrid w:val="0"/>
        <w:spacing w:before="24" w:after="24" w:line="360" w:lineRule="auto"/>
        <w:jc w:val="center"/>
        <w:textAlignment w:val="baseline"/>
        <w:rPr>
          <w:rFonts w:hint="eastAsia" w:ascii="宋体" w:hAnsi="宋体" w:cs="宋体"/>
        </w:rPr>
      </w:pPr>
      <w:r>
        <w:rPr>
          <w:rStyle w:val="33"/>
          <w:rFonts w:hint="eastAsia" w:ascii="宋体" w:hAnsi="宋体" w:cs="宋体"/>
          <w:bCs/>
          <w:shd w:val="clear" w:color="auto" w:fill="FFFFFF"/>
        </w:rPr>
        <w:t>关于符合本国产品标准的声明函</w:t>
      </w:r>
    </w:p>
    <w:p w14:paraId="609ADC90">
      <w:pPr>
        <w:pStyle w:val="26"/>
        <w:shd w:val="clear" w:color="auto" w:fill="FFFFFF"/>
        <w:kinsoku w:val="0"/>
        <w:autoSpaceDE w:val="0"/>
        <w:autoSpaceDN w:val="0"/>
        <w:adjustRightInd w:val="0"/>
        <w:snapToGrid w:val="0"/>
        <w:spacing w:line="360" w:lineRule="auto"/>
        <w:ind w:firstLine="420"/>
        <w:textAlignment w:val="baseline"/>
        <w:rPr>
          <w:rFonts w:hint="eastAsia" w:ascii="宋体" w:hAnsi="宋体" w:cs="宋体"/>
        </w:rPr>
      </w:pPr>
      <w:r>
        <w:rPr>
          <w:rFonts w:hint="eastAsia" w:ascii="宋体" w:hAnsi="宋体" w:cs="宋体"/>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00C5A9A">
      <w:pPr>
        <w:pStyle w:val="26"/>
        <w:shd w:val="clear" w:color="auto" w:fill="FFFFFF"/>
        <w:kinsoku w:val="0"/>
        <w:autoSpaceDE w:val="0"/>
        <w:autoSpaceDN w:val="0"/>
        <w:adjustRightInd w:val="0"/>
        <w:snapToGrid w:val="0"/>
        <w:spacing w:line="360" w:lineRule="auto"/>
        <w:ind w:firstLine="420"/>
        <w:textAlignment w:val="baseline"/>
        <w:rPr>
          <w:rFonts w:hint="eastAsia" w:ascii="宋体" w:hAnsi="宋体" w:cs="宋体"/>
        </w:rPr>
      </w:pPr>
      <w:r>
        <w:rPr>
          <w:rFonts w:hint="eastAsia" w:ascii="宋体" w:hAnsi="宋体" w:cs="宋体"/>
          <w:shd w:val="clear" w:color="auto" w:fill="FFFFFF"/>
        </w:rPr>
        <w:t>1.</w:t>
      </w:r>
      <w:r>
        <w:rPr>
          <w:rStyle w:val="36"/>
          <w:rFonts w:hint="eastAsia" w:ascii="宋体" w:hAnsi="宋体" w:cs="宋体"/>
          <w:u w:val="single"/>
          <w:shd w:val="clear" w:color="auto" w:fill="FFFFFF"/>
        </w:rPr>
        <w:t>（产品名称1）1</w:t>
      </w:r>
      <w:r>
        <w:rPr>
          <w:rFonts w:hint="eastAsia" w:ascii="宋体" w:hAnsi="宋体" w:cs="宋体"/>
          <w:shd w:val="clear" w:color="auto" w:fill="FFFFFF"/>
        </w:rPr>
        <w:t>，生产厂为</w:t>
      </w:r>
      <w:r>
        <w:rPr>
          <w:rStyle w:val="36"/>
          <w:rFonts w:hint="eastAsia" w:ascii="宋体" w:hAnsi="宋体" w:cs="宋体"/>
          <w:u w:val="single"/>
          <w:shd w:val="clear" w:color="auto" w:fill="FFFFFF"/>
        </w:rPr>
        <w:t>（厂名）2</w:t>
      </w:r>
      <w:r>
        <w:rPr>
          <w:rFonts w:hint="eastAsia" w:ascii="宋体" w:hAnsi="宋体" w:cs="宋体"/>
          <w:shd w:val="clear" w:color="auto" w:fill="FFFFFF"/>
        </w:rPr>
        <w:t>，厂址为</w:t>
      </w:r>
      <w:r>
        <w:rPr>
          <w:rStyle w:val="36"/>
          <w:rFonts w:hint="eastAsia" w:ascii="宋体" w:hAnsi="宋体" w:cs="宋体"/>
          <w:u w:val="single"/>
          <w:shd w:val="clear" w:color="auto" w:fill="FFFFFF"/>
        </w:rPr>
        <w:t>（生产厂址）</w:t>
      </w:r>
      <w:r>
        <w:rPr>
          <w:rFonts w:hint="eastAsia" w:ascii="宋体" w:hAnsi="宋体" w:cs="宋体"/>
          <w:shd w:val="clear" w:color="auto" w:fill="FFFFFF"/>
        </w:rPr>
        <w:t>。</w:t>
      </w:r>
      <w:r>
        <w:rPr>
          <w:rStyle w:val="36"/>
          <w:rFonts w:hint="eastAsia" w:ascii="宋体" w:hAnsi="宋体" w:cs="宋体"/>
          <w:u w:val="single"/>
          <w:shd w:val="clear" w:color="auto" w:fill="FFFFFF"/>
        </w:rPr>
        <w:t>（产品名称1）</w:t>
      </w:r>
      <w:r>
        <w:rPr>
          <w:rFonts w:hint="eastAsia" w:ascii="宋体" w:hAnsi="宋体" w:cs="宋体"/>
          <w:shd w:val="clear" w:color="auto" w:fill="FFFFFF"/>
        </w:rPr>
        <w:t>的中国境内生产的组件成本占比≥</w:t>
      </w:r>
      <w:r>
        <w:rPr>
          <w:rStyle w:val="36"/>
          <w:rFonts w:hint="eastAsia" w:ascii="宋体" w:hAnsi="宋体" w:cs="宋体"/>
          <w:u w:val="single"/>
          <w:shd w:val="clear" w:color="auto" w:fill="FFFFFF"/>
        </w:rPr>
        <w:t>（规定比例）3</w:t>
      </w:r>
      <w:r>
        <w:rPr>
          <w:rFonts w:hint="eastAsia" w:ascii="宋体" w:hAnsi="宋体" w:cs="宋体"/>
          <w:shd w:val="clear" w:color="auto" w:fill="FFFFFF"/>
        </w:rPr>
        <w:t>。</w:t>
      </w:r>
      <w:r>
        <w:rPr>
          <w:rStyle w:val="36"/>
          <w:rFonts w:hint="eastAsia" w:ascii="宋体" w:hAnsi="宋体" w:cs="宋体"/>
          <w:u w:val="single"/>
          <w:shd w:val="clear" w:color="auto" w:fill="FFFFFF"/>
        </w:rPr>
        <w:t>（产品名称1）</w:t>
      </w:r>
      <w:r>
        <w:rPr>
          <w:rFonts w:hint="eastAsia" w:ascii="宋体" w:hAnsi="宋体" w:cs="宋体"/>
          <w:shd w:val="clear" w:color="auto" w:fill="FFFFFF"/>
        </w:rPr>
        <w:t>的</w:t>
      </w:r>
      <w:r>
        <w:rPr>
          <w:rStyle w:val="36"/>
          <w:rFonts w:hint="eastAsia" w:ascii="宋体" w:hAnsi="宋体" w:cs="宋体"/>
          <w:u w:val="single"/>
          <w:shd w:val="clear" w:color="auto" w:fill="FFFFFF"/>
        </w:rPr>
        <w:t>（关键组件）4</w:t>
      </w:r>
      <w:r>
        <w:rPr>
          <w:rFonts w:hint="eastAsia" w:ascii="宋体" w:hAnsi="宋体" w:cs="宋体"/>
          <w:shd w:val="clear" w:color="auto" w:fill="FFFFFF"/>
        </w:rPr>
        <w:t>在中国境内生产。</w:t>
      </w:r>
      <w:r>
        <w:rPr>
          <w:rStyle w:val="36"/>
          <w:rFonts w:hint="eastAsia" w:ascii="宋体" w:hAnsi="宋体" w:cs="宋体"/>
          <w:u w:val="single"/>
          <w:shd w:val="clear" w:color="auto" w:fill="FFFFFF"/>
        </w:rPr>
        <w:t>（产品名称1）</w:t>
      </w:r>
      <w:r>
        <w:rPr>
          <w:rFonts w:hint="eastAsia" w:ascii="宋体" w:hAnsi="宋体" w:cs="宋体"/>
          <w:shd w:val="clear" w:color="auto" w:fill="FFFFFF"/>
        </w:rPr>
        <w:t>的</w:t>
      </w:r>
      <w:r>
        <w:rPr>
          <w:rStyle w:val="36"/>
          <w:rFonts w:hint="eastAsia" w:ascii="宋体" w:hAnsi="宋体" w:cs="宋体"/>
          <w:u w:val="single"/>
          <w:shd w:val="clear" w:color="auto" w:fill="FFFFFF"/>
        </w:rPr>
        <w:t>（关键工序）5</w:t>
      </w:r>
      <w:r>
        <w:rPr>
          <w:rFonts w:hint="eastAsia" w:ascii="宋体" w:hAnsi="宋体" w:cs="宋体"/>
          <w:shd w:val="clear" w:color="auto" w:fill="FFFFFF"/>
        </w:rPr>
        <w:t>在中国境内完成。</w:t>
      </w:r>
    </w:p>
    <w:p w14:paraId="64FC9B10">
      <w:pPr>
        <w:pStyle w:val="26"/>
        <w:shd w:val="clear" w:color="auto" w:fill="FFFFFF"/>
        <w:kinsoku w:val="0"/>
        <w:autoSpaceDE w:val="0"/>
        <w:autoSpaceDN w:val="0"/>
        <w:adjustRightInd w:val="0"/>
        <w:snapToGrid w:val="0"/>
        <w:spacing w:line="360" w:lineRule="auto"/>
        <w:ind w:firstLine="420"/>
        <w:textAlignment w:val="baseline"/>
        <w:rPr>
          <w:rFonts w:hint="eastAsia" w:ascii="宋体" w:hAnsi="宋体" w:cs="宋体"/>
        </w:rPr>
      </w:pPr>
      <w:r>
        <w:rPr>
          <w:rFonts w:hint="eastAsia" w:ascii="宋体" w:hAnsi="宋体" w:cs="宋体"/>
          <w:shd w:val="clear" w:color="auto" w:fill="FFFFFF"/>
        </w:rPr>
        <w:t>2.</w:t>
      </w:r>
      <w:r>
        <w:rPr>
          <w:rStyle w:val="36"/>
          <w:rFonts w:hint="eastAsia" w:ascii="宋体" w:hAnsi="宋体" w:cs="宋体"/>
          <w:u w:val="single"/>
          <w:shd w:val="clear" w:color="auto" w:fill="FFFFFF"/>
        </w:rPr>
        <w:t>（产品名称2）</w:t>
      </w:r>
      <w:r>
        <w:rPr>
          <w:rFonts w:hint="eastAsia" w:ascii="宋体" w:hAnsi="宋体" w:cs="宋体"/>
          <w:shd w:val="clear" w:color="auto" w:fill="FFFFFF"/>
        </w:rPr>
        <w:t>，生产厂为</w:t>
      </w:r>
      <w:r>
        <w:rPr>
          <w:rStyle w:val="36"/>
          <w:rFonts w:hint="eastAsia" w:ascii="宋体" w:hAnsi="宋体" w:cs="宋体"/>
          <w:u w:val="single"/>
          <w:shd w:val="clear" w:color="auto" w:fill="FFFFFF"/>
        </w:rPr>
        <w:t>（厂名）</w:t>
      </w:r>
      <w:r>
        <w:rPr>
          <w:rFonts w:hint="eastAsia" w:ascii="宋体" w:hAnsi="宋体" w:cs="宋体"/>
          <w:shd w:val="clear" w:color="auto" w:fill="FFFFFF"/>
        </w:rPr>
        <w:t>，厂址为</w:t>
      </w:r>
      <w:r>
        <w:rPr>
          <w:rStyle w:val="36"/>
          <w:rFonts w:hint="eastAsia" w:ascii="宋体" w:hAnsi="宋体" w:cs="宋体"/>
          <w:u w:val="single"/>
          <w:shd w:val="clear" w:color="auto" w:fill="FFFFFF"/>
        </w:rPr>
        <w:t>（生产厂址）</w:t>
      </w:r>
      <w:r>
        <w:rPr>
          <w:rFonts w:hint="eastAsia" w:ascii="宋体" w:hAnsi="宋体" w:cs="宋体"/>
          <w:shd w:val="clear" w:color="auto" w:fill="FFFFFF"/>
        </w:rPr>
        <w:t>。</w:t>
      </w:r>
      <w:r>
        <w:rPr>
          <w:rStyle w:val="36"/>
          <w:rFonts w:hint="eastAsia" w:ascii="宋体" w:hAnsi="宋体" w:cs="宋体"/>
          <w:u w:val="single"/>
          <w:shd w:val="clear" w:color="auto" w:fill="FFFFFF"/>
        </w:rPr>
        <w:t>（产品名称2）</w:t>
      </w:r>
      <w:r>
        <w:rPr>
          <w:rFonts w:hint="eastAsia" w:ascii="宋体" w:hAnsi="宋体" w:cs="宋体"/>
          <w:shd w:val="clear" w:color="auto" w:fill="FFFFFF"/>
        </w:rPr>
        <w:t>的中国境内生产的组件成本占比≥</w:t>
      </w:r>
      <w:r>
        <w:rPr>
          <w:rStyle w:val="36"/>
          <w:rFonts w:hint="eastAsia" w:ascii="宋体" w:hAnsi="宋体" w:cs="宋体"/>
          <w:u w:val="single"/>
          <w:shd w:val="clear" w:color="auto" w:fill="FFFFFF"/>
        </w:rPr>
        <w:t>（规定比例）</w:t>
      </w:r>
      <w:r>
        <w:rPr>
          <w:rFonts w:hint="eastAsia" w:ascii="宋体" w:hAnsi="宋体" w:cs="宋体"/>
          <w:shd w:val="clear" w:color="auto" w:fill="FFFFFF"/>
        </w:rPr>
        <w:t>。</w:t>
      </w:r>
      <w:r>
        <w:rPr>
          <w:rStyle w:val="36"/>
          <w:rFonts w:hint="eastAsia" w:ascii="宋体" w:hAnsi="宋体" w:cs="宋体"/>
          <w:u w:val="single"/>
          <w:shd w:val="clear" w:color="auto" w:fill="FFFFFF"/>
        </w:rPr>
        <w:t>（产品名称2）</w:t>
      </w:r>
      <w:r>
        <w:rPr>
          <w:rFonts w:hint="eastAsia" w:ascii="宋体" w:hAnsi="宋体" w:cs="宋体"/>
          <w:shd w:val="clear" w:color="auto" w:fill="FFFFFF"/>
        </w:rPr>
        <w:t>的</w:t>
      </w:r>
      <w:r>
        <w:rPr>
          <w:rStyle w:val="36"/>
          <w:rFonts w:hint="eastAsia" w:ascii="宋体" w:hAnsi="宋体" w:cs="宋体"/>
          <w:u w:val="single"/>
          <w:shd w:val="clear" w:color="auto" w:fill="FFFFFF"/>
        </w:rPr>
        <w:t>（关键组件）</w:t>
      </w:r>
      <w:r>
        <w:rPr>
          <w:rFonts w:hint="eastAsia" w:ascii="宋体" w:hAnsi="宋体" w:cs="宋体"/>
          <w:shd w:val="clear" w:color="auto" w:fill="FFFFFF"/>
        </w:rPr>
        <w:t>在中国境内生产。</w:t>
      </w:r>
      <w:r>
        <w:rPr>
          <w:rStyle w:val="36"/>
          <w:rFonts w:hint="eastAsia" w:ascii="宋体" w:hAnsi="宋体" w:cs="宋体"/>
          <w:u w:val="single"/>
          <w:shd w:val="clear" w:color="auto" w:fill="FFFFFF"/>
        </w:rPr>
        <w:t>（产品名称2）</w:t>
      </w:r>
      <w:r>
        <w:rPr>
          <w:rFonts w:hint="eastAsia" w:ascii="宋体" w:hAnsi="宋体" w:cs="宋体"/>
          <w:shd w:val="clear" w:color="auto" w:fill="FFFFFF"/>
        </w:rPr>
        <w:t>的</w:t>
      </w:r>
      <w:r>
        <w:rPr>
          <w:rStyle w:val="36"/>
          <w:rFonts w:hint="eastAsia" w:ascii="宋体" w:hAnsi="宋体" w:cs="宋体"/>
          <w:u w:val="single"/>
          <w:shd w:val="clear" w:color="auto" w:fill="FFFFFF"/>
        </w:rPr>
        <w:t>（关键工序）</w:t>
      </w:r>
      <w:r>
        <w:rPr>
          <w:rFonts w:hint="eastAsia" w:ascii="宋体" w:hAnsi="宋体" w:cs="宋体"/>
          <w:shd w:val="clear" w:color="auto" w:fill="FFFFFF"/>
        </w:rPr>
        <w:t>在中国境内完成。</w:t>
      </w:r>
    </w:p>
    <w:p w14:paraId="49D59BD7">
      <w:pPr>
        <w:pStyle w:val="26"/>
        <w:shd w:val="clear" w:color="auto" w:fill="FFFFFF"/>
        <w:kinsoku w:val="0"/>
        <w:autoSpaceDE w:val="0"/>
        <w:autoSpaceDN w:val="0"/>
        <w:adjustRightInd w:val="0"/>
        <w:snapToGrid w:val="0"/>
        <w:spacing w:line="360" w:lineRule="auto"/>
        <w:ind w:firstLine="420"/>
        <w:textAlignment w:val="baseline"/>
        <w:rPr>
          <w:rFonts w:hint="eastAsia" w:ascii="宋体" w:hAnsi="宋体" w:cs="宋体"/>
        </w:rPr>
      </w:pPr>
      <w:r>
        <w:rPr>
          <w:rFonts w:hint="eastAsia" w:ascii="宋体" w:hAnsi="宋体" w:cs="宋体"/>
          <w:shd w:val="clear" w:color="auto" w:fill="FFFFFF"/>
        </w:rPr>
        <w:t>……</w:t>
      </w:r>
    </w:p>
    <w:p w14:paraId="22C85795">
      <w:pPr>
        <w:pStyle w:val="26"/>
        <w:shd w:val="clear" w:color="auto" w:fill="FFFFFF"/>
        <w:kinsoku w:val="0"/>
        <w:autoSpaceDE w:val="0"/>
        <w:autoSpaceDN w:val="0"/>
        <w:adjustRightInd w:val="0"/>
        <w:snapToGrid w:val="0"/>
        <w:spacing w:line="360" w:lineRule="auto"/>
        <w:ind w:firstLine="420"/>
        <w:textAlignment w:val="baseline"/>
        <w:rPr>
          <w:rFonts w:hint="eastAsia" w:ascii="宋体" w:hAnsi="宋体" w:cs="宋体"/>
        </w:rPr>
      </w:pPr>
      <w:r>
        <w:rPr>
          <w:rFonts w:hint="eastAsia" w:ascii="宋体" w:hAnsi="宋体" w:cs="宋体"/>
          <w:shd w:val="clear" w:color="auto" w:fill="FFFFFF"/>
        </w:rPr>
        <w:t>本公司（单位）对上述声明内容的真实性负责。如有虚假，愿承担相应法律责任。</w:t>
      </w:r>
    </w:p>
    <w:p w14:paraId="7AD4A5C0">
      <w:pPr>
        <w:pStyle w:val="26"/>
        <w:shd w:val="clear" w:color="auto" w:fill="FFFFFF"/>
        <w:kinsoku w:val="0"/>
        <w:autoSpaceDE w:val="0"/>
        <w:autoSpaceDN w:val="0"/>
        <w:adjustRightInd w:val="0"/>
        <w:snapToGrid w:val="0"/>
        <w:spacing w:line="500" w:lineRule="exact"/>
        <w:textAlignment w:val="baseline"/>
        <w:rPr>
          <w:rFonts w:hint="eastAsia" w:ascii="宋体" w:hAnsi="宋体" w:cs="宋体"/>
        </w:rPr>
      </w:pPr>
      <w:r>
        <w:rPr>
          <w:rFonts w:hint="eastAsia" w:ascii="宋体" w:hAnsi="宋体" w:cs="宋体"/>
          <w:shd w:val="clear" w:color="auto" w:fill="FFFFFF"/>
        </w:rPr>
        <w:t> </w:t>
      </w:r>
    </w:p>
    <w:p w14:paraId="4AE7A08C">
      <w:pPr>
        <w:pStyle w:val="26"/>
        <w:shd w:val="clear" w:color="auto" w:fill="FFFFFF"/>
        <w:kinsoku w:val="0"/>
        <w:autoSpaceDE w:val="0"/>
        <w:autoSpaceDN w:val="0"/>
        <w:adjustRightInd w:val="0"/>
        <w:snapToGrid w:val="0"/>
        <w:spacing w:line="500" w:lineRule="exact"/>
        <w:jc w:val="right"/>
        <w:textAlignment w:val="baseline"/>
        <w:rPr>
          <w:rFonts w:hint="eastAsia" w:ascii="宋体" w:hAnsi="宋体" w:cs="宋体"/>
        </w:rPr>
      </w:pPr>
      <w:r>
        <w:rPr>
          <w:rFonts w:hint="eastAsia" w:ascii="宋体" w:hAnsi="宋体" w:cs="宋体"/>
          <w:shd w:val="clear" w:color="auto" w:fill="FFFFFF"/>
        </w:rPr>
        <w:t>公司（单位）名称（盖章）：　        </w:t>
      </w:r>
    </w:p>
    <w:p w14:paraId="330706FB">
      <w:pPr>
        <w:pStyle w:val="26"/>
        <w:shd w:val="clear" w:color="auto" w:fill="FFFFFF"/>
        <w:kinsoku w:val="0"/>
        <w:autoSpaceDE w:val="0"/>
        <w:autoSpaceDN w:val="0"/>
        <w:adjustRightInd w:val="0"/>
        <w:snapToGrid w:val="0"/>
        <w:spacing w:line="500" w:lineRule="exact"/>
        <w:jc w:val="right"/>
        <w:textAlignment w:val="baseline"/>
        <w:rPr>
          <w:rFonts w:hint="eastAsia" w:ascii="宋体" w:hAnsi="宋体" w:cs="宋体"/>
        </w:rPr>
      </w:pPr>
      <w:r>
        <w:rPr>
          <w:rFonts w:hint="eastAsia" w:ascii="宋体" w:hAnsi="宋体" w:cs="宋体"/>
          <w:shd w:val="clear" w:color="auto" w:fill="FFFFFF"/>
        </w:rPr>
        <w:t>日期：　     年　  月　  日         </w:t>
      </w:r>
    </w:p>
    <w:p w14:paraId="2FA3A925">
      <w:pPr>
        <w:pStyle w:val="26"/>
        <w:shd w:val="clear" w:color="auto" w:fill="FFFFFF"/>
        <w:kinsoku w:val="0"/>
        <w:autoSpaceDE w:val="0"/>
        <w:autoSpaceDN w:val="0"/>
        <w:adjustRightInd w:val="0"/>
        <w:snapToGrid w:val="0"/>
        <w:spacing w:line="500" w:lineRule="exact"/>
        <w:textAlignment w:val="baseline"/>
        <w:rPr>
          <w:rFonts w:hint="eastAsia" w:ascii="宋体" w:hAnsi="宋体" w:cs="宋体"/>
          <w:shd w:val="clear" w:color="auto" w:fill="FFFFFF"/>
        </w:rPr>
      </w:pPr>
    </w:p>
    <w:p w14:paraId="349CC1BD">
      <w:pPr>
        <w:pStyle w:val="26"/>
        <w:shd w:val="clear" w:color="auto" w:fill="FFFFFF"/>
        <w:kinsoku w:val="0"/>
        <w:autoSpaceDE w:val="0"/>
        <w:autoSpaceDN w:val="0"/>
        <w:adjustRightInd w:val="0"/>
        <w:snapToGrid w:val="0"/>
        <w:spacing w:line="500" w:lineRule="exact"/>
        <w:textAlignment w:val="baseline"/>
        <w:rPr>
          <w:rFonts w:hint="eastAsia" w:ascii="宋体" w:hAnsi="宋体" w:cs="宋体"/>
          <w:sz w:val="21"/>
          <w:szCs w:val="21"/>
        </w:rPr>
      </w:pPr>
      <w:r>
        <w:rPr>
          <w:rFonts w:hint="eastAsia" w:ascii="宋体" w:hAnsi="宋体" w:cs="宋体"/>
          <w:sz w:val="21"/>
          <w:szCs w:val="21"/>
          <w:shd w:val="clear" w:color="auto" w:fill="FFFFFF"/>
        </w:rPr>
        <w:t>注：1.产品如有型号，请在“产品名称”栏一并填写。</w:t>
      </w:r>
    </w:p>
    <w:p w14:paraId="7CC14C91">
      <w:pPr>
        <w:pStyle w:val="26"/>
        <w:shd w:val="clear" w:color="auto" w:fill="FFFFFF"/>
        <w:kinsoku w:val="0"/>
        <w:autoSpaceDE w:val="0"/>
        <w:autoSpaceDN w:val="0"/>
        <w:adjustRightInd w:val="0"/>
        <w:snapToGrid w:val="0"/>
        <w:spacing w:line="500" w:lineRule="exact"/>
        <w:ind w:firstLine="420" w:firstLineChars="200"/>
        <w:textAlignment w:val="baseline"/>
        <w:rPr>
          <w:rFonts w:hint="eastAsia" w:ascii="宋体" w:hAnsi="宋体" w:cs="宋体"/>
          <w:sz w:val="21"/>
          <w:szCs w:val="21"/>
        </w:rPr>
      </w:pPr>
      <w:r>
        <w:rPr>
          <w:rFonts w:hint="eastAsia" w:ascii="宋体" w:hAnsi="宋体" w:cs="宋体"/>
          <w:sz w:val="21"/>
          <w:szCs w:val="21"/>
          <w:shd w:val="clear" w:color="auto" w:fill="FFFFFF"/>
        </w:rPr>
        <w:t>2.生产厂名与厂址应与生产厂营业执照载明的相关信息保持一致。</w:t>
      </w:r>
    </w:p>
    <w:p w14:paraId="1EA35FDF">
      <w:pPr>
        <w:pStyle w:val="26"/>
        <w:shd w:val="clear" w:color="auto" w:fill="FFFFFF"/>
        <w:kinsoku w:val="0"/>
        <w:autoSpaceDE w:val="0"/>
        <w:autoSpaceDN w:val="0"/>
        <w:adjustRightInd w:val="0"/>
        <w:snapToGrid w:val="0"/>
        <w:spacing w:line="500" w:lineRule="exact"/>
        <w:ind w:firstLine="420" w:firstLineChars="200"/>
        <w:textAlignment w:val="baseline"/>
        <w:rPr>
          <w:rFonts w:hint="eastAsia" w:ascii="宋体" w:hAnsi="宋体" w:cs="宋体"/>
          <w:sz w:val="21"/>
          <w:szCs w:val="21"/>
        </w:rPr>
      </w:pPr>
      <w:r>
        <w:rPr>
          <w:rFonts w:hint="eastAsia" w:ascii="宋体" w:hAnsi="宋体" w:cs="宋体"/>
          <w:sz w:val="21"/>
          <w:szCs w:val="21"/>
          <w:shd w:val="clear" w:color="auto" w:fill="FFFFFF"/>
        </w:rPr>
        <w:t>3.该产品的中国境内生产的组件成本占比相关要求实施前，“规定比例”栏可不填，下同。</w:t>
      </w:r>
    </w:p>
    <w:p w14:paraId="7CA1B7F6">
      <w:pPr>
        <w:pStyle w:val="26"/>
        <w:shd w:val="clear" w:color="auto" w:fill="FFFFFF"/>
        <w:kinsoku w:val="0"/>
        <w:autoSpaceDE w:val="0"/>
        <w:autoSpaceDN w:val="0"/>
        <w:adjustRightInd w:val="0"/>
        <w:snapToGrid w:val="0"/>
        <w:spacing w:line="500" w:lineRule="exact"/>
        <w:ind w:firstLine="420" w:firstLineChars="200"/>
        <w:textAlignment w:val="baseline"/>
        <w:rPr>
          <w:rFonts w:hint="eastAsia" w:ascii="宋体" w:hAnsi="宋体" w:cs="宋体"/>
          <w:sz w:val="21"/>
          <w:szCs w:val="21"/>
        </w:rPr>
      </w:pPr>
      <w:r>
        <w:rPr>
          <w:rFonts w:hint="eastAsia" w:ascii="宋体" w:hAnsi="宋体" w:cs="宋体"/>
          <w:sz w:val="21"/>
          <w:szCs w:val="21"/>
          <w:shd w:val="clear" w:color="auto" w:fill="FFFFFF"/>
        </w:rPr>
        <w:t>4.该产品的关键组件要求实施前，“关键组件”栏可不填，下同。</w:t>
      </w:r>
    </w:p>
    <w:p w14:paraId="631B6348">
      <w:pPr>
        <w:pStyle w:val="26"/>
        <w:shd w:val="clear" w:color="auto" w:fill="FFFFFF"/>
        <w:kinsoku w:val="0"/>
        <w:autoSpaceDE w:val="0"/>
        <w:autoSpaceDN w:val="0"/>
        <w:adjustRightInd w:val="0"/>
        <w:snapToGrid w:val="0"/>
        <w:spacing w:line="500" w:lineRule="exact"/>
        <w:ind w:firstLine="420" w:firstLineChars="200"/>
        <w:textAlignment w:val="baseline"/>
        <w:rPr>
          <w:rFonts w:hint="eastAsia" w:ascii="宋体" w:hAnsi="宋体" w:cs="宋体"/>
          <w:sz w:val="21"/>
          <w:szCs w:val="21"/>
          <w:shd w:val="clear" w:color="auto" w:fill="FFFFFF"/>
        </w:rPr>
      </w:pPr>
      <w:r>
        <w:rPr>
          <w:rFonts w:hint="eastAsia" w:ascii="宋体" w:hAnsi="宋体" w:cs="宋体"/>
          <w:sz w:val="21"/>
          <w:szCs w:val="21"/>
          <w:shd w:val="clear" w:color="auto" w:fill="FFFFFF"/>
        </w:rPr>
        <w:t>5.该产品的关键工序要求实施前，“关键工序”栏可不填，下同。</w:t>
      </w:r>
    </w:p>
    <w:p w14:paraId="2CBCB85E">
      <w:pPr>
        <w:rPr>
          <w:rFonts w:hint="eastAsia" w:ascii="宋体" w:hAnsi="宋体" w:cs="宋体"/>
          <w:b/>
          <w:sz w:val="30"/>
          <w:szCs w:val="30"/>
          <w:lang w:val="en-GB"/>
        </w:rPr>
      </w:pPr>
    </w:p>
    <w:p w14:paraId="5EF9C79C">
      <w:pPr>
        <w:jc w:val="center"/>
        <w:rPr>
          <w:rFonts w:hint="eastAsia" w:ascii="宋体" w:hAnsi="宋体" w:cs="宋体"/>
          <w:b/>
          <w:bCs/>
          <w:sz w:val="24"/>
        </w:rPr>
      </w:pPr>
    </w:p>
    <w:p w14:paraId="2F6BA73B">
      <w:pPr>
        <w:jc w:val="center"/>
        <w:rPr>
          <w:rFonts w:hint="eastAsia" w:ascii="宋体" w:hAnsi="宋体" w:cs="宋体"/>
          <w:b/>
          <w:bCs/>
          <w:sz w:val="24"/>
        </w:rPr>
      </w:pPr>
    </w:p>
    <w:p w14:paraId="4FFB4A10">
      <w:pPr>
        <w:jc w:val="center"/>
        <w:rPr>
          <w:rFonts w:hint="eastAsia" w:ascii="宋体" w:hAnsi="宋体" w:cs="宋体"/>
          <w:b/>
          <w:bCs/>
          <w:sz w:val="24"/>
        </w:rPr>
      </w:pPr>
    </w:p>
    <w:p w14:paraId="76553A86">
      <w:pPr>
        <w:jc w:val="center"/>
        <w:rPr>
          <w:rFonts w:hint="eastAsia" w:ascii="宋体" w:hAnsi="宋体" w:cs="宋体"/>
          <w:b/>
          <w:bCs/>
          <w:sz w:val="24"/>
        </w:rPr>
      </w:pPr>
    </w:p>
    <w:p w14:paraId="3EB32A67">
      <w:pPr>
        <w:jc w:val="center"/>
        <w:rPr>
          <w:rFonts w:hint="eastAsia" w:ascii="宋体" w:hAnsi="宋体" w:cs="宋体"/>
          <w:b/>
          <w:bCs/>
          <w:sz w:val="24"/>
        </w:rPr>
      </w:pPr>
    </w:p>
    <w:p w14:paraId="7FC41EEB">
      <w:pPr>
        <w:jc w:val="center"/>
        <w:rPr>
          <w:rFonts w:hint="eastAsia" w:ascii="宋体" w:hAnsi="宋体" w:cs="宋体"/>
          <w:sz w:val="32"/>
          <w:szCs w:val="32"/>
        </w:rPr>
      </w:pPr>
      <w:bookmarkStart w:id="605" w:name="_GoBack"/>
      <w:bookmarkEnd w:id="605"/>
      <w:r>
        <w:rPr>
          <w:rFonts w:hint="eastAsia" w:ascii="宋体" w:hAnsi="宋体" w:cs="宋体"/>
          <w:b/>
          <w:bCs/>
          <w:sz w:val="24"/>
        </w:rPr>
        <w:t>关于符合本国产品标准的成本占比承诺函</w:t>
      </w:r>
    </w:p>
    <w:p w14:paraId="21E31B7A">
      <w:pPr>
        <w:jc w:val="center"/>
        <w:rPr>
          <w:rFonts w:hint="eastAsia" w:ascii="宋体" w:hAnsi="宋体" w:cs="宋体"/>
          <w:sz w:val="32"/>
          <w:szCs w:val="32"/>
        </w:rPr>
      </w:pPr>
    </w:p>
    <w:tbl>
      <w:tblPr>
        <w:tblStyle w:val="30"/>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8"/>
        <w:gridCol w:w="2092"/>
      </w:tblGrid>
      <w:tr w14:paraId="44CE4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208" w:type="dxa"/>
            <w:vAlign w:val="center"/>
          </w:tcPr>
          <w:p w14:paraId="20A1E5C6">
            <w:pPr>
              <w:jc w:val="center"/>
              <w:rPr>
                <w:rFonts w:hint="eastAsia" w:ascii="宋体" w:hAnsi="宋体" w:cs="宋体"/>
                <w:b/>
                <w:bCs/>
                <w:sz w:val="24"/>
                <w:shd w:val="clear" w:color="auto" w:fill="FFFFFF"/>
              </w:rPr>
            </w:pPr>
            <w:r>
              <w:rPr>
                <w:rFonts w:hint="eastAsia" w:ascii="宋体" w:hAnsi="宋体" w:cs="宋体"/>
                <w:b/>
                <w:bCs/>
                <w:sz w:val="24"/>
                <w:shd w:val="clear" w:color="auto" w:fill="FFFFFF"/>
              </w:rPr>
              <w:t>项目</w:t>
            </w:r>
          </w:p>
        </w:tc>
        <w:tc>
          <w:tcPr>
            <w:tcW w:w="2092" w:type="dxa"/>
            <w:vAlign w:val="center"/>
          </w:tcPr>
          <w:p w14:paraId="7DF89738">
            <w:pPr>
              <w:jc w:val="center"/>
              <w:rPr>
                <w:rFonts w:hint="eastAsia" w:ascii="宋体" w:hAnsi="宋体" w:cs="宋体"/>
                <w:b/>
                <w:bCs/>
                <w:sz w:val="24"/>
                <w:shd w:val="clear" w:color="auto" w:fill="FFFFFF"/>
              </w:rPr>
            </w:pPr>
            <w:r>
              <w:rPr>
                <w:rFonts w:hint="eastAsia" w:ascii="宋体" w:hAnsi="宋体" w:cs="宋体"/>
                <w:b/>
                <w:bCs/>
                <w:sz w:val="24"/>
                <w:shd w:val="clear" w:color="auto" w:fill="FFFFFF"/>
              </w:rPr>
              <w:t>填写内容</w:t>
            </w:r>
          </w:p>
        </w:tc>
      </w:tr>
      <w:tr w14:paraId="1B76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8" w:type="dxa"/>
            <w:vAlign w:val="center"/>
          </w:tcPr>
          <w:p w14:paraId="393A5AA8">
            <w:pPr>
              <w:jc w:val="center"/>
              <w:rPr>
                <w:rFonts w:hint="eastAsia" w:ascii="宋体" w:hAnsi="宋体" w:cs="宋体"/>
                <w:sz w:val="24"/>
                <w:shd w:val="clear" w:color="auto" w:fill="FFFFFF"/>
              </w:rPr>
            </w:pPr>
          </w:p>
          <w:p w14:paraId="0EB4AFF5">
            <w:pPr>
              <w:jc w:val="center"/>
              <w:rPr>
                <w:rFonts w:hint="eastAsia" w:ascii="宋体" w:hAnsi="宋体" w:cs="宋体"/>
                <w:spacing w:val="4"/>
                <w:sz w:val="24"/>
                <w:bdr w:val="single" w:color="auto" w:sz="2" w:space="0"/>
                <w:shd w:val="clear" w:color="auto" w:fill="FFFFFF"/>
              </w:rPr>
            </w:pPr>
            <m:oMathPara>
              <m:oMath>
                <m:r>
                  <m:rPr>
                    <m:sty m:val="p"/>
                  </m:rPr>
                  <w:rPr>
                    <w:rFonts w:hint="eastAsia" w:ascii="Cambria Math" w:hAnsi="Cambria Math" w:cs="宋体"/>
                    <w:sz w:val="24"/>
                  </w:rPr>
                  <m:t>比例</m:t>
                </m:r>
                <m:r>
                  <m:rPr/>
                  <w:rPr>
                    <w:rFonts w:hint="eastAsia" w:ascii="Cambria Math" w:hAnsi="Cambria Math" w:cs="宋体"/>
                    <w:sz w:val="24"/>
                  </w:rPr>
                  <m:t>=</m:t>
                </m:r>
                <m:f>
                  <m:fPr>
                    <m:ctrlPr>
                      <w:rPr>
                        <w:rFonts w:hint="eastAsia" w:ascii="Cambria Math" w:hAnsi="Cambria Math" w:cs="宋体"/>
                        <w:i/>
                        <w:sz w:val="24"/>
                      </w:rPr>
                    </m:ctrlPr>
                  </m:fPr>
                  <m:num>
                    <m:r>
                      <m:rPr>
                        <m:sty m:val="p"/>
                      </m:rPr>
                      <w:rPr>
                        <w:rFonts w:hint="eastAsia" w:ascii="Cambria Math" w:hAnsi="Cambria Math" w:cs="宋体"/>
                        <w:sz w:val="24"/>
                      </w:rPr>
                      <m:t>符合本国产品标准的投标产品成本之和</m:t>
                    </m:r>
                    <m:ctrlPr>
                      <w:rPr>
                        <w:rFonts w:hint="eastAsia" w:ascii="Cambria Math" w:hAnsi="Cambria Math" w:cs="宋体"/>
                        <w:sz w:val="24"/>
                      </w:rPr>
                    </m:ctrlPr>
                  </m:num>
                  <m:den>
                    <m:r>
                      <m:rPr>
                        <m:sty m:val="p"/>
                      </m:rPr>
                      <w:rPr>
                        <w:rFonts w:hint="eastAsia" w:ascii="Cambria Math" w:hAnsi="Cambria Math" w:cs="宋体"/>
                        <w:sz w:val="24"/>
                      </w:rPr>
                      <m:t>提供的全部产品成本之和</m:t>
                    </m:r>
                    <m:ctrlPr>
                      <w:rPr>
                        <w:rFonts w:hint="eastAsia" w:ascii="Cambria Math" w:hAnsi="Cambria Math" w:cs="宋体"/>
                        <w:sz w:val="24"/>
                      </w:rPr>
                    </m:ctrlPr>
                  </m:den>
                </m:f>
                <m:r>
                  <m:rPr>
                    <m:sty m:val="p"/>
                  </m:rPr>
                  <w:rPr>
                    <w:rFonts w:hint="eastAsia" w:ascii="Cambria Math" w:hAnsi="Cambria Math" w:cs="宋体"/>
                    <w:sz w:val="24"/>
                  </w:rPr>
                  <m:t>×</m:t>
                </m:r>
                <m:r>
                  <m:rPr/>
                  <w:rPr>
                    <w:rFonts w:hint="eastAsia" w:ascii="Cambria Math" w:hAnsi="Cambria Math" w:cs="宋体"/>
                    <w:sz w:val="24"/>
                  </w:rPr>
                  <m:t>100%</m:t>
                </m:r>
              </m:oMath>
            </m:oMathPara>
          </w:p>
          <w:p w14:paraId="44CF0413">
            <w:pPr>
              <w:rPr>
                <w:rFonts w:hint="eastAsia" w:ascii="宋体" w:hAnsi="宋体" w:cs="宋体"/>
                <w:sz w:val="24"/>
                <w:shd w:val="clear" w:color="auto" w:fill="FFFFFF"/>
              </w:rPr>
            </w:pPr>
          </w:p>
        </w:tc>
        <w:tc>
          <w:tcPr>
            <w:tcW w:w="2092" w:type="dxa"/>
            <w:vAlign w:val="center"/>
          </w:tcPr>
          <w:p w14:paraId="54DC1DF9">
            <w:pPr>
              <w:jc w:val="center"/>
              <w:rPr>
                <w:rFonts w:hint="eastAsia" w:ascii="宋体" w:hAnsi="宋体" w:cs="宋体"/>
                <w:sz w:val="24"/>
                <w:shd w:val="clear" w:color="auto" w:fill="FFFFFF"/>
              </w:rPr>
            </w:pPr>
            <w:r>
              <w:rPr>
                <w:rFonts w:hint="eastAsia" w:ascii="宋体" w:hAnsi="宋体" w:cs="宋体"/>
                <w:sz w:val="24"/>
                <w:shd w:val="clear" w:color="auto" w:fill="FFFFFF"/>
              </w:rPr>
              <w:t>%</w:t>
            </w:r>
          </w:p>
        </w:tc>
      </w:tr>
    </w:tbl>
    <w:p w14:paraId="36DCD8D9">
      <w:pPr>
        <w:spacing w:line="500" w:lineRule="exact"/>
        <w:ind w:firstLine="480" w:firstLineChars="200"/>
        <w:jc w:val="left"/>
        <w:rPr>
          <w:rFonts w:hint="eastAsia" w:ascii="宋体" w:hAnsi="宋体" w:cs="宋体"/>
          <w:sz w:val="24"/>
          <w:shd w:val="clear" w:color="auto" w:fill="FFFFFF"/>
        </w:rPr>
      </w:pPr>
      <w:r>
        <w:rPr>
          <w:rFonts w:hint="eastAsia" w:ascii="宋体" w:hAnsi="宋体" w:cs="宋体"/>
          <w:sz w:val="24"/>
          <w:shd w:val="clear" w:color="auto" w:fill="FFFFFF"/>
        </w:rPr>
        <w:t>本公司（单位）填写、盖章与签署，即视为对表格内容真实、准确、完整的正式承诺。如存在任何虚假、误导性陈述或重大遗漏，本公司（单位）愿承担由此产生的一切法律后果及责任。</w:t>
      </w:r>
    </w:p>
    <w:p w14:paraId="5177C596">
      <w:pPr>
        <w:wordWrap w:val="0"/>
        <w:spacing w:line="500" w:lineRule="exact"/>
        <w:ind w:firstLine="4320" w:firstLineChars="1800"/>
        <w:rPr>
          <w:rFonts w:hint="eastAsia" w:ascii="宋体" w:hAnsi="宋体" w:cs="宋体"/>
          <w:sz w:val="24"/>
        </w:rPr>
      </w:pPr>
      <w:r>
        <w:rPr>
          <w:rFonts w:hint="eastAsia" w:ascii="宋体" w:hAnsi="宋体" w:cs="宋体"/>
          <w:sz w:val="24"/>
        </w:rPr>
        <w:t>供应商名称：（公章）</w:t>
      </w:r>
    </w:p>
    <w:p w14:paraId="7AE3F3A4">
      <w:pPr>
        <w:wordWrap w:val="0"/>
        <w:spacing w:line="500" w:lineRule="exact"/>
        <w:ind w:firstLine="4320" w:firstLineChars="1800"/>
        <w:rPr>
          <w:rFonts w:hint="eastAsia" w:ascii="宋体" w:hAnsi="宋体" w:cs="宋体"/>
          <w:kern w:val="0"/>
          <w:sz w:val="24"/>
        </w:rPr>
      </w:pPr>
      <w:r>
        <w:rPr>
          <w:rFonts w:hint="eastAsia" w:ascii="宋体" w:hAnsi="宋体" w:cs="宋体"/>
          <w:sz w:val="24"/>
        </w:rPr>
        <w:t>日期：    年    月　  日</w:t>
      </w:r>
      <w:r>
        <w:rPr>
          <w:rFonts w:hint="eastAsia" w:ascii="宋体" w:hAnsi="宋体" w:cs="宋体"/>
          <w:kern w:val="0"/>
          <w:sz w:val="24"/>
          <w:shd w:val="clear" w:color="auto" w:fill="FFFFFF"/>
        </w:rPr>
        <w:t>         </w:t>
      </w:r>
    </w:p>
    <w:p w14:paraId="1606C6DA">
      <w:pPr>
        <w:jc w:val="left"/>
        <w:rPr>
          <w:rFonts w:hint="eastAsia" w:ascii="宋体" w:hAnsi="宋体" w:cs="宋体"/>
          <w:sz w:val="24"/>
          <w:shd w:val="clear" w:color="auto" w:fill="FFFFFF"/>
        </w:rPr>
      </w:pPr>
    </w:p>
    <w:p w14:paraId="1D075ECE">
      <w:pPr>
        <w:jc w:val="left"/>
        <w:rPr>
          <w:rFonts w:hint="eastAsia" w:ascii="宋体" w:hAnsi="宋体" w:cs="宋体"/>
          <w:sz w:val="24"/>
          <w:shd w:val="clear" w:color="auto" w:fill="FFFFFF"/>
        </w:rPr>
      </w:pPr>
    </w:p>
    <w:p w14:paraId="3ECCD4DC">
      <w:pPr>
        <w:jc w:val="left"/>
        <w:rPr>
          <w:rFonts w:hint="eastAsia" w:ascii="宋体" w:hAnsi="宋体" w:cs="宋体"/>
          <w:sz w:val="24"/>
          <w:shd w:val="clear" w:color="auto" w:fill="FFFFFF"/>
        </w:rPr>
      </w:pPr>
    </w:p>
    <w:p w14:paraId="530ED576">
      <w:pPr>
        <w:spacing w:line="360" w:lineRule="auto"/>
        <w:jc w:val="left"/>
        <w:rPr>
          <w:rFonts w:hint="eastAsia" w:ascii="宋体" w:hAnsi="宋体" w:cs="宋体"/>
          <w:szCs w:val="21"/>
          <w:shd w:val="clear" w:color="auto" w:fill="FFFFFF"/>
        </w:rPr>
      </w:pPr>
    </w:p>
    <w:p w14:paraId="7B1FEC07">
      <w:pPr>
        <w:spacing w:line="360" w:lineRule="auto"/>
        <w:jc w:val="left"/>
        <w:rPr>
          <w:rFonts w:hint="eastAsia" w:ascii="宋体" w:hAnsi="宋体" w:cs="宋体"/>
          <w:szCs w:val="21"/>
          <w:shd w:val="clear" w:color="auto" w:fill="FFFFFF"/>
        </w:rPr>
      </w:pPr>
    </w:p>
    <w:p w14:paraId="12AEB26B">
      <w:pPr>
        <w:spacing w:line="360" w:lineRule="auto"/>
        <w:jc w:val="left"/>
        <w:rPr>
          <w:rFonts w:hint="eastAsia" w:ascii="宋体" w:hAnsi="宋体" w:cs="宋体"/>
          <w:szCs w:val="21"/>
          <w:shd w:val="clear" w:color="auto" w:fill="FFFFFF"/>
        </w:rPr>
      </w:pPr>
    </w:p>
    <w:p w14:paraId="52FF7FAC">
      <w:pPr>
        <w:spacing w:line="360" w:lineRule="auto"/>
        <w:jc w:val="left"/>
        <w:rPr>
          <w:rFonts w:hint="eastAsia" w:ascii="宋体" w:hAnsi="宋体" w:cs="宋体"/>
          <w:szCs w:val="21"/>
          <w:shd w:val="clear" w:color="auto" w:fill="FFFFFF"/>
        </w:rPr>
      </w:pPr>
      <w:r>
        <w:rPr>
          <w:rFonts w:hint="eastAsia" w:ascii="宋体" w:hAnsi="宋体" w:cs="宋体"/>
          <w:szCs w:val="21"/>
          <w:shd w:val="clear" w:color="auto" w:fill="FFFFFF"/>
        </w:rPr>
        <w:t>注：1.单一产品采购不填写此函，多品目采购包如供应商所有产品均为本国产品且填写《关于符合本国产品标准的声明函》可不填写此函。</w:t>
      </w:r>
    </w:p>
    <w:p w14:paraId="2ED1CA4B">
      <w:pPr>
        <w:widowControl/>
        <w:kinsoku w:val="0"/>
        <w:autoSpaceDE w:val="0"/>
        <w:autoSpaceDN w:val="0"/>
        <w:adjustRightInd w:val="0"/>
        <w:snapToGrid w:val="0"/>
        <w:spacing w:line="360" w:lineRule="auto"/>
        <w:ind w:firstLine="420" w:firstLineChars="200"/>
        <w:jc w:val="left"/>
        <w:textAlignment w:val="baseline"/>
        <w:rPr>
          <w:szCs w:val="21"/>
        </w:rPr>
      </w:pPr>
      <w:r>
        <w:rPr>
          <w:rFonts w:hint="eastAsia" w:ascii="宋体" w:hAnsi="宋体" w:cs="宋体"/>
          <w:szCs w:val="21"/>
          <w:shd w:val="clear" w:color="auto" w:fill="FFFFFF"/>
        </w:rPr>
        <w:t>2.根据《国务院办公厅关于在政府采购中实施本国产品标准及相关政策的通知》（国办发〔2025〕34号）规定，当采购项目或采购包中含有多种产品，供应商对其提供的符合本国产品标准的产品成本之和占其提供的全部产品成本之和比例是否达到80%作出承诺，该比例达到80%以上，依法对其全部产品总报价给予20%的价格扣除，未达到80%,不享受价格评审优惠。</w:t>
      </w:r>
    </w:p>
    <w:p w14:paraId="414A6CCC">
      <w:pPr>
        <w:spacing w:line="219" w:lineRule="auto"/>
        <w:rPr>
          <w:rFonts w:hint="eastAsia" w:ascii="宋体" w:hAnsi="宋体" w:cs="宋体"/>
          <w:sz w:val="24"/>
        </w:rPr>
      </w:pPr>
    </w:p>
    <w:p w14:paraId="5F3CA7DF">
      <w:pPr>
        <w:spacing w:line="219" w:lineRule="auto"/>
        <w:rPr>
          <w:rFonts w:hint="eastAsia" w:ascii="宋体" w:hAnsi="宋体" w:cs="宋体"/>
          <w:sz w:val="24"/>
        </w:rPr>
      </w:pPr>
    </w:p>
    <w:p w14:paraId="35010714">
      <w:pPr>
        <w:spacing w:line="219" w:lineRule="auto"/>
        <w:rPr>
          <w:rFonts w:hint="eastAsia" w:ascii="宋体" w:hAnsi="宋体" w:cs="宋体"/>
          <w:sz w:val="24"/>
        </w:rPr>
      </w:pPr>
    </w:p>
    <w:p w14:paraId="037967C8">
      <w:pPr>
        <w:spacing w:line="219" w:lineRule="auto"/>
        <w:rPr>
          <w:rFonts w:hint="eastAsia" w:ascii="宋体" w:hAnsi="宋体" w:cs="宋体"/>
          <w:sz w:val="24"/>
        </w:rPr>
      </w:pPr>
    </w:p>
    <w:p w14:paraId="638F0B24">
      <w:pPr>
        <w:spacing w:line="219" w:lineRule="auto"/>
        <w:rPr>
          <w:rFonts w:hint="eastAsia" w:ascii="宋体" w:hAnsi="宋体" w:cs="宋体"/>
          <w:sz w:val="24"/>
        </w:rPr>
      </w:pPr>
    </w:p>
    <w:p w14:paraId="01AB59B8">
      <w:pPr>
        <w:spacing w:line="219" w:lineRule="auto"/>
        <w:rPr>
          <w:rFonts w:hint="eastAsia" w:ascii="宋体" w:hAnsi="宋体" w:cs="宋体"/>
          <w:sz w:val="24"/>
        </w:rPr>
      </w:pPr>
    </w:p>
    <w:p w14:paraId="259DA211">
      <w:pPr>
        <w:spacing w:line="219" w:lineRule="auto"/>
        <w:rPr>
          <w:rFonts w:hint="eastAsia" w:ascii="宋体" w:hAnsi="宋体" w:cs="宋体"/>
          <w:sz w:val="24"/>
        </w:rPr>
      </w:pPr>
    </w:p>
    <w:p w14:paraId="2B5F1ED3">
      <w:pPr>
        <w:spacing w:line="219" w:lineRule="auto"/>
        <w:rPr>
          <w:rFonts w:hint="eastAsia" w:ascii="宋体" w:hAnsi="宋体" w:cs="宋体"/>
          <w:sz w:val="24"/>
        </w:rPr>
      </w:pPr>
    </w:p>
    <w:p w14:paraId="7B2E5B6B">
      <w:pPr>
        <w:spacing w:line="219" w:lineRule="auto"/>
        <w:rPr>
          <w:rFonts w:hint="eastAsia" w:ascii="宋体" w:hAnsi="宋体" w:cs="宋体"/>
          <w:sz w:val="24"/>
        </w:rPr>
      </w:pPr>
    </w:p>
    <w:p w14:paraId="3C75FEC0">
      <w:pPr>
        <w:spacing w:line="219" w:lineRule="auto"/>
        <w:rPr>
          <w:rFonts w:hint="eastAsia" w:ascii="宋体" w:hAnsi="宋体" w:cs="宋体"/>
          <w:sz w:val="24"/>
        </w:rPr>
      </w:pPr>
    </w:p>
    <w:p w14:paraId="15BACE5D">
      <w:pPr>
        <w:spacing w:line="219" w:lineRule="auto"/>
        <w:rPr>
          <w:rFonts w:hint="eastAsia" w:ascii="宋体" w:hAnsi="宋体" w:cs="宋体"/>
          <w:sz w:val="24"/>
        </w:rPr>
      </w:pPr>
    </w:p>
    <w:p w14:paraId="3A8B8B9E">
      <w:pPr>
        <w:spacing w:line="219" w:lineRule="auto"/>
        <w:rPr>
          <w:rFonts w:hint="eastAsia" w:ascii="宋体" w:hAnsi="宋体" w:cs="宋体"/>
          <w:sz w:val="24"/>
        </w:rPr>
      </w:pPr>
    </w:p>
    <w:p w14:paraId="16781154">
      <w:pPr>
        <w:spacing w:line="219" w:lineRule="auto"/>
        <w:rPr>
          <w:rFonts w:hint="eastAsia" w:ascii="宋体" w:hAnsi="宋体" w:cs="宋体"/>
          <w:sz w:val="24"/>
        </w:rPr>
      </w:pPr>
    </w:p>
    <w:p w14:paraId="173D90B2">
      <w:pPr>
        <w:spacing w:line="219" w:lineRule="auto"/>
        <w:rPr>
          <w:rFonts w:hint="eastAsia" w:ascii="宋体" w:hAnsi="宋体" w:cs="宋体"/>
          <w:sz w:val="24"/>
        </w:rPr>
      </w:pPr>
    </w:p>
    <w:p w14:paraId="2FE4B396">
      <w:pPr>
        <w:spacing w:line="219" w:lineRule="auto"/>
        <w:rPr>
          <w:rFonts w:hint="eastAsia" w:ascii="宋体" w:hAnsi="宋体" w:cs="宋体"/>
          <w:sz w:val="24"/>
        </w:rPr>
      </w:pPr>
    </w:p>
    <w:p w14:paraId="73CA60CC">
      <w:pPr>
        <w:rPr>
          <w:rFonts w:hint="eastAsia" w:ascii="宋体" w:hAnsi="宋体" w:cs="宋体"/>
          <w:b/>
          <w:bCs/>
          <w:spacing w:val="10"/>
          <w:sz w:val="24"/>
        </w:rPr>
      </w:pPr>
      <w:r>
        <w:rPr>
          <w:rFonts w:hint="eastAsia" w:ascii="宋体" w:hAnsi="宋体" w:cs="宋体"/>
          <w:b/>
          <w:bCs/>
          <w:spacing w:val="10"/>
          <w:sz w:val="24"/>
        </w:rPr>
        <w:t>9.5节能产品、环境标志产品证明</w:t>
      </w:r>
    </w:p>
    <w:p w14:paraId="35F0741C">
      <w:pPr>
        <w:rPr>
          <w:rFonts w:hint="eastAsia" w:ascii="宋体" w:hAnsi="宋体" w:cs="宋体"/>
          <w:b/>
          <w:bCs/>
          <w:spacing w:val="10"/>
          <w:sz w:val="24"/>
        </w:rPr>
      </w:pPr>
    </w:p>
    <w:p w14:paraId="64A335B4">
      <w:pPr>
        <w:rPr>
          <w:rFonts w:hint="eastAsia" w:ascii="宋体" w:hAnsi="宋体" w:cs="宋体"/>
          <w:b/>
          <w:bCs/>
          <w:spacing w:val="10"/>
          <w:sz w:val="24"/>
        </w:rPr>
      </w:pPr>
    </w:p>
    <w:p w14:paraId="64502AEE">
      <w:pPr>
        <w:spacing w:line="360" w:lineRule="auto"/>
        <w:jc w:val="center"/>
        <w:rPr>
          <w:rFonts w:hint="eastAsia" w:ascii="宋体" w:hAnsi="宋体" w:cs="宋体"/>
          <w:bCs/>
          <w:sz w:val="24"/>
        </w:rPr>
      </w:pPr>
      <w:r>
        <w:rPr>
          <w:rFonts w:hint="eastAsia" w:ascii="宋体" w:hAnsi="宋体" w:cs="宋体"/>
          <w:bCs/>
          <w:sz w:val="24"/>
        </w:rPr>
        <w:t>“节能产品”、“环境标志产品”证明</w:t>
      </w:r>
    </w:p>
    <w:p w14:paraId="728BE5EB">
      <w:pPr>
        <w:spacing w:line="360" w:lineRule="auto"/>
        <w:ind w:firstLine="480" w:firstLineChars="200"/>
        <w:jc w:val="left"/>
        <w:rPr>
          <w:rFonts w:hint="eastAsia" w:ascii="宋体" w:hAnsi="宋体" w:cs="宋体"/>
          <w:bCs/>
          <w:sz w:val="24"/>
        </w:rPr>
      </w:pPr>
      <w:r>
        <w:rPr>
          <w:rFonts w:hint="eastAsia" w:ascii="宋体" w:hAnsi="宋体" w:cs="宋体"/>
          <w:bCs/>
          <w:sz w:val="24"/>
        </w:rPr>
        <w:t>1.节能产品是指财政部和国家发展和改革委员会公布现行的《节能产品政府采购品目清单》(财库(2019)19号)中品目产品，“</w:t>
      </w:r>
      <w:r>
        <w:rPr>
          <w:rFonts w:hint="eastAsia"/>
          <w:bCs/>
          <w:sz w:val="24"/>
        </w:rPr>
        <w:t>★</w:t>
      </w:r>
      <w:r>
        <w:rPr>
          <w:rFonts w:hint="eastAsia" w:ascii="宋体" w:hAnsi="宋体" w:cs="宋体"/>
          <w:bCs/>
          <w:sz w:val="24"/>
        </w:rPr>
        <w:t>”标注的属于强制采购，节能产品须提供证明材料：国家确定的认证机构(财库(2019)16号)出具的、处于有效期之内的节能产品认证证书。</w:t>
      </w:r>
    </w:p>
    <w:p w14:paraId="7C005311">
      <w:pPr>
        <w:spacing w:line="360" w:lineRule="auto"/>
        <w:ind w:firstLine="480" w:firstLineChars="200"/>
        <w:jc w:val="left"/>
        <w:rPr>
          <w:rFonts w:hint="eastAsia" w:ascii="宋体" w:hAnsi="宋体" w:cs="宋体"/>
          <w:bCs/>
          <w:sz w:val="24"/>
        </w:rPr>
      </w:pPr>
      <w:r>
        <w:rPr>
          <w:rFonts w:hint="eastAsia" w:ascii="宋体" w:hAnsi="宋体" w:cs="宋体"/>
          <w:bCs/>
          <w:sz w:val="24"/>
        </w:rPr>
        <w:t>2.环境标志产品是指财政部、环境保护部发布现行的《环境标志产品政府采购品目清单》(财库(2019)18号)中的品目产品，环境标志产品须提供证明材料：国家确定的认证机构(财库(2019)16号)出具的、处于有效期之内的环境标志产品认证证书。</w:t>
      </w:r>
    </w:p>
    <w:p w14:paraId="337FA631">
      <w:pPr>
        <w:jc w:val="left"/>
        <w:rPr>
          <w:rFonts w:hint="eastAsia" w:ascii="宋体" w:hAnsi="宋体" w:cs="宋体"/>
          <w:b/>
          <w:sz w:val="30"/>
          <w:szCs w:val="30"/>
        </w:rPr>
      </w:pPr>
    </w:p>
    <w:p w14:paraId="431778BF">
      <w:pPr>
        <w:spacing w:line="219" w:lineRule="auto"/>
        <w:rPr>
          <w:rFonts w:hint="eastAsia" w:ascii="宋体" w:hAnsi="宋体" w:cs="宋体"/>
          <w:sz w:val="24"/>
        </w:rPr>
        <w:sectPr>
          <w:footerReference r:id="rId13" w:type="default"/>
          <w:pgSz w:w="11906" w:h="16839"/>
          <w:pgMar w:top="1431" w:right="1587" w:bottom="1429" w:left="1587" w:header="0" w:footer="994" w:gutter="0"/>
          <w:cols w:space="720" w:num="1"/>
        </w:sectPr>
      </w:pPr>
    </w:p>
    <w:p w14:paraId="76801425">
      <w:pPr>
        <w:pStyle w:val="4"/>
        <w:spacing w:line="240" w:lineRule="auto"/>
        <w:jc w:val="center"/>
        <w:rPr>
          <w:rFonts w:hint="eastAsia" w:ascii="宋体" w:hAnsi="宋体" w:cs="宋体"/>
          <w:b w:val="0"/>
          <w:bCs w:val="0"/>
          <w:sz w:val="24"/>
          <w:lang w:val="en-GB"/>
        </w:rPr>
      </w:pPr>
      <w:r>
        <w:rPr>
          <w:rFonts w:hint="eastAsia" w:ascii="宋体" w:hAnsi="宋体" w:cs="宋体"/>
          <w:kern w:val="0"/>
          <w:sz w:val="30"/>
          <w:szCs w:val="30"/>
        </w:rPr>
        <w:t>十、其他资料</w:t>
      </w:r>
    </w:p>
    <w:p w14:paraId="2A91CAB3">
      <w:pPr>
        <w:spacing w:line="360" w:lineRule="auto"/>
        <w:rPr>
          <w:rFonts w:hint="eastAsia" w:ascii="宋体" w:hAnsi="宋体" w:cs="宋体"/>
          <w:sz w:val="24"/>
          <w:lang w:val="en-GB"/>
        </w:rPr>
      </w:pPr>
    </w:p>
    <w:p w14:paraId="361A073A">
      <w:pPr>
        <w:spacing w:line="360" w:lineRule="auto"/>
        <w:rPr>
          <w:rFonts w:hint="eastAsia" w:ascii="宋体" w:hAnsi="宋体" w:cs="宋体"/>
          <w:sz w:val="24"/>
          <w:lang w:val="en-GB"/>
        </w:rPr>
      </w:pPr>
    </w:p>
    <w:p w14:paraId="1F93F984">
      <w:pPr>
        <w:spacing w:line="360" w:lineRule="auto"/>
        <w:jc w:val="center"/>
        <w:rPr>
          <w:rFonts w:hint="eastAsia" w:ascii="宋体" w:hAnsi="宋体" w:cs="宋体"/>
          <w:sz w:val="24"/>
          <w:lang w:val="en-GB"/>
        </w:rPr>
      </w:pPr>
      <w:r>
        <w:rPr>
          <w:rFonts w:hint="eastAsia" w:ascii="宋体" w:hAnsi="宋体" w:cs="宋体"/>
          <w:sz w:val="24"/>
          <w:lang w:val="en-GB"/>
        </w:rPr>
        <w:t>供应商认为应附的其他材料</w:t>
      </w:r>
    </w:p>
    <w:p w14:paraId="0AD7EE56">
      <w:pPr>
        <w:spacing w:line="360" w:lineRule="auto"/>
        <w:ind w:firstLine="360" w:firstLineChars="200"/>
        <w:rPr>
          <w:rFonts w:hint="eastAsia" w:ascii="宋体" w:hAnsi="宋体" w:cs="宋体"/>
          <w:sz w:val="18"/>
          <w:szCs w:val="18"/>
        </w:rPr>
      </w:pPr>
    </w:p>
    <w:p w14:paraId="18DF0142">
      <w:pPr>
        <w:rPr>
          <w:rFonts w:hint="eastAsia" w:ascii="宋体" w:hAnsi="宋体" w:cs="宋体"/>
        </w:rPr>
      </w:pPr>
    </w:p>
    <w:p w14:paraId="3E3FF44E">
      <w:pPr>
        <w:rPr>
          <w:rFonts w:hint="eastAsia" w:ascii="宋体" w:hAnsi="宋体" w:cs="宋体"/>
        </w:rPr>
      </w:pPr>
    </w:p>
    <w:p w14:paraId="368C1812">
      <w:pPr>
        <w:rPr>
          <w:rFonts w:hint="eastAsia" w:ascii="宋体" w:hAnsi="宋体" w:cs="宋体"/>
        </w:rPr>
      </w:pPr>
    </w:p>
    <w:sectPr>
      <w:footerReference r:id="rId14" w:type="default"/>
      <w:pgSz w:w="11906" w:h="16838"/>
      <w:pgMar w:top="1134" w:right="1134" w:bottom="1134" w:left="1418" w:header="567" w:footer="721"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 w:name="Cambria Math">
    <w:panose1 w:val="02040503050406030204"/>
    <w:charset w:val="00"/>
    <w:family w:val="roman"/>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ADBEB">
    <w:pPr>
      <w:pStyle w:val="16"/>
      <w:tabs>
        <w:tab w:val="left" w:pos="828"/>
        <w:tab w:val="clear" w:pos="4153"/>
      </w:tabs>
    </w:pPr>
  </w:p>
  <w:p w14:paraId="15238397">
    <w:pPr>
      <w:pStyle w:val="16"/>
      <w:tabs>
        <w:tab w:val="left" w:pos="828"/>
        <w:tab w:val="clear" w:pos="4153"/>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5F1BB">
    <w:pPr>
      <w:pStyle w:val="1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3F81AB72">
                          <w:pPr>
                            <w:pStyle w:val="16"/>
                          </w:pPr>
                          <w:r>
                            <w:fldChar w:fldCharType="begin"/>
                          </w:r>
                          <w:r>
                            <w:instrText xml:space="preserve"> PAGE  \* MERGEFORMAT </w:instrText>
                          </w:r>
                          <w:r>
                            <w:fldChar w:fldCharType="separate"/>
                          </w:r>
                          <w:r>
                            <w:t>91</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U2WxQJAgAAAg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sItrTOV9Q1q2jvNC/gT6mRqne3YD84pmF60bYjbpChK5RoiJ6eXyZPXg64PgIsu7eQ0V1xDZA&#10;AuprNBGQ3GCETq3Zn1qj+sBkLJnPXp9fcCbpKj/PZ7PELRPF+NihD28VGBaDkiN1PoGL3Y0PkYwo&#10;xpRYy8JKt23qfmv/OqDEeJLIR74D89Cv+6MZa6j2JANhGCb6ShQ0gF8562iQSm7p33DWvrNkRJy5&#10;McAxWI+BsJIeljxwNoTXYZjNrUO9aQh3tPqKzFrpJCS6OnA4sqTRSPqOYxxn7+E+Zf35uot7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V+SdAAAAADAQAADwAAAAAAAAABACAAAAAiAAAAZHJzL2Rv&#10;d25yZXYueG1sUEsBAhQAFAAAAAgAh07iQEU2WxQJAgAAAgQAAA4AAAAAAAAAAQAgAAAAHwEAAGRy&#10;cy9lMm9Eb2MueG1sUEsFBgAAAAAGAAYAWQEAAJoFAAAAAA==&#10;">
              <v:fill on="f" focussize="0,0"/>
              <v:stroke on="f"/>
              <v:imagedata o:title=""/>
              <o:lock v:ext="edit" aspectratio="f"/>
              <v:textbox inset="0mm,0mm,0mm,0mm" style="mso-fit-shape-to-text:t;">
                <w:txbxContent>
                  <w:p w14:paraId="3F81AB72">
                    <w:pPr>
                      <w:pStyle w:val="16"/>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3794B">
    <w:pPr>
      <w:pStyle w:val="16"/>
      <w:framePr w:wrap="around" w:vAnchor="text" w:hAnchor="margin" w:xAlign="right" w:y="1"/>
      <w:rPr>
        <w:rStyle w:val="34"/>
      </w:rPr>
    </w:pPr>
    <w:r>
      <w:fldChar w:fldCharType="begin"/>
    </w:r>
    <w:r>
      <w:rPr>
        <w:rStyle w:val="34"/>
      </w:rPr>
      <w:instrText xml:space="preserve">PAGE  </w:instrText>
    </w:r>
    <w:r>
      <w:fldChar w:fldCharType="separate"/>
    </w:r>
    <w:r>
      <w:rPr>
        <w:rStyle w:val="34"/>
      </w:rPr>
      <w:t>- 11 -</w:t>
    </w:r>
    <w:r>
      <w:fldChar w:fldCharType="end"/>
    </w:r>
  </w:p>
  <w:p w14:paraId="23E1105C">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E75D5">
    <w:pPr>
      <w:pStyle w:val="16"/>
      <w:tabs>
        <w:tab w:val="left" w:pos="6442"/>
        <w:tab w:val="clear" w:pos="4153"/>
      </w:tabs>
    </w:pP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B031E">
    <w:pPr>
      <w:pStyle w:val="16"/>
      <w:tabs>
        <w:tab w:val="left" w:pos="828"/>
        <w:tab w:val="clear" w:pos="4153"/>
      </w:tabs>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Text Box 103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4C82AC8">
                          <w:pPr>
                            <w:pStyle w:val="16"/>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Text Box 1030"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OqXm5zwAAAAUBAAAPAAAAAAAAAAEAIAAAACIAAABkcnMvZG93bnJldi54bWxQSwECFAAUAAAA&#10;CACHTuJAT2J6s/cBAAAGBAAADgAAAAAAAAABACAAAAAeAQAAZHJzL2Uyb0RvYy54bWxQSwUGAAAA&#10;AAYABgBZAQAAhwUAAAAA&#10;">
              <v:fill on="f" focussize="0,0"/>
              <v:stroke on="f"/>
              <v:imagedata o:title=""/>
              <o:lock v:ext="edit" aspectratio="f"/>
              <v:textbox inset="0mm,0mm,0mm,0mm" style="mso-fit-shape-to-text:t;">
                <w:txbxContent>
                  <w:p w14:paraId="14C82AC8">
                    <w:pPr>
                      <w:pStyle w:val="16"/>
                    </w:pPr>
                    <w:r>
                      <w:fldChar w:fldCharType="begin"/>
                    </w:r>
                    <w:r>
                      <w:instrText xml:space="preserve"> PAGE  \* MERGEFORMAT </w:instrText>
                    </w:r>
                    <w:r>
                      <w:fldChar w:fldCharType="separate"/>
                    </w:r>
                    <w:r>
                      <w:t>1</w:t>
                    </w:r>
                    <w:r>
                      <w:fldChar w:fldCharType="end"/>
                    </w:r>
                  </w:p>
                </w:txbxContent>
              </v:textbox>
            </v:shape>
          </w:pict>
        </mc:Fallback>
      </mc:AlternateContent>
    </w:r>
  </w:p>
  <w:p w14:paraId="486AF31D">
    <w:pPr>
      <w:pStyle w:val="16"/>
      <w:tabs>
        <w:tab w:val="left" w:pos="828"/>
        <w:tab w:val="clear" w:pos="4153"/>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0ABBD">
    <w:pPr>
      <w:pStyle w:val="16"/>
      <w:tabs>
        <w:tab w:val="left" w:pos="6442"/>
        <w:tab w:val="clear" w:pos="4153"/>
      </w:tabs>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57785" cy="131445"/>
              <wp:effectExtent l="0" t="0" r="0" b="0"/>
              <wp:wrapNone/>
              <wp:docPr id="7" name="Text Box 103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6E03E0DE">
                          <w:pPr>
                            <w:pStyle w:val="16"/>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Text Box 1031" o:spid="_x0000_s1026" o:spt="202" type="#_x0000_t202" style="position:absolute;left:0pt;margin-top:0pt;height:10.35pt;width:4.55pt;mso-position-horizontal:center;mso-position-horizontal-relative:margin;mso-wrap-style:none;z-index:25166438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L3UTQAAAAAgEAAA8AAAAAAAAAAQAgAAAAIgAAAGRycy9kb3ducmV2LnhtbFBLAQIU&#10;ABQAAAAIAIdO4kBCD73I+wEAAAMEAAAOAAAAAAAAAAEAIAAAAB8BAABkcnMvZTJvRG9jLnhtbFBL&#10;BQYAAAAABgAGAFkBAACMBQAAAAA=&#10;">
              <v:fill on="f" focussize="0,0"/>
              <v:stroke on="f"/>
              <v:imagedata o:title=""/>
              <o:lock v:ext="edit" aspectratio="f"/>
              <v:textbox inset="0mm,0mm,0mm,0mm" style="mso-fit-shape-to-text:t;">
                <w:txbxContent>
                  <w:p w14:paraId="6E03E0DE">
                    <w:pPr>
                      <w:pStyle w:val="1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0D284">
    <w:pPr>
      <w:pStyle w:val="16"/>
      <w:tabs>
        <w:tab w:val="left" w:pos="828"/>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6" name="文本框 24"/>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09CA9A35">
                          <w:pPr>
                            <w:pStyle w:val="16"/>
                          </w:pPr>
                          <w:r>
                            <w:fldChar w:fldCharType="begin"/>
                          </w:r>
                          <w:r>
                            <w:instrText xml:space="preserve"> PAGE  \* MERGEFORMAT </w:instrText>
                          </w:r>
                          <w:r>
                            <w:fldChar w:fldCharType="separate"/>
                          </w:r>
                          <w:r>
                            <w:t>34</w:t>
                          </w:r>
                          <w:r>
                            <w:fldChar w:fldCharType="end"/>
                          </w:r>
                        </w:p>
                      </w:txbxContent>
                    </wps:txbx>
                    <wps:bodyPr rot="0" vert="horz" wrap="none" lIns="0" tIns="0" rIns="0" bIns="0" anchor="t" anchorCtr="0" upright="1">
                      <a:spAutoFit/>
                    </wps:bodyPr>
                  </wps:wsp>
                </a:graphicData>
              </a:graphic>
            </wp:anchor>
          </w:drawing>
        </mc:Choice>
        <mc:Fallback>
          <w:pict>
            <v:shape id="文本框 24"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Pi91E0AAAAAIBAAAPAAAAAAAAAAEAIAAAACIAAABkcnMv&#10;ZG93bnJldi54bWxQSwECFAAUAAAACACHTuJAH0r6EgsCAAACBAAADgAAAAAAAAABACAAAAAfAQAA&#10;ZHJzL2Uyb0RvYy54bWxQSwUGAAAAAAYABgBZAQAAnAUAAAAA&#10;">
              <v:fill on="f" focussize="0,0"/>
              <v:stroke on="f"/>
              <v:imagedata o:title=""/>
              <o:lock v:ext="edit" aspectratio="f"/>
              <v:textbox inset="0mm,0mm,0mm,0mm" style="mso-fit-shape-to-text:t;">
                <w:txbxContent>
                  <w:p w14:paraId="09CA9A35">
                    <w:pPr>
                      <w:pStyle w:val="16"/>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472A4">
    <w:pPr>
      <w:pStyle w:val="16"/>
      <w:tabs>
        <w:tab w:val="left" w:pos="828"/>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2E015BDF">
                          <w:pPr>
                            <w:pStyle w:val="16"/>
                          </w:pPr>
                          <w:r>
                            <w:fldChar w:fldCharType="begin"/>
                          </w:r>
                          <w:r>
                            <w:instrText xml:space="preserve"> PAGE  \* MERGEFORMAT </w:instrText>
                          </w:r>
                          <w:r>
                            <w:fldChar w:fldCharType="separate"/>
                          </w:r>
                          <w:r>
                            <w:t>48</w:t>
                          </w:r>
                          <w: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V+SdAAAAADAQAADwAAAAAAAAABACAAAAAiAAAAZHJzL2Rv&#10;d25yZXYueG1sUEsBAhQAFAAAAAgAh07iQAlvqHYJAgAAAgQAAA4AAAAAAAAAAQAgAAAAHwEAAGRy&#10;cy9lMm9Eb2MueG1sUEsFBgAAAAAGAAYAWQEAAJoFAAAAAA==&#10;">
              <v:fill on="f" focussize="0,0"/>
              <v:stroke on="f"/>
              <v:imagedata o:title=""/>
              <o:lock v:ext="edit" aspectratio="f"/>
              <v:textbox inset="0mm,0mm,0mm,0mm" style="mso-fit-shape-to-text:t;">
                <w:txbxContent>
                  <w:p w14:paraId="2E015BDF">
                    <w:pPr>
                      <w:pStyle w:val="16"/>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D33AC">
    <w:pPr>
      <w:pStyle w:val="1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5B179D9A">
                          <w:pPr>
                            <w:pStyle w:val="16"/>
                          </w:pPr>
                          <w:r>
                            <w:fldChar w:fldCharType="begin"/>
                          </w:r>
                          <w:r>
                            <w:instrText xml:space="preserve"> PAGE  \* MERGEFORMAT </w:instrText>
                          </w:r>
                          <w:r>
                            <w:fldChar w:fldCharType="separate"/>
                          </w:r>
                          <w:r>
                            <w:t>84</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AdDvzoKAgAAAg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quQzzqww1PDDj++Hn78P&#10;v76xWbSnc76grFtHeaF/Az0NTZLq3Q3IL55ZuG6E3agrROgaJSqil8eX2YOnA46PIOvuPVRUR2wD&#10;JKC+RhO9IzcYoVNr9qfWqD4wGUvms9fnF5xJusrP89nsIlUQxfjYoQ9vFRgWg5IjdT6Bi92ND5GM&#10;KMaUWMvCSrdt6n5r/zqgxHiSyEe+A/PQr/ujGWuo9iQDYRgm+koUNIBfOetokEpu6d9w1r6zZESc&#10;uTHAMViPgbCSHpY8cDaE12GYza1DvWkId7T6isxa6SQkujpwOLKk0Uj6jmMcZ+/hPmX9+bqL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AHQ786CgIAAAIEAAAOAAAAAAAAAAEAIAAAAB8BAABk&#10;cnMvZTJvRG9jLnhtbFBLBQYAAAAABgAGAFkBAACbBQAAAAA=&#10;">
              <v:fill on="f" focussize="0,0"/>
              <v:stroke on="f"/>
              <v:imagedata o:title=""/>
              <o:lock v:ext="edit" aspectratio="f"/>
              <v:textbox inset="0mm,0mm,0mm,0mm" style="mso-fit-shape-to-text:t;">
                <w:txbxContent>
                  <w:p w14:paraId="5B179D9A">
                    <w:pPr>
                      <w:pStyle w:val="16"/>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F0973">
    <w:pPr>
      <w:pStyle w:val="1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50"/>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65F2D681">
                          <w:pPr>
                            <w:pStyle w:val="16"/>
                          </w:pPr>
                          <w:r>
                            <w:fldChar w:fldCharType="begin"/>
                          </w:r>
                          <w:r>
                            <w:instrText xml:space="preserve"> PAGE  \* MERGEFORMAT </w:instrText>
                          </w:r>
                          <w:r>
                            <w:fldChar w:fldCharType="separate"/>
                          </w:r>
                          <w:r>
                            <w:t>90</w:t>
                          </w:r>
                          <w:r>
                            <w:fldChar w:fldCharType="end"/>
                          </w:r>
                        </w:p>
                      </w:txbxContent>
                    </wps:txbx>
                    <wps:bodyPr rot="0" vert="horz" wrap="none" lIns="0" tIns="0" rIns="0" bIns="0" anchor="t" anchorCtr="0" upright="1">
                      <a:spAutoFit/>
                    </wps:bodyPr>
                  </wps:wsp>
                </a:graphicData>
              </a:graphic>
            </wp:anchor>
          </w:drawing>
        </mc:Choice>
        <mc:Fallback>
          <w:pict>
            <v:shape id="文本框 50"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V+SdAAAAADAQAADwAAAAAAAAABACAAAAAiAAAAZHJz&#10;L2Rvd25yZXYueG1sUEsBAhQAFAAAAAgAh07iQGKaPVYMAgAAAwQAAA4AAAAAAAAAAQAgAAAAHwEA&#10;AGRycy9lMm9Eb2MueG1sUEsFBgAAAAAGAAYAWQEAAJ0FAAAAAA==&#10;">
              <v:fill on="f" focussize="0,0"/>
              <v:stroke on="f"/>
              <v:imagedata o:title=""/>
              <o:lock v:ext="edit" aspectratio="f"/>
              <v:textbox inset="0mm,0mm,0mm,0mm" style="mso-fit-shape-to-text:t;">
                <w:txbxContent>
                  <w:p w14:paraId="65F2D681">
                    <w:pPr>
                      <w:pStyle w:val="16"/>
                    </w:pPr>
                    <w:r>
                      <w:fldChar w:fldCharType="begin"/>
                    </w:r>
                    <w:r>
                      <w:instrText xml:space="preserve"> PAGE  \* MERGEFORMAT </w:instrText>
                    </w:r>
                    <w:r>
                      <w:fldChar w:fldCharType="separate"/>
                    </w:r>
                    <w:r>
                      <w:t>90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D330A">
    <w:pPr>
      <w:pStyle w:val="1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72F9E">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0A320A"/>
    <w:multiLevelType w:val="singleLevel"/>
    <w:tmpl w:val="B80A320A"/>
    <w:lvl w:ilvl="0" w:tentative="0">
      <w:start w:val="7"/>
      <w:numFmt w:val="decimal"/>
      <w:suff w:val="space"/>
      <w:lvlText w:val="%1."/>
      <w:lvlJc w:val="left"/>
    </w:lvl>
  </w:abstractNum>
  <w:abstractNum w:abstractNumId="1">
    <w:nsid w:val="BF9D185C"/>
    <w:multiLevelType w:val="singleLevel"/>
    <w:tmpl w:val="BF9D185C"/>
    <w:lvl w:ilvl="0" w:tentative="0">
      <w:start w:val="3"/>
      <w:numFmt w:val="chineseCounting"/>
      <w:suff w:val="nothing"/>
      <w:lvlText w:val="（%1）"/>
      <w:lvlJc w:val="left"/>
      <w:rPr>
        <w:rFonts w:hint="eastAsia"/>
      </w:rPr>
    </w:lvl>
  </w:abstractNum>
  <w:abstractNum w:abstractNumId="2">
    <w:nsid w:val="D730AA9A"/>
    <w:multiLevelType w:val="singleLevel"/>
    <w:tmpl w:val="D730AA9A"/>
    <w:lvl w:ilvl="0" w:tentative="0">
      <w:start w:val="1"/>
      <w:numFmt w:val="decimal"/>
      <w:suff w:val="nothing"/>
      <w:lvlText w:val="%1、"/>
      <w:lvlJc w:val="left"/>
    </w:lvl>
  </w:abstractNum>
  <w:abstractNum w:abstractNumId="3">
    <w:nsid w:val="DB047AEA"/>
    <w:multiLevelType w:val="singleLevel"/>
    <w:tmpl w:val="DB047AEA"/>
    <w:lvl w:ilvl="0" w:tentative="0">
      <w:start w:val="1"/>
      <w:numFmt w:val="decimal"/>
      <w:suff w:val="nothing"/>
      <w:lvlText w:val="%1、"/>
      <w:lvlJc w:val="left"/>
    </w:lvl>
  </w:abstractNum>
  <w:abstractNum w:abstractNumId="4">
    <w:nsid w:val="2896DD3E"/>
    <w:multiLevelType w:val="singleLevel"/>
    <w:tmpl w:val="2896DD3E"/>
    <w:lvl w:ilvl="0" w:tentative="0">
      <w:start w:val="2"/>
      <w:numFmt w:val="chineseCounting"/>
      <w:suff w:val="nothing"/>
      <w:lvlText w:val="%1、"/>
      <w:lvlJc w:val="left"/>
      <w:pPr>
        <w:ind w:left="0" w:firstLine="0"/>
      </w:pPr>
    </w:lvl>
  </w:abstractNum>
  <w:abstractNum w:abstractNumId="5">
    <w:nsid w:val="57F8DF82"/>
    <w:multiLevelType w:val="singleLevel"/>
    <w:tmpl w:val="57F8DF82"/>
    <w:lvl w:ilvl="0" w:tentative="0">
      <w:start w:val="1"/>
      <w:numFmt w:val="chineseCounting"/>
      <w:suff w:val="space"/>
      <w:lvlText w:val="第%1章"/>
      <w:lvlJc w:val="left"/>
    </w:lvl>
  </w:abstractNum>
  <w:abstractNum w:abstractNumId="6">
    <w:nsid w:val="707EFCD2"/>
    <w:multiLevelType w:val="singleLevel"/>
    <w:tmpl w:val="707EFCD2"/>
    <w:lvl w:ilvl="0" w:tentative="0">
      <w:start w:val="2"/>
      <w:numFmt w:val="chineseCounting"/>
      <w:suff w:val="nothing"/>
      <w:lvlText w:val="%1、"/>
      <w:lvlJc w:val="left"/>
      <w:rPr>
        <w:rFonts w:hint="eastAsia"/>
      </w:rPr>
    </w:lvl>
  </w:abstractNum>
  <w:abstractNum w:abstractNumId="7">
    <w:nsid w:val="77303788"/>
    <w:multiLevelType w:val="multilevel"/>
    <w:tmpl w:val="77303788"/>
    <w:lvl w:ilvl="0" w:tentative="0">
      <w:start w:val="1"/>
      <w:numFmt w:val="decimal"/>
      <w:lvlText w:val="第%1章"/>
      <w:lvlJc w:val="left"/>
      <w:pPr>
        <w:tabs>
          <w:tab w:val="left" w:pos="3060"/>
        </w:tabs>
        <w:ind w:left="3060" w:hanging="1260"/>
      </w:pPr>
      <w:rPr>
        <w:rFonts w:hint="eastAsia"/>
      </w:rPr>
    </w:lvl>
    <w:lvl w:ilvl="1" w:tentative="0">
      <w:start w:val="1"/>
      <w:numFmt w:val="chineseCountingThousand"/>
      <w:lvlText w:val="第%2章 "/>
      <w:lvlJc w:val="left"/>
      <w:pPr>
        <w:tabs>
          <w:tab w:val="left" w:pos="5410"/>
        </w:tabs>
        <w:ind w:left="4390" w:hanging="420"/>
      </w:pPr>
      <w:rPr>
        <w:rFonts w:hint="eastAsia"/>
      </w:rPr>
    </w:lvl>
    <w:lvl w:ilvl="2" w:tentative="0">
      <w:start w:val="1"/>
      <w:numFmt w:val="decimal"/>
      <w:lvlText w:val="(%3)"/>
      <w:lvlJc w:val="left"/>
      <w:pPr>
        <w:tabs>
          <w:tab w:val="left" w:pos="1485"/>
        </w:tabs>
        <w:ind w:left="1485" w:hanging="360"/>
      </w:pPr>
      <w:rPr>
        <w:rFonts w:hint="eastAsia"/>
        <w:b w:val="0"/>
      </w:rPr>
    </w:lvl>
    <w:lvl w:ilvl="3" w:tentative="0">
      <w:start w:val="1"/>
      <w:numFmt w:val="decimal"/>
      <w:lvlText w:val="%4、"/>
      <w:lvlJc w:val="left"/>
      <w:pPr>
        <w:tabs>
          <w:tab w:val="left" w:pos="2062"/>
        </w:tabs>
        <w:ind w:left="2062" w:hanging="360"/>
      </w:pPr>
      <w:rPr>
        <w:rFonts w:hint="eastAsia"/>
      </w:rPr>
    </w:lvl>
    <w:lvl w:ilvl="4" w:tentative="0">
      <w:start w:val="1"/>
      <w:numFmt w:val="lowerLetter"/>
      <w:lvlText w:val="%5)"/>
      <w:lvlJc w:val="left"/>
      <w:pPr>
        <w:tabs>
          <w:tab w:val="left" w:pos="2385"/>
        </w:tabs>
        <w:ind w:left="2385" w:hanging="420"/>
      </w:pPr>
      <w:rPr>
        <w:rFonts w:hint="eastAsia"/>
      </w:rPr>
    </w:lvl>
    <w:lvl w:ilvl="5" w:tentative="0">
      <w:start w:val="1"/>
      <w:numFmt w:val="lowerRoman"/>
      <w:lvlText w:val="%6."/>
      <w:lvlJc w:val="right"/>
      <w:pPr>
        <w:tabs>
          <w:tab w:val="left" w:pos="2805"/>
        </w:tabs>
        <w:ind w:left="2805" w:hanging="420"/>
      </w:pPr>
      <w:rPr>
        <w:rFonts w:hint="eastAsia"/>
      </w:rPr>
    </w:lvl>
    <w:lvl w:ilvl="6" w:tentative="0">
      <w:start w:val="1"/>
      <w:numFmt w:val="decimal"/>
      <w:lvlText w:val="%7."/>
      <w:lvlJc w:val="left"/>
      <w:pPr>
        <w:tabs>
          <w:tab w:val="left" w:pos="3225"/>
        </w:tabs>
        <w:ind w:left="3225" w:hanging="420"/>
      </w:pPr>
      <w:rPr>
        <w:rFonts w:hint="eastAsia"/>
      </w:rPr>
    </w:lvl>
    <w:lvl w:ilvl="7" w:tentative="0">
      <w:start w:val="1"/>
      <w:numFmt w:val="lowerLetter"/>
      <w:lvlText w:val="%8)"/>
      <w:lvlJc w:val="left"/>
      <w:pPr>
        <w:tabs>
          <w:tab w:val="left" w:pos="3645"/>
        </w:tabs>
        <w:ind w:left="3645" w:hanging="420"/>
      </w:pPr>
      <w:rPr>
        <w:rFonts w:hint="eastAsia"/>
      </w:rPr>
    </w:lvl>
    <w:lvl w:ilvl="8" w:tentative="0">
      <w:start w:val="1"/>
      <w:numFmt w:val="lowerRoman"/>
      <w:lvlText w:val="%9."/>
      <w:lvlJc w:val="right"/>
      <w:pPr>
        <w:tabs>
          <w:tab w:val="left" w:pos="4065"/>
        </w:tabs>
        <w:ind w:left="4065" w:hanging="420"/>
      </w:pPr>
      <w:rPr>
        <w:rFonts w:hint="eastAsia"/>
      </w:rPr>
    </w:lvl>
  </w:abstractNum>
  <w:num w:numId="1">
    <w:abstractNumId w:val="5"/>
  </w:num>
  <w:num w:numId="2">
    <w:abstractNumId w:val="2"/>
  </w:num>
  <w:num w:numId="3">
    <w:abstractNumId w:val="0"/>
  </w:num>
  <w:num w:numId="4">
    <w:abstractNumId w:val="4"/>
    <w:lvlOverride w:ilvl="0">
      <w:startOverride w:val="2"/>
    </w:lvlOverride>
  </w:num>
  <w:num w:numId="5">
    <w:abstractNumId w:val="3"/>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M5YTI4OTM5ZDIzMTNkZjAyMjhlNGEwOGEzZTc3OTUifQ=="/>
  </w:docVars>
  <w:rsids>
    <w:rsidRoot w:val="73043F04"/>
    <w:rsid w:val="00000B2C"/>
    <w:rsid w:val="0002662B"/>
    <w:rsid w:val="000418D2"/>
    <w:rsid w:val="00047F56"/>
    <w:rsid w:val="000870A5"/>
    <w:rsid w:val="00096C8B"/>
    <w:rsid w:val="000A0D65"/>
    <w:rsid w:val="000B44D3"/>
    <w:rsid w:val="00123E31"/>
    <w:rsid w:val="00153593"/>
    <w:rsid w:val="001649FC"/>
    <w:rsid w:val="0018245C"/>
    <w:rsid w:val="00195B32"/>
    <w:rsid w:val="001D42FC"/>
    <w:rsid w:val="001D4444"/>
    <w:rsid w:val="001E1375"/>
    <w:rsid w:val="001F1146"/>
    <w:rsid w:val="002020E3"/>
    <w:rsid w:val="00216BC0"/>
    <w:rsid w:val="00237A6E"/>
    <w:rsid w:val="002443A5"/>
    <w:rsid w:val="00247FCF"/>
    <w:rsid w:val="00251690"/>
    <w:rsid w:val="00262E27"/>
    <w:rsid w:val="00285685"/>
    <w:rsid w:val="002D4002"/>
    <w:rsid w:val="003251C8"/>
    <w:rsid w:val="00340AB4"/>
    <w:rsid w:val="00350EE1"/>
    <w:rsid w:val="00356681"/>
    <w:rsid w:val="00366555"/>
    <w:rsid w:val="00385C92"/>
    <w:rsid w:val="003A4346"/>
    <w:rsid w:val="003C0AE1"/>
    <w:rsid w:val="003C484B"/>
    <w:rsid w:val="003E5E66"/>
    <w:rsid w:val="003F1CAE"/>
    <w:rsid w:val="003F63F9"/>
    <w:rsid w:val="004631FB"/>
    <w:rsid w:val="00471F10"/>
    <w:rsid w:val="00481283"/>
    <w:rsid w:val="00497480"/>
    <w:rsid w:val="004C34C8"/>
    <w:rsid w:val="004C46FB"/>
    <w:rsid w:val="004D6884"/>
    <w:rsid w:val="004E2B3D"/>
    <w:rsid w:val="005175F2"/>
    <w:rsid w:val="00521EEB"/>
    <w:rsid w:val="0055574E"/>
    <w:rsid w:val="00574FAA"/>
    <w:rsid w:val="005872BF"/>
    <w:rsid w:val="005B2F6E"/>
    <w:rsid w:val="005E7854"/>
    <w:rsid w:val="00604770"/>
    <w:rsid w:val="0061481F"/>
    <w:rsid w:val="00647819"/>
    <w:rsid w:val="00671131"/>
    <w:rsid w:val="00695355"/>
    <w:rsid w:val="006974B4"/>
    <w:rsid w:val="00697B1A"/>
    <w:rsid w:val="006D019B"/>
    <w:rsid w:val="006F3067"/>
    <w:rsid w:val="0070077A"/>
    <w:rsid w:val="00704336"/>
    <w:rsid w:val="00733869"/>
    <w:rsid w:val="00736C6A"/>
    <w:rsid w:val="007402CA"/>
    <w:rsid w:val="0078011F"/>
    <w:rsid w:val="00794003"/>
    <w:rsid w:val="007956A8"/>
    <w:rsid w:val="007C3B1A"/>
    <w:rsid w:val="007E558C"/>
    <w:rsid w:val="007E7210"/>
    <w:rsid w:val="00811F66"/>
    <w:rsid w:val="00823758"/>
    <w:rsid w:val="00874DC1"/>
    <w:rsid w:val="00884A2D"/>
    <w:rsid w:val="0089552C"/>
    <w:rsid w:val="00937BF4"/>
    <w:rsid w:val="00944570"/>
    <w:rsid w:val="00992DCA"/>
    <w:rsid w:val="009A2BBB"/>
    <w:rsid w:val="009E7F11"/>
    <w:rsid w:val="00A0022F"/>
    <w:rsid w:val="00A021D5"/>
    <w:rsid w:val="00A07C0D"/>
    <w:rsid w:val="00A1010A"/>
    <w:rsid w:val="00A15A97"/>
    <w:rsid w:val="00A32AA0"/>
    <w:rsid w:val="00A80D74"/>
    <w:rsid w:val="00B04DEE"/>
    <w:rsid w:val="00B11402"/>
    <w:rsid w:val="00B152C4"/>
    <w:rsid w:val="00B25390"/>
    <w:rsid w:val="00B4263C"/>
    <w:rsid w:val="00B81A93"/>
    <w:rsid w:val="00B939BC"/>
    <w:rsid w:val="00BB60FD"/>
    <w:rsid w:val="00C51227"/>
    <w:rsid w:val="00C77FD4"/>
    <w:rsid w:val="00CC3C6F"/>
    <w:rsid w:val="00CD3FEA"/>
    <w:rsid w:val="00D06132"/>
    <w:rsid w:val="00D1363C"/>
    <w:rsid w:val="00D24B78"/>
    <w:rsid w:val="00D55BF6"/>
    <w:rsid w:val="00D61672"/>
    <w:rsid w:val="00D6581E"/>
    <w:rsid w:val="00DA1070"/>
    <w:rsid w:val="00DA5390"/>
    <w:rsid w:val="00DA561C"/>
    <w:rsid w:val="00DE18AD"/>
    <w:rsid w:val="00E00289"/>
    <w:rsid w:val="00E54908"/>
    <w:rsid w:val="00E5579A"/>
    <w:rsid w:val="00E644B6"/>
    <w:rsid w:val="00E76D12"/>
    <w:rsid w:val="00ED4591"/>
    <w:rsid w:val="00EE431B"/>
    <w:rsid w:val="00F4047F"/>
    <w:rsid w:val="00F50CDF"/>
    <w:rsid w:val="00F61BBE"/>
    <w:rsid w:val="00F708AC"/>
    <w:rsid w:val="0103164E"/>
    <w:rsid w:val="01520D4A"/>
    <w:rsid w:val="015E0632"/>
    <w:rsid w:val="01804A4C"/>
    <w:rsid w:val="01855273"/>
    <w:rsid w:val="01916C5A"/>
    <w:rsid w:val="01981D96"/>
    <w:rsid w:val="01D6466C"/>
    <w:rsid w:val="01DB1C83"/>
    <w:rsid w:val="01E4322D"/>
    <w:rsid w:val="01EF3980"/>
    <w:rsid w:val="01F3521E"/>
    <w:rsid w:val="02111B48"/>
    <w:rsid w:val="021B6523"/>
    <w:rsid w:val="021F7472"/>
    <w:rsid w:val="025C2867"/>
    <w:rsid w:val="028247F4"/>
    <w:rsid w:val="0288009A"/>
    <w:rsid w:val="028E3199"/>
    <w:rsid w:val="02A42F85"/>
    <w:rsid w:val="02B50726"/>
    <w:rsid w:val="02D2752A"/>
    <w:rsid w:val="02D52B76"/>
    <w:rsid w:val="02DE0C76"/>
    <w:rsid w:val="02E1776D"/>
    <w:rsid w:val="02E56C97"/>
    <w:rsid w:val="02FA082F"/>
    <w:rsid w:val="030A0A72"/>
    <w:rsid w:val="030D030F"/>
    <w:rsid w:val="0314369E"/>
    <w:rsid w:val="031B2270"/>
    <w:rsid w:val="03305FFE"/>
    <w:rsid w:val="034A5312"/>
    <w:rsid w:val="035019BC"/>
    <w:rsid w:val="03575C81"/>
    <w:rsid w:val="03773C2D"/>
    <w:rsid w:val="03806F86"/>
    <w:rsid w:val="03BE1F1F"/>
    <w:rsid w:val="03E2554B"/>
    <w:rsid w:val="03E94B2B"/>
    <w:rsid w:val="03F60FF6"/>
    <w:rsid w:val="04001E75"/>
    <w:rsid w:val="041F679F"/>
    <w:rsid w:val="0485043A"/>
    <w:rsid w:val="04891E6A"/>
    <w:rsid w:val="04A44EF6"/>
    <w:rsid w:val="04B30C95"/>
    <w:rsid w:val="04C11604"/>
    <w:rsid w:val="04C9670A"/>
    <w:rsid w:val="05065269"/>
    <w:rsid w:val="05087233"/>
    <w:rsid w:val="05177476"/>
    <w:rsid w:val="051A6F66"/>
    <w:rsid w:val="052D6C99"/>
    <w:rsid w:val="053A13B6"/>
    <w:rsid w:val="053C6EDC"/>
    <w:rsid w:val="0543026B"/>
    <w:rsid w:val="0546107D"/>
    <w:rsid w:val="05461B09"/>
    <w:rsid w:val="0575419C"/>
    <w:rsid w:val="05791EDF"/>
    <w:rsid w:val="058D65B3"/>
    <w:rsid w:val="05E11832"/>
    <w:rsid w:val="05F9301F"/>
    <w:rsid w:val="05FD48BE"/>
    <w:rsid w:val="06112117"/>
    <w:rsid w:val="062260D2"/>
    <w:rsid w:val="06426774"/>
    <w:rsid w:val="06624721"/>
    <w:rsid w:val="066B5CCB"/>
    <w:rsid w:val="066C37F1"/>
    <w:rsid w:val="066C559F"/>
    <w:rsid w:val="06826B71"/>
    <w:rsid w:val="06952D48"/>
    <w:rsid w:val="06986394"/>
    <w:rsid w:val="06DA69AD"/>
    <w:rsid w:val="06DD024B"/>
    <w:rsid w:val="06FD269B"/>
    <w:rsid w:val="070B3997"/>
    <w:rsid w:val="070E2AFA"/>
    <w:rsid w:val="07181283"/>
    <w:rsid w:val="076369A2"/>
    <w:rsid w:val="07685043"/>
    <w:rsid w:val="07AD5E6F"/>
    <w:rsid w:val="07E31891"/>
    <w:rsid w:val="08122176"/>
    <w:rsid w:val="0822685D"/>
    <w:rsid w:val="082900BF"/>
    <w:rsid w:val="08316AA1"/>
    <w:rsid w:val="083D3319"/>
    <w:rsid w:val="086C4631"/>
    <w:rsid w:val="08760957"/>
    <w:rsid w:val="08836BD0"/>
    <w:rsid w:val="089A4646"/>
    <w:rsid w:val="08B82D1E"/>
    <w:rsid w:val="08C2594B"/>
    <w:rsid w:val="08C96CD9"/>
    <w:rsid w:val="08CC0577"/>
    <w:rsid w:val="08D37B58"/>
    <w:rsid w:val="08FA6E92"/>
    <w:rsid w:val="091A12E3"/>
    <w:rsid w:val="09440A55"/>
    <w:rsid w:val="0949705A"/>
    <w:rsid w:val="095E38C5"/>
    <w:rsid w:val="096802A0"/>
    <w:rsid w:val="097A7FD3"/>
    <w:rsid w:val="097C01EF"/>
    <w:rsid w:val="098D5D50"/>
    <w:rsid w:val="098E3A7F"/>
    <w:rsid w:val="09905A49"/>
    <w:rsid w:val="0A2B422F"/>
    <w:rsid w:val="0A34590C"/>
    <w:rsid w:val="0A40746F"/>
    <w:rsid w:val="0A590531"/>
    <w:rsid w:val="0A726EFC"/>
    <w:rsid w:val="0A7E3AF3"/>
    <w:rsid w:val="0AB0502B"/>
    <w:rsid w:val="0AB15C77"/>
    <w:rsid w:val="0AD57BB7"/>
    <w:rsid w:val="0AEB4BF6"/>
    <w:rsid w:val="0AFB3396"/>
    <w:rsid w:val="0AFE7E14"/>
    <w:rsid w:val="0B034CBA"/>
    <w:rsid w:val="0B1F7B80"/>
    <w:rsid w:val="0B220922"/>
    <w:rsid w:val="0B462D36"/>
    <w:rsid w:val="0B5036E2"/>
    <w:rsid w:val="0B5A00BC"/>
    <w:rsid w:val="0B5C3E34"/>
    <w:rsid w:val="0B644BC7"/>
    <w:rsid w:val="0B6B22C9"/>
    <w:rsid w:val="0B860EB1"/>
    <w:rsid w:val="0BA23811"/>
    <w:rsid w:val="0BA457DB"/>
    <w:rsid w:val="0BB73761"/>
    <w:rsid w:val="0BC241ED"/>
    <w:rsid w:val="0BC419DA"/>
    <w:rsid w:val="0BD22349"/>
    <w:rsid w:val="0BDE7619"/>
    <w:rsid w:val="0BEB474C"/>
    <w:rsid w:val="0C13553C"/>
    <w:rsid w:val="0C25415B"/>
    <w:rsid w:val="0C2B2AE6"/>
    <w:rsid w:val="0C30706F"/>
    <w:rsid w:val="0C460641"/>
    <w:rsid w:val="0C4843B9"/>
    <w:rsid w:val="0C491161"/>
    <w:rsid w:val="0C71026A"/>
    <w:rsid w:val="0C923886"/>
    <w:rsid w:val="0CA77331"/>
    <w:rsid w:val="0CAD246E"/>
    <w:rsid w:val="0CEA36C2"/>
    <w:rsid w:val="0CF672C4"/>
    <w:rsid w:val="0D0061F7"/>
    <w:rsid w:val="0D04365F"/>
    <w:rsid w:val="0D2546FA"/>
    <w:rsid w:val="0D2E1801"/>
    <w:rsid w:val="0D3D73DC"/>
    <w:rsid w:val="0D5B011C"/>
    <w:rsid w:val="0D634A19"/>
    <w:rsid w:val="0D887163"/>
    <w:rsid w:val="0D9378B6"/>
    <w:rsid w:val="0DC45CC1"/>
    <w:rsid w:val="0DC61A39"/>
    <w:rsid w:val="0DC857B1"/>
    <w:rsid w:val="0DE87C01"/>
    <w:rsid w:val="0DED16BC"/>
    <w:rsid w:val="0DF04D08"/>
    <w:rsid w:val="0DFE7425"/>
    <w:rsid w:val="0E0D58BA"/>
    <w:rsid w:val="0E1C5AFD"/>
    <w:rsid w:val="0E5C05EF"/>
    <w:rsid w:val="0E7476E7"/>
    <w:rsid w:val="0E7E2314"/>
    <w:rsid w:val="0E8536A2"/>
    <w:rsid w:val="0EA0228A"/>
    <w:rsid w:val="0EA55AF2"/>
    <w:rsid w:val="0EA77ABC"/>
    <w:rsid w:val="0EB14497"/>
    <w:rsid w:val="0EC341CA"/>
    <w:rsid w:val="0EE20AF5"/>
    <w:rsid w:val="0EE303C9"/>
    <w:rsid w:val="0EFA0B6F"/>
    <w:rsid w:val="0F340C24"/>
    <w:rsid w:val="0F3550C8"/>
    <w:rsid w:val="0F36499C"/>
    <w:rsid w:val="0F5337A0"/>
    <w:rsid w:val="0F5C08A7"/>
    <w:rsid w:val="0F5D461F"/>
    <w:rsid w:val="0F5F3EF3"/>
    <w:rsid w:val="0F8A6A96"/>
    <w:rsid w:val="0F900551"/>
    <w:rsid w:val="0FD464CF"/>
    <w:rsid w:val="1008458B"/>
    <w:rsid w:val="100E0BB9"/>
    <w:rsid w:val="102313C5"/>
    <w:rsid w:val="103E0665"/>
    <w:rsid w:val="10497664"/>
    <w:rsid w:val="10A36062"/>
    <w:rsid w:val="10AA73F0"/>
    <w:rsid w:val="10BB33AB"/>
    <w:rsid w:val="10C5422A"/>
    <w:rsid w:val="10F22B45"/>
    <w:rsid w:val="1147131C"/>
    <w:rsid w:val="116869B5"/>
    <w:rsid w:val="117F262B"/>
    <w:rsid w:val="11987B90"/>
    <w:rsid w:val="11A007F3"/>
    <w:rsid w:val="11C6478E"/>
    <w:rsid w:val="11ED5DE0"/>
    <w:rsid w:val="11FF19BD"/>
    <w:rsid w:val="120945EA"/>
    <w:rsid w:val="121216F1"/>
    <w:rsid w:val="1234702B"/>
    <w:rsid w:val="12503FC7"/>
    <w:rsid w:val="12681311"/>
    <w:rsid w:val="12753A2E"/>
    <w:rsid w:val="1299596E"/>
    <w:rsid w:val="129E11D6"/>
    <w:rsid w:val="12B5207C"/>
    <w:rsid w:val="12E0359D"/>
    <w:rsid w:val="13021765"/>
    <w:rsid w:val="131B45D5"/>
    <w:rsid w:val="132A2A6A"/>
    <w:rsid w:val="132C233E"/>
    <w:rsid w:val="13617233"/>
    <w:rsid w:val="13631AD8"/>
    <w:rsid w:val="13641842"/>
    <w:rsid w:val="13767A5D"/>
    <w:rsid w:val="137A57A0"/>
    <w:rsid w:val="138A3509"/>
    <w:rsid w:val="13A10F7E"/>
    <w:rsid w:val="13A24CF6"/>
    <w:rsid w:val="13C21988"/>
    <w:rsid w:val="13DC21E9"/>
    <w:rsid w:val="13E1587A"/>
    <w:rsid w:val="13F37300"/>
    <w:rsid w:val="141579F5"/>
    <w:rsid w:val="14164D9C"/>
    <w:rsid w:val="14253E14"/>
    <w:rsid w:val="1431792D"/>
    <w:rsid w:val="14492FC5"/>
    <w:rsid w:val="1481490C"/>
    <w:rsid w:val="148937C0"/>
    <w:rsid w:val="14A30D26"/>
    <w:rsid w:val="14DA401C"/>
    <w:rsid w:val="1505553D"/>
    <w:rsid w:val="150A47A5"/>
    <w:rsid w:val="151504FA"/>
    <w:rsid w:val="1534197E"/>
    <w:rsid w:val="15604521"/>
    <w:rsid w:val="1594503A"/>
    <w:rsid w:val="15DD5B72"/>
    <w:rsid w:val="15F1786F"/>
    <w:rsid w:val="161A6DC6"/>
    <w:rsid w:val="16565924"/>
    <w:rsid w:val="16677B31"/>
    <w:rsid w:val="16734728"/>
    <w:rsid w:val="16781D3E"/>
    <w:rsid w:val="169E79F7"/>
    <w:rsid w:val="16B32D77"/>
    <w:rsid w:val="16C1295D"/>
    <w:rsid w:val="16C44F84"/>
    <w:rsid w:val="16C86822"/>
    <w:rsid w:val="16CE195E"/>
    <w:rsid w:val="16EB0762"/>
    <w:rsid w:val="16F05D79"/>
    <w:rsid w:val="170C3042"/>
    <w:rsid w:val="170D06D9"/>
    <w:rsid w:val="172D48D7"/>
    <w:rsid w:val="17326391"/>
    <w:rsid w:val="17397720"/>
    <w:rsid w:val="173D7210"/>
    <w:rsid w:val="17432653"/>
    <w:rsid w:val="17453EAE"/>
    <w:rsid w:val="177B5642"/>
    <w:rsid w:val="17872239"/>
    <w:rsid w:val="178B4474"/>
    <w:rsid w:val="178F5592"/>
    <w:rsid w:val="17BD20FF"/>
    <w:rsid w:val="17CA65CA"/>
    <w:rsid w:val="17CF7CDB"/>
    <w:rsid w:val="17D64F6F"/>
    <w:rsid w:val="18025D64"/>
    <w:rsid w:val="18294323"/>
    <w:rsid w:val="182C2DE0"/>
    <w:rsid w:val="18335F1D"/>
    <w:rsid w:val="184243B2"/>
    <w:rsid w:val="184F0509"/>
    <w:rsid w:val="187A1D9E"/>
    <w:rsid w:val="187D363C"/>
    <w:rsid w:val="189A41EE"/>
    <w:rsid w:val="189D27A6"/>
    <w:rsid w:val="18A1557C"/>
    <w:rsid w:val="18A6678E"/>
    <w:rsid w:val="18AC5CCF"/>
    <w:rsid w:val="18AE0076"/>
    <w:rsid w:val="18B63CA5"/>
    <w:rsid w:val="18CF0BB6"/>
    <w:rsid w:val="18FA2EDF"/>
    <w:rsid w:val="1910625E"/>
    <w:rsid w:val="195B1BCF"/>
    <w:rsid w:val="1981715C"/>
    <w:rsid w:val="19AA0461"/>
    <w:rsid w:val="19C31523"/>
    <w:rsid w:val="19C37774"/>
    <w:rsid w:val="19DE635C"/>
    <w:rsid w:val="19DF78EB"/>
    <w:rsid w:val="19EB6C66"/>
    <w:rsid w:val="1A300DC6"/>
    <w:rsid w:val="1A4E34E2"/>
    <w:rsid w:val="1A5A1E87"/>
    <w:rsid w:val="1A5A3C35"/>
    <w:rsid w:val="1A705206"/>
    <w:rsid w:val="1AA50C28"/>
    <w:rsid w:val="1AB377E9"/>
    <w:rsid w:val="1AB570BD"/>
    <w:rsid w:val="1ABC044C"/>
    <w:rsid w:val="1ABF7F3C"/>
    <w:rsid w:val="1ADA2FC8"/>
    <w:rsid w:val="1B18764C"/>
    <w:rsid w:val="1B3F107D"/>
    <w:rsid w:val="1B593EEC"/>
    <w:rsid w:val="1B5A5C20"/>
    <w:rsid w:val="1B6635E4"/>
    <w:rsid w:val="1B740D26"/>
    <w:rsid w:val="1B746F78"/>
    <w:rsid w:val="1B8C0323"/>
    <w:rsid w:val="1B9B4505"/>
    <w:rsid w:val="1BB50E43"/>
    <w:rsid w:val="1BD468A2"/>
    <w:rsid w:val="1BFB31F6"/>
    <w:rsid w:val="1C0A1507"/>
    <w:rsid w:val="1C0C74DD"/>
    <w:rsid w:val="1C1815F1"/>
    <w:rsid w:val="1C1E75AD"/>
    <w:rsid w:val="1C2A3ADB"/>
    <w:rsid w:val="1C2F10F1"/>
    <w:rsid w:val="1C2F5795"/>
    <w:rsid w:val="1C3A1F70"/>
    <w:rsid w:val="1C4E77C9"/>
    <w:rsid w:val="1C623275"/>
    <w:rsid w:val="1C67088B"/>
    <w:rsid w:val="1C844F99"/>
    <w:rsid w:val="1CA05B4B"/>
    <w:rsid w:val="1CB82F98"/>
    <w:rsid w:val="1CC730D8"/>
    <w:rsid w:val="1CFB235C"/>
    <w:rsid w:val="1D0205B4"/>
    <w:rsid w:val="1D3764AF"/>
    <w:rsid w:val="1D41732E"/>
    <w:rsid w:val="1D6D1ED1"/>
    <w:rsid w:val="1D6D3C7F"/>
    <w:rsid w:val="1D721295"/>
    <w:rsid w:val="1D7274E7"/>
    <w:rsid w:val="1D8611E5"/>
    <w:rsid w:val="1DA84CB7"/>
    <w:rsid w:val="1DA9587F"/>
    <w:rsid w:val="1DB84AC1"/>
    <w:rsid w:val="1DCB78D6"/>
    <w:rsid w:val="1DE3419B"/>
    <w:rsid w:val="1E026ABD"/>
    <w:rsid w:val="1E05035C"/>
    <w:rsid w:val="1E1265D5"/>
    <w:rsid w:val="1E380731"/>
    <w:rsid w:val="1E3E3C2B"/>
    <w:rsid w:val="1E42335E"/>
    <w:rsid w:val="1E5D3CF4"/>
    <w:rsid w:val="1E676920"/>
    <w:rsid w:val="1EF26B32"/>
    <w:rsid w:val="1EFF4DAB"/>
    <w:rsid w:val="1F0F6EED"/>
    <w:rsid w:val="1F3D3B25"/>
    <w:rsid w:val="1F6E3CDF"/>
    <w:rsid w:val="1F7A6B27"/>
    <w:rsid w:val="1F7E6617"/>
    <w:rsid w:val="1F8D685B"/>
    <w:rsid w:val="1F9D55DF"/>
    <w:rsid w:val="1FA94D17"/>
    <w:rsid w:val="1FA97BE3"/>
    <w:rsid w:val="1FF24910"/>
    <w:rsid w:val="20191E9C"/>
    <w:rsid w:val="202B7463"/>
    <w:rsid w:val="20452C91"/>
    <w:rsid w:val="204A64FA"/>
    <w:rsid w:val="20A42D9E"/>
    <w:rsid w:val="20B10327"/>
    <w:rsid w:val="20C20DB2"/>
    <w:rsid w:val="20CC59EA"/>
    <w:rsid w:val="20CF7019"/>
    <w:rsid w:val="2110329F"/>
    <w:rsid w:val="21173128"/>
    <w:rsid w:val="212E1977"/>
    <w:rsid w:val="216058A9"/>
    <w:rsid w:val="21615397"/>
    <w:rsid w:val="21696DA2"/>
    <w:rsid w:val="21731A80"/>
    <w:rsid w:val="21823A71"/>
    <w:rsid w:val="21843C8D"/>
    <w:rsid w:val="21A2172C"/>
    <w:rsid w:val="21C978F2"/>
    <w:rsid w:val="21CB366A"/>
    <w:rsid w:val="21D70261"/>
    <w:rsid w:val="21DB6FBC"/>
    <w:rsid w:val="21F20BF7"/>
    <w:rsid w:val="22250FCC"/>
    <w:rsid w:val="22625848"/>
    <w:rsid w:val="22837AA1"/>
    <w:rsid w:val="228A52D3"/>
    <w:rsid w:val="2298179E"/>
    <w:rsid w:val="22A85759"/>
    <w:rsid w:val="22B1735A"/>
    <w:rsid w:val="22CF0F38"/>
    <w:rsid w:val="23166B67"/>
    <w:rsid w:val="231D7EF5"/>
    <w:rsid w:val="2322375E"/>
    <w:rsid w:val="23311535"/>
    <w:rsid w:val="234C7D15"/>
    <w:rsid w:val="23700025"/>
    <w:rsid w:val="23827D58"/>
    <w:rsid w:val="239F6B5C"/>
    <w:rsid w:val="23A241E8"/>
    <w:rsid w:val="23C16AD3"/>
    <w:rsid w:val="23C640E9"/>
    <w:rsid w:val="23DA7B95"/>
    <w:rsid w:val="23E66539"/>
    <w:rsid w:val="23ED5B1A"/>
    <w:rsid w:val="23EE53EE"/>
    <w:rsid w:val="240B5FA0"/>
    <w:rsid w:val="241237D2"/>
    <w:rsid w:val="24247062"/>
    <w:rsid w:val="24247A83"/>
    <w:rsid w:val="24526353"/>
    <w:rsid w:val="24633790"/>
    <w:rsid w:val="24A4022F"/>
    <w:rsid w:val="24B84EC1"/>
    <w:rsid w:val="24B959FC"/>
    <w:rsid w:val="24E16D01"/>
    <w:rsid w:val="24E30CCB"/>
    <w:rsid w:val="24FC55E9"/>
    <w:rsid w:val="2500362B"/>
    <w:rsid w:val="25253091"/>
    <w:rsid w:val="254479BB"/>
    <w:rsid w:val="254A2AF8"/>
    <w:rsid w:val="255B2F57"/>
    <w:rsid w:val="255D79B1"/>
    <w:rsid w:val="257A162F"/>
    <w:rsid w:val="25B66E03"/>
    <w:rsid w:val="25BF34E6"/>
    <w:rsid w:val="25D55A37"/>
    <w:rsid w:val="25F0369F"/>
    <w:rsid w:val="25FD5DBC"/>
    <w:rsid w:val="260B672B"/>
    <w:rsid w:val="2639590B"/>
    <w:rsid w:val="2687531C"/>
    <w:rsid w:val="26964247"/>
    <w:rsid w:val="26BC7A25"/>
    <w:rsid w:val="26C30DB4"/>
    <w:rsid w:val="26D7660D"/>
    <w:rsid w:val="26D91421"/>
    <w:rsid w:val="26DD1AF5"/>
    <w:rsid w:val="26EA00EF"/>
    <w:rsid w:val="270A253F"/>
    <w:rsid w:val="2734580E"/>
    <w:rsid w:val="273677D8"/>
    <w:rsid w:val="2762237B"/>
    <w:rsid w:val="276F4A98"/>
    <w:rsid w:val="27962024"/>
    <w:rsid w:val="279A1B15"/>
    <w:rsid w:val="27CB6172"/>
    <w:rsid w:val="27D843EB"/>
    <w:rsid w:val="27E14530"/>
    <w:rsid w:val="27F21951"/>
    <w:rsid w:val="27F31225"/>
    <w:rsid w:val="27F87689"/>
    <w:rsid w:val="28101DD7"/>
    <w:rsid w:val="28123DA1"/>
    <w:rsid w:val="281670F4"/>
    <w:rsid w:val="281713B7"/>
    <w:rsid w:val="28537F15"/>
    <w:rsid w:val="286966F0"/>
    <w:rsid w:val="287F6F5C"/>
    <w:rsid w:val="289F315B"/>
    <w:rsid w:val="28A013AD"/>
    <w:rsid w:val="28A54C15"/>
    <w:rsid w:val="28D01566"/>
    <w:rsid w:val="28DE3C83"/>
    <w:rsid w:val="28DF7B36"/>
    <w:rsid w:val="28F434A6"/>
    <w:rsid w:val="28FB65E3"/>
    <w:rsid w:val="290770E9"/>
    <w:rsid w:val="29183639"/>
    <w:rsid w:val="2958126A"/>
    <w:rsid w:val="298A7967"/>
    <w:rsid w:val="298B7E31"/>
    <w:rsid w:val="298E7457"/>
    <w:rsid w:val="299B2C5B"/>
    <w:rsid w:val="299B784D"/>
    <w:rsid w:val="29CC7F7F"/>
    <w:rsid w:val="2A0B6CFA"/>
    <w:rsid w:val="2A1060E5"/>
    <w:rsid w:val="2A1D6A2D"/>
    <w:rsid w:val="2A247DBB"/>
    <w:rsid w:val="2A2A1C95"/>
    <w:rsid w:val="2A654D71"/>
    <w:rsid w:val="2A6B4354"/>
    <w:rsid w:val="2A714DB1"/>
    <w:rsid w:val="2AA1765E"/>
    <w:rsid w:val="2AA902C1"/>
    <w:rsid w:val="2ADB491E"/>
    <w:rsid w:val="2AE67194"/>
    <w:rsid w:val="2AED63FF"/>
    <w:rsid w:val="2AF43C32"/>
    <w:rsid w:val="2AFC2AE6"/>
    <w:rsid w:val="2B12230A"/>
    <w:rsid w:val="2B30453E"/>
    <w:rsid w:val="2B340560"/>
    <w:rsid w:val="2B4B0F2E"/>
    <w:rsid w:val="2B8149C9"/>
    <w:rsid w:val="2BA80578"/>
    <w:rsid w:val="2BBE1B4A"/>
    <w:rsid w:val="2BCE4483"/>
    <w:rsid w:val="2BDB6BA0"/>
    <w:rsid w:val="2C0C6D59"/>
    <w:rsid w:val="2C9254B0"/>
    <w:rsid w:val="2CF577ED"/>
    <w:rsid w:val="2CFC6DCE"/>
    <w:rsid w:val="2D0A3299"/>
    <w:rsid w:val="2D15784D"/>
    <w:rsid w:val="2D253883"/>
    <w:rsid w:val="2D281971"/>
    <w:rsid w:val="2D377E06"/>
    <w:rsid w:val="2D55749B"/>
    <w:rsid w:val="2D5B3AF4"/>
    <w:rsid w:val="2D8C0151"/>
    <w:rsid w:val="2DB80F46"/>
    <w:rsid w:val="2DC93154"/>
    <w:rsid w:val="2DE57862"/>
    <w:rsid w:val="2DEC0BF0"/>
    <w:rsid w:val="2DFD104F"/>
    <w:rsid w:val="2E1A7735"/>
    <w:rsid w:val="2E1D6FFC"/>
    <w:rsid w:val="2E354194"/>
    <w:rsid w:val="2E380B85"/>
    <w:rsid w:val="2E396D2F"/>
    <w:rsid w:val="2E4C5B33"/>
    <w:rsid w:val="2E6C1D31"/>
    <w:rsid w:val="2E7035CF"/>
    <w:rsid w:val="2E70537D"/>
    <w:rsid w:val="2E8636C5"/>
    <w:rsid w:val="2EB12B4F"/>
    <w:rsid w:val="2EB246DE"/>
    <w:rsid w:val="2EBA0CEE"/>
    <w:rsid w:val="2EEB70FA"/>
    <w:rsid w:val="2EF4306A"/>
    <w:rsid w:val="2EFF7B17"/>
    <w:rsid w:val="2F1E127D"/>
    <w:rsid w:val="2F1E302B"/>
    <w:rsid w:val="2F2E6FE6"/>
    <w:rsid w:val="2F2F7552"/>
    <w:rsid w:val="2F386C31"/>
    <w:rsid w:val="2F5527C5"/>
    <w:rsid w:val="2F5729E1"/>
    <w:rsid w:val="2F5A7DDB"/>
    <w:rsid w:val="2F5B70A6"/>
    <w:rsid w:val="2F6A2714"/>
    <w:rsid w:val="2F7215C9"/>
    <w:rsid w:val="2F8110B2"/>
    <w:rsid w:val="2F8135BA"/>
    <w:rsid w:val="2F837332"/>
    <w:rsid w:val="2F9A7C23"/>
    <w:rsid w:val="2FB219C5"/>
    <w:rsid w:val="2FB83480"/>
    <w:rsid w:val="2FD7142C"/>
    <w:rsid w:val="2FF66A35"/>
    <w:rsid w:val="3016018F"/>
    <w:rsid w:val="30182170"/>
    <w:rsid w:val="30222700"/>
    <w:rsid w:val="30224D9D"/>
    <w:rsid w:val="302E3742"/>
    <w:rsid w:val="302E54F0"/>
    <w:rsid w:val="30405223"/>
    <w:rsid w:val="30517430"/>
    <w:rsid w:val="307750E9"/>
    <w:rsid w:val="3095731D"/>
    <w:rsid w:val="309A6C2A"/>
    <w:rsid w:val="309D2676"/>
    <w:rsid w:val="309F0AA3"/>
    <w:rsid w:val="30A532D8"/>
    <w:rsid w:val="30D07FA5"/>
    <w:rsid w:val="30F54039"/>
    <w:rsid w:val="312406A1"/>
    <w:rsid w:val="31427DE9"/>
    <w:rsid w:val="318059EC"/>
    <w:rsid w:val="31853836"/>
    <w:rsid w:val="31B163D9"/>
    <w:rsid w:val="31B9528D"/>
    <w:rsid w:val="31ED4F37"/>
    <w:rsid w:val="322C1F03"/>
    <w:rsid w:val="322D17D7"/>
    <w:rsid w:val="32476D3D"/>
    <w:rsid w:val="32544FB6"/>
    <w:rsid w:val="32664E61"/>
    <w:rsid w:val="32803FFD"/>
    <w:rsid w:val="328D6D4D"/>
    <w:rsid w:val="329F26D5"/>
    <w:rsid w:val="32A12A53"/>
    <w:rsid w:val="32A23F73"/>
    <w:rsid w:val="32A736C6"/>
    <w:rsid w:val="32BB5035"/>
    <w:rsid w:val="32E9726C"/>
    <w:rsid w:val="3310712F"/>
    <w:rsid w:val="331D184C"/>
    <w:rsid w:val="3322153D"/>
    <w:rsid w:val="33421FB2"/>
    <w:rsid w:val="33527747"/>
    <w:rsid w:val="33557238"/>
    <w:rsid w:val="336139A1"/>
    <w:rsid w:val="337D1A6A"/>
    <w:rsid w:val="338813BB"/>
    <w:rsid w:val="33AE3B47"/>
    <w:rsid w:val="33C323F3"/>
    <w:rsid w:val="33C5616B"/>
    <w:rsid w:val="33DA00D3"/>
    <w:rsid w:val="34030A42"/>
    <w:rsid w:val="34076784"/>
    <w:rsid w:val="340842AA"/>
    <w:rsid w:val="340B78F6"/>
    <w:rsid w:val="342C1119"/>
    <w:rsid w:val="343155AF"/>
    <w:rsid w:val="3452239D"/>
    <w:rsid w:val="345319C9"/>
    <w:rsid w:val="346A6C0D"/>
    <w:rsid w:val="34823E17"/>
    <w:rsid w:val="3491376E"/>
    <w:rsid w:val="34A044E2"/>
    <w:rsid w:val="34B65AB4"/>
    <w:rsid w:val="34BD5094"/>
    <w:rsid w:val="34DD5737"/>
    <w:rsid w:val="35020CF9"/>
    <w:rsid w:val="35064C8D"/>
    <w:rsid w:val="35284C04"/>
    <w:rsid w:val="3544296F"/>
    <w:rsid w:val="354E0427"/>
    <w:rsid w:val="356620CC"/>
    <w:rsid w:val="35756001"/>
    <w:rsid w:val="358E07DF"/>
    <w:rsid w:val="35A95619"/>
    <w:rsid w:val="35C71F1B"/>
    <w:rsid w:val="35E41D30"/>
    <w:rsid w:val="35EA1144"/>
    <w:rsid w:val="36160EF2"/>
    <w:rsid w:val="361E1B63"/>
    <w:rsid w:val="36203B2D"/>
    <w:rsid w:val="36274EBB"/>
    <w:rsid w:val="36372C24"/>
    <w:rsid w:val="364C4922"/>
    <w:rsid w:val="366A0E18"/>
    <w:rsid w:val="36723C5D"/>
    <w:rsid w:val="36826596"/>
    <w:rsid w:val="368D6CE8"/>
    <w:rsid w:val="368E4F3A"/>
    <w:rsid w:val="36982A7D"/>
    <w:rsid w:val="36B44275"/>
    <w:rsid w:val="36B669D8"/>
    <w:rsid w:val="36DD37CC"/>
    <w:rsid w:val="36E903C3"/>
    <w:rsid w:val="36FA2811"/>
    <w:rsid w:val="372A4537"/>
    <w:rsid w:val="372F2F1C"/>
    <w:rsid w:val="37403D5B"/>
    <w:rsid w:val="375D490D"/>
    <w:rsid w:val="37677539"/>
    <w:rsid w:val="376D2DA2"/>
    <w:rsid w:val="37841E99"/>
    <w:rsid w:val="379522F8"/>
    <w:rsid w:val="37985945"/>
    <w:rsid w:val="37A4253C"/>
    <w:rsid w:val="37AB5678"/>
    <w:rsid w:val="380D0024"/>
    <w:rsid w:val="381C5B77"/>
    <w:rsid w:val="382C4A0B"/>
    <w:rsid w:val="383B4C4E"/>
    <w:rsid w:val="383E029A"/>
    <w:rsid w:val="38442647"/>
    <w:rsid w:val="386121DB"/>
    <w:rsid w:val="386778A2"/>
    <w:rsid w:val="388042B9"/>
    <w:rsid w:val="38991974"/>
    <w:rsid w:val="38B22A36"/>
    <w:rsid w:val="38B30C88"/>
    <w:rsid w:val="38E2156D"/>
    <w:rsid w:val="38F117B0"/>
    <w:rsid w:val="390037A2"/>
    <w:rsid w:val="39096AFA"/>
    <w:rsid w:val="39207605"/>
    <w:rsid w:val="392E030F"/>
    <w:rsid w:val="392F4087"/>
    <w:rsid w:val="39333B77"/>
    <w:rsid w:val="394D78F5"/>
    <w:rsid w:val="3962445C"/>
    <w:rsid w:val="39691347"/>
    <w:rsid w:val="396A4C97"/>
    <w:rsid w:val="398C3287"/>
    <w:rsid w:val="399B34CA"/>
    <w:rsid w:val="399F2FBB"/>
    <w:rsid w:val="39BA4298"/>
    <w:rsid w:val="39CD5D7A"/>
    <w:rsid w:val="39D4535A"/>
    <w:rsid w:val="39D8471E"/>
    <w:rsid w:val="39E84962"/>
    <w:rsid w:val="3A015A23"/>
    <w:rsid w:val="3ABC7B9C"/>
    <w:rsid w:val="3AC54CA3"/>
    <w:rsid w:val="3AC86541"/>
    <w:rsid w:val="3AD66EB0"/>
    <w:rsid w:val="3ADE3E5D"/>
    <w:rsid w:val="3B0A6B5A"/>
    <w:rsid w:val="3B0E03F7"/>
    <w:rsid w:val="3B190B4B"/>
    <w:rsid w:val="3B3A743F"/>
    <w:rsid w:val="3B954675"/>
    <w:rsid w:val="3BA743A8"/>
    <w:rsid w:val="3BC1546A"/>
    <w:rsid w:val="3BC913F2"/>
    <w:rsid w:val="3C0B4937"/>
    <w:rsid w:val="3C192594"/>
    <w:rsid w:val="3C2A3F6A"/>
    <w:rsid w:val="3C2D6FA3"/>
    <w:rsid w:val="3C326CDD"/>
    <w:rsid w:val="3C333E8E"/>
    <w:rsid w:val="3C552056"/>
    <w:rsid w:val="3C7E15AD"/>
    <w:rsid w:val="3C7E335B"/>
    <w:rsid w:val="3C964B49"/>
    <w:rsid w:val="3CA01523"/>
    <w:rsid w:val="3CAA05F4"/>
    <w:rsid w:val="3CB2620D"/>
    <w:rsid w:val="3CCF1E09"/>
    <w:rsid w:val="3CFD4BC8"/>
    <w:rsid w:val="3D3B2FFA"/>
    <w:rsid w:val="3D424389"/>
    <w:rsid w:val="3D4C3459"/>
    <w:rsid w:val="3D4E5324"/>
    <w:rsid w:val="3D69400B"/>
    <w:rsid w:val="3D6C3AFB"/>
    <w:rsid w:val="3D6F0EF6"/>
    <w:rsid w:val="3DAA0180"/>
    <w:rsid w:val="3DD05E38"/>
    <w:rsid w:val="3E016A5C"/>
    <w:rsid w:val="3E0E4BB3"/>
    <w:rsid w:val="3E102FD6"/>
    <w:rsid w:val="3E1D6BA4"/>
    <w:rsid w:val="3E3A59A8"/>
    <w:rsid w:val="3E3F6B1A"/>
    <w:rsid w:val="3E4E4FAF"/>
    <w:rsid w:val="3E524A9F"/>
    <w:rsid w:val="3E6E73FF"/>
    <w:rsid w:val="3E810EE1"/>
    <w:rsid w:val="3E9055C8"/>
    <w:rsid w:val="3E976FDE"/>
    <w:rsid w:val="3EAB0654"/>
    <w:rsid w:val="3F2D2E17"/>
    <w:rsid w:val="3F4F5483"/>
    <w:rsid w:val="3F5B40E1"/>
    <w:rsid w:val="3F6E3B5B"/>
    <w:rsid w:val="3F740A45"/>
    <w:rsid w:val="3F791C22"/>
    <w:rsid w:val="3FAE21A9"/>
    <w:rsid w:val="3FAE457E"/>
    <w:rsid w:val="3FC7326B"/>
    <w:rsid w:val="3FD57736"/>
    <w:rsid w:val="3FE94F8F"/>
    <w:rsid w:val="40096808"/>
    <w:rsid w:val="40181093"/>
    <w:rsid w:val="40204729"/>
    <w:rsid w:val="4037219F"/>
    <w:rsid w:val="40625DD1"/>
    <w:rsid w:val="40811FBA"/>
    <w:rsid w:val="40B14030"/>
    <w:rsid w:val="40DC68A2"/>
    <w:rsid w:val="40E81285"/>
    <w:rsid w:val="41003677"/>
    <w:rsid w:val="410E108A"/>
    <w:rsid w:val="41126768"/>
    <w:rsid w:val="41250249"/>
    <w:rsid w:val="41523008"/>
    <w:rsid w:val="415703AE"/>
    <w:rsid w:val="4157061F"/>
    <w:rsid w:val="41856DF3"/>
    <w:rsid w:val="41890503"/>
    <w:rsid w:val="41986C6D"/>
    <w:rsid w:val="41AE6491"/>
    <w:rsid w:val="41C07F72"/>
    <w:rsid w:val="41D13F2D"/>
    <w:rsid w:val="41DB4DAC"/>
    <w:rsid w:val="421309EA"/>
    <w:rsid w:val="421F2EEA"/>
    <w:rsid w:val="42254279"/>
    <w:rsid w:val="422C5607"/>
    <w:rsid w:val="425C413F"/>
    <w:rsid w:val="427D5E63"/>
    <w:rsid w:val="42823479"/>
    <w:rsid w:val="42975177"/>
    <w:rsid w:val="42984A4B"/>
    <w:rsid w:val="429D2975"/>
    <w:rsid w:val="42B914BF"/>
    <w:rsid w:val="42C15095"/>
    <w:rsid w:val="42C83582"/>
    <w:rsid w:val="42E26BEB"/>
    <w:rsid w:val="42F36125"/>
    <w:rsid w:val="43170066"/>
    <w:rsid w:val="432E715D"/>
    <w:rsid w:val="436112E1"/>
    <w:rsid w:val="43655275"/>
    <w:rsid w:val="43776D56"/>
    <w:rsid w:val="43811983"/>
    <w:rsid w:val="438D0328"/>
    <w:rsid w:val="438F675C"/>
    <w:rsid w:val="43C95804"/>
    <w:rsid w:val="43D900EB"/>
    <w:rsid w:val="43FB34E3"/>
    <w:rsid w:val="44580936"/>
    <w:rsid w:val="44654E01"/>
    <w:rsid w:val="44676DCB"/>
    <w:rsid w:val="446B0669"/>
    <w:rsid w:val="4473751E"/>
    <w:rsid w:val="447876B9"/>
    <w:rsid w:val="44815CE3"/>
    <w:rsid w:val="44A27E03"/>
    <w:rsid w:val="44B87626"/>
    <w:rsid w:val="44C61D43"/>
    <w:rsid w:val="44E1092B"/>
    <w:rsid w:val="44E73A68"/>
    <w:rsid w:val="45181E73"/>
    <w:rsid w:val="45344EFF"/>
    <w:rsid w:val="453E58F6"/>
    <w:rsid w:val="45873581"/>
    <w:rsid w:val="45A57BAB"/>
    <w:rsid w:val="45B63B66"/>
    <w:rsid w:val="45F8417E"/>
    <w:rsid w:val="461A6CDD"/>
    <w:rsid w:val="461C07F8"/>
    <w:rsid w:val="462416ED"/>
    <w:rsid w:val="4633385B"/>
    <w:rsid w:val="46362EF9"/>
    <w:rsid w:val="464253F9"/>
    <w:rsid w:val="4645232A"/>
    <w:rsid w:val="46491DFE"/>
    <w:rsid w:val="46761547"/>
    <w:rsid w:val="468E4AE3"/>
    <w:rsid w:val="46A77952"/>
    <w:rsid w:val="46B34549"/>
    <w:rsid w:val="46BB3E2B"/>
    <w:rsid w:val="46CE1383"/>
    <w:rsid w:val="46EE732F"/>
    <w:rsid w:val="46F506BE"/>
    <w:rsid w:val="471F1BDF"/>
    <w:rsid w:val="47394A4E"/>
    <w:rsid w:val="47462CC7"/>
    <w:rsid w:val="47C76828"/>
    <w:rsid w:val="47DC48D8"/>
    <w:rsid w:val="47F6293F"/>
    <w:rsid w:val="47FB1D04"/>
    <w:rsid w:val="48073451"/>
    <w:rsid w:val="48074B4D"/>
    <w:rsid w:val="481B05F8"/>
    <w:rsid w:val="482E20D9"/>
    <w:rsid w:val="482E2B49"/>
    <w:rsid w:val="484106AC"/>
    <w:rsid w:val="48657AC5"/>
    <w:rsid w:val="48711FC6"/>
    <w:rsid w:val="48753959"/>
    <w:rsid w:val="4884619D"/>
    <w:rsid w:val="4885197F"/>
    <w:rsid w:val="48A203D1"/>
    <w:rsid w:val="48A4239B"/>
    <w:rsid w:val="48B84099"/>
    <w:rsid w:val="48C84BAF"/>
    <w:rsid w:val="48D32C81"/>
    <w:rsid w:val="490966A2"/>
    <w:rsid w:val="49315BA3"/>
    <w:rsid w:val="494B2817"/>
    <w:rsid w:val="494F67AB"/>
    <w:rsid w:val="49543DC1"/>
    <w:rsid w:val="495F4514"/>
    <w:rsid w:val="49667651"/>
    <w:rsid w:val="4968161B"/>
    <w:rsid w:val="49831FB1"/>
    <w:rsid w:val="49BA52D4"/>
    <w:rsid w:val="49D767A1"/>
    <w:rsid w:val="49E1317B"/>
    <w:rsid w:val="49E73E7F"/>
    <w:rsid w:val="49EB3779"/>
    <w:rsid w:val="49FC7FB5"/>
    <w:rsid w:val="49FE5ADB"/>
    <w:rsid w:val="4A0155CC"/>
    <w:rsid w:val="4A1F7EB0"/>
    <w:rsid w:val="4A22172B"/>
    <w:rsid w:val="4A265BF7"/>
    <w:rsid w:val="4A301A0D"/>
    <w:rsid w:val="4A353F2E"/>
    <w:rsid w:val="4A421E6C"/>
    <w:rsid w:val="4A563B69"/>
    <w:rsid w:val="4A6D0359"/>
    <w:rsid w:val="4A7625B5"/>
    <w:rsid w:val="4A842484"/>
    <w:rsid w:val="4AAE12AF"/>
    <w:rsid w:val="4AB44FBA"/>
    <w:rsid w:val="4AB64608"/>
    <w:rsid w:val="4ACB00B3"/>
    <w:rsid w:val="4AE178D7"/>
    <w:rsid w:val="4AEB42B2"/>
    <w:rsid w:val="4B0E650B"/>
    <w:rsid w:val="4B1559F1"/>
    <w:rsid w:val="4B35552D"/>
    <w:rsid w:val="4B3B2C1B"/>
    <w:rsid w:val="4B3D2633"/>
    <w:rsid w:val="4B5B51F8"/>
    <w:rsid w:val="4B6642D2"/>
    <w:rsid w:val="4B6721ED"/>
    <w:rsid w:val="4B685902"/>
    <w:rsid w:val="4B9B1571"/>
    <w:rsid w:val="4B9F509C"/>
    <w:rsid w:val="4BA10E14"/>
    <w:rsid w:val="4BB07669"/>
    <w:rsid w:val="4BC36FDC"/>
    <w:rsid w:val="4BCD39B7"/>
    <w:rsid w:val="4BD33066"/>
    <w:rsid w:val="4BF751CC"/>
    <w:rsid w:val="4BFB6776"/>
    <w:rsid w:val="4C03562B"/>
    <w:rsid w:val="4C0601AB"/>
    <w:rsid w:val="4C147838"/>
    <w:rsid w:val="4C1C66ED"/>
    <w:rsid w:val="4C4E0DDC"/>
    <w:rsid w:val="4C575977"/>
    <w:rsid w:val="4C59349D"/>
    <w:rsid w:val="4C651E42"/>
    <w:rsid w:val="4C7E2F03"/>
    <w:rsid w:val="4C980195"/>
    <w:rsid w:val="4C9A02AC"/>
    <w:rsid w:val="4CBA1A1C"/>
    <w:rsid w:val="4CD36F43"/>
    <w:rsid w:val="4CDF7E46"/>
    <w:rsid w:val="4CF8721A"/>
    <w:rsid w:val="4D0258E3"/>
    <w:rsid w:val="4D0A29E9"/>
    <w:rsid w:val="4D0E24D9"/>
    <w:rsid w:val="4D5325E2"/>
    <w:rsid w:val="4D6245D3"/>
    <w:rsid w:val="4DDC52F3"/>
    <w:rsid w:val="4DEF6848"/>
    <w:rsid w:val="4E0F6509"/>
    <w:rsid w:val="4E281379"/>
    <w:rsid w:val="4E593C28"/>
    <w:rsid w:val="4E6948AF"/>
    <w:rsid w:val="4E951D31"/>
    <w:rsid w:val="4E9764FE"/>
    <w:rsid w:val="4E9904C8"/>
    <w:rsid w:val="4EB40E5E"/>
    <w:rsid w:val="4EDF1EFF"/>
    <w:rsid w:val="4EE2069C"/>
    <w:rsid w:val="4EEC05F8"/>
    <w:rsid w:val="4EF31987"/>
    <w:rsid w:val="4EFB4CDF"/>
    <w:rsid w:val="4F0040A4"/>
    <w:rsid w:val="4F02606E"/>
    <w:rsid w:val="4F1B0EDE"/>
    <w:rsid w:val="4F1E48E5"/>
    <w:rsid w:val="4F84791D"/>
    <w:rsid w:val="4F8545A9"/>
    <w:rsid w:val="4FBF5D0D"/>
    <w:rsid w:val="4FC41575"/>
    <w:rsid w:val="4FDB4DF8"/>
    <w:rsid w:val="4FF534DD"/>
    <w:rsid w:val="4FFC2ABD"/>
    <w:rsid w:val="501C3A12"/>
    <w:rsid w:val="501D7453"/>
    <w:rsid w:val="506F7733"/>
    <w:rsid w:val="50760AC1"/>
    <w:rsid w:val="509B4EE0"/>
    <w:rsid w:val="50A15412"/>
    <w:rsid w:val="50B45146"/>
    <w:rsid w:val="50BC6D19"/>
    <w:rsid w:val="50C35389"/>
    <w:rsid w:val="50D21A70"/>
    <w:rsid w:val="50DE5F67"/>
    <w:rsid w:val="50E27F05"/>
    <w:rsid w:val="50ED7463"/>
    <w:rsid w:val="50F343B8"/>
    <w:rsid w:val="50F639B0"/>
    <w:rsid w:val="50F73284"/>
    <w:rsid w:val="50FB4B23"/>
    <w:rsid w:val="51271DBC"/>
    <w:rsid w:val="517F5754"/>
    <w:rsid w:val="51AB6549"/>
    <w:rsid w:val="51B07B89"/>
    <w:rsid w:val="51B573C7"/>
    <w:rsid w:val="51BB50B0"/>
    <w:rsid w:val="51D84E64"/>
    <w:rsid w:val="51EE28D9"/>
    <w:rsid w:val="51F56985"/>
    <w:rsid w:val="52075749"/>
    <w:rsid w:val="521A722A"/>
    <w:rsid w:val="522022B5"/>
    <w:rsid w:val="52203989"/>
    <w:rsid w:val="522B3A0C"/>
    <w:rsid w:val="523C3645"/>
    <w:rsid w:val="524B1ADA"/>
    <w:rsid w:val="524D7600"/>
    <w:rsid w:val="526D7CA2"/>
    <w:rsid w:val="52777356"/>
    <w:rsid w:val="527B23BF"/>
    <w:rsid w:val="52B50A93"/>
    <w:rsid w:val="52BE7DAF"/>
    <w:rsid w:val="52C8137C"/>
    <w:rsid w:val="52E02222"/>
    <w:rsid w:val="530A3743"/>
    <w:rsid w:val="530A729F"/>
    <w:rsid w:val="53202F66"/>
    <w:rsid w:val="532C36B9"/>
    <w:rsid w:val="53530C46"/>
    <w:rsid w:val="53536E98"/>
    <w:rsid w:val="535D4D1B"/>
    <w:rsid w:val="538A6632"/>
    <w:rsid w:val="538B4884"/>
    <w:rsid w:val="53B042EA"/>
    <w:rsid w:val="53B91B3A"/>
    <w:rsid w:val="53BC2E44"/>
    <w:rsid w:val="53C536C1"/>
    <w:rsid w:val="53EC4BF7"/>
    <w:rsid w:val="540E1011"/>
    <w:rsid w:val="54106B37"/>
    <w:rsid w:val="54280325"/>
    <w:rsid w:val="5435659E"/>
    <w:rsid w:val="54370568"/>
    <w:rsid w:val="544E58B1"/>
    <w:rsid w:val="54752E3E"/>
    <w:rsid w:val="54770964"/>
    <w:rsid w:val="54815C87"/>
    <w:rsid w:val="54994D7E"/>
    <w:rsid w:val="54B723CC"/>
    <w:rsid w:val="54B75204"/>
    <w:rsid w:val="54D67D81"/>
    <w:rsid w:val="54E17ACE"/>
    <w:rsid w:val="54EC75A4"/>
    <w:rsid w:val="54F2448F"/>
    <w:rsid w:val="54F34D20"/>
    <w:rsid w:val="5516017D"/>
    <w:rsid w:val="55366A71"/>
    <w:rsid w:val="554D7917"/>
    <w:rsid w:val="5550664E"/>
    <w:rsid w:val="555313D1"/>
    <w:rsid w:val="55733821"/>
    <w:rsid w:val="558A2919"/>
    <w:rsid w:val="55AC7554"/>
    <w:rsid w:val="55D83684"/>
    <w:rsid w:val="5621502B"/>
    <w:rsid w:val="5641747C"/>
    <w:rsid w:val="56462CE4"/>
    <w:rsid w:val="565151E5"/>
    <w:rsid w:val="56576C9F"/>
    <w:rsid w:val="566D12C7"/>
    <w:rsid w:val="56892BD1"/>
    <w:rsid w:val="569F12FA"/>
    <w:rsid w:val="56A619D5"/>
    <w:rsid w:val="56B440F1"/>
    <w:rsid w:val="56D57BC4"/>
    <w:rsid w:val="56FC15F5"/>
    <w:rsid w:val="570861EB"/>
    <w:rsid w:val="57090374"/>
    <w:rsid w:val="57193F55"/>
    <w:rsid w:val="57323268"/>
    <w:rsid w:val="57462870"/>
    <w:rsid w:val="574B7E86"/>
    <w:rsid w:val="575C02E5"/>
    <w:rsid w:val="57602EA9"/>
    <w:rsid w:val="576176AA"/>
    <w:rsid w:val="57746636"/>
    <w:rsid w:val="57923D07"/>
    <w:rsid w:val="579D4B86"/>
    <w:rsid w:val="579E26AC"/>
    <w:rsid w:val="57A06424"/>
    <w:rsid w:val="57A81A8E"/>
    <w:rsid w:val="58093FC9"/>
    <w:rsid w:val="582E3475"/>
    <w:rsid w:val="586B6A32"/>
    <w:rsid w:val="5886561A"/>
    <w:rsid w:val="58A41F44"/>
    <w:rsid w:val="58C403A1"/>
    <w:rsid w:val="58E80082"/>
    <w:rsid w:val="58F11E8B"/>
    <w:rsid w:val="591470C9"/>
    <w:rsid w:val="59154BEF"/>
    <w:rsid w:val="59213E93"/>
    <w:rsid w:val="592F5CB1"/>
    <w:rsid w:val="594219B1"/>
    <w:rsid w:val="595C6678"/>
    <w:rsid w:val="596A6CE9"/>
    <w:rsid w:val="59701E26"/>
    <w:rsid w:val="597404E6"/>
    <w:rsid w:val="5979517E"/>
    <w:rsid w:val="59796F2C"/>
    <w:rsid w:val="598C4EB2"/>
    <w:rsid w:val="59945B14"/>
    <w:rsid w:val="599C4367"/>
    <w:rsid w:val="599E4BE5"/>
    <w:rsid w:val="59A65848"/>
    <w:rsid w:val="59B2243E"/>
    <w:rsid w:val="59B93EEC"/>
    <w:rsid w:val="59CC3500"/>
    <w:rsid w:val="5A0F163F"/>
    <w:rsid w:val="5A2E41BB"/>
    <w:rsid w:val="5A3572F7"/>
    <w:rsid w:val="5A475BA4"/>
    <w:rsid w:val="5A5F6122"/>
    <w:rsid w:val="5A957D96"/>
    <w:rsid w:val="5AC73CC7"/>
    <w:rsid w:val="5ADF54B5"/>
    <w:rsid w:val="5AF0321E"/>
    <w:rsid w:val="5B062A42"/>
    <w:rsid w:val="5B120427"/>
    <w:rsid w:val="5B4D68C3"/>
    <w:rsid w:val="5B4F602C"/>
    <w:rsid w:val="5B547C51"/>
    <w:rsid w:val="5B622821"/>
    <w:rsid w:val="5B63716B"/>
    <w:rsid w:val="5B6E1A16"/>
    <w:rsid w:val="5B70435F"/>
    <w:rsid w:val="5B7C2D04"/>
    <w:rsid w:val="5B80692C"/>
    <w:rsid w:val="5BA04C44"/>
    <w:rsid w:val="5BA81D4B"/>
    <w:rsid w:val="5BD82630"/>
    <w:rsid w:val="5BE014E5"/>
    <w:rsid w:val="5BE3631D"/>
    <w:rsid w:val="5BE508A9"/>
    <w:rsid w:val="5BED3C02"/>
    <w:rsid w:val="5BF46D3E"/>
    <w:rsid w:val="5BFD3E45"/>
    <w:rsid w:val="5C180C7F"/>
    <w:rsid w:val="5C1A3DF3"/>
    <w:rsid w:val="5C2138BE"/>
    <w:rsid w:val="5C2A09B2"/>
    <w:rsid w:val="5C2C2C25"/>
    <w:rsid w:val="5C311D40"/>
    <w:rsid w:val="5C4F0418"/>
    <w:rsid w:val="5C5F065B"/>
    <w:rsid w:val="5C6A5252"/>
    <w:rsid w:val="5C82259C"/>
    <w:rsid w:val="5CC742A1"/>
    <w:rsid w:val="5CC91F79"/>
    <w:rsid w:val="5CD728E8"/>
    <w:rsid w:val="5D30024A"/>
    <w:rsid w:val="5D415FB3"/>
    <w:rsid w:val="5D7E550E"/>
    <w:rsid w:val="5D9702C9"/>
    <w:rsid w:val="5DC0337C"/>
    <w:rsid w:val="5DC310BE"/>
    <w:rsid w:val="5DDE1A54"/>
    <w:rsid w:val="5E384714"/>
    <w:rsid w:val="5E431D24"/>
    <w:rsid w:val="5E454CED"/>
    <w:rsid w:val="5E4F2952"/>
    <w:rsid w:val="5E710B1A"/>
    <w:rsid w:val="5EB17168"/>
    <w:rsid w:val="5EB629D1"/>
    <w:rsid w:val="5EBB7FE7"/>
    <w:rsid w:val="5EC724E8"/>
    <w:rsid w:val="5EC96260"/>
    <w:rsid w:val="5ECE7D1A"/>
    <w:rsid w:val="5ED82947"/>
    <w:rsid w:val="5ED93E8E"/>
    <w:rsid w:val="5F1220FB"/>
    <w:rsid w:val="5F223BC2"/>
    <w:rsid w:val="5F28567D"/>
    <w:rsid w:val="5F61293D"/>
    <w:rsid w:val="5F7558FC"/>
    <w:rsid w:val="5F7A57AC"/>
    <w:rsid w:val="5F806EDC"/>
    <w:rsid w:val="5FB213EA"/>
    <w:rsid w:val="5FB863A2"/>
    <w:rsid w:val="5FC66C44"/>
    <w:rsid w:val="5FD2383A"/>
    <w:rsid w:val="5FF904FF"/>
    <w:rsid w:val="604A1623"/>
    <w:rsid w:val="6051475F"/>
    <w:rsid w:val="60591866"/>
    <w:rsid w:val="606E1F64"/>
    <w:rsid w:val="607466A0"/>
    <w:rsid w:val="60993096"/>
    <w:rsid w:val="60A21709"/>
    <w:rsid w:val="60BB607C"/>
    <w:rsid w:val="60C72C73"/>
    <w:rsid w:val="60D31F04"/>
    <w:rsid w:val="60DF1F92"/>
    <w:rsid w:val="60EC26DA"/>
    <w:rsid w:val="60EF5D26"/>
    <w:rsid w:val="60F15F42"/>
    <w:rsid w:val="6126799A"/>
    <w:rsid w:val="613D4CE3"/>
    <w:rsid w:val="613E2670"/>
    <w:rsid w:val="614B7400"/>
    <w:rsid w:val="61750B52"/>
    <w:rsid w:val="61761FA3"/>
    <w:rsid w:val="617973DD"/>
    <w:rsid w:val="618927A0"/>
    <w:rsid w:val="618C7D93"/>
    <w:rsid w:val="61A84853"/>
    <w:rsid w:val="61A92379"/>
    <w:rsid w:val="61CB6793"/>
    <w:rsid w:val="61F23D20"/>
    <w:rsid w:val="623A6A84"/>
    <w:rsid w:val="624B51DE"/>
    <w:rsid w:val="624E318C"/>
    <w:rsid w:val="625E3163"/>
    <w:rsid w:val="626F711E"/>
    <w:rsid w:val="6298123B"/>
    <w:rsid w:val="62A0552A"/>
    <w:rsid w:val="62A81BE1"/>
    <w:rsid w:val="62F50F9E"/>
    <w:rsid w:val="630737FB"/>
    <w:rsid w:val="631A52DC"/>
    <w:rsid w:val="631F28F3"/>
    <w:rsid w:val="634C56B2"/>
    <w:rsid w:val="63690012"/>
    <w:rsid w:val="639130C5"/>
    <w:rsid w:val="6393508F"/>
    <w:rsid w:val="63957059"/>
    <w:rsid w:val="63996A94"/>
    <w:rsid w:val="63AB062A"/>
    <w:rsid w:val="63CC1360"/>
    <w:rsid w:val="63D556A7"/>
    <w:rsid w:val="63DF3211"/>
    <w:rsid w:val="63F26259"/>
    <w:rsid w:val="640B2E77"/>
    <w:rsid w:val="640D6BEF"/>
    <w:rsid w:val="643C1282"/>
    <w:rsid w:val="645879BB"/>
    <w:rsid w:val="64591E34"/>
    <w:rsid w:val="645E38EF"/>
    <w:rsid w:val="64713622"/>
    <w:rsid w:val="648A6492"/>
    <w:rsid w:val="648B3FB8"/>
    <w:rsid w:val="64963088"/>
    <w:rsid w:val="64A01811"/>
    <w:rsid w:val="64A34499"/>
    <w:rsid w:val="64E21E2A"/>
    <w:rsid w:val="65031DA0"/>
    <w:rsid w:val="650A5824"/>
    <w:rsid w:val="65102E3B"/>
    <w:rsid w:val="654E5711"/>
    <w:rsid w:val="656960A7"/>
    <w:rsid w:val="65735178"/>
    <w:rsid w:val="657607C4"/>
    <w:rsid w:val="657874A5"/>
    <w:rsid w:val="65A215B9"/>
    <w:rsid w:val="65A74E21"/>
    <w:rsid w:val="65C717C5"/>
    <w:rsid w:val="65D8147F"/>
    <w:rsid w:val="65DA6FA5"/>
    <w:rsid w:val="65F22540"/>
    <w:rsid w:val="65F938CF"/>
    <w:rsid w:val="66014531"/>
    <w:rsid w:val="660F10B3"/>
    <w:rsid w:val="661A1A97"/>
    <w:rsid w:val="66383CCB"/>
    <w:rsid w:val="6663343E"/>
    <w:rsid w:val="66811B16"/>
    <w:rsid w:val="6692787F"/>
    <w:rsid w:val="669C0499"/>
    <w:rsid w:val="66A17AC3"/>
    <w:rsid w:val="66A364C1"/>
    <w:rsid w:val="66A650D9"/>
    <w:rsid w:val="66AB0941"/>
    <w:rsid w:val="66B8757F"/>
    <w:rsid w:val="66E04A8F"/>
    <w:rsid w:val="66F26570"/>
    <w:rsid w:val="67000C8D"/>
    <w:rsid w:val="670F2C7E"/>
    <w:rsid w:val="67140294"/>
    <w:rsid w:val="672506F4"/>
    <w:rsid w:val="67760F4F"/>
    <w:rsid w:val="677E7B44"/>
    <w:rsid w:val="67874F0A"/>
    <w:rsid w:val="67A51928"/>
    <w:rsid w:val="67AE2497"/>
    <w:rsid w:val="67FC1454"/>
    <w:rsid w:val="68907DEF"/>
    <w:rsid w:val="68A8338A"/>
    <w:rsid w:val="68C857DA"/>
    <w:rsid w:val="68CA77A4"/>
    <w:rsid w:val="68CF4DBB"/>
    <w:rsid w:val="68D91796"/>
    <w:rsid w:val="68EC771B"/>
    <w:rsid w:val="68EF4B15"/>
    <w:rsid w:val="68FB170C"/>
    <w:rsid w:val="6900214E"/>
    <w:rsid w:val="690B2100"/>
    <w:rsid w:val="693E784B"/>
    <w:rsid w:val="6942733B"/>
    <w:rsid w:val="69540E1C"/>
    <w:rsid w:val="697D4817"/>
    <w:rsid w:val="69805C96"/>
    <w:rsid w:val="69967BF7"/>
    <w:rsid w:val="69B817AA"/>
    <w:rsid w:val="69C064B2"/>
    <w:rsid w:val="69D16911"/>
    <w:rsid w:val="69E14DA6"/>
    <w:rsid w:val="69E76134"/>
    <w:rsid w:val="69F12B0F"/>
    <w:rsid w:val="6A0075D2"/>
    <w:rsid w:val="6A1A3E14"/>
    <w:rsid w:val="6A2E78BF"/>
    <w:rsid w:val="6A563C2A"/>
    <w:rsid w:val="6A6634FD"/>
    <w:rsid w:val="6A6D6639"/>
    <w:rsid w:val="6AE3506D"/>
    <w:rsid w:val="6AE62885"/>
    <w:rsid w:val="6B00125C"/>
    <w:rsid w:val="6B0F76F1"/>
    <w:rsid w:val="6B315878"/>
    <w:rsid w:val="6B321631"/>
    <w:rsid w:val="6B431148"/>
    <w:rsid w:val="6B43739A"/>
    <w:rsid w:val="6B4F21E3"/>
    <w:rsid w:val="6B517D09"/>
    <w:rsid w:val="6B5670CE"/>
    <w:rsid w:val="6BA918F3"/>
    <w:rsid w:val="6BB81B36"/>
    <w:rsid w:val="6BD9385B"/>
    <w:rsid w:val="6C021003"/>
    <w:rsid w:val="6C0528A2"/>
    <w:rsid w:val="6C262F44"/>
    <w:rsid w:val="6C427652"/>
    <w:rsid w:val="6C47110C"/>
    <w:rsid w:val="6C6E6699"/>
    <w:rsid w:val="6C735A5D"/>
    <w:rsid w:val="6C7A4419"/>
    <w:rsid w:val="6C90660F"/>
    <w:rsid w:val="6C922387"/>
    <w:rsid w:val="6CAD0F6F"/>
    <w:rsid w:val="6CD61B64"/>
    <w:rsid w:val="6D056FFD"/>
    <w:rsid w:val="6D266F73"/>
    <w:rsid w:val="6D3671B7"/>
    <w:rsid w:val="6D3E7D13"/>
    <w:rsid w:val="6D5D0BE7"/>
    <w:rsid w:val="6D7777CF"/>
    <w:rsid w:val="6DC72505"/>
    <w:rsid w:val="6DD93FE6"/>
    <w:rsid w:val="6DDE33AA"/>
    <w:rsid w:val="6DEF55B7"/>
    <w:rsid w:val="6E281775"/>
    <w:rsid w:val="6E2B64EF"/>
    <w:rsid w:val="6E3A2CD6"/>
    <w:rsid w:val="6E423939"/>
    <w:rsid w:val="6E4E22DE"/>
    <w:rsid w:val="6E7A1325"/>
    <w:rsid w:val="6E8977BA"/>
    <w:rsid w:val="6E8B52E0"/>
    <w:rsid w:val="6E9028F6"/>
    <w:rsid w:val="6E9248C1"/>
    <w:rsid w:val="6EBB0BBA"/>
    <w:rsid w:val="6EC32CCC"/>
    <w:rsid w:val="6EF015E7"/>
    <w:rsid w:val="6EFA06B8"/>
    <w:rsid w:val="6EFA4214"/>
    <w:rsid w:val="6EFF6FDB"/>
    <w:rsid w:val="6EFF7A7C"/>
    <w:rsid w:val="6F0926A9"/>
    <w:rsid w:val="6F282B2F"/>
    <w:rsid w:val="6F2F65B3"/>
    <w:rsid w:val="6F4D07E7"/>
    <w:rsid w:val="6F771D08"/>
    <w:rsid w:val="6F800BBD"/>
    <w:rsid w:val="6F834209"/>
    <w:rsid w:val="6F857F81"/>
    <w:rsid w:val="6FA143BA"/>
    <w:rsid w:val="6FA50623"/>
    <w:rsid w:val="6FBD596D"/>
    <w:rsid w:val="6FEC1DAE"/>
    <w:rsid w:val="700E61C9"/>
    <w:rsid w:val="70131A31"/>
    <w:rsid w:val="70730722"/>
    <w:rsid w:val="70757FF6"/>
    <w:rsid w:val="707901CD"/>
    <w:rsid w:val="70AE3508"/>
    <w:rsid w:val="70DF36C1"/>
    <w:rsid w:val="70E231B1"/>
    <w:rsid w:val="70F0036D"/>
    <w:rsid w:val="71094BE2"/>
    <w:rsid w:val="710C022E"/>
    <w:rsid w:val="712776CC"/>
    <w:rsid w:val="71290DE0"/>
    <w:rsid w:val="71317458"/>
    <w:rsid w:val="716419ED"/>
    <w:rsid w:val="717669D3"/>
    <w:rsid w:val="717B5AE0"/>
    <w:rsid w:val="71820EF5"/>
    <w:rsid w:val="71864485"/>
    <w:rsid w:val="71946BA2"/>
    <w:rsid w:val="71DB20DB"/>
    <w:rsid w:val="71FC02A3"/>
    <w:rsid w:val="7232250B"/>
    <w:rsid w:val="72676064"/>
    <w:rsid w:val="726B5B54"/>
    <w:rsid w:val="72AC7C26"/>
    <w:rsid w:val="72C963D7"/>
    <w:rsid w:val="72D336FA"/>
    <w:rsid w:val="72D73DE6"/>
    <w:rsid w:val="72EA0528"/>
    <w:rsid w:val="72FE56F0"/>
    <w:rsid w:val="73043F04"/>
    <w:rsid w:val="730B69EF"/>
    <w:rsid w:val="73214465"/>
    <w:rsid w:val="73216213"/>
    <w:rsid w:val="73463ECB"/>
    <w:rsid w:val="73507BCC"/>
    <w:rsid w:val="73577E87"/>
    <w:rsid w:val="735A1725"/>
    <w:rsid w:val="737652F3"/>
    <w:rsid w:val="737722D7"/>
    <w:rsid w:val="73AB1F81"/>
    <w:rsid w:val="73C05A2C"/>
    <w:rsid w:val="73DB0AB8"/>
    <w:rsid w:val="73DE2356"/>
    <w:rsid w:val="73E159A2"/>
    <w:rsid w:val="73E84F83"/>
    <w:rsid w:val="74082F2F"/>
    <w:rsid w:val="741E6BF6"/>
    <w:rsid w:val="742E38E8"/>
    <w:rsid w:val="74463A57"/>
    <w:rsid w:val="744877CF"/>
    <w:rsid w:val="74620891"/>
    <w:rsid w:val="74B15375"/>
    <w:rsid w:val="74DD43BC"/>
    <w:rsid w:val="74F160B9"/>
    <w:rsid w:val="75027832"/>
    <w:rsid w:val="751C3136"/>
    <w:rsid w:val="75714105"/>
    <w:rsid w:val="75752846"/>
    <w:rsid w:val="757A1C0A"/>
    <w:rsid w:val="758F1B5A"/>
    <w:rsid w:val="75986535"/>
    <w:rsid w:val="76171B4F"/>
    <w:rsid w:val="761A519B"/>
    <w:rsid w:val="762229CE"/>
    <w:rsid w:val="762322A2"/>
    <w:rsid w:val="764612B4"/>
    <w:rsid w:val="765661D4"/>
    <w:rsid w:val="7662726E"/>
    <w:rsid w:val="766703E1"/>
    <w:rsid w:val="766A6123"/>
    <w:rsid w:val="768F7938"/>
    <w:rsid w:val="7693567A"/>
    <w:rsid w:val="76AE4262"/>
    <w:rsid w:val="76B178AE"/>
    <w:rsid w:val="76B31878"/>
    <w:rsid w:val="76E13D61"/>
    <w:rsid w:val="76FE0A2E"/>
    <w:rsid w:val="77185B7F"/>
    <w:rsid w:val="77302EC9"/>
    <w:rsid w:val="7745479A"/>
    <w:rsid w:val="775E5C88"/>
    <w:rsid w:val="776668EA"/>
    <w:rsid w:val="776808B4"/>
    <w:rsid w:val="776B3F01"/>
    <w:rsid w:val="7778661E"/>
    <w:rsid w:val="77947903"/>
    <w:rsid w:val="77AF32FF"/>
    <w:rsid w:val="77DA1086"/>
    <w:rsid w:val="77DE1AD1"/>
    <w:rsid w:val="77F24622"/>
    <w:rsid w:val="780A52E1"/>
    <w:rsid w:val="782C3C84"/>
    <w:rsid w:val="782D11B6"/>
    <w:rsid w:val="78511348"/>
    <w:rsid w:val="786034B5"/>
    <w:rsid w:val="786A065C"/>
    <w:rsid w:val="78796E0D"/>
    <w:rsid w:val="78A05E2C"/>
    <w:rsid w:val="78AC47D1"/>
    <w:rsid w:val="78BE4504"/>
    <w:rsid w:val="78D37FAF"/>
    <w:rsid w:val="78EF46BD"/>
    <w:rsid w:val="790E548B"/>
    <w:rsid w:val="79132AA2"/>
    <w:rsid w:val="79144124"/>
    <w:rsid w:val="793547C6"/>
    <w:rsid w:val="794A5D98"/>
    <w:rsid w:val="794E7636"/>
    <w:rsid w:val="795A247F"/>
    <w:rsid w:val="79740C89"/>
    <w:rsid w:val="797D616D"/>
    <w:rsid w:val="798B6ADC"/>
    <w:rsid w:val="7993773F"/>
    <w:rsid w:val="799534B7"/>
    <w:rsid w:val="79960FDD"/>
    <w:rsid w:val="799C2A97"/>
    <w:rsid w:val="79BC0D4C"/>
    <w:rsid w:val="79D91CFF"/>
    <w:rsid w:val="79DC2E94"/>
    <w:rsid w:val="79E41F4C"/>
    <w:rsid w:val="7A356A48"/>
    <w:rsid w:val="7A4F18B8"/>
    <w:rsid w:val="7A552C46"/>
    <w:rsid w:val="7A644042"/>
    <w:rsid w:val="7A7E03EF"/>
    <w:rsid w:val="7A805F15"/>
    <w:rsid w:val="7A88301C"/>
    <w:rsid w:val="7A8D01A3"/>
    <w:rsid w:val="7AAC06BE"/>
    <w:rsid w:val="7AAD4830"/>
    <w:rsid w:val="7AFA50A8"/>
    <w:rsid w:val="7B0703E4"/>
    <w:rsid w:val="7B1D7E1E"/>
    <w:rsid w:val="7B5C2AB9"/>
    <w:rsid w:val="7B811F45"/>
    <w:rsid w:val="7B9A2223"/>
    <w:rsid w:val="7BB120FE"/>
    <w:rsid w:val="7BB3231A"/>
    <w:rsid w:val="7BD55DED"/>
    <w:rsid w:val="7BDD493C"/>
    <w:rsid w:val="7BF70459"/>
    <w:rsid w:val="7C016BE2"/>
    <w:rsid w:val="7C232FFC"/>
    <w:rsid w:val="7C280AA5"/>
    <w:rsid w:val="7C2F7BF3"/>
    <w:rsid w:val="7C350F81"/>
    <w:rsid w:val="7C370855"/>
    <w:rsid w:val="7C6453C2"/>
    <w:rsid w:val="7C667DA3"/>
    <w:rsid w:val="7C7970C0"/>
    <w:rsid w:val="7C833A9B"/>
    <w:rsid w:val="7C8A4E29"/>
    <w:rsid w:val="7C991510"/>
    <w:rsid w:val="7CC270BB"/>
    <w:rsid w:val="7CD2057E"/>
    <w:rsid w:val="7D036989"/>
    <w:rsid w:val="7D056BA5"/>
    <w:rsid w:val="7D07647A"/>
    <w:rsid w:val="7D1E37C3"/>
    <w:rsid w:val="7D23702C"/>
    <w:rsid w:val="7D276B1C"/>
    <w:rsid w:val="7D40198C"/>
    <w:rsid w:val="7D4A280A"/>
    <w:rsid w:val="7D586CD5"/>
    <w:rsid w:val="7D5F62B6"/>
    <w:rsid w:val="7D657644"/>
    <w:rsid w:val="7D6B3013"/>
    <w:rsid w:val="7D8603D6"/>
    <w:rsid w:val="7DAC0DCF"/>
    <w:rsid w:val="7DBC3708"/>
    <w:rsid w:val="7DF32EA2"/>
    <w:rsid w:val="7E4F632A"/>
    <w:rsid w:val="7E5C27F5"/>
    <w:rsid w:val="7E6B6D1F"/>
    <w:rsid w:val="7E7613B9"/>
    <w:rsid w:val="7EAA3560"/>
    <w:rsid w:val="7EB0669D"/>
    <w:rsid w:val="7ECF202E"/>
    <w:rsid w:val="7ED700CE"/>
    <w:rsid w:val="7EF649F8"/>
    <w:rsid w:val="7F196938"/>
    <w:rsid w:val="7F264BB1"/>
    <w:rsid w:val="7F271055"/>
    <w:rsid w:val="7F4339B5"/>
    <w:rsid w:val="7F6776A3"/>
    <w:rsid w:val="7F7E5AC0"/>
    <w:rsid w:val="7F8A15E4"/>
    <w:rsid w:val="7F963AE5"/>
    <w:rsid w:val="7FA33A34"/>
    <w:rsid w:val="7FCF0231"/>
    <w:rsid w:val="7FEE56CF"/>
    <w:rsid w:val="7FFB603E"/>
    <w:rsid w:val="7FFB7DEC"/>
    <w:rsid w:val="7FFF7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5"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3"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bCs/>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6">
    <w:name w:val="index 8"/>
    <w:basedOn w:val="1"/>
    <w:next w:val="1"/>
    <w:qFormat/>
    <w:uiPriority w:val="0"/>
    <w:pPr>
      <w:jc w:val="center"/>
    </w:pPr>
    <w:rPr>
      <w:color w:val="000000"/>
      <w:sz w:val="32"/>
    </w:rPr>
  </w:style>
  <w:style w:type="paragraph" w:styleId="7">
    <w:name w:val="Normal Indent"/>
    <w:basedOn w:val="1"/>
    <w:qFormat/>
    <w:uiPriority w:val="0"/>
    <w:pPr>
      <w:ind w:firstLine="420" w:firstLineChars="200"/>
    </w:pPr>
  </w:style>
  <w:style w:type="paragraph" w:styleId="8">
    <w:name w:val="annotation text"/>
    <w:basedOn w:val="1"/>
    <w:link w:val="81"/>
    <w:autoRedefine/>
    <w:qFormat/>
    <w:uiPriority w:val="0"/>
    <w:pPr>
      <w:jc w:val="left"/>
    </w:pPr>
  </w:style>
  <w:style w:type="paragraph" w:styleId="9">
    <w:name w:val="Body Text"/>
    <w:basedOn w:val="1"/>
    <w:qFormat/>
    <w:uiPriority w:val="0"/>
    <w:rPr>
      <w:rFonts w:eastAsia="Tahoma"/>
      <w:sz w:val="28"/>
    </w:rPr>
  </w:style>
  <w:style w:type="paragraph" w:styleId="10">
    <w:name w:val="Body Text Indent"/>
    <w:basedOn w:val="1"/>
    <w:qFormat/>
    <w:uiPriority w:val="0"/>
    <w:pPr>
      <w:tabs>
        <w:tab w:val="left" w:pos="945"/>
        <w:tab w:val="left" w:pos="1155"/>
      </w:tabs>
      <w:ind w:firstLine="435"/>
    </w:pPr>
    <w:rPr>
      <w:rFonts w:ascii="宋体"/>
      <w:sz w:val="24"/>
    </w:rPr>
  </w:style>
  <w:style w:type="paragraph" w:styleId="11">
    <w:name w:val="List 2"/>
    <w:basedOn w:val="1"/>
    <w:unhideWhenUsed/>
    <w:qFormat/>
    <w:uiPriority w:val="99"/>
    <w:pPr>
      <w:ind w:left="100" w:leftChars="200" w:hanging="200" w:hangingChars="200"/>
      <w:contextualSpacing/>
    </w:pPr>
  </w:style>
  <w:style w:type="paragraph" w:styleId="12">
    <w:name w:val="toc 3"/>
    <w:basedOn w:val="1"/>
    <w:next w:val="1"/>
    <w:qFormat/>
    <w:uiPriority w:val="0"/>
    <w:pPr>
      <w:ind w:left="840" w:leftChars="400"/>
    </w:pPr>
  </w:style>
  <w:style w:type="paragraph" w:styleId="13">
    <w:name w:val="Plain Text"/>
    <w:basedOn w:val="1"/>
    <w:qFormat/>
    <w:uiPriority w:val="0"/>
    <w:rPr>
      <w:rFonts w:ascii="宋体" w:hAnsi="Courier New" w:cs="Courier New"/>
      <w:szCs w:val="21"/>
    </w:rPr>
  </w:style>
  <w:style w:type="paragraph" w:styleId="14">
    <w:name w:val="Body Text Indent 2"/>
    <w:basedOn w:val="1"/>
    <w:qFormat/>
    <w:uiPriority w:val="0"/>
    <w:pPr>
      <w:spacing w:line="360" w:lineRule="auto"/>
      <w:ind w:left="1140"/>
    </w:pPr>
    <w:rPr>
      <w:rFonts w:ascii="宋体" w:hAnsi="宋体"/>
      <w:kern w:val="1"/>
      <w:sz w:val="24"/>
    </w:rPr>
  </w:style>
  <w:style w:type="paragraph" w:styleId="15">
    <w:name w:val="Balloon Text"/>
    <w:basedOn w:val="1"/>
    <w:link w:val="80"/>
    <w:qFormat/>
    <w:uiPriority w:val="0"/>
    <w:rPr>
      <w:sz w:val="18"/>
      <w:szCs w:val="18"/>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envelope return"/>
    <w:basedOn w:val="1"/>
    <w:qFormat/>
    <w:uiPriority w:val="0"/>
    <w:pPr>
      <w:snapToGrid w:val="0"/>
    </w:pPr>
    <w:rPr>
      <w:rFonts w:ascii="Arial" w:hAnsi="Arial"/>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line="440" w:lineRule="exact"/>
      <w:jc w:val="center"/>
    </w:pPr>
  </w:style>
  <w:style w:type="paragraph" w:styleId="20">
    <w:name w:val="Subtitle"/>
    <w:basedOn w:val="1"/>
    <w:next w:val="1"/>
    <w:qFormat/>
    <w:uiPriority w:val="5"/>
    <w:pPr>
      <w:outlineLvl w:val="1"/>
    </w:pPr>
    <w:rPr>
      <w:rFonts w:ascii="楷体" w:hAnsi="楷体" w:eastAsia="楷体" w:cs="楷体"/>
      <w:kern w:val="28"/>
    </w:rPr>
  </w:style>
  <w:style w:type="paragraph" w:styleId="21">
    <w:name w:val="footnote text"/>
    <w:basedOn w:val="1"/>
    <w:qFormat/>
    <w:uiPriority w:val="0"/>
    <w:pPr>
      <w:snapToGrid w:val="0"/>
      <w:spacing w:line="360" w:lineRule="auto"/>
      <w:ind w:firstLine="200" w:firstLineChars="200"/>
      <w:jc w:val="left"/>
    </w:pPr>
    <w:rPr>
      <w:rFonts w:eastAsia="仿宋_GB2312"/>
      <w:sz w:val="18"/>
      <w:szCs w:val="18"/>
    </w:rPr>
  </w:style>
  <w:style w:type="paragraph" w:styleId="22">
    <w:name w:val="List 5"/>
    <w:basedOn w:val="1"/>
    <w:qFormat/>
    <w:uiPriority w:val="0"/>
    <w:pPr>
      <w:ind w:left="2100" w:hanging="420"/>
    </w:pPr>
    <w:rPr>
      <w:rFonts w:eastAsia="楷体_GB2312"/>
      <w:sz w:val="32"/>
      <w:szCs w:val="20"/>
    </w:rPr>
  </w:style>
  <w:style w:type="paragraph" w:styleId="23">
    <w:name w:val="toc 2"/>
    <w:basedOn w:val="1"/>
    <w:next w:val="1"/>
    <w:autoRedefine/>
    <w:qFormat/>
    <w:uiPriority w:val="39"/>
    <w:pPr>
      <w:ind w:left="420" w:leftChars="200"/>
    </w:pPr>
  </w:style>
  <w:style w:type="paragraph" w:styleId="24">
    <w:name w:val="Body Text 2"/>
    <w:basedOn w:val="1"/>
    <w:next w:val="9"/>
    <w:qFormat/>
    <w:uiPriority w:val="99"/>
    <w:pPr>
      <w:spacing w:after="120" w:line="480" w:lineRule="auto"/>
    </w:pPr>
  </w:style>
  <w:style w:type="paragraph" w:styleId="2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6">
    <w:name w:val="Normal (Web)"/>
    <w:basedOn w:val="1"/>
    <w:qFormat/>
    <w:uiPriority w:val="0"/>
    <w:pPr>
      <w:spacing w:line="432" w:lineRule="auto"/>
      <w:jc w:val="left"/>
    </w:pPr>
    <w:rPr>
      <w:kern w:val="0"/>
      <w:sz w:val="24"/>
    </w:rPr>
  </w:style>
  <w:style w:type="paragraph" w:styleId="27">
    <w:name w:val="Title"/>
    <w:basedOn w:val="1"/>
    <w:next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28">
    <w:name w:val="Body Text First Indent"/>
    <w:basedOn w:val="9"/>
    <w:qFormat/>
    <w:uiPriority w:val="0"/>
    <w:pPr>
      <w:widowControl/>
      <w:spacing w:after="120"/>
      <w:ind w:firstLine="420" w:firstLineChars="100"/>
      <w:jc w:val="left"/>
    </w:pPr>
    <w:rPr>
      <w:kern w:val="0"/>
      <w:sz w:val="20"/>
    </w:rPr>
  </w:style>
  <w:style w:type="paragraph" w:styleId="29">
    <w:name w:val="Body Text First Indent 2"/>
    <w:basedOn w:val="10"/>
    <w:next w:val="1"/>
    <w:qFormat/>
    <w:uiPriority w:val="99"/>
    <w:pPr>
      <w:ind w:firstLine="420"/>
    </w:pPr>
  </w:style>
  <w:style w:type="table" w:styleId="31">
    <w:name w:val="Table Grid"/>
    <w:basedOn w:val="3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0"/>
  </w:style>
  <w:style w:type="character" w:styleId="34">
    <w:name w:val="page number"/>
    <w:basedOn w:val="32"/>
    <w:qFormat/>
    <w:uiPriority w:val="0"/>
  </w:style>
  <w:style w:type="character" w:styleId="35">
    <w:name w:val="FollowedHyperlink"/>
    <w:basedOn w:val="32"/>
    <w:qFormat/>
    <w:uiPriority w:val="0"/>
    <w:rPr>
      <w:color w:val="444444"/>
      <w:sz w:val="21"/>
      <w:szCs w:val="21"/>
      <w:u w:val="none"/>
    </w:rPr>
  </w:style>
  <w:style w:type="character" w:styleId="36">
    <w:name w:val="Emphasis"/>
    <w:basedOn w:val="32"/>
    <w:qFormat/>
    <w:uiPriority w:val="0"/>
  </w:style>
  <w:style w:type="character" w:styleId="37">
    <w:name w:val="HTML Definition"/>
    <w:basedOn w:val="32"/>
    <w:qFormat/>
    <w:uiPriority w:val="0"/>
  </w:style>
  <w:style w:type="character" w:styleId="38">
    <w:name w:val="HTML Typewriter"/>
    <w:basedOn w:val="32"/>
    <w:qFormat/>
    <w:uiPriority w:val="0"/>
    <w:rPr>
      <w:rFonts w:hint="default" w:ascii="monospace" w:hAnsi="monospace" w:eastAsia="monospace" w:cs="monospace"/>
      <w:sz w:val="20"/>
    </w:rPr>
  </w:style>
  <w:style w:type="character" w:styleId="39">
    <w:name w:val="HTML Acronym"/>
    <w:basedOn w:val="32"/>
    <w:qFormat/>
    <w:uiPriority w:val="0"/>
    <w:rPr>
      <w:shd w:val="clear" w:color="auto" w:fill="FFFFFF"/>
    </w:rPr>
  </w:style>
  <w:style w:type="character" w:styleId="40">
    <w:name w:val="HTML Variable"/>
    <w:basedOn w:val="32"/>
    <w:autoRedefine/>
    <w:qFormat/>
    <w:uiPriority w:val="0"/>
  </w:style>
  <w:style w:type="character" w:styleId="41">
    <w:name w:val="Hyperlink"/>
    <w:autoRedefine/>
    <w:qFormat/>
    <w:uiPriority w:val="99"/>
    <w:rPr>
      <w:rFonts w:ascii="Times New Roman" w:hAnsi="Times New Roman" w:eastAsia="宋体" w:cs="Times New Roman"/>
      <w:color w:val="333333"/>
      <w:u w:val="none"/>
    </w:rPr>
  </w:style>
  <w:style w:type="character" w:styleId="42">
    <w:name w:val="HTML Code"/>
    <w:basedOn w:val="32"/>
    <w:autoRedefine/>
    <w:qFormat/>
    <w:uiPriority w:val="0"/>
    <w:rPr>
      <w:rFonts w:hint="default" w:ascii="monospace" w:hAnsi="monospace" w:eastAsia="monospace" w:cs="monospace"/>
      <w:sz w:val="20"/>
    </w:rPr>
  </w:style>
  <w:style w:type="character" w:styleId="43">
    <w:name w:val="annotation reference"/>
    <w:basedOn w:val="32"/>
    <w:qFormat/>
    <w:uiPriority w:val="0"/>
    <w:rPr>
      <w:sz w:val="21"/>
      <w:szCs w:val="21"/>
    </w:rPr>
  </w:style>
  <w:style w:type="character" w:styleId="44">
    <w:name w:val="HTML Cite"/>
    <w:basedOn w:val="32"/>
    <w:qFormat/>
    <w:uiPriority w:val="0"/>
  </w:style>
  <w:style w:type="character" w:styleId="45">
    <w:name w:val="HTML Keyboard"/>
    <w:basedOn w:val="32"/>
    <w:qFormat/>
    <w:uiPriority w:val="0"/>
    <w:rPr>
      <w:rFonts w:hint="default" w:ascii="monospace" w:hAnsi="monospace" w:eastAsia="monospace" w:cs="monospace"/>
      <w:sz w:val="20"/>
    </w:rPr>
  </w:style>
  <w:style w:type="character" w:styleId="46">
    <w:name w:val="HTML Sample"/>
    <w:basedOn w:val="32"/>
    <w:qFormat/>
    <w:uiPriority w:val="0"/>
    <w:rPr>
      <w:rFonts w:ascii="monospace" w:hAnsi="monospace" w:eastAsia="monospace" w:cs="monospace"/>
    </w:rPr>
  </w:style>
  <w:style w:type="paragraph" w:customStyle="1" w:styleId="47">
    <w:name w:val="首行缩进"/>
    <w:basedOn w:val="1"/>
    <w:qFormat/>
    <w:uiPriority w:val="0"/>
    <w:pPr>
      <w:spacing w:line="360" w:lineRule="auto"/>
      <w:ind w:firstLine="480"/>
      <w:jc w:val="left"/>
    </w:pPr>
    <w:rPr>
      <w:rFonts w:ascii="宋体" w:hAnsi="宋体"/>
      <w:sz w:val="24"/>
    </w:rPr>
  </w:style>
  <w:style w:type="paragraph" w:customStyle="1" w:styleId="4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49">
    <w:name w:val="无间隔1"/>
    <w:basedOn w:val="1"/>
    <w:qFormat/>
    <w:uiPriority w:val="1"/>
    <w:pPr>
      <w:spacing w:line="400" w:lineRule="exact"/>
    </w:pPr>
    <w:rPr>
      <w:sz w:val="24"/>
    </w:rPr>
  </w:style>
  <w:style w:type="paragraph" w:customStyle="1" w:styleId="50">
    <w:name w:val="TOC Heading1"/>
    <w:next w:val="1"/>
    <w:qFormat/>
    <w:uiPriority w:val="0"/>
    <w:pPr>
      <w:wordWrap w:val="0"/>
    </w:pPr>
    <w:rPr>
      <w:rFonts w:ascii="Calibri" w:hAnsi="Calibri" w:eastAsia="宋体" w:cs="Times New Roman"/>
      <w:sz w:val="32"/>
      <w:szCs w:val="22"/>
      <w:lang w:val="en-US" w:eastAsia="zh-CN" w:bidi="ar-SA"/>
    </w:rPr>
  </w:style>
  <w:style w:type="paragraph" w:customStyle="1" w:styleId="51">
    <w:name w:val="Default"/>
    <w:basedOn w:val="52"/>
    <w:next w:val="21"/>
    <w:qFormat/>
    <w:uiPriority w:val="0"/>
    <w:pPr>
      <w:autoSpaceDE w:val="0"/>
      <w:autoSpaceDN w:val="0"/>
      <w:adjustRightInd w:val="0"/>
    </w:pPr>
    <w:rPr>
      <w:rFonts w:hAnsi="Times New Roman" w:cs="宋体"/>
      <w:color w:val="000000"/>
      <w:sz w:val="24"/>
      <w:szCs w:val="24"/>
    </w:rPr>
  </w:style>
  <w:style w:type="paragraph" w:customStyle="1" w:styleId="52">
    <w:name w:val="Plain Text1"/>
    <w:basedOn w:val="1"/>
    <w:qFormat/>
    <w:uiPriority w:val="0"/>
    <w:rPr>
      <w:rFonts w:ascii="宋体" w:hAnsi="Courier New" w:cs="黑体"/>
      <w:szCs w:val="22"/>
    </w:rPr>
  </w:style>
  <w:style w:type="paragraph" w:customStyle="1" w:styleId="53">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54">
    <w:name w:val="style4"/>
    <w:basedOn w:val="1"/>
    <w:next w:val="55"/>
    <w:autoRedefine/>
    <w:qFormat/>
    <w:uiPriority w:val="0"/>
    <w:pPr>
      <w:widowControl/>
      <w:spacing w:before="280" w:after="280"/>
    </w:pPr>
    <w:rPr>
      <w:rFonts w:ascii="宋体"/>
      <w:sz w:val="18"/>
    </w:rPr>
  </w:style>
  <w:style w:type="paragraph" w:customStyle="1" w:styleId="55">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56">
    <w:name w:val="样式 标题 2 + Times New Roman 四号 非加粗 段前: 5 磅 段后: 0 磅 行距: 固定值 20..."/>
    <w:basedOn w:val="3"/>
    <w:next w:val="1"/>
    <w:qFormat/>
    <w:uiPriority w:val="0"/>
    <w:pPr>
      <w:spacing w:before="100" w:after="0" w:line="400" w:lineRule="exact"/>
    </w:pPr>
    <w:rPr>
      <w:rFonts w:ascii="Times New Roman" w:hAnsi="Times New Roman" w:eastAsia="宋体" w:cs="宋体"/>
      <w:b w:val="0"/>
      <w:bCs w:val="0"/>
      <w:sz w:val="28"/>
      <w:szCs w:val="20"/>
    </w:rPr>
  </w:style>
  <w:style w:type="paragraph" w:customStyle="1" w:styleId="57">
    <w:name w:val="Table Paragraph"/>
    <w:basedOn w:val="1"/>
    <w:qFormat/>
    <w:uiPriority w:val="0"/>
  </w:style>
  <w:style w:type="paragraph" w:customStyle="1" w:styleId="5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styleId="59">
    <w:name w:val="No Spacing"/>
    <w:autoRedefine/>
    <w:qFormat/>
    <w:uiPriority w:val="1"/>
    <w:pPr>
      <w:spacing w:before="100" w:beforeAutospacing="1"/>
      <w:ind w:left="249" w:right="720"/>
      <w:jc w:val="center"/>
    </w:pPr>
    <w:rPr>
      <w:rFonts w:ascii="Calibri" w:hAnsi="Calibri" w:eastAsia="宋体" w:cs="Times New Roman"/>
      <w:sz w:val="22"/>
      <w:szCs w:val="22"/>
      <w:lang w:val="en-US" w:eastAsia="en-US" w:bidi="en-US"/>
    </w:rPr>
  </w:style>
  <w:style w:type="paragraph" w:customStyle="1" w:styleId="60">
    <w:name w:val="正文_13_0"/>
    <w:next w:val="1"/>
    <w:qFormat/>
    <w:uiPriority w:val="0"/>
    <w:pPr>
      <w:widowControl w:val="0"/>
      <w:jc w:val="both"/>
    </w:pPr>
    <w:rPr>
      <w:rFonts w:ascii="Calibri" w:hAnsi="Calibri" w:eastAsia="宋体" w:cs="Times New Roman"/>
      <w:kern w:val="2"/>
      <w:sz w:val="21"/>
      <w:szCs w:val="24"/>
      <w:lang w:val="en-US" w:eastAsia="zh-CN" w:bidi="ar-SA"/>
    </w:rPr>
  </w:style>
  <w:style w:type="paragraph" w:styleId="61">
    <w:name w:val="List Paragraph"/>
    <w:basedOn w:val="1"/>
    <w:autoRedefine/>
    <w:qFormat/>
    <w:uiPriority w:val="99"/>
    <w:pPr>
      <w:ind w:firstLine="420" w:firstLineChars="200"/>
    </w:pPr>
  </w:style>
  <w:style w:type="character" w:customStyle="1" w:styleId="62">
    <w:name w:val="hover15"/>
    <w:basedOn w:val="32"/>
    <w:qFormat/>
    <w:uiPriority w:val="0"/>
  </w:style>
  <w:style w:type="character" w:customStyle="1" w:styleId="63">
    <w:name w:val="mini-outputtext1"/>
    <w:basedOn w:val="32"/>
    <w:qFormat/>
    <w:uiPriority w:val="0"/>
  </w:style>
  <w:style w:type="character" w:customStyle="1" w:styleId="64">
    <w:name w:val="font31"/>
    <w:basedOn w:val="32"/>
    <w:qFormat/>
    <w:uiPriority w:val="0"/>
    <w:rPr>
      <w:rFonts w:ascii="宋体" w:hAnsi="宋体" w:eastAsia="宋体" w:cs="宋体"/>
      <w:b/>
      <w:bCs/>
      <w:color w:val="000000"/>
      <w:sz w:val="36"/>
      <w:szCs w:val="36"/>
      <w:u w:val="none"/>
    </w:rPr>
  </w:style>
  <w:style w:type="character" w:customStyle="1" w:styleId="65">
    <w:name w:val="font41"/>
    <w:basedOn w:val="32"/>
    <w:qFormat/>
    <w:uiPriority w:val="0"/>
    <w:rPr>
      <w:rFonts w:ascii="宋体" w:hAnsi="宋体" w:eastAsia="宋体" w:cs="宋体"/>
      <w:color w:val="000000"/>
      <w:sz w:val="16"/>
      <w:szCs w:val="16"/>
      <w:u w:val="none"/>
    </w:rPr>
  </w:style>
  <w:style w:type="character" w:customStyle="1" w:styleId="66">
    <w:name w:val="font51"/>
    <w:basedOn w:val="32"/>
    <w:qFormat/>
    <w:uiPriority w:val="0"/>
    <w:rPr>
      <w:rFonts w:ascii="宋体" w:hAnsi="宋体" w:eastAsia="宋体" w:cs="宋体"/>
      <w:b/>
      <w:bCs/>
      <w:color w:val="000000"/>
      <w:sz w:val="24"/>
      <w:szCs w:val="24"/>
      <w:u w:val="none"/>
    </w:rPr>
  </w:style>
  <w:style w:type="character" w:customStyle="1" w:styleId="67">
    <w:name w:val="font61"/>
    <w:basedOn w:val="32"/>
    <w:autoRedefine/>
    <w:qFormat/>
    <w:uiPriority w:val="0"/>
    <w:rPr>
      <w:rFonts w:ascii="宋体" w:hAnsi="宋体" w:eastAsia="宋体" w:cs="宋体"/>
      <w:color w:val="000000"/>
      <w:sz w:val="24"/>
      <w:szCs w:val="24"/>
      <w:u w:val="none"/>
    </w:rPr>
  </w:style>
  <w:style w:type="character" w:customStyle="1" w:styleId="68">
    <w:name w:val="font71"/>
    <w:basedOn w:val="32"/>
    <w:qFormat/>
    <w:uiPriority w:val="0"/>
    <w:rPr>
      <w:rFonts w:ascii="宋体" w:hAnsi="宋体" w:eastAsia="宋体" w:cs="宋体"/>
      <w:b/>
      <w:bCs/>
      <w:color w:val="000000"/>
      <w:sz w:val="16"/>
      <w:szCs w:val="16"/>
      <w:u w:val="none"/>
    </w:rPr>
  </w:style>
  <w:style w:type="paragraph" w:customStyle="1" w:styleId="69">
    <w:name w:val="一级标题"/>
    <w:basedOn w:val="1"/>
    <w:next w:val="1"/>
    <w:autoRedefine/>
    <w:qFormat/>
    <w:uiPriority w:val="4"/>
    <w:rPr>
      <w:rFonts w:ascii="黑体" w:hAnsi="黑体" w:eastAsia="黑体"/>
    </w:rPr>
  </w:style>
  <w:style w:type="paragraph" w:customStyle="1" w:styleId="70">
    <w:name w:val="列出段落1"/>
    <w:basedOn w:val="1"/>
    <w:autoRedefine/>
    <w:qFormat/>
    <w:uiPriority w:val="99"/>
    <w:pPr>
      <w:ind w:firstLine="420" w:firstLineChars="200"/>
    </w:pPr>
  </w:style>
  <w:style w:type="paragraph" w:customStyle="1" w:styleId="71">
    <w:name w:val="adidas numbered 1"/>
    <w:basedOn w:val="9"/>
    <w:autoRedefine/>
    <w:qFormat/>
    <w:uiPriority w:val="0"/>
    <w:pPr>
      <w:tabs>
        <w:tab w:val="left" w:pos="360"/>
        <w:tab w:val="left" w:pos="432"/>
      </w:tabs>
      <w:ind w:left="432" w:hanging="432"/>
    </w:pPr>
    <w:rPr>
      <w:rFonts w:eastAsia="宋体"/>
      <w:lang w:eastAsia="ja-JP"/>
    </w:rPr>
  </w:style>
  <w:style w:type="character" w:customStyle="1" w:styleId="72">
    <w:name w:val="标题 1 字符"/>
    <w:qFormat/>
    <w:uiPriority w:val="0"/>
    <w:rPr>
      <w:b/>
      <w:bCs/>
      <w:kern w:val="44"/>
      <w:sz w:val="44"/>
      <w:szCs w:val="44"/>
    </w:rPr>
  </w:style>
  <w:style w:type="character" w:customStyle="1" w:styleId="73">
    <w:name w:val="hover"/>
    <w:basedOn w:val="32"/>
    <w:qFormat/>
    <w:uiPriority w:val="0"/>
    <w:rPr>
      <w:color w:val="2590EB"/>
    </w:rPr>
  </w:style>
  <w:style w:type="character" w:customStyle="1" w:styleId="74">
    <w:name w:val="hover1"/>
    <w:basedOn w:val="32"/>
    <w:qFormat/>
    <w:uiPriority w:val="0"/>
  </w:style>
  <w:style w:type="character" w:customStyle="1" w:styleId="75">
    <w:name w:val="hover2"/>
    <w:basedOn w:val="32"/>
    <w:qFormat/>
    <w:uiPriority w:val="0"/>
    <w:rPr>
      <w:color w:val="2590EB"/>
    </w:rPr>
  </w:style>
  <w:style w:type="character" w:customStyle="1" w:styleId="76">
    <w:name w:val="hover3"/>
    <w:basedOn w:val="32"/>
    <w:qFormat/>
    <w:uiPriority w:val="0"/>
    <w:rPr>
      <w:color w:val="2590EB"/>
      <w:shd w:val="clear" w:color="auto" w:fill="E9F4FD"/>
    </w:rPr>
  </w:style>
  <w:style w:type="character" w:customStyle="1" w:styleId="77">
    <w:name w:val="hover4"/>
    <w:basedOn w:val="32"/>
    <w:qFormat/>
    <w:uiPriority w:val="0"/>
    <w:rPr>
      <w:color w:val="2590EB"/>
      <w:shd w:val="clear" w:color="auto" w:fill="E9F4FD"/>
    </w:rPr>
  </w:style>
  <w:style w:type="character" w:customStyle="1" w:styleId="78">
    <w:name w:val="标题 1 字符1"/>
    <w:link w:val="2"/>
    <w:qFormat/>
    <w:uiPriority w:val="0"/>
    <w:rPr>
      <w:b/>
      <w:kern w:val="44"/>
      <w:sz w:val="44"/>
    </w:rPr>
  </w:style>
  <w:style w:type="character" w:customStyle="1" w:styleId="79">
    <w:name w:val="font11"/>
    <w:basedOn w:val="32"/>
    <w:qFormat/>
    <w:uiPriority w:val="0"/>
    <w:rPr>
      <w:rFonts w:hint="eastAsia" w:ascii="仿宋" w:hAnsi="仿宋" w:eastAsia="仿宋" w:cs="仿宋"/>
      <w:color w:val="000000"/>
      <w:sz w:val="24"/>
      <w:szCs w:val="24"/>
      <w:u w:val="none"/>
    </w:rPr>
  </w:style>
  <w:style w:type="character" w:customStyle="1" w:styleId="80">
    <w:name w:val="批注框文本 字符"/>
    <w:basedOn w:val="32"/>
    <w:link w:val="15"/>
    <w:qFormat/>
    <w:uiPriority w:val="0"/>
    <w:rPr>
      <w:kern w:val="2"/>
      <w:sz w:val="18"/>
      <w:szCs w:val="18"/>
    </w:rPr>
  </w:style>
  <w:style w:type="character" w:customStyle="1" w:styleId="81">
    <w:name w:val="批注文字 字符"/>
    <w:basedOn w:val="32"/>
    <w:link w:val="8"/>
    <w:qFormat/>
    <w:uiPriority w:val="0"/>
    <w:rPr>
      <w:kern w:val="2"/>
      <w:sz w:val="21"/>
      <w:szCs w:val="24"/>
    </w:rPr>
  </w:style>
  <w:style w:type="paragraph" w:customStyle="1" w:styleId="82">
    <w:name w:val="修订1"/>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101</Pages>
  <Words>22304</Words>
  <Characters>23779</Characters>
  <Lines>362</Lines>
  <Paragraphs>102</Paragraphs>
  <TotalTime>2</TotalTime>
  <ScaleCrop>false</ScaleCrop>
  <LinksUpToDate>false</LinksUpToDate>
  <CharactersWithSpaces>24055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2026-07-10T08:49:00Z</dcterms:created>
  <dc:creator>毛黑胖</dc:creator>
  <cp:lastModifiedBy>小虎</cp:lastModifiedBy>
  <dcterms:modified xsi:type="dcterms:W3CDTF">2026-07-17T03:39:12Z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86AF320A7E104CA1893E8E9B0BDD7243_13</vt:lpwstr>
  </property>
  <property fmtid="{D5CDD505-2E9C-101B-9397-08002B2CF9AE}" pid="4" name="KSOTemplateDocerSaveRecord">
    <vt:lpwstr>eyJoZGlkIjoiYTM5YTI4OTM5ZDIzMTNkZjAyMjhlNGEwOGEzZTc3OTUiLCJ1c2VySWQiOiIyNDIyMjU2NDYifQ==</vt:lpwstr>
  </property>
</Properties>
</file>